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_Toc189226623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_Toc189226624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_Toc189226625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_Toc189226627 \h </w:instrText>
      </w:r>
      <w:r>
        <w:fldChar w:fldCharType="separate"/>
      </w:r>
      <w:r>
        <w:t>6</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_Toc189226628 \h </w:instrText>
      </w:r>
      <w:r>
        <w:fldChar w:fldCharType="separate"/>
      </w:r>
      <w:r>
        <w:t>6</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_Toc189226629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_Toc189226630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_Toc189226631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_Toc189226632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_Toc189226633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_Toc189226634 \h </w:instrText>
      </w:r>
      <w:r>
        <w:fldChar w:fldCharType="separate"/>
      </w:r>
      <w:r>
        <w:t>10</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_Toc189226635 \h </w:instrText>
      </w:r>
      <w:r>
        <w:fldChar w:fldCharType="separate"/>
      </w:r>
      <w:r>
        <w:t>12</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_Toc189226636 \h </w:instrText>
      </w:r>
      <w:r>
        <w:fldChar w:fldCharType="separate"/>
      </w:r>
      <w:r>
        <w:t>13</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_Toc189226637 \h </w:instrText>
      </w:r>
      <w:r>
        <w:fldChar w:fldCharType="separate"/>
      </w:r>
      <w:r>
        <w:t>14</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_Toc189226638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_Toc189226640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_Toc189226641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_Toc189226642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_Toc189226643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_Toc189226644 \h </w:instrText>
      </w:r>
      <w:r>
        <w:fldChar w:fldCharType="separate"/>
      </w:r>
      <w:r>
        <w:t>19</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Advertising</w:t>
      </w:r>
      <w:r>
        <w:tab/>
      </w:r>
      <w:r>
        <w:fldChar w:fldCharType="begin"/>
      </w:r>
      <w:r>
        <w:instrText xml:space="preserve"> PAGEREF _Toc189226645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_Toc189226646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_Toc189226647 \h </w:instrText>
      </w:r>
      <w:r>
        <w:fldChar w:fldCharType="separate"/>
      </w:r>
      <w:r>
        <w:t>21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_Toc189226648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_Toc189226649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_Toc189226650 \h </w:instrText>
      </w:r>
      <w:r>
        <w:fldChar w:fldCharType="separate"/>
      </w:r>
      <w:r>
        <w:t>25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_Toc189226651 \h </w:instrText>
      </w:r>
      <w:r>
        <w:fldChar w:fldCharType="separate"/>
      </w:r>
      <w:r>
        <w:t>25</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_Toc189226652 \h </w:instrText>
      </w:r>
      <w:r>
        <w:fldChar w:fldCharType="separate"/>
      </w:r>
      <w:r>
        <w:t>25</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_Toc189226653 \h </w:instrText>
      </w:r>
      <w:r>
        <w:fldChar w:fldCharType="separate"/>
      </w:r>
      <w:r>
        <w:t>25</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_Toc189226654 \h </w:instrText>
      </w:r>
      <w:r>
        <w:fldChar w:fldCharType="separate"/>
      </w:r>
      <w:r>
        <w:t>26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_Toc189226655 \h </w:instrText>
      </w:r>
      <w:r>
        <w:fldChar w:fldCharType="separate"/>
      </w:r>
      <w:r>
        <w:t>26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_Toc189226656 \h </w:instrText>
      </w:r>
      <w:r>
        <w:fldChar w:fldCharType="separate"/>
      </w:r>
      <w:r>
        <w:t>27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_Toc189226657 \h </w:instrText>
      </w:r>
      <w:r>
        <w:fldChar w:fldCharType="separate"/>
      </w:r>
      <w:r>
        <w:t>27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_Toc189226658 \h </w:instrText>
      </w:r>
      <w:r>
        <w:fldChar w:fldCharType="separate"/>
      </w:r>
      <w:r>
        <w:t>28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_Toc189226659 \h </w:instrText>
      </w:r>
      <w:r>
        <w:fldChar w:fldCharType="separate"/>
      </w:r>
      <w:r>
        <w:t>28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_Toc189226660 \h </w:instrText>
      </w:r>
      <w:r>
        <w:fldChar w:fldCharType="separate"/>
      </w:r>
      <w:r>
        <w:t>28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_Toc189226661 \h </w:instrText>
      </w:r>
      <w:r>
        <w:fldChar w:fldCharType="separate"/>
      </w:r>
      <w:r>
        <w:t>29</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_Toc189226662 \h </w:instrText>
      </w:r>
      <w:r>
        <w:fldChar w:fldCharType="separate"/>
      </w:r>
      <w:r>
        <w:t>29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_Toc189226663 \h </w:instrText>
      </w:r>
      <w:r>
        <w:fldChar w:fldCharType="separate"/>
      </w:r>
      <w:r>
        <w:t>30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_Toc189226664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_Toc189226665 \h </w:instrText>
      </w:r>
      <w:r>
        <w:fldChar w:fldCharType="separate"/>
      </w:r>
      <w:r>
        <w:t>31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_Toc189226666 \h </w:instrText>
      </w:r>
      <w:r>
        <w:fldChar w:fldCharType="separate"/>
      </w:r>
      <w:r>
        <w:t>32</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_Toc189226667 \h </w:instrText>
      </w:r>
      <w:r>
        <w:fldChar w:fldCharType="separate"/>
      </w:r>
      <w:r>
        <w:t>33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_Toc189226668 \h </w:instrText>
      </w:r>
      <w:r>
        <w:fldChar w:fldCharType="separate"/>
      </w:r>
      <w:r>
        <w:t>33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approved events</w:t>
      </w:r>
      <w:r>
        <w:tab/>
      </w:r>
      <w:r>
        <w:fldChar w:fldCharType="begin"/>
      </w:r>
      <w:r>
        <w:instrText xml:space="preserve"> PAGEREF _Toc189226669 \h </w:instrText>
      </w:r>
      <w:r>
        <w:fldChar w:fldCharType="separate"/>
      </w:r>
      <w:r>
        <w:t>34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_Toc189226670 \h </w:instrText>
      </w:r>
      <w:r>
        <w:fldChar w:fldCharType="separate"/>
      </w:r>
      <w:r>
        <w:t>36</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_Toc189226671 \h </w:instrText>
      </w:r>
      <w:r>
        <w:fldChar w:fldCharType="separate"/>
      </w:r>
      <w:r>
        <w:t>37</w:t>
      </w:r>
      <w:r>
        <w:fldChar w:fldCharType="end"/>
      </w:r>
    </w:p>
    <w:p>
      <w:pPr>
        <w:pStyle w:val="TOC8"/>
        <w:rPr>
          <w:rFonts w:asciiTheme="minorHAnsi" w:eastAsiaTheme="minorEastAsia" w:hAnsiTheme="minorHAnsi" w:cstheme="minorBidi"/>
          <w:szCs w:val="22"/>
        </w:rPr>
      </w:pPr>
      <w:r>
        <w:t>74.</w:t>
      </w:r>
      <w:r>
        <w:tab/>
        <w:t>Internet betting (approved events)</w:t>
      </w:r>
      <w:r>
        <w:tab/>
      </w:r>
      <w:r>
        <w:fldChar w:fldCharType="begin"/>
      </w:r>
      <w:r>
        <w:instrText xml:space="preserve"> PAGEREF _Toc189226672 \h </w:instrText>
      </w:r>
      <w:r>
        <w:fldChar w:fldCharType="separate"/>
      </w:r>
      <w:r>
        <w:t>38</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_Toc189226673 \h </w:instrText>
      </w:r>
      <w:r>
        <w:fldChar w:fldCharType="separate"/>
      </w:r>
      <w:r>
        <w:t>38</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_Toc189226674 \h </w:instrText>
      </w:r>
      <w:r>
        <w:fldChar w:fldCharType="separate"/>
      </w:r>
      <w:r>
        <w:t>39</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_Toc189226675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3A — Consumer protection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77A.</w:t>
      </w:r>
      <w:r>
        <w:tab/>
        <w:t>Purpose of Part</w:t>
      </w:r>
      <w:r>
        <w:tab/>
      </w:r>
      <w:r>
        <w:fldChar w:fldCharType="begin"/>
      </w:r>
      <w:r>
        <w:instrText xml:space="preserve"> PAGEREF _Toc189226678 \h </w:instrText>
      </w:r>
      <w:r>
        <w:fldChar w:fldCharType="separate"/>
      </w:r>
      <w:r>
        <w:t>41</w:t>
      </w:r>
      <w:r>
        <w:fldChar w:fldCharType="end"/>
      </w:r>
    </w:p>
    <w:p>
      <w:pPr>
        <w:pStyle w:val="TOC8"/>
        <w:rPr>
          <w:rFonts w:asciiTheme="minorHAnsi" w:eastAsiaTheme="minorEastAsia" w:hAnsiTheme="minorHAnsi" w:cstheme="minorBidi"/>
          <w:szCs w:val="22"/>
        </w:rPr>
      </w:pPr>
      <w:r>
        <w:t>77B.</w:t>
      </w:r>
      <w:r>
        <w:tab/>
        <w:t>Application of Part</w:t>
      </w:r>
      <w:r>
        <w:tab/>
      </w:r>
      <w:r>
        <w:fldChar w:fldCharType="begin"/>
      </w:r>
      <w:r>
        <w:instrText xml:space="preserve"> PAGEREF _Toc189226679 \h </w:instrText>
      </w:r>
      <w:r>
        <w:fldChar w:fldCharType="separate"/>
      </w:r>
      <w:r>
        <w:t>41</w:t>
      </w:r>
      <w:r>
        <w:fldChar w:fldCharType="end"/>
      </w:r>
    </w:p>
    <w:p>
      <w:pPr>
        <w:pStyle w:val="TOC8"/>
        <w:rPr>
          <w:rFonts w:asciiTheme="minorHAnsi" w:eastAsiaTheme="minorEastAsia" w:hAnsiTheme="minorHAnsi" w:cstheme="minorBidi"/>
          <w:szCs w:val="22"/>
        </w:rPr>
      </w:pPr>
      <w:r>
        <w:t>77C.</w:t>
      </w:r>
      <w:r>
        <w:tab/>
        <w:t>Terms used</w:t>
      </w:r>
      <w:r>
        <w:tab/>
      </w:r>
      <w:r>
        <w:fldChar w:fldCharType="begin"/>
      </w:r>
      <w:r>
        <w:instrText xml:space="preserve"> PAGEREF _Toc189226680 \h </w:instrText>
      </w:r>
      <w:r>
        <w:fldChar w:fldCharType="separate"/>
      </w:r>
      <w:r>
        <w:t>41</w:t>
      </w:r>
      <w:r>
        <w:fldChar w:fldCharType="end"/>
      </w:r>
    </w:p>
    <w:p>
      <w:pPr>
        <w:pStyle w:val="TOC8"/>
        <w:rPr>
          <w:rFonts w:asciiTheme="minorHAnsi" w:eastAsiaTheme="minorEastAsia" w:hAnsiTheme="minorHAnsi" w:cstheme="minorBidi"/>
          <w:szCs w:val="22"/>
        </w:rPr>
      </w:pPr>
      <w:r>
        <w:t>77D.</w:t>
      </w:r>
      <w:r>
        <w:tab/>
        <w:t>Liability of provider</w:t>
      </w:r>
      <w:r>
        <w:tab/>
      </w:r>
      <w:r>
        <w:fldChar w:fldCharType="begin"/>
      </w:r>
      <w:r>
        <w:instrText xml:space="preserve"> PAGEREF _Toc189226681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Inducements and direct marketing</w:t>
      </w:r>
    </w:p>
    <w:p>
      <w:pPr>
        <w:pStyle w:val="TOC8"/>
        <w:rPr>
          <w:rFonts w:asciiTheme="minorHAnsi" w:eastAsiaTheme="minorEastAsia" w:hAnsiTheme="minorHAnsi" w:cstheme="minorBidi"/>
          <w:szCs w:val="22"/>
        </w:rPr>
      </w:pPr>
      <w:r>
        <w:t>77E.</w:t>
      </w:r>
      <w:r>
        <w:tab/>
        <w:t>Inducements prohibited in relation to establishing betting accounts</w:t>
      </w:r>
      <w:r>
        <w:tab/>
      </w:r>
      <w:r>
        <w:fldChar w:fldCharType="begin"/>
      </w:r>
      <w:r>
        <w:instrText xml:space="preserve"> PAGEREF _Toc189226683 \h </w:instrText>
      </w:r>
      <w:r>
        <w:fldChar w:fldCharType="separate"/>
      </w:r>
      <w:r>
        <w:t>43</w:t>
      </w:r>
      <w:r>
        <w:fldChar w:fldCharType="end"/>
      </w:r>
    </w:p>
    <w:p>
      <w:pPr>
        <w:pStyle w:val="TOC8"/>
        <w:rPr>
          <w:rFonts w:asciiTheme="minorHAnsi" w:eastAsiaTheme="minorEastAsia" w:hAnsiTheme="minorHAnsi" w:cstheme="minorBidi"/>
          <w:szCs w:val="22"/>
        </w:rPr>
      </w:pPr>
      <w:r>
        <w:t>77F.</w:t>
      </w:r>
      <w:r>
        <w:tab/>
        <w:t>Complimentary betting credits and tokens</w:t>
      </w:r>
      <w:r>
        <w:tab/>
      </w:r>
      <w:r>
        <w:fldChar w:fldCharType="begin"/>
      </w:r>
      <w:r>
        <w:instrText xml:space="preserve"> PAGEREF _Toc189226684 \h </w:instrText>
      </w:r>
      <w:r>
        <w:fldChar w:fldCharType="separate"/>
      </w:r>
      <w:r>
        <w:t>43</w:t>
      </w:r>
      <w:r>
        <w:fldChar w:fldCharType="end"/>
      </w:r>
    </w:p>
    <w:p>
      <w:pPr>
        <w:pStyle w:val="TOC8"/>
        <w:rPr>
          <w:rFonts w:asciiTheme="minorHAnsi" w:eastAsiaTheme="minorEastAsia" w:hAnsiTheme="minorHAnsi" w:cstheme="minorBidi"/>
          <w:szCs w:val="22"/>
        </w:rPr>
      </w:pPr>
      <w:r>
        <w:t>77G.</w:t>
      </w:r>
      <w:r>
        <w:tab/>
        <w:t>Direct marketing</w:t>
      </w:r>
      <w:r>
        <w:tab/>
      </w:r>
      <w:r>
        <w:fldChar w:fldCharType="begin"/>
      </w:r>
      <w:r>
        <w:instrText xml:space="preserve"> PAGEREF _Toc189226685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Closing betting accounts</w:t>
      </w:r>
    </w:p>
    <w:p>
      <w:pPr>
        <w:pStyle w:val="TOC8"/>
        <w:rPr>
          <w:rFonts w:asciiTheme="minorHAnsi" w:eastAsiaTheme="minorEastAsia" w:hAnsiTheme="minorHAnsi" w:cstheme="minorBidi"/>
          <w:szCs w:val="22"/>
        </w:rPr>
      </w:pPr>
      <w:r>
        <w:t>77H.</w:t>
      </w:r>
      <w:r>
        <w:tab/>
        <w:t>Process for closing betting accounts</w:t>
      </w:r>
      <w:r>
        <w:tab/>
      </w:r>
      <w:r>
        <w:fldChar w:fldCharType="begin"/>
      </w:r>
      <w:r>
        <w:instrText xml:space="preserve"> PAGEREF _Toc189226687 \h </w:instrText>
      </w:r>
      <w:r>
        <w:fldChar w:fldCharType="separate"/>
      </w:r>
      <w:r>
        <w:t>45</w:t>
      </w:r>
      <w:r>
        <w:fldChar w:fldCharType="end"/>
      </w:r>
    </w:p>
    <w:p>
      <w:pPr>
        <w:pStyle w:val="TOC8"/>
        <w:rPr>
          <w:rFonts w:asciiTheme="minorHAnsi" w:eastAsiaTheme="minorEastAsia" w:hAnsiTheme="minorHAnsi" w:cstheme="minorBidi"/>
          <w:szCs w:val="22"/>
        </w:rPr>
      </w:pPr>
      <w:r>
        <w:t>77I.</w:t>
      </w:r>
      <w:r>
        <w:tab/>
        <w:t>Betting account closure</w:t>
      </w:r>
      <w:r>
        <w:tab/>
      </w:r>
      <w:r>
        <w:fldChar w:fldCharType="begin"/>
      </w:r>
      <w:r>
        <w:instrText xml:space="preserve"> PAGEREF _Toc189226688 \h </w:instrText>
      </w:r>
      <w:r>
        <w:fldChar w:fldCharType="separate"/>
      </w:r>
      <w:r>
        <w:t>46</w:t>
      </w:r>
      <w:r>
        <w:fldChar w:fldCharType="end"/>
      </w:r>
    </w:p>
    <w:p>
      <w:pPr>
        <w:pStyle w:val="TOC8"/>
        <w:rPr>
          <w:rFonts w:asciiTheme="minorHAnsi" w:eastAsiaTheme="minorEastAsia" w:hAnsiTheme="minorHAnsi" w:cstheme="minorBidi"/>
          <w:szCs w:val="22"/>
        </w:rPr>
      </w:pPr>
      <w:r>
        <w:t>77J.</w:t>
      </w:r>
      <w:r>
        <w:tab/>
        <w:t>Inducements and encouragement prohibited in relation to closing betting accounts</w:t>
      </w:r>
      <w:r>
        <w:tab/>
      </w:r>
      <w:r>
        <w:fldChar w:fldCharType="begin"/>
      </w:r>
      <w:r>
        <w:instrText xml:space="preserve"> PAGEREF _Toc189226689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Deposit limits</w:t>
      </w:r>
    </w:p>
    <w:p>
      <w:pPr>
        <w:pStyle w:val="TOC8"/>
        <w:rPr>
          <w:rFonts w:asciiTheme="minorHAnsi" w:eastAsiaTheme="minorEastAsia" w:hAnsiTheme="minorHAnsi" w:cstheme="minorBidi"/>
          <w:szCs w:val="22"/>
        </w:rPr>
      </w:pPr>
      <w:r>
        <w:t>77K.</w:t>
      </w:r>
      <w:r>
        <w:tab/>
        <w:t>Deposit limits</w:t>
      </w:r>
      <w:r>
        <w:tab/>
      </w:r>
      <w:r>
        <w:fldChar w:fldCharType="begin"/>
      </w:r>
      <w:r>
        <w:instrText xml:space="preserve"> PAGEREF _Toc189226691 \h </w:instrText>
      </w:r>
      <w:r>
        <w:fldChar w:fldCharType="separate"/>
      </w:r>
      <w:r>
        <w:t>47</w:t>
      </w:r>
      <w:r>
        <w:fldChar w:fldCharType="end"/>
      </w:r>
    </w:p>
    <w:p>
      <w:pPr>
        <w:pStyle w:val="TOC8"/>
        <w:rPr>
          <w:rFonts w:asciiTheme="minorHAnsi" w:eastAsiaTheme="minorEastAsia" w:hAnsiTheme="minorHAnsi" w:cstheme="minorBidi"/>
          <w:szCs w:val="22"/>
        </w:rPr>
      </w:pPr>
      <w:r>
        <w:t>77L.</w:t>
      </w:r>
      <w:r>
        <w:tab/>
        <w:t>Review of deposit limits</w:t>
      </w:r>
      <w:r>
        <w:tab/>
      </w:r>
      <w:r>
        <w:fldChar w:fldCharType="begin"/>
      </w:r>
      <w:r>
        <w:instrText xml:space="preserve"> PAGEREF _Toc189226692 \h </w:instrText>
      </w:r>
      <w:r>
        <w:fldChar w:fldCharType="separate"/>
      </w:r>
      <w:r>
        <w:t>48</w:t>
      </w:r>
      <w:r>
        <w:fldChar w:fldCharType="end"/>
      </w:r>
    </w:p>
    <w:p>
      <w:pPr>
        <w:pStyle w:val="TOC8"/>
        <w:rPr>
          <w:rFonts w:asciiTheme="minorHAnsi" w:eastAsiaTheme="minorEastAsia" w:hAnsiTheme="minorHAnsi" w:cstheme="minorBidi"/>
          <w:szCs w:val="22"/>
        </w:rPr>
      </w:pPr>
      <w:r>
        <w:t>77M.</w:t>
      </w:r>
      <w:r>
        <w:tab/>
        <w:t>Process for account holder to set or change deposit limit</w:t>
      </w:r>
      <w:r>
        <w:tab/>
      </w:r>
      <w:r>
        <w:fldChar w:fldCharType="begin"/>
      </w:r>
      <w:r>
        <w:instrText xml:space="preserve"> PAGEREF _Toc189226693 \h </w:instrText>
      </w:r>
      <w:r>
        <w:fldChar w:fldCharType="separate"/>
      </w:r>
      <w:r>
        <w:t>49</w:t>
      </w:r>
      <w:r>
        <w:fldChar w:fldCharType="end"/>
      </w:r>
    </w:p>
    <w:p>
      <w:pPr>
        <w:pStyle w:val="TOC8"/>
        <w:rPr>
          <w:rFonts w:asciiTheme="minorHAnsi" w:eastAsiaTheme="minorEastAsia" w:hAnsiTheme="minorHAnsi" w:cstheme="minorBidi"/>
          <w:szCs w:val="22"/>
        </w:rPr>
      </w:pPr>
      <w:r>
        <w:t>77N.</w:t>
      </w:r>
      <w:r>
        <w:tab/>
        <w:t>Provider must give effect to changed deposit limit</w:t>
      </w:r>
      <w:r>
        <w:tab/>
      </w:r>
      <w:r>
        <w:fldChar w:fldCharType="begin"/>
      </w:r>
      <w:r>
        <w:instrText xml:space="preserve"> PAGEREF _Toc189226694 \h </w:instrText>
      </w:r>
      <w:r>
        <w:fldChar w:fldCharType="separate"/>
      </w:r>
      <w:r>
        <w:t>50</w:t>
      </w:r>
      <w:r>
        <w:fldChar w:fldCharType="end"/>
      </w:r>
    </w:p>
    <w:p>
      <w:pPr>
        <w:pStyle w:val="TOC8"/>
        <w:rPr>
          <w:rFonts w:asciiTheme="minorHAnsi" w:eastAsiaTheme="minorEastAsia" w:hAnsiTheme="minorHAnsi" w:cstheme="minorBidi"/>
          <w:szCs w:val="22"/>
        </w:rPr>
      </w:pPr>
      <w:r>
        <w:t>77O.</w:t>
      </w:r>
      <w:r>
        <w:tab/>
        <w:t>Provider must promote availability of deposit limits</w:t>
      </w:r>
      <w:r>
        <w:tab/>
      </w:r>
      <w:r>
        <w:fldChar w:fldCharType="begin"/>
      </w:r>
      <w:r>
        <w:instrText xml:space="preserve"> PAGEREF _Toc189226695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 — Activity statements</w:t>
      </w:r>
    </w:p>
    <w:p>
      <w:pPr>
        <w:pStyle w:val="TOC8"/>
        <w:rPr>
          <w:rFonts w:asciiTheme="minorHAnsi" w:eastAsiaTheme="minorEastAsia" w:hAnsiTheme="minorHAnsi" w:cstheme="minorBidi"/>
          <w:szCs w:val="22"/>
        </w:rPr>
      </w:pPr>
      <w:r>
        <w:t>77P.</w:t>
      </w:r>
      <w:r>
        <w:tab/>
        <w:t>Term used: activity statement</w:t>
      </w:r>
      <w:r>
        <w:tab/>
      </w:r>
      <w:r>
        <w:fldChar w:fldCharType="begin"/>
      </w:r>
      <w:r>
        <w:instrText xml:space="preserve"> PAGEREF _Toc189226697 \h </w:instrText>
      </w:r>
      <w:r>
        <w:fldChar w:fldCharType="separate"/>
      </w:r>
      <w:r>
        <w:t>51</w:t>
      </w:r>
      <w:r>
        <w:fldChar w:fldCharType="end"/>
      </w:r>
    </w:p>
    <w:p>
      <w:pPr>
        <w:pStyle w:val="TOC8"/>
        <w:rPr>
          <w:rFonts w:asciiTheme="minorHAnsi" w:eastAsiaTheme="minorEastAsia" w:hAnsiTheme="minorHAnsi" w:cstheme="minorBidi"/>
          <w:szCs w:val="22"/>
        </w:rPr>
      </w:pPr>
      <w:r>
        <w:t>77Q.</w:t>
      </w:r>
      <w:r>
        <w:tab/>
        <w:t>Provider must give activity statements</w:t>
      </w:r>
      <w:r>
        <w:tab/>
      </w:r>
      <w:r>
        <w:fldChar w:fldCharType="begin"/>
      </w:r>
      <w:r>
        <w:instrText xml:space="preserve"> PAGEREF _Toc189226698 \h </w:instrText>
      </w:r>
      <w:r>
        <w:fldChar w:fldCharType="separate"/>
      </w:r>
      <w:r>
        <w:t>53</w:t>
      </w:r>
      <w:r>
        <w:fldChar w:fldCharType="end"/>
      </w:r>
    </w:p>
    <w:p>
      <w:pPr>
        <w:pStyle w:val="TOC8"/>
        <w:rPr>
          <w:rFonts w:asciiTheme="minorHAnsi" w:eastAsiaTheme="minorEastAsia" w:hAnsiTheme="minorHAnsi" w:cstheme="minorBidi"/>
          <w:szCs w:val="22"/>
        </w:rPr>
      </w:pPr>
      <w:r>
        <w:t>77R.</w:t>
      </w:r>
      <w:r>
        <w:tab/>
        <w:t>Provider must make available and give copies of activity statements</w:t>
      </w:r>
      <w:r>
        <w:tab/>
      </w:r>
      <w:r>
        <w:fldChar w:fldCharType="begin"/>
      </w:r>
      <w:r>
        <w:instrText xml:space="preserve"> PAGEREF _Toc189226699 \h </w:instrText>
      </w:r>
      <w:r>
        <w:fldChar w:fldCharType="separate"/>
      </w:r>
      <w:r>
        <w:t>53</w:t>
      </w:r>
      <w:r>
        <w:fldChar w:fldCharType="end"/>
      </w:r>
    </w:p>
    <w:p>
      <w:pPr>
        <w:pStyle w:val="TOC8"/>
        <w:rPr>
          <w:rFonts w:asciiTheme="minorHAnsi" w:eastAsiaTheme="minorEastAsia" w:hAnsiTheme="minorHAnsi" w:cstheme="minorBidi"/>
          <w:szCs w:val="22"/>
        </w:rPr>
      </w:pPr>
      <w:r>
        <w:t>77S.</w:t>
      </w:r>
      <w:r>
        <w:tab/>
        <w:t>Form of activity statements</w:t>
      </w:r>
      <w:r>
        <w:tab/>
      </w:r>
      <w:r>
        <w:fldChar w:fldCharType="begin"/>
      </w:r>
      <w:r>
        <w:instrText xml:space="preserve"> PAGEREF _Toc189226700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6 — Transaction histories</w:t>
      </w:r>
    </w:p>
    <w:p>
      <w:pPr>
        <w:pStyle w:val="TOC8"/>
        <w:rPr>
          <w:rFonts w:asciiTheme="minorHAnsi" w:eastAsiaTheme="minorEastAsia" w:hAnsiTheme="minorHAnsi" w:cstheme="minorBidi"/>
          <w:szCs w:val="22"/>
        </w:rPr>
      </w:pPr>
      <w:r>
        <w:t>77T.</w:t>
      </w:r>
      <w:r>
        <w:tab/>
        <w:t>Provider must make transaction histories available to account holders who use Internet</w:t>
      </w:r>
      <w:r>
        <w:tab/>
      </w:r>
      <w:r>
        <w:fldChar w:fldCharType="begin"/>
      </w:r>
      <w:r>
        <w:instrText xml:space="preserve"> PAGEREF _Toc189226702 \h </w:instrText>
      </w:r>
      <w:r>
        <w:fldChar w:fldCharType="separate"/>
      </w:r>
      <w:r>
        <w:t>54</w:t>
      </w:r>
      <w:r>
        <w:fldChar w:fldCharType="end"/>
      </w:r>
    </w:p>
    <w:p>
      <w:pPr>
        <w:pStyle w:val="TOC8"/>
        <w:rPr>
          <w:rFonts w:asciiTheme="minorHAnsi" w:eastAsiaTheme="minorEastAsia" w:hAnsiTheme="minorHAnsi" w:cstheme="minorBidi"/>
          <w:szCs w:val="22"/>
        </w:rPr>
      </w:pPr>
      <w:r>
        <w:t>77U.</w:t>
      </w:r>
      <w:r>
        <w:tab/>
        <w:t>Provider must give transaction histories on request to relevant persons</w:t>
      </w:r>
      <w:r>
        <w:tab/>
      </w:r>
      <w:r>
        <w:fldChar w:fldCharType="begin"/>
      </w:r>
      <w:r>
        <w:instrText xml:space="preserve"> PAGEREF _Toc189226703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7 — Consistent gambling messaging</w:t>
      </w:r>
    </w:p>
    <w:p>
      <w:pPr>
        <w:pStyle w:val="TOC8"/>
        <w:rPr>
          <w:rFonts w:asciiTheme="minorHAnsi" w:eastAsiaTheme="minorEastAsia" w:hAnsiTheme="minorHAnsi" w:cstheme="minorBidi"/>
          <w:szCs w:val="22"/>
        </w:rPr>
      </w:pPr>
      <w:r>
        <w:t>77V.</w:t>
      </w:r>
      <w:r>
        <w:tab/>
        <w:t>Commission may set out and require use of consistent gambling messaging</w:t>
      </w:r>
      <w:r>
        <w:tab/>
      </w:r>
      <w:r>
        <w:fldChar w:fldCharType="begin"/>
      </w:r>
      <w:r>
        <w:instrText xml:space="preserve"> PAGEREF _Toc189226705 \h </w:instrText>
      </w:r>
      <w:r>
        <w:fldChar w:fldCharType="separate"/>
      </w:r>
      <w:r>
        <w:t>56</w:t>
      </w:r>
      <w:r>
        <w:fldChar w:fldCharType="end"/>
      </w:r>
    </w:p>
    <w:p>
      <w:pPr>
        <w:pStyle w:val="TOC8"/>
        <w:rPr>
          <w:rFonts w:asciiTheme="minorHAnsi" w:eastAsiaTheme="minorEastAsia" w:hAnsiTheme="minorHAnsi" w:cstheme="minorBidi"/>
          <w:szCs w:val="22"/>
        </w:rPr>
      </w:pPr>
      <w:r>
        <w:t>77W.</w:t>
      </w:r>
      <w:r>
        <w:tab/>
        <w:t>Provider must comply with notice published under r. 77V</w:t>
      </w:r>
      <w:r>
        <w:tab/>
      </w:r>
      <w:r>
        <w:fldChar w:fldCharType="begin"/>
      </w:r>
      <w:r>
        <w:instrText xml:space="preserve"> PAGEREF _Toc189226706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8 — Staff training</w:t>
      </w:r>
    </w:p>
    <w:p>
      <w:pPr>
        <w:pStyle w:val="TOC8"/>
        <w:rPr>
          <w:rFonts w:asciiTheme="minorHAnsi" w:eastAsiaTheme="minorEastAsia" w:hAnsiTheme="minorHAnsi" w:cstheme="minorBidi"/>
          <w:szCs w:val="22"/>
        </w:rPr>
      </w:pPr>
      <w:r>
        <w:t>77X.</w:t>
      </w:r>
      <w:r>
        <w:tab/>
        <w:t>Term used: relevant individual</w:t>
      </w:r>
      <w:r>
        <w:tab/>
      </w:r>
      <w:r>
        <w:fldChar w:fldCharType="begin"/>
      </w:r>
      <w:r>
        <w:instrText xml:space="preserve"> PAGEREF _Toc189226708 \h </w:instrText>
      </w:r>
      <w:r>
        <w:fldChar w:fldCharType="separate"/>
      </w:r>
      <w:r>
        <w:t>57</w:t>
      </w:r>
      <w:r>
        <w:fldChar w:fldCharType="end"/>
      </w:r>
    </w:p>
    <w:p>
      <w:pPr>
        <w:pStyle w:val="TOC8"/>
        <w:rPr>
          <w:rFonts w:asciiTheme="minorHAnsi" w:eastAsiaTheme="minorEastAsia" w:hAnsiTheme="minorHAnsi" w:cstheme="minorBidi"/>
          <w:szCs w:val="22"/>
        </w:rPr>
      </w:pPr>
      <w:r>
        <w:t>77Y.</w:t>
      </w:r>
      <w:r>
        <w:tab/>
        <w:t>Provider must ensure relevant individuals receive training</w:t>
      </w:r>
      <w:r>
        <w:tab/>
      </w:r>
      <w:r>
        <w:fldChar w:fldCharType="begin"/>
      </w:r>
      <w:r>
        <w:instrText xml:space="preserve"> PAGEREF _Toc189226709 \h </w:instrText>
      </w:r>
      <w:r>
        <w:fldChar w:fldCharType="separate"/>
      </w:r>
      <w:r>
        <w:t>57</w:t>
      </w:r>
      <w:r>
        <w:fldChar w:fldCharType="end"/>
      </w:r>
    </w:p>
    <w:p>
      <w:pPr>
        <w:pStyle w:val="TOC8"/>
        <w:rPr>
          <w:rFonts w:asciiTheme="minorHAnsi" w:eastAsiaTheme="minorEastAsia" w:hAnsiTheme="minorHAnsi" w:cstheme="minorBidi"/>
          <w:szCs w:val="22"/>
        </w:rPr>
      </w:pPr>
      <w:r>
        <w:lastRenderedPageBreak/>
        <w:t>77Z.</w:t>
      </w:r>
      <w:r>
        <w:tab/>
        <w:t>Provider must make and keep records of training</w:t>
      </w:r>
      <w:r>
        <w:tab/>
      </w:r>
      <w:r>
        <w:fldChar w:fldCharType="begin"/>
      </w:r>
      <w:r>
        <w:instrText xml:space="preserve"> PAGEREF _Toc189226710 \h </w:instrText>
      </w:r>
      <w:r>
        <w:fldChar w:fldCharType="separate"/>
      </w:r>
      <w:r>
        <w:t>58</w:t>
      </w:r>
      <w:r>
        <w:fldChar w:fldCharType="end"/>
      </w:r>
    </w:p>
    <w:p>
      <w:pPr>
        <w:pStyle w:val="TOC8"/>
        <w:rPr>
          <w:rFonts w:asciiTheme="minorHAnsi" w:eastAsiaTheme="minorEastAsia" w:hAnsiTheme="minorHAnsi" w:cstheme="minorBidi"/>
          <w:szCs w:val="22"/>
        </w:rPr>
      </w:pPr>
      <w:r>
        <w:t>77ZA.</w:t>
      </w:r>
      <w:r>
        <w:tab/>
        <w:t>Provider must produce records to authorised officers</w:t>
      </w:r>
      <w:r>
        <w:tab/>
      </w:r>
      <w:r>
        <w:fldChar w:fldCharType="begin"/>
      </w:r>
      <w:r>
        <w:instrText xml:space="preserve"> PAGEREF _Toc189226711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9 — Consumer protection plan</w:t>
      </w:r>
    </w:p>
    <w:p>
      <w:pPr>
        <w:pStyle w:val="TOC8"/>
        <w:rPr>
          <w:rFonts w:asciiTheme="minorHAnsi" w:eastAsiaTheme="minorEastAsia" w:hAnsiTheme="minorHAnsi" w:cstheme="minorBidi"/>
          <w:szCs w:val="22"/>
        </w:rPr>
      </w:pPr>
      <w:r>
        <w:t>77ZB.</w:t>
      </w:r>
      <w:r>
        <w:tab/>
        <w:t>Provider must have consumer protection plan</w:t>
      </w:r>
      <w:r>
        <w:tab/>
      </w:r>
      <w:r>
        <w:fldChar w:fldCharType="begin"/>
      </w:r>
      <w:r>
        <w:instrText xml:space="preserve"> PAGEREF _Toc189226713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_Toc189226716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_Toc189226718 \h </w:instrText>
      </w:r>
      <w:r>
        <w:fldChar w:fldCharType="separate"/>
      </w:r>
      <w:r>
        <w:t>62</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_Toc189226719 \h </w:instrText>
      </w:r>
      <w:r>
        <w:fldChar w:fldCharType="separate"/>
      </w:r>
      <w:r>
        <w:t>63</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_Toc189226720 \h </w:instrText>
      </w:r>
      <w:r>
        <w:fldChar w:fldCharType="separate"/>
      </w:r>
      <w:r>
        <w:t>63</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_Toc189226721 \h </w:instrText>
      </w:r>
      <w:r>
        <w:fldChar w:fldCharType="separate"/>
      </w:r>
      <w:r>
        <w:t>64</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_Toc189226722 \h </w:instrText>
      </w:r>
      <w:r>
        <w:fldChar w:fldCharType="separate"/>
      </w:r>
      <w:r>
        <w:t>65</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_Toc189226723 \h </w:instrText>
      </w:r>
      <w:r>
        <w:fldChar w:fldCharType="separate"/>
      </w:r>
      <w:r>
        <w:t>65</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_Toc189226724 \h </w:instrText>
      </w:r>
      <w:r>
        <w:fldChar w:fldCharType="separate"/>
      </w:r>
      <w:r>
        <w:t>66</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_Toc189226725 \h </w:instrText>
      </w:r>
      <w:r>
        <w:fldChar w:fldCharType="separate"/>
      </w:r>
      <w:r>
        <w:t>66</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_Toc189226726 \h </w:instrText>
      </w:r>
      <w:r>
        <w:fldChar w:fldCharType="separate"/>
      </w:r>
      <w:r>
        <w:t>67</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_Toc189226727 \h </w:instrText>
      </w:r>
      <w:r>
        <w:fldChar w:fldCharType="separate"/>
      </w:r>
      <w:r>
        <w:t>67</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_Toc189226728 \h </w:instrText>
      </w:r>
      <w:r>
        <w:fldChar w:fldCharType="separate"/>
      </w:r>
      <w:r>
        <w:t>68</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_Toc189226729 \h </w:instrText>
      </w:r>
      <w:r>
        <w:fldChar w:fldCharType="separate"/>
      </w:r>
      <w:r>
        <w:t>68</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_Toc189226730 \h </w:instrText>
      </w:r>
      <w:r>
        <w:fldChar w:fldCharType="separate"/>
      </w:r>
      <w:r>
        <w:t>69</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_Toc189226731 \h </w:instrText>
      </w:r>
      <w:r>
        <w:fldChar w:fldCharType="separate"/>
      </w:r>
      <w:r>
        <w:t>70</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_Toc189226732 \h </w:instrText>
      </w:r>
      <w:r>
        <w:fldChar w:fldCharType="separate"/>
      </w:r>
      <w:r>
        <w:t>72</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_Toc189226733 \h </w:instrText>
      </w:r>
      <w:r>
        <w:fldChar w:fldCharType="separate"/>
      </w:r>
      <w:r>
        <w:t>72</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_Toc189226734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_Toc189226736 \h </w:instrText>
      </w:r>
      <w:r>
        <w:fldChar w:fldCharType="separate"/>
      </w:r>
      <w:r>
        <w:t>75</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_Toc189226737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_Toc189226739 \h </w:instrText>
      </w:r>
      <w:r>
        <w:fldChar w:fldCharType="separate"/>
      </w:r>
      <w:r>
        <w:t>77</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_Toc189226740 \h </w:instrText>
      </w:r>
      <w:r>
        <w:fldChar w:fldCharType="separate"/>
      </w:r>
      <w:r>
        <w:t>77</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_Toc189226741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_Toc189226743 \h </w:instrText>
      </w:r>
      <w:r>
        <w:fldChar w:fldCharType="separate"/>
      </w:r>
      <w:r>
        <w:t>80</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_Toc189226744 \h </w:instrText>
      </w:r>
      <w:r>
        <w:fldChar w:fldCharType="separate"/>
      </w:r>
      <w:r>
        <w:t>80</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_Toc189226745 \h </w:instrText>
      </w:r>
      <w:r>
        <w:fldChar w:fldCharType="separate"/>
      </w:r>
      <w:r>
        <w:t>80</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_Toc189226746 \h </w:instrText>
      </w:r>
      <w:r>
        <w:fldChar w:fldCharType="separate"/>
      </w:r>
      <w:r>
        <w:t>80</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_Toc189226747 \h </w:instrText>
      </w:r>
      <w:r>
        <w:fldChar w:fldCharType="separate"/>
      </w:r>
      <w:r>
        <w:t>81</w:t>
      </w:r>
      <w:r>
        <w:fldChar w:fldCharType="end"/>
      </w:r>
    </w:p>
    <w:p>
      <w:pPr>
        <w:pStyle w:val="TOC8"/>
        <w:rPr>
          <w:rFonts w:asciiTheme="minorHAnsi" w:eastAsiaTheme="minorEastAsia" w:hAnsiTheme="minorHAnsi" w:cstheme="minorBidi"/>
          <w:szCs w:val="22"/>
        </w:rPr>
      </w:pPr>
      <w:r>
        <w:t>105A.</w:t>
      </w:r>
      <w:r>
        <w:tab/>
        <w:t>Prescribed conditions for greyhound and harness races: section 27F(1)</w:t>
      </w:r>
      <w:r>
        <w:tab/>
      </w:r>
      <w:r>
        <w:fldChar w:fldCharType="begin"/>
      </w:r>
      <w:r>
        <w:instrText xml:space="preserve"> PAGEREF _Toc189226748 \h </w:instrText>
      </w:r>
      <w:r>
        <w:fldChar w:fldCharType="separate"/>
      </w:r>
      <w:r>
        <w:t>83</w:t>
      </w:r>
      <w:r>
        <w:fldChar w:fldCharType="end"/>
      </w:r>
    </w:p>
    <w:p>
      <w:pPr>
        <w:pStyle w:val="TOC8"/>
        <w:rPr>
          <w:rFonts w:asciiTheme="minorHAnsi" w:eastAsiaTheme="minorEastAsia" w:hAnsiTheme="minorHAnsi" w:cstheme="minorBidi"/>
          <w:szCs w:val="22"/>
        </w:rPr>
      </w:pPr>
      <w:r>
        <w:t>105B.</w:t>
      </w:r>
      <w:r>
        <w:tab/>
        <w:t>Prescribed conditions for thoroughbred races: section 27F(1)</w:t>
      </w:r>
      <w:r>
        <w:tab/>
      </w:r>
      <w:r>
        <w:fldChar w:fldCharType="begin"/>
      </w:r>
      <w:r>
        <w:instrText xml:space="preserve"> PAGEREF _Toc189226749 \h </w:instrText>
      </w:r>
      <w:r>
        <w:fldChar w:fldCharType="separate"/>
      </w:r>
      <w:r>
        <w:t>85</w:t>
      </w:r>
      <w:r>
        <w:fldChar w:fldCharType="end"/>
      </w:r>
    </w:p>
    <w:p>
      <w:pPr>
        <w:pStyle w:val="TOC8"/>
        <w:rPr>
          <w:rFonts w:asciiTheme="minorHAnsi" w:eastAsiaTheme="minorEastAsia" w:hAnsiTheme="minorHAnsi" w:cstheme="minorBidi"/>
          <w:szCs w:val="22"/>
        </w:rPr>
      </w:pPr>
      <w:r>
        <w:t>105C.</w:t>
      </w:r>
      <w:r>
        <w:tab/>
        <w:t>Prescribed conditions under regulations 105A and 105B do not apply to certain bets</w:t>
      </w:r>
      <w:r>
        <w:tab/>
      </w:r>
      <w:r>
        <w:fldChar w:fldCharType="begin"/>
      </w:r>
      <w:r>
        <w:instrText xml:space="preserve"> PAGEREF _Toc189226750 \h </w:instrText>
      </w:r>
      <w:r>
        <w:fldChar w:fldCharType="separate"/>
      </w:r>
      <w:r>
        <w:t>88</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_Toc189226751 \h </w:instrText>
      </w:r>
      <w:r>
        <w:fldChar w:fldCharType="separate"/>
      </w:r>
      <w:r>
        <w:t>90</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_Toc189226752 \h </w:instrText>
      </w:r>
      <w:r>
        <w:fldChar w:fldCharType="separate"/>
      </w:r>
      <w:r>
        <w:t>90</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_Toc189226753 \h </w:instrText>
      </w:r>
      <w:r>
        <w:fldChar w:fldCharType="separate"/>
      </w:r>
      <w:r>
        <w:t>91</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_Toc189226754 \h </w:instrText>
      </w:r>
      <w:r>
        <w:fldChar w:fldCharType="separate"/>
      </w:r>
      <w:r>
        <w:t>93</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_Toc189226755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111.</w:t>
      </w:r>
      <w:r>
        <w:tab/>
        <w:t>Prescribed offences and modified penalties</w:t>
      </w:r>
      <w:r>
        <w:tab/>
      </w:r>
      <w:r>
        <w:fldChar w:fldCharType="begin"/>
      </w:r>
      <w:r>
        <w:instrText xml:space="preserve"> PAGEREF _Toc189226757 \h </w:instrText>
      </w:r>
      <w:r>
        <w:fldChar w:fldCharType="separate"/>
      </w:r>
      <w:r>
        <w:t>95</w:t>
      </w:r>
      <w:r>
        <w:fldChar w:fldCharType="end"/>
      </w:r>
    </w:p>
    <w:p>
      <w:pPr>
        <w:pStyle w:val="TOC8"/>
        <w:rPr>
          <w:rFonts w:asciiTheme="minorHAnsi" w:eastAsiaTheme="minorEastAsia" w:hAnsiTheme="minorHAnsi" w:cstheme="minorBidi"/>
          <w:szCs w:val="22"/>
        </w:rPr>
      </w:pPr>
      <w:r>
        <w:t>112.</w:t>
      </w:r>
      <w:r>
        <w:tab/>
        <w:t>Forms for infringement notice and withdrawal notice</w:t>
      </w:r>
      <w:r>
        <w:tab/>
      </w:r>
      <w:r>
        <w:fldChar w:fldCharType="begin"/>
      </w:r>
      <w:r>
        <w:instrText xml:space="preserve"> PAGEREF _Toc189226758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_Toc189226762 \h </w:instrText>
      </w:r>
      <w:r>
        <w:fldChar w:fldCharType="separate"/>
      </w:r>
      <w:r>
        <w:t>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_Toc189226763 \h </w:instrText>
      </w:r>
      <w:r>
        <w:fldChar w:fldCharType="separate"/>
      </w:r>
      <w:r>
        <w:t>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_Toc189226764 \h </w:instrText>
      </w:r>
      <w:r>
        <w:fldChar w:fldCharType="separate"/>
      </w:r>
      <w:r>
        <w:t>97</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_Toc189226765 \h </w:instrText>
      </w:r>
      <w:r>
        <w:fldChar w:fldCharType="separate"/>
      </w:r>
      <w:r>
        <w:t>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_Toc189226766 \h </w:instrText>
      </w:r>
      <w:r>
        <w:fldChar w:fldCharType="separate"/>
      </w:r>
      <w:r>
        <w:t>101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_Toc189226767 \h </w:instrText>
      </w:r>
      <w:r>
        <w:fldChar w:fldCharType="separate"/>
      </w:r>
      <w:r>
        <w:t>102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_Toc189226768 \h </w:instrText>
      </w:r>
      <w:r>
        <w:fldChar w:fldCharType="separate"/>
      </w:r>
      <w:r>
        <w:t>102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_Toc189226769 \h </w:instrText>
      </w:r>
      <w:r>
        <w:fldChar w:fldCharType="separate"/>
      </w:r>
      <w:r>
        <w:t>102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_Toc189226770 \h </w:instrText>
      </w:r>
      <w:r>
        <w:fldChar w:fldCharType="separate"/>
      </w:r>
      <w:r>
        <w:t>103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_Toc189226771 \h </w:instrText>
      </w:r>
      <w:r>
        <w:fldChar w:fldCharType="separate"/>
      </w:r>
      <w:r>
        <w:t>104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_Toc189226772 \h </w:instrText>
      </w:r>
      <w:r>
        <w:fldChar w:fldCharType="separate"/>
      </w:r>
      <w:r>
        <w:t>106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_Toc189226773 \h </w:instrText>
      </w:r>
      <w:r>
        <w:fldChar w:fldCharType="separate"/>
      </w:r>
      <w:r>
        <w:t>106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_Toc189226774 \h </w:instrText>
      </w:r>
      <w:r>
        <w:fldChar w:fldCharType="separate"/>
      </w:r>
      <w:r>
        <w:t>106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_Toc189226775 \h </w:instrText>
      </w:r>
      <w:r>
        <w:fldChar w:fldCharType="separate"/>
      </w:r>
      <w:r>
        <w:t>107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_Toc189226776 \h </w:instrText>
      </w:r>
      <w:r>
        <w:fldChar w:fldCharType="separate"/>
      </w:r>
      <w:r>
        <w:t>107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_Toc189226777 \h </w:instrText>
      </w:r>
      <w:r>
        <w:fldChar w:fldCharType="separate"/>
      </w:r>
      <w:r>
        <w:t>108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_Toc189226778 \h </w:instrText>
      </w:r>
      <w:r>
        <w:fldChar w:fldCharType="separate"/>
      </w:r>
      <w:r>
        <w:t>108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_Toc189226779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Part 2 — Betting on approved events</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Act</w:t>
      </w:r>
    </w:p>
    <w:p>
      <w:pPr>
        <w:pStyle w:val="TOC4"/>
        <w:tabs>
          <w:tab w:val="right" w:leader="dot" w:pos="7077"/>
        </w:tabs>
        <w:rPr>
          <w:rFonts w:asciiTheme="minorHAnsi" w:eastAsiaTheme="minorEastAsia" w:hAnsiTheme="minorHAnsi" w:cstheme="minorBidi"/>
          <w:b w:val="0"/>
          <w:szCs w:val="22"/>
        </w:rPr>
      </w:pPr>
      <w:r>
        <w:t>Division 2 — Offences under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_Toc189226786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Betting Control Act 1954</w:t>
      </w:r>
    </w:p>
    <w:p>
      <w:pPr>
        <w:pStyle w:val="NameofActReg"/>
        <w:spacing w:before="720"/>
      </w:pPr>
      <w:r>
        <w:t>Betting Control Regulations 1978</w:t>
      </w:r>
    </w:p>
    <w:p>
      <w:pPr>
        <w:pStyle w:val="Heading2"/>
        <w:pageBreakBefore w:val="0"/>
      </w:pPr>
      <w:bookmarkStart w:id="2" w:name="_Toc189146224"/>
      <w:bookmarkStart w:id="3" w:name="_Toc189219003"/>
      <w:bookmarkStart w:id="4" w:name="_Toc189226622"/>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Gazette 21 Jul 2006 p. 2671.]</w:t>
      </w:r>
    </w:p>
    <w:p>
      <w:pPr>
        <w:pStyle w:val="Heading5"/>
        <w:rPr>
          <w:snapToGrid w:val="0"/>
        </w:rPr>
      </w:pPr>
      <w:bookmarkStart w:id="5" w:name="_Toc189226623"/>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w:t>
      </w:r>
    </w:p>
    <w:p>
      <w:pPr>
        <w:pStyle w:val="Heading5"/>
        <w:rPr>
          <w:snapToGrid w:val="0"/>
        </w:rPr>
      </w:pPr>
      <w:bookmarkStart w:id="6" w:name="_Toc189226624"/>
      <w:r>
        <w:rPr>
          <w:rStyle w:val="CharSectno"/>
        </w:rPr>
        <w:t>2</w:t>
      </w:r>
      <w:r>
        <w:rPr>
          <w:snapToGrid w:val="0"/>
        </w:rPr>
        <w:t>.</w:t>
      </w:r>
      <w:r>
        <w:rPr>
          <w:snapToGrid w:val="0"/>
        </w:rPr>
        <w:tab/>
        <w:t>Transitional provision</w:t>
      </w:r>
      <w:bookmarkEnd w:id="6"/>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7" w:name="_Toc189226625"/>
      <w:r>
        <w:rPr>
          <w:rStyle w:val="CharSectno"/>
        </w:rPr>
        <w:t>3</w:t>
      </w:r>
      <w:r>
        <w:rPr>
          <w:snapToGrid w:val="0"/>
        </w:rPr>
        <w:t>.</w:t>
      </w:r>
      <w:r>
        <w:rPr>
          <w:snapToGrid w:val="0"/>
        </w:rPr>
        <w:tab/>
        <w:t>Terms used</w:t>
      </w:r>
      <w:bookmarkEnd w:id="7"/>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lastRenderedPageBreak/>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pPr>
      <w:r>
        <w:tab/>
      </w:r>
      <w:r>
        <w:rPr>
          <w:rStyle w:val="CharDefText"/>
        </w:rPr>
        <w:t>betting account</w:t>
      </w:r>
      <w:r>
        <w:t xml:space="preserve"> means an account established with a domestic betting operator for the purposes of betting;</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greyhound race</w:t>
      </w:r>
      <w:r>
        <w:t xml:space="preserve"> has the meaning given in the RWWA Act section 3(1);</w:t>
      </w:r>
    </w:p>
    <w:p>
      <w:pPr>
        <w:pStyle w:val="Defstart"/>
      </w:pPr>
      <w:r>
        <w:tab/>
      </w:r>
      <w:r>
        <w:rPr>
          <w:rStyle w:val="CharDefText"/>
        </w:rPr>
        <w:t>harness race</w:t>
      </w:r>
      <w:r>
        <w:t xml:space="preserve"> has the meaning given in the RWWA Act section 3(1);</w:t>
      </w:r>
    </w:p>
    <w:p>
      <w:pPr>
        <w:pStyle w:val="Defstart"/>
        <w:spacing w:before="100"/>
      </w:pPr>
      <w:r>
        <w:tab/>
      </w:r>
      <w:r>
        <w:rPr>
          <w:rStyle w:val="CharDefText"/>
        </w:rPr>
        <w:t>internet betting</w:t>
      </w:r>
      <w:r>
        <w:t xml:space="preserve"> means a method of making and accepting bets by means of an on</w:t>
      </w:r>
      <w:r>
        <w:noBreakHyphen/>
        <w:t xml:space="preserve">line telecommunications system (commonly </w:t>
      </w:r>
      <w:r>
        <w:lastRenderedPageBreak/>
        <w:t>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tab/>
      </w:r>
      <w:r>
        <w:rPr>
          <w:rStyle w:val="CharDefText"/>
        </w:rPr>
        <w:t>place bet</w:t>
      </w:r>
      <w:r>
        <w:t xml:space="preserve"> means a bet where the person placing the bet selects a runner or other competitor to achieve a place in a particular race in accordance with the following — </w:t>
      </w:r>
    </w:p>
    <w:p>
      <w:pPr>
        <w:pStyle w:val="Defpara"/>
      </w:pPr>
      <w:r>
        <w:tab/>
        <w:t>(a)</w:t>
      </w:r>
      <w:r>
        <w:tab/>
        <w:t>if at the time the bet is made there are 8 or more starters listed to start in the race, a runner or other competitor achieves a place if it finishes 1</w:t>
      </w:r>
      <w:r>
        <w:rPr>
          <w:vertAlign w:val="superscript"/>
        </w:rPr>
        <w:t>st</w:t>
      </w:r>
      <w:r>
        <w:t>, 2</w:t>
      </w:r>
      <w:r>
        <w:rPr>
          <w:vertAlign w:val="superscript"/>
        </w:rPr>
        <w:t>nd</w:t>
      </w:r>
      <w:r>
        <w:t xml:space="preserve"> or 3</w:t>
      </w:r>
      <w:r>
        <w:rPr>
          <w:vertAlign w:val="superscript"/>
        </w:rPr>
        <w:t>rd</w:t>
      </w:r>
      <w:r>
        <w:t>;</w:t>
      </w:r>
    </w:p>
    <w:p>
      <w:pPr>
        <w:pStyle w:val="Defpara"/>
      </w:pPr>
      <w:r>
        <w:tab/>
        <w:t>(b)</w:t>
      </w:r>
      <w:r>
        <w:tab/>
        <w:t>if at the time the bet is made, there are 5, 6 or 7 starters listed to start in the race, a runner or other competitor achieves a place if it finishes 1</w:t>
      </w:r>
      <w:r>
        <w:rPr>
          <w:vertAlign w:val="superscript"/>
        </w:rPr>
        <w:t>st</w:t>
      </w:r>
      <w:r>
        <w:t xml:space="preserve"> or 2</w:t>
      </w:r>
      <w:r>
        <w:rPr>
          <w:vertAlign w:val="superscript"/>
        </w:rPr>
        <w:t>nd</w:t>
      </w:r>
      <w:r>
        <w:t>;</w:t>
      </w:r>
    </w:p>
    <w:p>
      <w:pPr>
        <w:pStyle w:val="Defstart"/>
      </w:pPr>
      <w:r>
        <w:tab/>
      </w:r>
      <w:r>
        <w:rPr>
          <w:rStyle w:val="CharDefText"/>
        </w:rPr>
        <w:t>racing year</w:t>
      </w:r>
      <w:r>
        <w:t xml:space="preserve"> has the meaning given in the RWWA Act section 3(1);</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scheduled starting time</w:t>
      </w:r>
      <w:r>
        <w:t xml:space="preserve"> has the meaning given in the </w:t>
      </w:r>
      <w:r>
        <w:rPr>
          <w:i/>
        </w:rPr>
        <w:t>Racing and Wagering Western Australia Regulations 2003</w:t>
      </w:r>
      <w:r>
        <w:t xml:space="preserve"> regulation 3(1);</w:t>
      </w:r>
    </w:p>
    <w:p>
      <w:pPr>
        <w:pStyle w:val="Defstart"/>
      </w:pPr>
      <w:r>
        <w:tab/>
      </w:r>
      <w:r>
        <w:rPr>
          <w:rStyle w:val="CharDefText"/>
        </w:rPr>
        <w:t>sporting event</w:t>
      </w:r>
      <w:r>
        <w:t xml:space="preserve"> does not include a designated sporting event;</w:t>
      </w:r>
    </w:p>
    <w:p>
      <w:pPr>
        <w:pStyle w:val="Defstart"/>
      </w:pPr>
      <w:r>
        <w:tab/>
      </w:r>
      <w:r>
        <w:rPr>
          <w:rStyle w:val="CharDefText"/>
        </w:rPr>
        <w:t>thoroughbred race</w:t>
      </w:r>
      <w:r>
        <w:t xml:space="preserve"> has the meaning given in the RWWA Act section 3(1);</w:t>
      </w:r>
    </w:p>
    <w:p>
      <w:pPr>
        <w:pStyle w:val="Defstart"/>
        <w:keepLines/>
      </w:pPr>
      <w:r>
        <w:lastRenderedPageBreak/>
        <w:tab/>
      </w:r>
      <w:r>
        <w:rPr>
          <w:rStyle w:val="CharDefText"/>
        </w:rPr>
        <w:t>Western Australian Greyhound Racing Association</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Western Australian Trotting Association</w:t>
      </w:r>
      <w:r>
        <w:t xml:space="preserve"> means the Western Australian Trotting Association constituted under the </w:t>
      </w:r>
      <w:r>
        <w:rPr>
          <w:i/>
        </w:rPr>
        <w:t>Western Australian Trotting Association Act 1946</w:t>
      </w:r>
      <w:r>
        <w:t>;</w:t>
      </w:r>
    </w:p>
    <w:p>
      <w:pPr>
        <w:pStyle w:val="Defstart"/>
        <w:rPr>
          <w:rStyle w:val="DraftersNotes"/>
          <w:b w:val="0"/>
          <w:i w:val="0"/>
        </w:rPr>
      </w:pPr>
      <w:r>
        <w:tab/>
      </w:r>
      <w:r>
        <w:rPr>
          <w:rStyle w:val="CharDefText"/>
        </w:rPr>
        <w:t>win bet</w:t>
      </w:r>
      <w:r>
        <w:t xml:space="preserve"> means a bet where the person placing the bet selects the winner of a particular race.</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lastRenderedPageBreak/>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 SL 2021/193 r. 4.]</w:t>
      </w:r>
    </w:p>
    <w:p>
      <w:pPr>
        <w:pStyle w:val="Heading2"/>
      </w:pPr>
      <w:bookmarkStart w:id="8" w:name="_Toc189146228"/>
      <w:bookmarkStart w:id="9" w:name="_Toc189219007"/>
      <w:bookmarkStart w:id="10" w:name="_Toc189226626"/>
      <w:r>
        <w:rPr>
          <w:rStyle w:val="CharPartNo"/>
        </w:rPr>
        <w:lastRenderedPageBreak/>
        <w:t>Part 2</w:t>
      </w:r>
      <w:r>
        <w:rPr>
          <w:b w:val="0"/>
        </w:rPr>
        <w:t> </w:t>
      </w:r>
      <w:r>
        <w:t>—</w:t>
      </w:r>
      <w:r>
        <w:rPr>
          <w:b w:val="0"/>
        </w:rPr>
        <w:t> </w:t>
      </w:r>
      <w:r>
        <w:rPr>
          <w:rStyle w:val="CharPartText"/>
        </w:rPr>
        <w:t>Licences, fees and commissions</w:t>
      </w:r>
      <w:bookmarkEnd w:id="8"/>
      <w:bookmarkEnd w:id="9"/>
      <w:bookmarkEnd w:id="10"/>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11" w:name="_Toc189226627"/>
      <w:r>
        <w:rPr>
          <w:rStyle w:val="CharSectno"/>
        </w:rPr>
        <w:t>9</w:t>
      </w:r>
      <w:r>
        <w:rPr>
          <w:snapToGrid w:val="0"/>
        </w:rPr>
        <w:t>.</w:t>
      </w:r>
      <w:r>
        <w:rPr>
          <w:snapToGrid w:val="0"/>
        </w:rPr>
        <w:tab/>
        <w:t>Application for licence</w:t>
      </w:r>
      <w:bookmarkEnd w:id="11"/>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12" w:name="_Toc189226628"/>
      <w:r>
        <w:rPr>
          <w:rStyle w:val="CharSectno"/>
        </w:rPr>
        <w:t>9A</w:t>
      </w:r>
      <w:r>
        <w:t>.</w:t>
      </w:r>
      <w:r>
        <w:tab/>
        <w:t>Application to conduct a designated sporting event</w:t>
      </w:r>
      <w:bookmarkEnd w:id="12"/>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lastRenderedPageBreak/>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13" w:name="_Toc189226629"/>
      <w:r>
        <w:rPr>
          <w:rStyle w:val="CharSectno"/>
        </w:rPr>
        <w:t>10</w:t>
      </w:r>
      <w:r>
        <w:t>.</w:t>
      </w:r>
      <w:r>
        <w:tab/>
        <w:t>Application for approval</w:t>
      </w:r>
      <w:bookmarkEnd w:id="13"/>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14" w:name="_Toc189226630"/>
      <w:r>
        <w:rPr>
          <w:rStyle w:val="CharSectno"/>
        </w:rPr>
        <w:t>11</w:t>
      </w:r>
      <w:r>
        <w:rPr>
          <w:snapToGrid w:val="0"/>
        </w:rPr>
        <w:t>.</w:t>
      </w:r>
      <w:r>
        <w:rPr>
          <w:snapToGrid w:val="0"/>
        </w:rPr>
        <w:tab/>
        <w:t>When licence may be renewed</w:t>
      </w:r>
      <w:bookmarkEnd w:id="14"/>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15" w:name="_Toc189226631"/>
      <w:r>
        <w:rPr>
          <w:rStyle w:val="CharSectno"/>
        </w:rPr>
        <w:t>12</w:t>
      </w:r>
      <w:r>
        <w:rPr>
          <w:snapToGrid w:val="0"/>
        </w:rPr>
        <w:t>.</w:t>
      </w:r>
      <w:r>
        <w:rPr>
          <w:snapToGrid w:val="0"/>
        </w:rPr>
        <w:tab/>
        <w:t>Grant of licence</w:t>
      </w:r>
      <w:bookmarkEnd w:id="15"/>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w:t>
      </w:r>
      <w:r>
        <w:rPr>
          <w:snapToGrid w:val="0"/>
        </w:rPr>
        <w:lastRenderedPageBreak/>
        <w:t>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16" w:name="_Toc189226632"/>
      <w:r>
        <w:rPr>
          <w:rStyle w:val="CharSectno"/>
        </w:rPr>
        <w:t>14</w:t>
      </w:r>
      <w:r>
        <w:rPr>
          <w:snapToGrid w:val="0"/>
        </w:rPr>
        <w:t>.</w:t>
      </w:r>
      <w:r>
        <w:rPr>
          <w:snapToGrid w:val="0"/>
        </w:rPr>
        <w:tab/>
        <w:t>Effect of licence</w:t>
      </w:r>
      <w:bookmarkEnd w:id="16"/>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lastRenderedPageBreak/>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17" w:name="_Toc189226633"/>
      <w:r>
        <w:rPr>
          <w:rStyle w:val="CharSectno"/>
        </w:rPr>
        <w:t>16</w:t>
      </w:r>
      <w:r>
        <w:rPr>
          <w:snapToGrid w:val="0"/>
        </w:rPr>
        <w:t>.</w:t>
      </w:r>
      <w:r>
        <w:rPr>
          <w:snapToGrid w:val="0"/>
        </w:rPr>
        <w:tab/>
        <w:t>Duplicate licences</w:t>
      </w:r>
      <w:bookmarkEnd w:id="17"/>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lastRenderedPageBreak/>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18" w:name="_Toc189226634"/>
      <w:r>
        <w:rPr>
          <w:rStyle w:val="CharSectno"/>
        </w:rPr>
        <w:t>17</w:t>
      </w:r>
      <w:r>
        <w:rPr>
          <w:snapToGrid w:val="0"/>
        </w:rPr>
        <w:t>.</w:t>
      </w:r>
      <w:r>
        <w:rPr>
          <w:snapToGrid w:val="0"/>
        </w:rPr>
        <w:tab/>
        <w:t>Fees and charges</w:t>
      </w:r>
      <w:bookmarkEnd w:id="18"/>
    </w:p>
    <w:p>
      <w:pPr>
        <w:pStyle w:val="Subsection"/>
        <w:rPr>
          <w:snapToGrid w:val="0"/>
        </w:rPr>
      </w:pPr>
      <w:r>
        <w:rPr>
          <w:snapToGrid w:val="0"/>
        </w:rPr>
        <w:tab/>
        <w:t>(1)</w:t>
      </w:r>
      <w:r>
        <w:rPr>
          <w:snapToGrid w:val="0"/>
        </w:rPr>
        <w:tab/>
        <w:t>The Commission shall charge the following fees —</w:t>
      </w:r>
    </w:p>
    <w:p>
      <w:pPr>
        <w:pStyle w:val="Indenta"/>
        <w:tabs>
          <w:tab w:val="right" w:leader="dot" w:pos="7088"/>
        </w:tabs>
        <w:rPr>
          <w:snapToGrid w:val="0"/>
        </w:rPr>
      </w:pPr>
      <w:r>
        <w:rPr>
          <w:snapToGrid w:val="0"/>
        </w:rPr>
        <w:tab/>
        <w:t>(aa)</w:t>
      </w:r>
      <w:r>
        <w:rPr>
          <w:snapToGrid w:val="0"/>
        </w:rPr>
        <w:tab/>
        <w:t>On the grant of a permit under section 4A</w:t>
      </w:r>
      <w:r>
        <w:rPr>
          <w:snapToGrid w:val="0"/>
        </w:rPr>
        <w:br/>
        <w:t xml:space="preserve">for a designated sporting event </w:t>
      </w:r>
      <w:r>
        <w:rPr>
          <w:snapToGrid w:val="0"/>
        </w:rPr>
        <w:tab/>
      </w:r>
      <w:r>
        <w:t>$56.50</w:t>
      </w:r>
      <w:r>
        <w:rPr>
          <w:snapToGrid w:val="0"/>
        </w:rPr>
        <w:t>;</w:t>
      </w:r>
    </w:p>
    <w:p>
      <w:pPr>
        <w:pStyle w:val="Indenta"/>
        <w:tabs>
          <w:tab w:val="right" w:leader="dot" w:pos="7088"/>
        </w:tabs>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 xml:space="preserve">course  telephone betting </w:t>
      </w:r>
      <w:r>
        <w:rPr>
          <w:snapToGrid w:val="0"/>
        </w:rPr>
        <w:tab/>
      </w:r>
      <w:r>
        <w:t>$79.50</w:t>
      </w:r>
      <w:r>
        <w:rPr>
          <w:snapToGrid w:val="0"/>
        </w:rPr>
        <w:t>;</w:t>
      </w:r>
    </w:p>
    <w:p>
      <w:pPr>
        <w:pStyle w:val="Indenta"/>
        <w:tabs>
          <w:tab w:val="right" w:leader="dot" w:pos="7088"/>
        </w:tabs>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course internet betting</w:t>
      </w:r>
      <w:r>
        <w:rPr>
          <w:snapToGrid w:val="0"/>
        </w:rPr>
        <w:tab/>
      </w:r>
      <w:r>
        <w:t>$365.50</w:t>
      </w:r>
      <w:r>
        <w:rPr>
          <w:snapToGrid w:val="0"/>
        </w:rPr>
        <w:t>;</w:t>
      </w:r>
    </w:p>
    <w:p>
      <w:pPr>
        <w:pStyle w:val="Indenta"/>
        <w:tabs>
          <w:tab w:val="right" w:leader="dot" w:pos="7088"/>
        </w:tabs>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r>
        <w:rPr>
          <w:snapToGrid w:val="0"/>
        </w:rPr>
        <w:tab/>
      </w:r>
      <w:r>
        <w:t>$85.50</w:t>
      </w:r>
      <w:r>
        <w:rPr>
          <w:snapToGrid w:val="0"/>
        </w:rPr>
        <w:t>;</w:t>
      </w:r>
    </w:p>
    <w:p>
      <w:pPr>
        <w:pStyle w:val="Indenta"/>
        <w:tabs>
          <w:tab w:val="right" w:leader="dot" w:pos="7088"/>
        </w:tabs>
        <w:spacing w:before="100"/>
        <w:rPr>
          <w:snapToGrid w:val="0"/>
        </w:rPr>
      </w:pPr>
      <w:r>
        <w:rPr>
          <w:snapToGrid w:val="0"/>
        </w:rPr>
        <w:tab/>
        <w:t>(a)</w:t>
      </w:r>
      <w:r>
        <w:rPr>
          <w:snapToGrid w:val="0"/>
        </w:rPr>
        <w:tab/>
        <w:t>On an application for a bookmaker’s</w:t>
      </w:r>
      <w:r>
        <w:rPr>
          <w:snapToGrid w:val="0"/>
        </w:rPr>
        <w:br/>
        <w:t>licence</w:t>
      </w:r>
      <w:r>
        <w:rPr>
          <w:snapToGrid w:val="0"/>
        </w:rPr>
        <w:tab/>
      </w:r>
      <w:r>
        <w:t>$733.50</w:t>
      </w:r>
      <w:r>
        <w:rPr>
          <w:snapToGrid w:val="0"/>
        </w:rPr>
        <w:t>;</w:t>
      </w:r>
    </w:p>
    <w:p>
      <w:pPr>
        <w:pStyle w:val="Indenta"/>
        <w:tabs>
          <w:tab w:val="right" w:leader="dot" w:pos="7088"/>
        </w:tabs>
        <w:spacing w:before="100"/>
        <w:rPr>
          <w:snapToGrid w:val="0"/>
        </w:rPr>
      </w:pPr>
      <w:r>
        <w:rPr>
          <w:snapToGrid w:val="0"/>
        </w:rPr>
        <w:tab/>
        <w:t>(b)</w:t>
      </w:r>
      <w:r>
        <w:rPr>
          <w:snapToGrid w:val="0"/>
        </w:rPr>
        <w:tab/>
        <w:t>On an application for, or for the renewal</w:t>
      </w:r>
      <w:r>
        <w:rPr>
          <w:snapToGrid w:val="0"/>
        </w:rPr>
        <w:br/>
        <w:t>of, a bookmaker’s employee licence</w:t>
      </w:r>
      <w:r>
        <w:rPr>
          <w:snapToGrid w:val="0"/>
        </w:rPr>
        <w:tab/>
      </w:r>
      <w:r>
        <w:t>$39</w:t>
      </w:r>
      <w:r>
        <w:rPr>
          <w:snapToGrid w:val="0"/>
        </w:rPr>
        <w:t>;</w:t>
      </w:r>
    </w:p>
    <w:p>
      <w:pPr>
        <w:pStyle w:val="Indenta"/>
        <w:tabs>
          <w:tab w:val="right" w:leader="dot" w:pos="7088"/>
        </w:tabs>
        <w:spacing w:before="100"/>
        <w:rPr>
          <w:snapToGrid w:val="0"/>
        </w:rPr>
      </w:pPr>
      <w:r>
        <w:rPr>
          <w:snapToGrid w:val="0"/>
        </w:rPr>
        <w:tab/>
        <w:t>(ba)</w:t>
      </w:r>
      <w:r>
        <w:rPr>
          <w:snapToGrid w:val="0"/>
        </w:rPr>
        <w:tab/>
        <w:t>On an application for a bookmaker’s</w:t>
      </w:r>
      <w:r>
        <w:rPr>
          <w:snapToGrid w:val="0"/>
        </w:rPr>
        <w:br/>
        <w:t>manager licence</w:t>
      </w:r>
      <w:r>
        <w:rPr>
          <w:snapToGrid w:val="0"/>
        </w:rPr>
        <w:tab/>
      </w:r>
      <w:r>
        <w:t>$198.50</w:t>
      </w:r>
      <w:r>
        <w:rPr>
          <w:snapToGrid w:val="0"/>
        </w:rPr>
        <w:t>;</w:t>
      </w:r>
    </w:p>
    <w:p>
      <w:pPr>
        <w:pStyle w:val="Indenta"/>
        <w:tabs>
          <w:tab w:val="right" w:leader="dot" w:pos="7088"/>
        </w:tabs>
        <w:spacing w:before="100"/>
        <w:rPr>
          <w:snapToGrid w:val="0"/>
        </w:rPr>
      </w:pPr>
      <w:r>
        <w:rPr>
          <w:snapToGrid w:val="0"/>
        </w:rPr>
        <w:tab/>
        <w:t>(bb)</w:t>
      </w:r>
      <w:r>
        <w:rPr>
          <w:snapToGrid w:val="0"/>
        </w:rPr>
        <w:tab/>
        <w:t>On an application for the renewal of a</w:t>
      </w:r>
      <w:r>
        <w:rPr>
          <w:snapToGrid w:val="0"/>
        </w:rPr>
        <w:br/>
        <w:t>bookmaker’s manager licence</w:t>
      </w:r>
      <w:r>
        <w:rPr>
          <w:snapToGrid w:val="0"/>
        </w:rPr>
        <w:tab/>
      </w:r>
      <w:r>
        <w:t>$105</w:t>
      </w:r>
      <w:r>
        <w:rPr>
          <w:snapToGrid w:val="0"/>
        </w:rPr>
        <w:t>;</w:t>
      </w:r>
    </w:p>
    <w:p>
      <w:pPr>
        <w:pStyle w:val="Indenta"/>
        <w:keepNext/>
        <w:tabs>
          <w:tab w:val="right" w:leader="dot" w:pos="7088"/>
        </w:tabs>
        <w:spacing w:before="100"/>
        <w:rPr>
          <w:snapToGrid w:val="0"/>
        </w:rPr>
      </w:pPr>
      <w:r>
        <w:rPr>
          <w:snapToGrid w:val="0"/>
        </w:rPr>
        <w:lastRenderedPageBreak/>
        <w:tab/>
        <w:t>(c)</w:t>
      </w:r>
      <w:r>
        <w:rPr>
          <w:snapToGrid w:val="0"/>
        </w:rPr>
        <w:tab/>
        <w:t>For an appeal to the Commission in</w:t>
      </w:r>
      <w:r>
        <w:rPr>
          <w:snapToGrid w:val="0"/>
        </w:rPr>
        <w:br/>
        <w:t>connection with a betting dispute</w:t>
      </w:r>
      <w:r>
        <w:rPr>
          <w:snapToGrid w:val="0"/>
        </w:rPr>
        <w:tab/>
      </w:r>
      <w:r>
        <w:t>$192.50</w:t>
      </w:r>
      <w:r>
        <w:rPr>
          <w:snapToGrid w:val="0"/>
        </w:rPr>
        <w:t>;</w:t>
      </w:r>
    </w:p>
    <w:p>
      <w:pPr>
        <w:pStyle w:val="Indenta"/>
        <w:tabs>
          <w:tab w:val="right" w:leader="dot" w:pos="7088"/>
        </w:tabs>
        <w:spacing w:before="100"/>
        <w:rPr>
          <w:snapToGrid w:val="0"/>
        </w:rPr>
      </w:pPr>
      <w:r>
        <w:rPr>
          <w:snapToGrid w:val="0"/>
        </w:rPr>
        <w:tab/>
        <w:t>(d)</w:t>
      </w:r>
      <w:r>
        <w:rPr>
          <w:snapToGrid w:val="0"/>
        </w:rPr>
        <w:tab/>
        <w:t>On provision of a copy of a transcript of</w:t>
      </w:r>
      <w:r>
        <w:rPr>
          <w:snapToGrid w:val="0"/>
        </w:rPr>
        <w:br/>
        <w:t xml:space="preserve">an appeal hearing, for each page </w:t>
      </w:r>
      <w:r>
        <w:rPr>
          <w:snapToGrid w:val="0"/>
        </w:rPr>
        <w:tab/>
        <w:t>$4;</w:t>
      </w:r>
    </w:p>
    <w:p>
      <w:pPr>
        <w:pStyle w:val="Indenta"/>
        <w:tabs>
          <w:tab w:val="right" w:leader="dot" w:pos="7088"/>
        </w:tabs>
        <w:spacing w:before="100"/>
        <w:rPr>
          <w:snapToGrid w:val="0"/>
        </w:rPr>
      </w:pPr>
      <w:r>
        <w:rPr>
          <w:snapToGrid w:val="0"/>
        </w:rPr>
        <w:tab/>
        <w:t>(e)</w:t>
      </w:r>
      <w:r>
        <w:rPr>
          <w:snapToGrid w:val="0"/>
        </w:rPr>
        <w:tab/>
        <w:t>On applying for the issue of a duplicate</w:t>
      </w:r>
      <w:r>
        <w:rPr>
          <w:snapToGrid w:val="0"/>
        </w:rPr>
        <w:br/>
        <w:t>licence</w:t>
      </w:r>
      <w:r>
        <w:rPr>
          <w:snapToGrid w:val="0"/>
        </w:rPr>
        <w:tab/>
      </w:r>
      <w:r>
        <w:t>$39</w:t>
      </w:r>
      <w:r>
        <w:rPr>
          <w:snapToGrid w:val="0"/>
        </w:rPr>
        <w:t>;</w:t>
      </w:r>
    </w:p>
    <w:p>
      <w:pPr>
        <w:pStyle w:val="Indenta"/>
        <w:tabs>
          <w:tab w:val="right" w:leader="dot" w:pos="7088"/>
        </w:tabs>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r>
        <w:rPr>
          <w:snapToGrid w:val="0"/>
        </w:rPr>
        <w:tab/>
      </w:r>
      <w:r>
        <w:t>$733.50</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$125.50</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$125.50</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 22 Oct 2019 p. 3720</w:t>
      </w:r>
      <w:r>
        <w:noBreakHyphen/>
        <w:t>1; SL 2022/144 r. 4; SL 2023/156 r. 4; SL 2024/213 r. 4.]</w:t>
      </w:r>
    </w:p>
    <w:p>
      <w:pPr>
        <w:pStyle w:val="Heading5"/>
        <w:rPr>
          <w:snapToGrid w:val="0"/>
        </w:rPr>
      </w:pPr>
      <w:bookmarkStart w:id="19" w:name="_Toc189226635"/>
      <w:r>
        <w:rPr>
          <w:rStyle w:val="CharSectno"/>
        </w:rPr>
        <w:lastRenderedPageBreak/>
        <w:t>17A</w:t>
      </w:r>
      <w:r>
        <w:rPr>
          <w:snapToGrid w:val="0"/>
        </w:rPr>
        <w:t>.</w:t>
      </w:r>
      <w:r>
        <w:rPr>
          <w:snapToGrid w:val="0"/>
        </w:rPr>
        <w:tab/>
        <w:t>Bookmakers’ annual licence fee</w:t>
      </w:r>
      <w:bookmarkEnd w:id="19"/>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tabs>
          <w:tab w:val="right" w:leader="dot" w:pos="7088"/>
        </w:tabs>
      </w:pPr>
      <w:r>
        <w:tab/>
        <w:t>(i)</w:t>
      </w:r>
      <w:r>
        <w:tab/>
        <w:t>on total turnover not exceeding</w:t>
      </w:r>
      <w:r>
        <w:br/>
        <w:t xml:space="preserve">$250 000 </w:t>
      </w:r>
      <w:r>
        <w:tab/>
        <w:t>$457;</w:t>
      </w:r>
    </w:p>
    <w:p>
      <w:pPr>
        <w:pStyle w:val="Indenti"/>
        <w:tabs>
          <w:tab w:val="right" w:leader="dot" w:pos="7088"/>
        </w:tabs>
      </w:pPr>
      <w:r>
        <w:tab/>
        <w:t>(ii)</w:t>
      </w:r>
      <w:r>
        <w:tab/>
        <w:t xml:space="preserve">on total turnover greater than </w:t>
      </w:r>
      <w:r>
        <w:br/>
        <w:t>$250 000 but not exceeding</w:t>
      </w:r>
      <w:r>
        <w:br/>
        <w:t xml:space="preserve">$1 000 000 </w:t>
      </w:r>
      <w:r>
        <w:tab/>
        <w:t>$933.50;</w:t>
      </w:r>
    </w:p>
    <w:p>
      <w:pPr>
        <w:pStyle w:val="Indenti"/>
        <w:tabs>
          <w:tab w:val="right" w:leader="dot" w:pos="7088"/>
        </w:tabs>
      </w:pPr>
      <w:r>
        <w:tab/>
        <w:t>(iii)</w:t>
      </w:r>
      <w:r>
        <w:tab/>
        <w:t>on total turnover greater than</w:t>
      </w:r>
      <w:r>
        <w:br/>
        <w:t xml:space="preserve">$1 000 000 </w:t>
      </w:r>
      <w:r>
        <w:tab/>
        <w:t>$1 402.50;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keepNext/>
        <w:rPr>
          <w:snapToGrid w:val="0"/>
        </w:rPr>
      </w:pPr>
      <w:r>
        <w:rPr>
          <w:snapToGrid w:val="0"/>
        </w:rPr>
        <w:tab/>
        <w:t>(3)</w:t>
      </w:r>
      <w:r>
        <w:rPr>
          <w:snapToGrid w:val="0"/>
        </w:rPr>
        <w:tab/>
        <w:t xml:space="preserve">The holder of the licence shall supply or make available to the Commission such other information as the Commission may </w:t>
      </w:r>
      <w:r>
        <w:rPr>
          <w:snapToGrid w:val="0"/>
        </w:rPr>
        <w:lastRenderedPageBreak/>
        <w:t>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 22 Oct 2019 p. 3721; SL 2022/144 r. 4; SL 2023/156 r. 4; SL 2024/213 r. 4.]</w:t>
      </w:r>
    </w:p>
    <w:p>
      <w:pPr>
        <w:pStyle w:val="Heading5"/>
        <w:rPr>
          <w:snapToGrid w:val="0"/>
        </w:rPr>
      </w:pPr>
      <w:bookmarkStart w:id="20" w:name="_Toc189226636"/>
      <w:r>
        <w:rPr>
          <w:rStyle w:val="CharSectno"/>
        </w:rPr>
        <w:t>17B</w:t>
      </w:r>
      <w:r>
        <w:rPr>
          <w:snapToGrid w:val="0"/>
        </w:rPr>
        <w:t>.</w:t>
      </w:r>
      <w:r>
        <w:rPr>
          <w:snapToGrid w:val="0"/>
        </w:rPr>
        <w:tab/>
        <w:t>On</w:t>
      </w:r>
      <w:r>
        <w:rPr>
          <w:snapToGrid w:val="0"/>
        </w:rPr>
        <w:noBreakHyphen/>
        <w:t>course totalisator annual licence fee</w:t>
      </w:r>
      <w:bookmarkEnd w:id="20"/>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$187 127 — $56.50;</w:t>
      </w:r>
    </w:p>
    <w:p>
      <w:pPr>
        <w:pStyle w:val="Indenti"/>
      </w:pPr>
      <w:r>
        <w:tab/>
        <w:t>(iii)</w:t>
      </w:r>
      <w:r>
        <w:tab/>
        <w:t>on total turnover greater than $187 127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lastRenderedPageBreak/>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 22 Oct 2019 p. 3721; SL 2022/144 r. 4; SL 2023/156 r. 4; SL 2024/213 r. 4.]</w:t>
      </w:r>
    </w:p>
    <w:p>
      <w:pPr>
        <w:pStyle w:val="Heading5"/>
      </w:pPr>
      <w:bookmarkStart w:id="21" w:name="_Toc189226637"/>
      <w:r>
        <w:rPr>
          <w:rStyle w:val="CharSectno"/>
        </w:rPr>
        <w:t>17C</w:t>
      </w:r>
      <w:r>
        <w:rPr>
          <w:spacing w:val="-2"/>
        </w:rPr>
        <w:t>.</w:t>
      </w:r>
      <w:r>
        <w:rPr>
          <w:spacing w:val="-2"/>
        </w:rPr>
        <w:tab/>
      </w:r>
      <w:r>
        <w:t>Percentage of bets to belong to RWWA</w:t>
      </w:r>
      <w:bookmarkEnd w:id="21"/>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keepNext/>
      </w:pPr>
      <w:r>
        <w:lastRenderedPageBreak/>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22" w:name="_Toc189226638"/>
      <w:r>
        <w:rPr>
          <w:rStyle w:val="CharSectno"/>
        </w:rPr>
        <w:t>17D</w:t>
      </w:r>
      <w:r>
        <w:t>.</w:t>
      </w:r>
      <w:r>
        <w:tab/>
        <w:t>Percentage of bets to belong to racing club</w:t>
      </w:r>
      <w:bookmarkEnd w:id="22"/>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23" w:name="_Toc189146241"/>
      <w:bookmarkStart w:id="24" w:name="_Toc189219020"/>
      <w:bookmarkStart w:id="25" w:name="_Toc189226639"/>
      <w:r>
        <w:rPr>
          <w:rStyle w:val="CharPartNo"/>
        </w:rPr>
        <w:lastRenderedPageBreak/>
        <w:t>Part 3</w:t>
      </w:r>
      <w:r>
        <w:rPr>
          <w:b w:val="0"/>
        </w:rPr>
        <w:t> </w:t>
      </w:r>
      <w:r>
        <w:t>—</w:t>
      </w:r>
      <w:r>
        <w:rPr>
          <w:b w:val="0"/>
        </w:rPr>
        <w:t> </w:t>
      </w:r>
      <w:r>
        <w:rPr>
          <w:rStyle w:val="CharPartText"/>
        </w:rPr>
        <w:t>Provisions relating to bookmakers</w:t>
      </w:r>
      <w:bookmarkEnd w:id="23"/>
      <w:bookmarkEnd w:id="24"/>
      <w:bookmarkEnd w:id="25"/>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26" w:name="_Toc189226640"/>
      <w:r>
        <w:rPr>
          <w:rStyle w:val="CharSectno"/>
        </w:rPr>
        <w:t>18</w:t>
      </w:r>
      <w:r>
        <w:t>.</w:t>
      </w:r>
      <w:r>
        <w:tab/>
        <w:t>Security to be given</w:t>
      </w:r>
      <w:bookmarkEnd w:id="26"/>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lastRenderedPageBreak/>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27" w:name="_Toc189226641"/>
      <w:r>
        <w:rPr>
          <w:rStyle w:val="CharSectno"/>
        </w:rPr>
        <w:t>25</w:t>
      </w:r>
      <w:r>
        <w:rPr>
          <w:snapToGrid w:val="0"/>
        </w:rPr>
        <w:t>.</w:t>
      </w:r>
      <w:r>
        <w:rPr>
          <w:snapToGrid w:val="0"/>
        </w:rPr>
        <w:tab/>
        <w:t>Register</w:t>
      </w:r>
      <w:bookmarkEnd w:id="27"/>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28" w:name="_Toc189226642"/>
      <w:r>
        <w:rPr>
          <w:rStyle w:val="CharSectno"/>
        </w:rPr>
        <w:t>27</w:t>
      </w:r>
      <w:r>
        <w:rPr>
          <w:snapToGrid w:val="0"/>
        </w:rPr>
        <w:t>.</w:t>
      </w:r>
      <w:r>
        <w:rPr>
          <w:snapToGrid w:val="0"/>
        </w:rPr>
        <w:tab/>
        <w:t>Change of address</w:t>
      </w:r>
      <w:bookmarkEnd w:id="28"/>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r>
      <w:r>
        <w:t>Penalty for this subregulation: a fine of $500.</w:t>
      </w:r>
    </w:p>
    <w:p>
      <w:pPr>
        <w:pStyle w:val="Subsection"/>
      </w:pPr>
      <w:r>
        <w:tab/>
        <w:t>(2)</w:t>
      </w:r>
      <w:r>
        <w:tab/>
        <w:t xml:space="preserve">Each of the partners of a partnership, or a body corporate, that holds a licence who or which fails, within 7 days after the partnership or body corporate changes its place of business, to </w:t>
      </w:r>
      <w:r>
        <w:lastRenderedPageBreak/>
        <w:t xml:space="preserve">inform, in writing, the </w:t>
      </w:r>
      <w:r>
        <w:rPr>
          <w:snapToGrid w:val="0"/>
        </w:rPr>
        <w:t>Commission</w:t>
      </w:r>
      <w:r>
        <w:t xml:space="preserve"> of the address of the then current place of business commits an offence.</w:t>
      </w:r>
    </w:p>
    <w:p>
      <w:pPr>
        <w:pStyle w:val="Penstart"/>
      </w:pPr>
      <w:r>
        <w:tab/>
        <w:t>Penalty for this subregulation: a fine of $2 500.</w:t>
      </w:r>
    </w:p>
    <w:p>
      <w:pPr>
        <w:pStyle w:val="Footnotesection"/>
      </w:pPr>
      <w:r>
        <w:tab/>
        <w:t>[Regulation 27 amended: Gazette 24 Jun 1988 p. 2004; 10 Jul 1992 p. 3286 and 3289; 25 Jun 1996 p. 2977; 20 Sep 2002 p. 4700; 30 Jan 2004 p. 412; SL 2025/35 r. 10.]</w:t>
      </w:r>
    </w:p>
    <w:p>
      <w:pPr>
        <w:pStyle w:val="Heading5"/>
        <w:rPr>
          <w:snapToGrid w:val="0"/>
        </w:rPr>
      </w:pPr>
      <w:bookmarkStart w:id="29" w:name="_Toc189226643"/>
      <w:r>
        <w:rPr>
          <w:rStyle w:val="CharSectno"/>
        </w:rPr>
        <w:t>28</w:t>
      </w:r>
      <w:r>
        <w:rPr>
          <w:snapToGrid w:val="0"/>
        </w:rPr>
        <w:t>.</w:t>
      </w:r>
      <w:r>
        <w:rPr>
          <w:snapToGrid w:val="0"/>
        </w:rPr>
        <w:tab/>
        <w:t>Return of licence</w:t>
      </w:r>
      <w:bookmarkEnd w:id="29"/>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r>
      <w:r>
        <w:t>Penalty for this subregulation: a fine of $500.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for this subregulation: a fine of $500.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r>
      <w:r>
        <w:t>Penalty for this subregulation: a fine of $2 000.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for this subregulation: a fine of $2 000.</w:t>
      </w:r>
    </w:p>
    <w:p>
      <w:pPr>
        <w:pStyle w:val="Footnotesection"/>
      </w:pPr>
      <w:r>
        <w:tab/>
        <w:t>[Regulation 28 amended: Gazette 24 Jun 1988 p. 2004; 10 Jul 1992 p. 3286 and 3289; 20 Sep 2002 p. 4700</w:t>
      </w:r>
      <w:r>
        <w:noBreakHyphen/>
        <w:t>1; 30 Jan 2004 p. 404 and 412; SL 2025/35 r. 10.]</w:t>
      </w:r>
    </w:p>
    <w:p>
      <w:pPr>
        <w:pStyle w:val="Heading5"/>
        <w:spacing w:before="180"/>
        <w:rPr>
          <w:snapToGrid w:val="0"/>
        </w:rPr>
      </w:pPr>
      <w:bookmarkStart w:id="30" w:name="_Toc189226644"/>
      <w:r>
        <w:rPr>
          <w:rStyle w:val="CharSectno"/>
        </w:rPr>
        <w:lastRenderedPageBreak/>
        <w:t>29</w:t>
      </w:r>
      <w:r>
        <w:rPr>
          <w:snapToGrid w:val="0"/>
        </w:rPr>
        <w:t>.</w:t>
      </w:r>
      <w:r>
        <w:rPr>
          <w:snapToGrid w:val="0"/>
        </w:rPr>
        <w:tab/>
        <w:t>Production of licence</w:t>
      </w:r>
      <w:bookmarkEnd w:id="30"/>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 xml:space="preserve">Penalty: </w:t>
      </w:r>
      <w:bookmarkStart w:id="31" w:name="_Hlk189213023"/>
      <w:r>
        <w:t>a fine of $2 000</w:t>
      </w:r>
      <w:bookmarkEnd w:id="31"/>
      <w:r>
        <w:t>.</w:t>
      </w:r>
      <w:r>
        <w:rPr>
          <w:snapToGrid w:val="0"/>
        </w:rPr>
        <w:t xml:space="preserve"> </w:t>
      </w:r>
    </w:p>
    <w:p>
      <w:pPr>
        <w:pStyle w:val="Footnotesection"/>
      </w:pPr>
      <w:r>
        <w:tab/>
        <w:t>[Regulation 29 amended: Gazette 24 Jun 1988 p. 2004; 10 Jul 1992 p. 3286 and 3289; 20 Sep 2002 p. 4701; 30 Jan 2004 p. 405 and 412; SL 2025/35 r. 10.]</w:t>
      </w:r>
    </w:p>
    <w:p>
      <w:pPr>
        <w:pStyle w:val="Heading5"/>
        <w:spacing w:before="180"/>
        <w:rPr>
          <w:snapToGrid w:val="0"/>
        </w:rPr>
      </w:pPr>
      <w:bookmarkStart w:id="32" w:name="_Toc189226645"/>
      <w:r>
        <w:rPr>
          <w:rStyle w:val="CharSectno"/>
        </w:rPr>
        <w:t>30</w:t>
      </w:r>
      <w:r>
        <w:rPr>
          <w:snapToGrid w:val="0"/>
        </w:rPr>
        <w:t>.</w:t>
      </w:r>
      <w:r>
        <w:rPr>
          <w:snapToGrid w:val="0"/>
        </w:rPr>
        <w:tab/>
        <w:t>Advertising</w:t>
      </w:r>
      <w:bookmarkEnd w:id="32"/>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33" w:name="_Toc189226646"/>
      <w:r>
        <w:rPr>
          <w:rStyle w:val="CharSectno"/>
        </w:rPr>
        <w:t>36</w:t>
      </w:r>
      <w:r>
        <w:rPr>
          <w:snapToGrid w:val="0"/>
        </w:rPr>
        <w:t>.</w:t>
      </w:r>
      <w:r>
        <w:rPr>
          <w:snapToGrid w:val="0"/>
        </w:rPr>
        <w:tab/>
        <w:t>Betting tickets</w:t>
      </w:r>
      <w:bookmarkEnd w:id="33"/>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lastRenderedPageBreak/>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r>
      <w:r>
        <w:t>Penalty for this subregulation: a fine of $5 000.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keepNext/>
      </w:pPr>
      <w:r>
        <w:lastRenderedPageBreak/>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 SL 2025/35 r. 10.]</w:t>
      </w:r>
    </w:p>
    <w:p>
      <w:pPr>
        <w:pStyle w:val="Heading5"/>
        <w:rPr>
          <w:snapToGrid w:val="0"/>
        </w:rPr>
      </w:pPr>
      <w:bookmarkStart w:id="34" w:name="_Toc189226647"/>
      <w:r>
        <w:rPr>
          <w:rStyle w:val="CharSectno"/>
        </w:rPr>
        <w:t>37</w:t>
      </w:r>
      <w:r>
        <w:rPr>
          <w:snapToGrid w:val="0"/>
        </w:rPr>
        <w:t>.</w:t>
      </w:r>
      <w:r>
        <w:rPr>
          <w:snapToGrid w:val="0"/>
        </w:rPr>
        <w:tab/>
        <w:t>Written record of betting transactions</w:t>
      </w:r>
      <w:bookmarkEnd w:id="34"/>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lastRenderedPageBreak/>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lastRenderedPageBreak/>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lastRenderedPageBreak/>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35" w:name="_Toc189226648"/>
      <w:r>
        <w:rPr>
          <w:rStyle w:val="CharSectno"/>
        </w:rPr>
        <w:t>38</w:t>
      </w:r>
      <w:r>
        <w:rPr>
          <w:snapToGrid w:val="0"/>
        </w:rPr>
        <w:t>.</w:t>
      </w:r>
      <w:r>
        <w:rPr>
          <w:snapToGrid w:val="0"/>
        </w:rPr>
        <w:tab/>
        <w:t>Supply of books</w:t>
      </w:r>
      <w:bookmarkEnd w:id="35"/>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36" w:name="_Toc189226649"/>
      <w:r>
        <w:rPr>
          <w:rStyle w:val="CharSectno"/>
        </w:rPr>
        <w:t>39</w:t>
      </w:r>
      <w:r>
        <w:rPr>
          <w:snapToGrid w:val="0"/>
        </w:rPr>
        <w:t>.</w:t>
      </w:r>
      <w:r>
        <w:rPr>
          <w:snapToGrid w:val="0"/>
        </w:rPr>
        <w:tab/>
        <w:t>Loss of books etc.</w:t>
      </w:r>
      <w:bookmarkEnd w:id="36"/>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37" w:name="_Toc189226650"/>
      <w:r>
        <w:rPr>
          <w:rStyle w:val="CharSectno"/>
        </w:rPr>
        <w:lastRenderedPageBreak/>
        <w:t>43</w:t>
      </w:r>
      <w:r>
        <w:rPr>
          <w:snapToGrid w:val="0"/>
        </w:rPr>
        <w:t>.</w:t>
      </w:r>
      <w:r>
        <w:rPr>
          <w:snapToGrid w:val="0"/>
        </w:rPr>
        <w:tab/>
        <w:t>Betting material</w:t>
      </w:r>
      <w:bookmarkEnd w:id="37"/>
    </w:p>
    <w:p>
      <w:pPr>
        <w:pStyle w:val="Ednotesubsection"/>
        <w:keepNext/>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38" w:name="_Toc189226651"/>
      <w:r>
        <w:rPr>
          <w:rStyle w:val="CharSectno"/>
        </w:rPr>
        <w:t>48</w:t>
      </w:r>
      <w:r>
        <w:rPr>
          <w:snapToGrid w:val="0"/>
        </w:rPr>
        <w:t>.</w:t>
      </w:r>
      <w:r>
        <w:rPr>
          <w:snapToGrid w:val="0"/>
        </w:rPr>
        <w:tab/>
        <w:t>Rules of Betting</w:t>
      </w:r>
      <w:bookmarkEnd w:id="38"/>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39" w:name="_Toc189226652"/>
      <w:r>
        <w:rPr>
          <w:rStyle w:val="CharSectno"/>
        </w:rPr>
        <w:t>48A</w:t>
      </w:r>
      <w:r>
        <w:t>.</w:t>
      </w:r>
      <w:r>
        <w:tab/>
        <w:t>Minimum bet obligations</w:t>
      </w:r>
      <w:bookmarkEnd w:id="39"/>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40" w:name="_Toc189226653"/>
      <w:r>
        <w:rPr>
          <w:rStyle w:val="CharSectno"/>
        </w:rPr>
        <w:t>49</w:t>
      </w:r>
      <w:r>
        <w:t>.</w:t>
      </w:r>
      <w:r>
        <w:tab/>
        <w:t>Bets on more than one result</w:t>
      </w:r>
      <w:bookmarkEnd w:id="40"/>
    </w:p>
    <w:p>
      <w:pPr>
        <w:pStyle w:val="Subsection"/>
      </w:pPr>
      <w:r>
        <w:tab/>
      </w:r>
      <w:r>
        <w:tab/>
        <w:t xml:space="preserve">For the purposes of these regulations a bet for a win and a place, whether or not an each way bet, or a double or treble or other </w:t>
      </w:r>
      <w:r>
        <w:lastRenderedPageBreak/>
        <w:t>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41" w:name="_Toc189226654"/>
      <w:r>
        <w:rPr>
          <w:rStyle w:val="CharSectno"/>
        </w:rPr>
        <w:t>50</w:t>
      </w:r>
      <w:r>
        <w:t>.</w:t>
      </w:r>
      <w:r>
        <w:tab/>
        <w:t>Permitted bets</w:t>
      </w:r>
      <w:bookmarkEnd w:id="41"/>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42" w:name="_Toc189226655"/>
      <w:r>
        <w:rPr>
          <w:rStyle w:val="CharSectno"/>
        </w:rPr>
        <w:t>51</w:t>
      </w:r>
      <w:r>
        <w:rPr>
          <w:snapToGrid w:val="0"/>
        </w:rPr>
        <w:t>.</w:t>
      </w:r>
      <w:r>
        <w:rPr>
          <w:snapToGrid w:val="0"/>
        </w:rPr>
        <w:tab/>
        <w:t>Place betting</w:t>
      </w:r>
      <w:bookmarkEnd w:id="42"/>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lastRenderedPageBreak/>
        <w:tab/>
        <w:t>(c)</w:t>
      </w:r>
      <w:r>
        <w:rPr>
          <w:snapToGrid w:val="0"/>
        </w:rPr>
        <w:tab/>
        <w:t>the bookmaker is expressly permitted to do so by the committee or other authority controlling the racecourse on which the bookmaker is operating on that day.</w:t>
      </w:r>
    </w:p>
    <w:p>
      <w:pPr>
        <w:pStyle w:val="Penstart"/>
      </w:pPr>
      <w:r>
        <w:tab/>
        <w:t>Penalty for this subregulation: a fine of $2 000.</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runner, or competitor or contingency in the context of </w:t>
      </w:r>
      <w:r>
        <w:t>an approved event</w:t>
      </w:r>
      <w:r>
        <w:rPr>
          <w:snapToGrid w:val="0"/>
        </w:rPr>
        <w:t>, if that bet is demanded by the backer.</w:t>
      </w:r>
    </w:p>
    <w:p>
      <w:pPr>
        <w:pStyle w:val="Penstart"/>
        <w:rPr>
          <w:snapToGrid w:val="0"/>
        </w:rPr>
      </w:pPr>
      <w:r>
        <w:rPr>
          <w:snapToGrid w:val="0"/>
        </w:rPr>
        <w:tab/>
      </w:r>
      <w:r>
        <w:t>Penalty for this subregulation: a fine of $2 000.</w:t>
      </w:r>
    </w:p>
    <w:p>
      <w:pPr>
        <w:pStyle w:val="Footnotesection"/>
      </w:pPr>
      <w:r>
        <w:tab/>
        <w:t>[Regulation 51 amended: Gazette 24 Jun 1988 p. 2005; 14 Sep 1990 p. 4863; 10 Jul 1992 p. 3291; 21 Jul 1998 p. 3854 and 3855; 20 Sep 2002 p. 4702; 25 Jan 2019 p. 201</w:t>
      </w:r>
      <w:r>
        <w:noBreakHyphen/>
        <w:t>2; SL 2025/35 r. 10.]</w:t>
      </w:r>
    </w:p>
    <w:p>
      <w:pPr>
        <w:pStyle w:val="Heading5"/>
        <w:spacing w:before="260"/>
        <w:rPr>
          <w:snapToGrid w:val="0"/>
        </w:rPr>
      </w:pPr>
      <w:bookmarkStart w:id="43" w:name="_Toc189226656"/>
      <w:r>
        <w:rPr>
          <w:rStyle w:val="CharSectno"/>
        </w:rPr>
        <w:t>52</w:t>
      </w:r>
      <w:r>
        <w:rPr>
          <w:snapToGrid w:val="0"/>
        </w:rPr>
        <w:t>.</w:t>
      </w:r>
      <w:r>
        <w:rPr>
          <w:snapToGrid w:val="0"/>
        </w:rPr>
        <w:tab/>
        <w:t>Concession betting</w:t>
      </w:r>
      <w:bookmarkEnd w:id="43"/>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 xml:space="preserve">Penalty: </w:t>
      </w:r>
      <w:r>
        <w:t>a fine of $2 000.</w:t>
      </w:r>
    </w:p>
    <w:p>
      <w:pPr>
        <w:pStyle w:val="Footnotesection"/>
      </w:pPr>
      <w:r>
        <w:tab/>
        <w:t>[Regulation 52 amended: Gazette 24 Jun 1988 p. 2005; 10 Jul 1992 p. 3291; SL 2025/35 r. 10.]</w:t>
      </w:r>
    </w:p>
    <w:p>
      <w:pPr>
        <w:pStyle w:val="Heading5"/>
        <w:rPr>
          <w:snapToGrid w:val="0"/>
        </w:rPr>
      </w:pPr>
      <w:bookmarkStart w:id="44" w:name="_Toc189226657"/>
      <w:r>
        <w:rPr>
          <w:rStyle w:val="CharSectno"/>
        </w:rPr>
        <w:t>53</w:t>
      </w:r>
      <w:r>
        <w:rPr>
          <w:snapToGrid w:val="0"/>
        </w:rPr>
        <w:t>.</w:t>
      </w:r>
      <w:r>
        <w:rPr>
          <w:snapToGrid w:val="0"/>
        </w:rPr>
        <w:tab/>
        <w:t>Doubles other than multiple doubles</w:t>
      </w:r>
      <w:bookmarkEnd w:id="44"/>
    </w:p>
    <w:p>
      <w:pPr>
        <w:pStyle w:val="Subsection"/>
        <w:keepNext/>
        <w:spacing w:before="180"/>
        <w:rPr>
          <w:snapToGrid w:val="0"/>
        </w:rPr>
      </w:pPr>
      <w:r>
        <w:rPr>
          <w:snapToGrid w:val="0"/>
        </w:rPr>
        <w:tab/>
      </w:r>
      <w:r>
        <w:rPr>
          <w:snapToGrid w:val="0"/>
        </w:rPr>
        <w:tab/>
        <w:t xml:space="preserve">No bookmaker shall make double event bets, other than multiple doubles, except in respect of such events or subject to </w:t>
      </w:r>
      <w:r>
        <w:rPr>
          <w:snapToGrid w:val="0"/>
        </w:rPr>
        <w:lastRenderedPageBreak/>
        <w:t>such conditions and the chart being in such form as the Commission may from time to time approve.</w:t>
      </w:r>
    </w:p>
    <w:p>
      <w:pPr>
        <w:pStyle w:val="Penstart"/>
        <w:keepNext/>
        <w:rPr>
          <w:snapToGrid w:val="0"/>
        </w:rPr>
      </w:pPr>
      <w:r>
        <w:rPr>
          <w:snapToGrid w:val="0"/>
        </w:rPr>
        <w:tab/>
        <w:t xml:space="preserve">Penalty: </w:t>
      </w:r>
      <w:r>
        <w:t>a fine of $2 000.</w:t>
      </w:r>
    </w:p>
    <w:p>
      <w:pPr>
        <w:pStyle w:val="Footnotesection"/>
      </w:pPr>
      <w:r>
        <w:tab/>
        <w:t>[Regulation 53 amended: Gazette 24 Jun 1988 p. 2005; 30 Jan 2004 p. 412; SL 2025/35 r. 10.]</w:t>
      </w:r>
    </w:p>
    <w:p>
      <w:pPr>
        <w:pStyle w:val="Heading5"/>
        <w:rPr>
          <w:snapToGrid w:val="0"/>
        </w:rPr>
      </w:pPr>
      <w:bookmarkStart w:id="45" w:name="_Toc189226658"/>
      <w:r>
        <w:rPr>
          <w:rStyle w:val="CharSectno"/>
        </w:rPr>
        <w:t>54</w:t>
      </w:r>
      <w:r>
        <w:rPr>
          <w:snapToGrid w:val="0"/>
        </w:rPr>
        <w:t>.</w:t>
      </w:r>
      <w:r>
        <w:rPr>
          <w:snapToGrid w:val="0"/>
        </w:rPr>
        <w:tab/>
        <w:t>Trebles</w:t>
      </w:r>
      <w:bookmarkEnd w:id="45"/>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 xml:space="preserve">Penalty: </w:t>
      </w:r>
      <w:r>
        <w:t>a fine of $2 000.</w:t>
      </w:r>
    </w:p>
    <w:p>
      <w:pPr>
        <w:pStyle w:val="Footnotesection"/>
      </w:pPr>
      <w:r>
        <w:tab/>
        <w:t>[Regulation 54 amended: Gazette 24 Jun 1988 p. 2005; 30 Jan 2004 p. 412; SL 2025/35 r. 10.]</w:t>
      </w:r>
    </w:p>
    <w:p>
      <w:pPr>
        <w:pStyle w:val="Heading5"/>
        <w:spacing w:before="260"/>
        <w:rPr>
          <w:snapToGrid w:val="0"/>
        </w:rPr>
      </w:pPr>
      <w:bookmarkStart w:id="46" w:name="_Toc189226659"/>
      <w:r>
        <w:rPr>
          <w:rStyle w:val="CharSectno"/>
        </w:rPr>
        <w:t>55</w:t>
      </w:r>
      <w:r>
        <w:rPr>
          <w:snapToGrid w:val="0"/>
        </w:rPr>
        <w:t>.</w:t>
      </w:r>
      <w:r>
        <w:rPr>
          <w:snapToGrid w:val="0"/>
        </w:rPr>
        <w:tab/>
        <w:t>All</w:t>
      </w:r>
      <w:r>
        <w:rPr>
          <w:snapToGrid w:val="0"/>
        </w:rPr>
        <w:noBreakHyphen/>
        <w:t>up</w:t>
      </w:r>
      <w:bookmarkEnd w:id="46"/>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 xml:space="preserve">Penalty: </w:t>
      </w:r>
      <w:r>
        <w:t>a fine of $2 000.</w:t>
      </w:r>
    </w:p>
    <w:p>
      <w:pPr>
        <w:pStyle w:val="Footnotesection"/>
      </w:pPr>
      <w:r>
        <w:tab/>
        <w:t>[Regulation 55 amended: Gazette 24 Jun 1988 p. 2005; SL 2025/35 r. 10.]</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47" w:name="_Toc189226660"/>
      <w:r>
        <w:rPr>
          <w:rStyle w:val="CharSectno"/>
        </w:rPr>
        <w:t>57</w:t>
      </w:r>
      <w:r>
        <w:rPr>
          <w:snapToGrid w:val="0"/>
        </w:rPr>
        <w:t>.</w:t>
      </w:r>
      <w:r>
        <w:rPr>
          <w:snapToGrid w:val="0"/>
        </w:rPr>
        <w:tab/>
        <w:t>Stand</w:t>
      </w:r>
      <w:bookmarkEnd w:id="47"/>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 xml:space="preserve">Penalty: </w:t>
      </w:r>
      <w:r>
        <w:t>a fine of $2 000.</w:t>
      </w:r>
    </w:p>
    <w:p>
      <w:pPr>
        <w:pStyle w:val="Footnotesection"/>
        <w:keepLines w:val="0"/>
        <w:spacing w:before="100"/>
        <w:ind w:left="890" w:hanging="890"/>
      </w:pPr>
      <w:r>
        <w:tab/>
        <w:t>[Regulation 57 amended: Gazette 24 Jun 1988 p. 2005; 10 Jul 1992 p. 3291; 21 Jul 1998 p. 3854; SL 2025/35 r. 10.]</w:t>
      </w:r>
    </w:p>
    <w:p>
      <w:pPr>
        <w:pStyle w:val="Heading5"/>
        <w:spacing w:before="260"/>
        <w:rPr>
          <w:snapToGrid w:val="0"/>
        </w:rPr>
      </w:pPr>
      <w:bookmarkStart w:id="48" w:name="_Toc189226661"/>
      <w:r>
        <w:rPr>
          <w:rStyle w:val="CharSectno"/>
        </w:rPr>
        <w:lastRenderedPageBreak/>
        <w:t>58</w:t>
      </w:r>
      <w:r>
        <w:rPr>
          <w:snapToGrid w:val="0"/>
        </w:rPr>
        <w:t>.</w:t>
      </w:r>
      <w:r>
        <w:rPr>
          <w:snapToGrid w:val="0"/>
        </w:rPr>
        <w:tab/>
        <w:t>Use of stand</w:t>
      </w:r>
      <w:bookmarkEnd w:id="48"/>
    </w:p>
    <w:p>
      <w:pPr>
        <w:pStyle w:val="Subsection"/>
        <w:keepNext/>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r>
      <w:r>
        <w:t>Penalty for this subregulation: a fine of $2 000.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 SL 2025/35 r. 10.]</w:t>
      </w:r>
    </w:p>
    <w:p>
      <w:pPr>
        <w:pStyle w:val="Heading5"/>
        <w:keepLines w:val="0"/>
      </w:pPr>
      <w:bookmarkStart w:id="49" w:name="_Toc189226662"/>
      <w:r>
        <w:rPr>
          <w:rStyle w:val="CharSectno"/>
        </w:rPr>
        <w:t>59</w:t>
      </w:r>
      <w:r>
        <w:t>.</w:t>
      </w:r>
      <w:r>
        <w:tab/>
        <w:t>Name of bookmaker to be shown</w:t>
      </w:r>
      <w:bookmarkEnd w:id="49"/>
    </w:p>
    <w:p>
      <w:pPr>
        <w:pStyle w:val="Subsection"/>
        <w:keepNext/>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for this subregulation: a fine of $2 000.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for this subregulation: a fine of $2 000.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 SL 2025/35 r. 10.]</w:t>
      </w:r>
    </w:p>
    <w:p>
      <w:pPr>
        <w:pStyle w:val="Heading5"/>
        <w:spacing w:before="240"/>
        <w:rPr>
          <w:snapToGrid w:val="0"/>
        </w:rPr>
      </w:pPr>
      <w:bookmarkStart w:id="50" w:name="_Toc189226663"/>
      <w:r>
        <w:rPr>
          <w:rStyle w:val="CharSectno"/>
        </w:rPr>
        <w:lastRenderedPageBreak/>
        <w:t>60</w:t>
      </w:r>
      <w:r>
        <w:rPr>
          <w:snapToGrid w:val="0"/>
        </w:rPr>
        <w:t>.</w:t>
      </w:r>
      <w:r>
        <w:rPr>
          <w:snapToGrid w:val="0"/>
        </w:rPr>
        <w:tab/>
        <w:t>Betting boards etc. to be approved</w:t>
      </w:r>
      <w:bookmarkEnd w:id="50"/>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51" w:name="_Toc189226664"/>
      <w:r>
        <w:rPr>
          <w:rStyle w:val="CharSectno"/>
        </w:rPr>
        <w:t>61</w:t>
      </w:r>
      <w:r>
        <w:rPr>
          <w:snapToGrid w:val="0"/>
        </w:rPr>
        <w:t>.</w:t>
      </w:r>
      <w:r>
        <w:rPr>
          <w:snapToGrid w:val="0"/>
        </w:rPr>
        <w:tab/>
        <w:t>Betting boards</w:t>
      </w:r>
      <w:bookmarkEnd w:id="51"/>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w:t>
      </w:r>
      <w:r>
        <w:rPr>
          <w:snapToGrid w:val="0"/>
        </w:rPr>
        <w:lastRenderedPageBreak/>
        <w:t>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52" w:name="_Toc189226665"/>
      <w:r>
        <w:rPr>
          <w:rStyle w:val="CharSectno"/>
        </w:rPr>
        <w:t>62</w:t>
      </w:r>
      <w:r>
        <w:rPr>
          <w:snapToGrid w:val="0"/>
        </w:rPr>
        <w:t>.</w:t>
      </w:r>
      <w:r>
        <w:rPr>
          <w:snapToGrid w:val="0"/>
        </w:rPr>
        <w:tab/>
        <w:t>Omissions from betting board etc.</w:t>
      </w:r>
      <w:bookmarkEnd w:id="52"/>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53" w:name="_Toc189226666"/>
      <w:r>
        <w:rPr>
          <w:rStyle w:val="CharSectno"/>
        </w:rPr>
        <w:lastRenderedPageBreak/>
        <w:t>63</w:t>
      </w:r>
      <w:r>
        <w:rPr>
          <w:snapToGrid w:val="0"/>
        </w:rPr>
        <w:t>.</w:t>
      </w:r>
      <w:r>
        <w:rPr>
          <w:snapToGrid w:val="0"/>
        </w:rPr>
        <w:tab/>
        <w:t>Bets with domestic betting operators and totalisators</w:t>
      </w:r>
      <w:bookmarkEnd w:id="53"/>
    </w:p>
    <w:p>
      <w:pPr>
        <w:pStyle w:val="Subsection"/>
        <w:keepNext/>
      </w:pPr>
      <w:r>
        <w:tab/>
        <w:t>(1A)</w:t>
      </w:r>
      <w:r>
        <w:tab/>
        <w:t xml:space="preserve">In this regulation — </w:t>
      </w:r>
    </w:p>
    <w:p>
      <w:pPr>
        <w:pStyle w:val="Defstart"/>
        <w:keepNex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keepNext/>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keepNext/>
      </w:pPr>
      <w:r>
        <w:lastRenderedPageBreak/>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54" w:name="_Toc189226667"/>
      <w:r>
        <w:rPr>
          <w:rStyle w:val="CharSectno"/>
        </w:rPr>
        <w:t>64</w:t>
      </w:r>
      <w:r>
        <w:t>.</w:t>
      </w:r>
      <w:r>
        <w:tab/>
        <w:t>Bet back by means of a betting exchange</w:t>
      </w:r>
      <w:bookmarkEnd w:id="54"/>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55" w:name="_Toc189226668"/>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55"/>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w:t>
      </w:r>
      <w:r>
        <w:rPr>
          <w:snapToGrid w:val="0"/>
        </w:rPr>
        <w:lastRenderedPageBreak/>
        <w:t xml:space="preserve">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56" w:name="_Toc189226669"/>
      <w:r>
        <w:rPr>
          <w:rStyle w:val="CharSectno"/>
        </w:rPr>
        <w:t>71</w:t>
      </w:r>
      <w:r>
        <w:rPr>
          <w:snapToGrid w:val="0"/>
        </w:rPr>
        <w:t>.</w:t>
      </w:r>
      <w:r>
        <w:rPr>
          <w:snapToGrid w:val="0"/>
        </w:rPr>
        <w:tab/>
        <w:t>Telephone betting on approved events</w:t>
      </w:r>
      <w:bookmarkEnd w:id="56"/>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keepNext/>
        <w:spacing w:before="60"/>
        <w:rPr>
          <w:snapToGrid w:val="0"/>
        </w:rPr>
      </w:pPr>
      <w:r>
        <w:rPr>
          <w:snapToGrid w:val="0"/>
        </w:rPr>
        <w:lastRenderedPageBreak/>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57" w:name="_Toc189226670"/>
      <w:r>
        <w:rPr>
          <w:rStyle w:val="CharSectno"/>
        </w:rPr>
        <w:lastRenderedPageBreak/>
        <w:t>72</w:t>
      </w:r>
      <w:r>
        <w:rPr>
          <w:snapToGrid w:val="0"/>
        </w:rPr>
        <w:t>.</w:t>
      </w:r>
      <w:r>
        <w:rPr>
          <w:snapToGrid w:val="0"/>
        </w:rPr>
        <w:tab/>
        <w:t>Telephone betting on racing</w:t>
      </w:r>
      <w:bookmarkEnd w:id="57"/>
    </w:p>
    <w:p>
      <w:pPr>
        <w:pStyle w:val="Subsection"/>
        <w:keepNext/>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lastRenderedPageBreak/>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58" w:name="_Toc189226671"/>
      <w:r>
        <w:rPr>
          <w:rStyle w:val="CharSectno"/>
        </w:rPr>
        <w:t>73</w:t>
      </w:r>
      <w:r>
        <w:t>.</w:t>
      </w:r>
      <w:r>
        <w:tab/>
        <w:t>Credit betting other than by telephone</w:t>
      </w:r>
      <w:bookmarkEnd w:id="58"/>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59" w:name="_Toc189226672"/>
      <w:r>
        <w:rPr>
          <w:rStyle w:val="CharSectno"/>
        </w:rPr>
        <w:lastRenderedPageBreak/>
        <w:t>74</w:t>
      </w:r>
      <w:r>
        <w:t>.</w:t>
      </w:r>
      <w:r>
        <w:tab/>
        <w:t>Internet betting (approved events)</w:t>
      </w:r>
      <w:bookmarkEnd w:id="59"/>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keepNext/>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60" w:name="_Toc189226673"/>
      <w:r>
        <w:rPr>
          <w:rStyle w:val="CharSectno"/>
        </w:rPr>
        <w:t>75</w:t>
      </w:r>
      <w:r>
        <w:t>.</w:t>
      </w:r>
      <w:r>
        <w:tab/>
        <w:t>Internet betting (racing)</w:t>
      </w:r>
      <w:bookmarkEnd w:id="60"/>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61" w:name="_Toc189226674"/>
      <w:r>
        <w:rPr>
          <w:rStyle w:val="CharSectno"/>
        </w:rPr>
        <w:lastRenderedPageBreak/>
        <w:t>76</w:t>
      </w:r>
      <w:r>
        <w:t>.</w:t>
      </w:r>
      <w:r>
        <w:tab/>
        <w:t>Procedures for internet betting</w:t>
      </w:r>
      <w:bookmarkEnd w:id="61"/>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62" w:name="_Toc189226675"/>
      <w:r>
        <w:rPr>
          <w:rStyle w:val="CharSectno"/>
        </w:rPr>
        <w:lastRenderedPageBreak/>
        <w:t>77</w:t>
      </w:r>
      <w:r>
        <w:t>.</w:t>
      </w:r>
      <w:r>
        <w:tab/>
        <w:t>Form of search warrant</w:t>
      </w:r>
      <w:bookmarkEnd w:id="62"/>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63" w:name="_Toc189143596"/>
      <w:bookmarkStart w:id="64" w:name="_Toc189143681"/>
      <w:bookmarkStart w:id="65" w:name="_Toc189143766"/>
      <w:bookmarkStart w:id="66" w:name="_Toc189219057"/>
      <w:bookmarkStart w:id="67" w:name="_Toc189226676"/>
      <w:bookmarkStart w:id="68" w:name="_Toc189146278"/>
      <w:r>
        <w:rPr>
          <w:rStyle w:val="CharPartNo"/>
        </w:rPr>
        <w:lastRenderedPageBreak/>
        <w:t>Part 3A</w:t>
      </w:r>
      <w:r>
        <w:t> —</w:t>
      </w:r>
      <w:r>
        <w:rPr>
          <w:rStyle w:val="CharPartText"/>
        </w:rPr>
        <w:t> Consumer protection</w:t>
      </w:r>
      <w:bookmarkEnd w:id="63"/>
      <w:bookmarkEnd w:id="64"/>
      <w:bookmarkEnd w:id="65"/>
      <w:bookmarkEnd w:id="66"/>
      <w:bookmarkEnd w:id="67"/>
    </w:p>
    <w:p>
      <w:pPr>
        <w:pStyle w:val="Footnoteheading"/>
      </w:pPr>
      <w:bookmarkStart w:id="69" w:name="_Toc189143597"/>
      <w:bookmarkStart w:id="70" w:name="_Toc189143682"/>
      <w:bookmarkStart w:id="71" w:name="_Toc189143767"/>
      <w:r>
        <w:tab/>
        <w:t>[Heading inserted: SL 2025/30 r. 4.]</w:t>
      </w:r>
    </w:p>
    <w:p>
      <w:pPr>
        <w:pStyle w:val="Heading3"/>
      </w:pPr>
      <w:bookmarkStart w:id="72" w:name="_Toc189219058"/>
      <w:bookmarkStart w:id="73" w:name="_Toc189226677"/>
      <w:r>
        <w:rPr>
          <w:rStyle w:val="CharDivNo"/>
        </w:rPr>
        <w:t>Division 1</w:t>
      </w:r>
      <w:r>
        <w:t> —</w:t>
      </w:r>
      <w:r>
        <w:rPr>
          <w:rStyle w:val="CharDivText"/>
        </w:rPr>
        <w:t> Preliminary</w:t>
      </w:r>
      <w:bookmarkEnd w:id="69"/>
      <w:bookmarkEnd w:id="70"/>
      <w:bookmarkEnd w:id="71"/>
      <w:bookmarkEnd w:id="72"/>
      <w:bookmarkEnd w:id="73"/>
    </w:p>
    <w:p>
      <w:pPr>
        <w:pStyle w:val="Footnoteheading"/>
      </w:pPr>
      <w:bookmarkStart w:id="74" w:name="_Toc189143598"/>
      <w:bookmarkStart w:id="75" w:name="_Toc189143768"/>
      <w:r>
        <w:tab/>
        <w:t>[Heading inserted: SL 2025/30 r. 4.]</w:t>
      </w:r>
    </w:p>
    <w:p>
      <w:pPr>
        <w:pStyle w:val="Heading5"/>
      </w:pPr>
      <w:bookmarkStart w:id="76" w:name="_Toc189226678"/>
      <w:r>
        <w:rPr>
          <w:rStyle w:val="CharSectno"/>
        </w:rPr>
        <w:t>77A</w:t>
      </w:r>
      <w:r>
        <w:t>.</w:t>
      </w:r>
      <w:r>
        <w:tab/>
        <w:t>Purpose of Part</w:t>
      </w:r>
      <w:bookmarkEnd w:id="74"/>
      <w:bookmarkEnd w:id="75"/>
      <w:bookmarkEnd w:id="76"/>
    </w:p>
    <w:p>
      <w:pPr>
        <w:pStyle w:val="Subsection"/>
        <w:rPr>
          <w:rStyle w:val="DraftersNotes"/>
          <w:b w:val="0"/>
          <w:i w:val="0"/>
        </w:rPr>
      </w:pPr>
      <w:r>
        <w:tab/>
      </w:r>
      <w:r>
        <w:tab/>
        <w:t>The purpose of this Part is to give effect to the National Consumer Protection Framework for Online Wagering in Australia — National Policy Statement.</w:t>
      </w:r>
    </w:p>
    <w:p>
      <w:pPr>
        <w:pStyle w:val="Footnotesection"/>
      </w:pPr>
      <w:bookmarkStart w:id="77" w:name="_Toc189143599"/>
      <w:bookmarkStart w:id="78" w:name="_Toc189143769"/>
      <w:r>
        <w:tab/>
        <w:t>[Regulation 77A inserted: SL 2025/30 r. 4.]</w:t>
      </w:r>
    </w:p>
    <w:p>
      <w:pPr>
        <w:pStyle w:val="Heading5"/>
      </w:pPr>
      <w:bookmarkStart w:id="79" w:name="_Toc189226679"/>
      <w:r>
        <w:rPr>
          <w:rStyle w:val="CharSectno"/>
        </w:rPr>
        <w:t>77B</w:t>
      </w:r>
      <w:r>
        <w:t>.</w:t>
      </w:r>
      <w:r>
        <w:tab/>
        <w:t>Application of Part</w:t>
      </w:r>
      <w:bookmarkEnd w:id="77"/>
      <w:bookmarkEnd w:id="78"/>
      <w:bookmarkEnd w:id="79"/>
    </w:p>
    <w:p>
      <w:pPr>
        <w:pStyle w:val="Subsection"/>
        <w:rPr>
          <w:rStyle w:val="DraftersNotes"/>
          <w:b w:val="0"/>
          <w:i w:val="0"/>
        </w:rPr>
      </w:pPr>
      <w:r>
        <w:tab/>
      </w:r>
      <w:r>
        <w:tab/>
        <w:t xml:space="preserve">This Part applies to a bookmaker (a </w:t>
      </w:r>
      <w:r>
        <w:rPr>
          <w:rStyle w:val="CharDefText"/>
        </w:rPr>
        <w:t>provider</w:t>
      </w:r>
      <w:r>
        <w:t>) who provides interactive wagering services, in relation to their provision of those services.</w:t>
      </w:r>
    </w:p>
    <w:p>
      <w:pPr>
        <w:pStyle w:val="Footnotesection"/>
      </w:pPr>
      <w:bookmarkStart w:id="80" w:name="_Toc189143600"/>
      <w:bookmarkStart w:id="81" w:name="_Toc189143770"/>
      <w:r>
        <w:tab/>
        <w:t>[Regulation 77B inserted: SL 2025/30 r. 4.]</w:t>
      </w:r>
    </w:p>
    <w:p>
      <w:pPr>
        <w:pStyle w:val="Heading5"/>
      </w:pPr>
      <w:bookmarkStart w:id="82" w:name="_Toc189226680"/>
      <w:r>
        <w:rPr>
          <w:rStyle w:val="CharSectno"/>
        </w:rPr>
        <w:t>77C</w:t>
      </w:r>
      <w:r>
        <w:t>.</w:t>
      </w:r>
      <w:r>
        <w:tab/>
        <w:t>Terms used</w:t>
      </w:r>
      <w:bookmarkEnd w:id="80"/>
      <w:bookmarkEnd w:id="81"/>
      <w:bookmarkEnd w:id="82"/>
    </w:p>
    <w:p>
      <w:pPr>
        <w:pStyle w:val="Subsection"/>
      </w:pPr>
      <w:r>
        <w:tab/>
      </w:r>
      <w:r>
        <w:tab/>
        <w:t xml:space="preserve">In this Part — </w:t>
      </w:r>
    </w:p>
    <w:p>
      <w:pPr>
        <w:pStyle w:val="Defstart"/>
      </w:pPr>
      <w:r>
        <w:tab/>
      </w:r>
      <w:r>
        <w:rPr>
          <w:rStyle w:val="CharDefText"/>
        </w:rPr>
        <w:t>account holder</w:t>
      </w:r>
      <w:r>
        <w:t>, in relation to a provider, means a person who holds a betting account with the provider;</w:t>
      </w:r>
    </w:p>
    <w:p>
      <w:pPr>
        <w:pStyle w:val="Defstart"/>
      </w:pPr>
      <w:r>
        <w:tab/>
      </w:r>
      <w:r>
        <w:rPr>
          <w:rStyle w:val="CharDefText"/>
        </w:rPr>
        <w:t>betting account</w:t>
      </w:r>
      <w:r>
        <w:t xml:space="preserve"> means an account established with a provider for the purposes of betting;</w:t>
      </w:r>
    </w:p>
    <w:p>
      <w:pPr>
        <w:pStyle w:val="Defstart"/>
      </w:pPr>
      <w:r>
        <w:tab/>
      </w:r>
      <w:r>
        <w:rPr>
          <w:rStyle w:val="CharDefText"/>
        </w:rPr>
        <w:t>deposit limit</w:t>
      </w:r>
      <w:r>
        <w:t>, in relation to a betting account, means the maximum amount of money the account holder may deposit into the account in a particular period;</w:t>
      </w:r>
    </w:p>
    <w:p>
      <w:pPr>
        <w:pStyle w:val="Defstart"/>
      </w:pPr>
      <w:r>
        <w:tab/>
      </w:r>
      <w:r>
        <w:rPr>
          <w:rStyle w:val="CharDefText"/>
        </w:rPr>
        <w:t>interactive wagering service</w:t>
      </w:r>
      <w:r>
        <w:t xml:space="preserve"> means a service that enables a person to place a bet using — </w:t>
      </w:r>
    </w:p>
    <w:p>
      <w:pPr>
        <w:pStyle w:val="Defpara"/>
      </w:pPr>
      <w:r>
        <w:tab/>
        <w:t>(a)</w:t>
      </w:r>
      <w:r>
        <w:tab/>
        <w:t>a telephone; or</w:t>
      </w:r>
    </w:p>
    <w:p>
      <w:pPr>
        <w:pStyle w:val="Defpara"/>
      </w:pPr>
      <w:r>
        <w:tab/>
        <w:t>(b)</w:t>
      </w:r>
      <w:r>
        <w:tab/>
        <w:t>an Internet application; or</w:t>
      </w:r>
    </w:p>
    <w:p>
      <w:pPr>
        <w:pStyle w:val="Defpara"/>
      </w:pPr>
      <w:r>
        <w:tab/>
        <w:t>(c)</w:t>
      </w:r>
      <w:r>
        <w:tab/>
        <w:t>a website; or</w:t>
      </w:r>
    </w:p>
    <w:p>
      <w:pPr>
        <w:pStyle w:val="Defpara"/>
      </w:pPr>
      <w:r>
        <w:lastRenderedPageBreak/>
        <w:tab/>
        <w:t>(d)</w:t>
      </w:r>
      <w:r>
        <w:tab/>
        <w:t>a datacasting service; or</w:t>
      </w:r>
    </w:p>
    <w:p>
      <w:pPr>
        <w:pStyle w:val="Defpara"/>
      </w:pPr>
      <w:r>
        <w:tab/>
        <w:t>(e)</w:t>
      </w:r>
      <w:r>
        <w:tab/>
        <w:t>a broadcasting service;</w:t>
      </w:r>
    </w:p>
    <w:p>
      <w:pPr>
        <w:pStyle w:val="Defstart"/>
        <w:rPr>
          <w:rStyle w:val="DraftersNotes"/>
          <w:b w:val="0"/>
          <w:i w:val="0"/>
        </w:rPr>
      </w:pPr>
      <w:r>
        <w:tab/>
      </w:r>
      <w:r>
        <w:rPr>
          <w:rStyle w:val="CharDefText"/>
        </w:rPr>
        <w:t>National Consumer Protection Framework for Online Wagering in Australia — National Policy Statement</w:t>
      </w:r>
      <w:r>
        <w:t xml:space="preserve"> means the document of that name dated 26 November 2018;</w:t>
      </w:r>
    </w:p>
    <w:p>
      <w:pPr>
        <w:pStyle w:val="PermNoteHeading"/>
      </w:pPr>
      <w:r>
        <w:tab/>
        <w:t>Note for this definition:</w:t>
      </w:r>
    </w:p>
    <w:p>
      <w:pPr>
        <w:pStyle w:val="PermNoteText"/>
        <w:rPr>
          <w:rStyle w:val="DraftersNotes"/>
          <w:b w:val="0"/>
          <w:i w:val="0"/>
        </w:rPr>
      </w:pPr>
      <w:r>
        <w:tab/>
      </w:r>
      <w:r>
        <w:tab/>
        <w:t>A copy of the National Consumer Protection Framework for Online Wagering in Australia — National Policy Statement is available on the Parliament of Western Australia’s website under Tabled Papers for the Legislative Council.</w:t>
      </w:r>
    </w:p>
    <w:p>
      <w:pPr>
        <w:pStyle w:val="Defstart"/>
      </w:pPr>
      <w:r>
        <w:tab/>
      </w:r>
      <w:r>
        <w:rPr>
          <w:rStyle w:val="CharDefText"/>
        </w:rPr>
        <w:t>provider</w:t>
      </w:r>
      <w:r>
        <w:t xml:space="preserve"> has the meaning given in regulation 77B;</w:t>
      </w:r>
    </w:p>
    <w:p>
      <w:pPr>
        <w:pStyle w:val="Defstart"/>
      </w:pPr>
      <w:r>
        <w:tab/>
      </w:r>
      <w:r>
        <w:rPr>
          <w:rStyle w:val="CharDefText"/>
        </w:rPr>
        <w:t>transaction</w:t>
      </w:r>
      <w:r>
        <w:t xml:space="preserve">, in relation to a betting account, means — </w:t>
      </w:r>
    </w:p>
    <w:p>
      <w:pPr>
        <w:pStyle w:val="Defpara"/>
      </w:pPr>
      <w:r>
        <w:tab/>
        <w:t>(a)</w:t>
      </w:r>
      <w:r>
        <w:tab/>
        <w:t>a deposit into the betting account; or</w:t>
      </w:r>
    </w:p>
    <w:p>
      <w:pPr>
        <w:pStyle w:val="Defpara"/>
      </w:pPr>
      <w:r>
        <w:tab/>
        <w:t>(b)</w:t>
      </w:r>
      <w:r>
        <w:tab/>
        <w:t>a withdrawal from the betting account; or</w:t>
      </w:r>
    </w:p>
    <w:p>
      <w:pPr>
        <w:pStyle w:val="Defpara"/>
      </w:pPr>
      <w:r>
        <w:tab/>
        <w:t>(c)</w:t>
      </w:r>
      <w:r>
        <w:tab/>
        <w:t>a bet placed using the betting account.</w:t>
      </w:r>
    </w:p>
    <w:p>
      <w:pPr>
        <w:pStyle w:val="Footnotesection"/>
      </w:pPr>
      <w:bookmarkStart w:id="83" w:name="_Toc189143601"/>
      <w:bookmarkStart w:id="84" w:name="_Toc189143771"/>
      <w:r>
        <w:tab/>
        <w:t>[Regulation 77C inserted: SL 2025/30 r. 4.]</w:t>
      </w:r>
    </w:p>
    <w:p>
      <w:pPr>
        <w:pStyle w:val="Heading5"/>
      </w:pPr>
      <w:bookmarkStart w:id="85" w:name="_Toc189226681"/>
      <w:r>
        <w:rPr>
          <w:rStyle w:val="CharSectno"/>
        </w:rPr>
        <w:t>77D</w:t>
      </w:r>
      <w:r>
        <w:t>.</w:t>
      </w:r>
      <w:r>
        <w:tab/>
        <w:t>Liability of provider</w:t>
      </w:r>
      <w:bookmarkEnd w:id="83"/>
      <w:bookmarkEnd w:id="84"/>
      <w:bookmarkEnd w:id="85"/>
    </w:p>
    <w:p>
      <w:pPr>
        <w:pStyle w:val="Subsection"/>
      </w:pPr>
      <w:r>
        <w:tab/>
        <w:t>(1)</w:t>
      </w:r>
      <w:r>
        <w:tab/>
        <w:t xml:space="preserve">In this regulation — </w:t>
      </w:r>
    </w:p>
    <w:p>
      <w:pPr>
        <w:pStyle w:val="Defstart"/>
      </w:pPr>
      <w:r>
        <w:tab/>
      </w:r>
      <w:r>
        <w:rPr>
          <w:rStyle w:val="CharDefText"/>
        </w:rPr>
        <w:t>responsible person</w:t>
      </w:r>
      <w:r>
        <w:t xml:space="preserve">, of a provider, means — </w:t>
      </w:r>
    </w:p>
    <w:p>
      <w:pPr>
        <w:pStyle w:val="Defpara"/>
      </w:pPr>
      <w:r>
        <w:tab/>
        <w:t>(a)</w:t>
      </w:r>
      <w:r>
        <w:tab/>
        <w:t>a person who is a director, partner, employee or contractor of the provider; or</w:t>
      </w:r>
    </w:p>
    <w:p>
      <w:pPr>
        <w:pStyle w:val="Defpara"/>
      </w:pPr>
      <w:r>
        <w:tab/>
        <w:t>(b)</w:t>
      </w:r>
      <w:r>
        <w:tab/>
        <w:t>a person, other than a person referred to in paragraph (a), who is engaged in providing the provider’s interactive wagering services, including being involved in decisions affecting the provision of those services.</w:t>
      </w:r>
    </w:p>
    <w:p>
      <w:pPr>
        <w:pStyle w:val="Subsection"/>
      </w:pPr>
      <w:r>
        <w:tab/>
        <w:t>(2)</w:t>
      </w:r>
      <w:r>
        <w:tab/>
        <w:t>If a responsible person of a provider does an act or makes an omission that would constitute an offence under this Part if the act or omission were done or made by the provider, the provider is taken to have committed the offence and is liable to the penalty prescribed for the offence.</w:t>
      </w:r>
    </w:p>
    <w:p>
      <w:pPr>
        <w:pStyle w:val="Footnotesection"/>
      </w:pPr>
      <w:bookmarkStart w:id="86" w:name="_Toc189143602"/>
      <w:bookmarkStart w:id="87" w:name="_Toc189143687"/>
      <w:bookmarkStart w:id="88" w:name="_Toc189143772"/>
      <w:r>
        <w:tab/>
        <w:t>[Regulation 77D inserted: SL 2025/30 r. 4.]</w:t>
      </w:r>
    </w:p>
    <w:p>
      <w:pPr>
        <w:pStyle w:val="Heading3"/>
      </w:pPr>
      <w:bookmarkStart w:id="89" w:name="_Toc189219063"/>
      <w:bookmarkStart w:id="90" w:name="_Toc189226682"/>
      <w:r>
        <w:rPr>
          <w:rStyle w:val="CharDivNo"/>
        </w:rPr>
        <w:lastRenderedPageBreak/>
        <w:t>Division 2</w:t>
      </w:r>
      <w:r>
        <w:t> —</w:t>
      </w:r>
      <w:r>
        <w:rPr>
          <w:rStyle w:val="CharDivText"/>
        </w:rPr>
        <w:t> Inducements and direct marketing</w:t>
      </w:r>
      <w:bookmarkEnd w:id="86"/>
      <w:bookmarkEnd w:id="87"/>
      <w:bookmarkEnd w:id="88"/>
      <w:bookmarkEnd w:id="89"/>
      <w:bookmarkEnd w:id="90"/>
    </w:p>
    <w:p>
      <w:pPr>
        <w:pStyle w:val="Footnoteheading"/>
      </w:pPr>
      <w:bookmarkStart w:id="91" w:name="_Toc189143603"/>
      <w:bookmarkStart w:id="92" w:name="_Toc189143773"/>
      <w:r>
        <w:tab/>
        <w:t>[Heading inserted: SL 2025/30 r. 4.]</w:t>
      </w:r>
    </w:p>
    <w:p>
      <w:pPr>
        <w:pStyle w:val="Heading5"/>
        <w:rPr>
          <w:rStyle w:val="DraftersNotes"/>
          <w:b/>
          <w:i w:val="0"/>
        </w:rPr>
      </w:pPr>
      <w:bookmarkStart w:id="93" w:name="_Toc189226683"/>
      <w:r>
        <w:rPr>
          <w:rStyle w:val="CharSectno"/>
        </w:rPr>
        <w:t>77E</w:t>
      </w:r>
      <w:r>
        <w:t>.</w:t>
      </w:r>
      <w:r>
        <w:tab/>
        <w:t>Inducements prohibited in relation to establishing betting accounts</w:t>
      </w:r>
      <w:bookmarkEnd w:id="91"/>
      <w:bookmarkEnd w:id="92"/>
      <w:bookmarkEnd w:id="93"/>
    </w:p>
    <w:p>
      <w:pPr>
        <w:pStyle w:val="Subsection"/>
        <w:rPr>
          <w:rStyle w:val="DraftersNotes"/>
          <w:b w:val="0"/>
          <w:i w:val="0"/>
        </w:rPr>
      </w:pPr>
      <w:r>
        <w:tab/>
      </w:r>
      <w:r>
        <w:tab/>
        <w:t xml:space="preserve">The provider must not offer any credit, voucher, reward or other benefit as an inducement for a person — </w:t>
      </w:r>
    </w:p>
    <w:p>
      <w:pPr>
        <w:pStyle w:val="Indenta"/>
      </w:pPr>
      <w:r>
        <w:tab/>
        <w:t>(a)</w:t>
      </w:r>
      <w:r>
        <w:tab/>
        <w:t>to establish a betting account with the provider; or</w:t>
      </w:r>
    </w:p>
    <w:p>
      <w:pPr>
        <w:pStyle w:val="Indenta"/>
      </w:pPr>
      <w:r>
        <w:tab/>
        <w:t>(b)</w:t>
      </w:r>
      <w:r>
        <w:tab/>
        <w:t>to refer another person to establish a betting account with the provider.</w:t>
      </w:r>
    </w:p>
    <w:p>
      <w:pPr>
        <w:pStyle w:val="Penstart"/>
      </w:pPr>
      <w:r>
        <w:tab/>
        <w:t>Penalty: for an individual or a body corporate, a fine of $1 000.</w:t>
      </w:r>
    </w:p>
    <w:p>
      <w:pPr>
        <w:pStyle w:val="Footnotesection"/>
      </w:pPr>
      <w:bookmarkStart w:id="94" w:name="_Toc189143604"/>
      <w:bookmarkStart w:id="95" w:name="_Toc189143774"/>
      <w:r>
        <w:tab/>
        <w:t>[Regulation 77E inserted: SL 2025/30 r. 4.]</w:t>
      </w:r>
    </w:p>
    <w:p>
      <w:pPr>
        <w:pStyle w:val="Heading5"/>
        <w:rPr>
          <w:rStyle w:val="DraftersNotes"/>
          <w:b/>
          <w:i w:val="0"/>
        </w:rPr>
      </w:pPr>
      <w:bookmarkStart w:id="96" w:name="_Toc189226684"/>
      <w:r>
        <w:rPr>
          <w:rStyle w:val="CharSectno"/>
        </w:rPr>
        <w:t>77F</w:t>
      </w:r>
      <w:r>
        <w:t>.</w:t>
      </w:r>
      <w:r>
        <w:tab/>
        <w:t>Complimentary betting credits and tokens</w:t>
      </w:r>
      <w:bookmarkEnd w:id="94"/>
      <w:bookmarkEnd w:id="95"/>
      <w:bookmarkEnd w:id="96"/>
    </w:p>
    <w:p>
      <w:pPr>
        <w:pStyle w:val="Subsection"/>
      </w:pPr>
      <w:r>
        <w:tab/>
      </w:r>
      <w:r>
        <w:tab/>
        <w:t xml:space="preserve">The provider must not offer or give a complimentary betting credit or token (including a thing commonly known as a bonus bet or matched bet) to an account holder unless — </w:t>
      </w:r>
    </w:p>
    <w:p>
      <w:pPr>
        <w:pStyle w:val="Indenta"/>
      </w:pPr>
      <w:r>
        <w:tab/>
        <w:t>(a)</w:t>
      </w:r>
      <w:r>
        <w:tab/>
        <w:t>the holder can withdraw from their betting account winnings from a bet placed with the credit or token; and</w:t>
      </w:r>
    </w:p>
    <w:p>
      <w:pPr>
        <w:pStyle w:val="Indenta"/>
      </w:pPr>
      <w:r>
        <w:tab/>
        <w:t>(b)</w:t>
      </w:r>
      <w:r>
        <w:tab/>
        <w:t>the withdrawal is not subject to a requirement that the holder continue to bet with the winnings.</w:t>
      </w:r>
    </w:p>
    <w:p>
      <w:pPr>
        <w:pStyle w:val="Penstart"/>
      </w:pPr>
      <w:r>
        <w:tab/>
        <w:t>Penalty: for an individual or a body corporate, a fine of $1 000.</w:t>
      </w:r>
    </w:p>
    <w:p>
      <w:pPr>
        <w:pStyle w:val="Footnotesection"/>
      </w:pPr>
      <w:bookmarkStart w:id="97" w:name="_Toc189143605"/>
      <w:bookmarkStart w:id="98" w:name="_Toc189143775"/>
      <w:r>
        <w:tab/>
        <w:t>[Regulation 77F inserted: SL 2025/30 r. 4.]</w:t>
      </w:r>
    </w:p>
    <w:p>
      <w:pPr>
        <w:pStyle w:val="Heading5"/>
      </w:pPr>
      <w:bookmarkStart w:id="99" w:name="_Toc189226685"/>
      <w:r>
        <w:rPr>
          <w:rStyle w:val="CharSectno"/>
        </w:rPr>
        <w:t>77G</w:t>
      </w:r>
      <w:r>
        <w:t>.</w:t>
      </w:r>
      <w:r>
        <w:tab/>
        <w:t>Direct marketing</w:t>
      </w:r>
      <w:bookmarkEnd w:id="97"/>
      <w:bookmarkEnd w:id="98"/>
      <w:bookmarkEnd w:id="99"/>
    </w:p>
    <w:p>
      <w:pPr>
        <w:pStyle w:val="Subsection"/>
      </w:pPr>
      <w:r>
        <w:tab/>
        <w:t>(1)</w:t>
      </w:r>
      <w:r>
        <w:tab/>
        <w:t xml:space="preserve">The provider must not send promotional or advertising material directly to an account holder unless — </w:t>
      </w:r>
    </w:p>
    <w:p>
      <w:pPr>
        <w:pStyle w:val="Indenta"/>
      </w:pPr>
      <w:r>
        <w:tab/>
        <w:t>(a)</w:t>
      </w:r>
      <w:r>
        <w:tab/>
        <w:t>the holder has given the provider express consent to receive promotional or advertising material directly and has not withdrawn their consent; and</w:t>
      </w:r>
    </w:p>
    <w:p>
      <w:pPr>
        <w:pStyle w:val="Indenta"/>
      </w:pPr>
      <w:r>
        <w:tab/>
        <w:t>(b)</w:t>
      </w:r>
      <w:r>
        <w:tab/>
        <w:t xml:space="preserve">if the promotional or advertising material is sent by email — the holder can withdraw their consent or opt </w:t>
      </w:r>
      <w:r>
        <w:lastRenderedPageBreak/>
        <w:t>out of receiving promotional or advertising material directly by clicking on a single link that is prominently displayed in the email; and</w:t>
      </w:r>
    </w:p>
    <w:p>
      <w:pPr>
        <w:pStyle w:val="Indenta"/>
      </w:pPr>
      <w:r>
        <w:tab/>
        <w:t>(c)</w:t>
      </w:r>
      <w:r>
        <w:tab/>
        <w:t>if the promotional or advertising material is sent other than by email — the provider gives the holder a means by which the holder can easily withdraw their consent or opt out of receiving promotional or advertising material directly.</w:t>
      </w:r>
    </w:p>
    <w:p>
      <w:pPr>
        <w:pStyle w:val="Penstart"/>
        <w:rPr>
          <w:rStyle w:val="DraftersNotes"/>
          <w:b w:val="0"/>
          <w:i w:val="0"/>
        </w:rPr>
      </w:pPr>
      <w:r>
        <w:tab/>
        <w:t>Penalty for this subregulation: for an individual or a body corporate, a fine of $1 000.</w:t>
      </w:r>
    </w:p>
    <w:p>
      <w:pPr>
        <w:pStyle w:val="Subsection"/>
      </w:pPr>
      <w:r>
        <w:tab/>
        <w:t>(2)</w:t>
      </w:r>
      <w:r>
        <w:tab/>
        <w:t xml:space="preserve">For the purposes of subregulation (1)(a), an account holder is taken to have withdrawn their consent — </w:t>
      </w:r>
    </w:p>
    <w:p>
      <w:pPr>
        <w:pStyle w:val="Indenta"/>
      </w:pPr>
      <w:r>
        <w:tab/>
        <w:t>(a)</w:t>
      </w:r>
      <w:r>
        <w:tab/>
        <w:t>if the holder requests the provider to close their betting account — 24 hours after the request was made; or</w:t>
      </w:r>
    </w:p>
    <w:p>
      <w:pPr>
        <w:pStyle w:val="Indenta"/>
      </w:pPr>
      <w:r>
        <w:tab/>
        <w:t>(b)</w:t>
      </w:r>
      <w:r>
        <w:tab/>
        <w:t>if the holder does not access their betting account for a period of 12 months — at the end of that period.</w:t>
      </w:r>
    </w:p>
    <w:p>
      <w:pPr>
        <w:pStyle w:val="Subsection"/>
      </w:pPr>
      <w:r>
        <w:tab/>
        <w:t>(3)</w:t>
      </w:r>
      <w:r>
        <w:tab/>
        <w:t xml:space="preserve">The provider must not offer any credit, voucher, reward or other benefit as an inducement for an account holder to — </w:t>
      </w:r>
    </w:p>
    <w:p>
      <w:pPr>
        <w:pStyle w:val="Indenta"/>
      </w:pPr>
      <w:r>
        <w:tab/>
        <w:t>(a)</w:t>
      </w:r>
      <w:r>
        <w:tab/>
        <w:t>consent to receive promotional or advertising material directly; or</w:t>
      </w:r>
    </w:p>
    <w:p>
      <w:pPr>
        <w:pStyle w:val="Indenta"/>
      </w:pPr>
      <w:r>
        <w:tab/>
        <w:t>(b)</w:t>
      </w:r>
      <w:r>
        <w:tab/>
        <w:t>not withdraw their consent to receive promotional or advertising material directly or opt out of receiving promotional or advertising material directly.</w:t>
      </w:r>
    </w:p>
    <w:p>
      <w:pPr>
        <w:pStyle w:val="Penstart"/>
      </w:pPr>
      <w:r>
        <w:tab/>
        <w:t>Penalty for this subregulation: for an individual or a body corporate, a fine of $1 000.</w:t>
      </w:r>
    </w:p>
    <w:p>
      <w:pPr>
        <w:pStyle w:val="Subsection"/>
      </w:pPr>
      <w:r>
        <w:tab/>
        <w:t>(4)</w:t>
      </w:r>
      <w:r>
        <w:tab/>
        <w:t xml:space="preserve">The provider must not require a person to consent to receive promotional or advertising material directly in order to — </w:t>
      </w:r>
    </w:p>
    <w:p>
      <w:pPr>
        <w:pStyle w:val="Indenta"/>
      </w:pPr>
      <w:r>
        <w:tab/>
        <w:t>(a)</w:t>
      </w:r>
      <w:r>
        <w:tab/>
        <w:t>establish a betting account with the provider; or</w:t>
      </w:r>
    </w:p>
    <w:p>
      <w:pPr>
        <w:pStyle w:val="Indenta"/>
      </w:pPr>
      <w:r>
        <w:tab/>
        <w:t>(b)</w:t>
      </w:r>
      <w:r>
        <w:tab/>
        <w:t xml:space="preserve">if the person is an account holder — </w:t>
      </w:r>
    </w:p>
    <w:p>
      <w:pPr>
        <w:pStyle w:val="Indenti"/>
      </w:pPr>
      <w:r>
        <w:tab/>
        <w:t>(i)</w:t>
      </w:r>
      <w:r>
        <w:tab/>
        <w:t>access their betting account; or</w:t>
      </w:r>
    </w:p>
    <w:p>
      <w:pPr>
        <w:pStyle w:val="Indenti"/>
      </w:pPr>
      <w:r>
        <w:tab/>
        <w:t>(ii)</w:t>
      </w:r>
      <w:r>
        <w:tab/>
        <w:t>use their betting account; or</w:t>
      </w:r>
    </w:p>
    <w:p>
      <w:pPr>
        <w:pStyle w:val="Indenti"/>
      </w:pPr>
      <w:r>
        <w:lastRenderedPageBreak/>
        <w:tab/>
        <w:t>(iii)</w:t>
      </w:r>
      <w:r>
        <w:tab/>
        <w:t>use a function associated with their betting account.</w:t>
      </w:r>
    </w:p>
    <w:p>
      <w:pPr>
        <w:pStyle w:val="Penstart"/>
      </w:pPr>
      <w:r>
        <w:tab/>
        <w:t>Penalty for this subregulation: for an individual or a body corporate, a fine of $1 000.</w:t>
      </w:r>
    </w:p>
    <w:p>
      <w:pPr>
        <w:pStyle w:val="Subsection"/>
      </w:pPr>
      <w:r>
        <w:tab/>
        <w:t>(5)</w:t>
      </w:r>
      <w:r>
        <w:tab/>
        <w:t xml:space="preserve">In this regulation — </w:t>
      </w:r>
    </w:p>
    <w:p>
      <w:pPr>
        <w:pStyle w:val="Indenta"/>
      </w:pPr>
      <w:r>
        <w:tab/>
        <w:t>(a)</w:t>
      </w:r>
      <w:r>
        <w:tab/>
        <w:t>a reference to the provider sending promotional or advertising material directly to an account holder includes a reference to the provider, by using the holder’s social media platform account name in a post or comment on the platform (commonly known as tagging or mentioning), causing a notification to be sent to the holder that directs the holder to promotional or advertising material; and</w:t>
      </w:r>
    </w:p>
    <w:p>
      <w:pPr>
        <w:pStyle w:val="Indenta"/>
      </w:pPr>
      <w:r>
        <w:tab/>
        <w:t>(b)</w:t>
      </w:r>
      <w:r>
        <w:tab/>
        <w:t>a reference to an account holder receiving promotional or advertising material directly includes a reference to the holder receiving a notification referred to in paragraph (a).</w:t>
      </w:r>
    </w:p>
    <w:p>
      <w:pPr>
        <w:pStyle w:val="Footnotesection"/>
      </w:pPr>
      <w:bookmarkStart w:id="100" w:name="_Toc189143606"/>
      <w:bookmarkStart w:id="101" w:name="_Toc189143691"/>
      <w:bookmarkStart w:id="102" w:name="_Toc189143776"/>
      <w:r>
        <w:tab/>
        <w:t>[Regulation 77G inserted: SL 2025/30 r. 4.]</w:t>
      </w:r>
    </w:p>
    <w:p>
      <w:pPr>
        <w:pStyle w:val="Heading3"/>
      </w:pPr>
      <w:bookmarkStart w:id="103" w:name="_Toc189219067"/>
      <w:bookmarkStart w:id="104" w:name="_Toc189226686"/>
      <w:r>
        <w:rPr>
          <w:rStyle w:val="CharDivNo"/>
        </w:rPr>
        <w:t>Division 3</w:t>
      </w:r>
      <w:r>
        <w:t> —</w:t>
      </w:r>
      <w:r>
        <w:rPr>
          <w:rStyle w:val="CharDivText"/>
        </w:rPr>
        <w:t> Closing betting accounts</w:t>
      </w:r>
      <w:bookmarkEnd w:id="100"/>
      <w:bookmarkEnd w:id="101"/>
      <w:bookmarkEnd w:id="102"/>
      <w:bookmarkEnd w:id="103"/>
      <w:bookmarkEnd w:id="104"/>
    </w:p>
    <w:p>
      <w:pPr>
        <w:pStyle w:val="Footnoteheading"/>
      </w:pPr>
      <w:bookmarkStart w:id="105" w:name="_Toc189143607"/>
      <w:bookmarkStart w:id="106" w:name="_Toc189143777"/>
      <w:r>
        <w:tab/>
        <w:t>[Heading inserted: SL 2025/30 r. 4.]</w:t>
      </w:r>
    </w:p>
    <w:p>
      <w:pPr>
        <w:pStyle w:val="Heading5"/>
      </w:pPr>
      <w:bookmarkStart w:id="107" w:name="_Toc189226687"/>
      <w:r>
        <w:rPr>
          <w:rStyle w:val="CharSectno"/>
        </w:rPr>
        <w:t>77H</w:t>
      </w:r>
      <w:r>
        <w:t>.</w:t>
      </w:r>
      <w:r>
        <w:tab/>
        <w:t>Process for closing betting accounts</w:t>
      </w:r>
      <w:bookmarkEnd w:id="105"/>
      <w:bookmarkEnd w:id="106"/>
      <w:bookmarkEnd w:id="107"/>
    </w:p>
    <w:p>
      <w:pPr>
        <w:pStyle w:val="Subsection"/>
      </w:pPr>
      <w:r>
        <w:tab/>
        <w:t>(1)</w:t>
      </w:r>
      <w:r>
        <w:tab/>
        <w:t>The provider must ensure that the process for closing a betting account is simple and easy for a reasonable person to use.</w:t>
      </w:r>
    </w:p>
    <w:p>
      <w:pPr>
        <w:pStyle w:val="Penstart"/>
      </w:pPr>
      <w:r>
        <w:tab/>
        <w:t>Penalty for this subregulation: for an individual or a body corporate, a fine of $1 000.</w:t>
      </w:r>
    </w:p>
    <w:p>
      <w:pPr>
        <w:pStyle w:val="Subsection"/>
      </w:pPr>
      <w:r>
        <w:tab/>
        <w:t>(2)</w:t>
      </w:r>
      <w:r>
        <w:tab/>
        <w:t xml:space="preserve">The provider must ensure that the process for closing a betting account allows the holder to close the betting account by — </w:t>
      </w:r>
    </w:p>
    <w:p>
      <w:pPr>
        <w:pStyle w:val="Indenta"/>
      </w:pPr>
      <w:r>
        <w:tab/>
        <w:t>(a)</w:t>
      </w:r>
      <w:r>
        <w:tab/>
        <w:t>telephone; or</w:t>
      </w:r>
    </w:p>
    <w:p>
      <w:pPr>
        <w:pStyle w:val="Indenta"/>
      </w:pPr>
      <w:r>
        <w:tab/>
        <w:t>(b)</w:t>
      </w:r>
      <w:r>
        <w:tab/>
        <w:t>email; or</w:t>
      </w:r>
    </w:p>
    <w:p>
      <w:pPr>
        <w:pStyle w:val="Indenta"/>
        <w:keepNext/>
      </w:pPr>
      <w:r>
        <w:lastRenderedPageBreak/>
        <w:tab/>
        <w:t>(c)</w:t>
      </w:r>
      <w:r>
        <w:tab/>
        <w:t xml:space="preserve">any other means by which the holder may use the betting account to place a bet. </w:t>
      </w:r>
    </w:p>
    <w:p>
      <w:pPr>
        <w:pStyle w:val="Penstart"/>
        <w:rPr>
          <w:rStyle w:val="DraftersNotes"/>
          <w:b w:val="0"/>
          <w:i w:val="0"/>
        </w:rPr>
      </w:pPr>
      <w:r>
        <w:tab/>
        <w:t>Penalty for this subregulation: for an individual or a body corporate, a fine of $1 000.</w:t>
      </w:r>
    </w:p>
    <w:p>
      <w:pPr>
        <w:pStyle w:val="Subsection"/>
      </w:pPr>
      <w:r>
        <w:tab/>
        <w:t>(3)</w:t>
      </w:r>
      <w:r>
        <w:tab/>
        <w:t xml:space="preserve">The provider must prominently display the process for closing a betting account — </w:t>
      </w:r>
    </w:p>
    <w:p>
      <w:pPr>
        <w:pStyle w:val="Indenta"/>
      </w:pPr>
      <w:r>
        <w:tab/>
        <w:t>(a)</w:t>
      </w:r>
      <w:r>
        <w:tab/>
        <w:t>if the provider maintains a website — on the website; and</w:t>
      </w:r>
    </w:p>
    <w:p>
      <w:pPr>
        <w:pStyle w:val="Indenta"/>
      </w:pPr>
      <w:r>
        <w:tab/>
        <w:t>(b)</w:t>
      </w:r>
      <w:r>
        <w:tab/>
        <w:t>if an account holder is able to access their betting account using the Internet — at the location on the Internet at which the holder accesses the betting account.</w:t>
      </w:r>
    </w:p>
    <w:p>
      <w:pPr>
        <w:pStyle w:val="Penstart"/>
        <w:rPr>
          <w:rStyle w:val="DraftersNotes"/>
          <w:b w:val="0"/>
          <w:i w:val="0"/>
        </w:rPr>
      </w:pPr>
      <w:r>
        <w:tab/>
        <w:t>Penalty for this subregulation: for an individual or a body corporate, a fine of $1 000.</w:t>
      </w:r>
    </w:p>
    <w:p>
      <w:pPr>
        <w:pStyle w:val="Subsection"/>
      </w:pPr>
      <w:r>
        <w:tab/>
        <w:t>(4)</w:t>
      </w:r>
      <w:r>
        <w:tab/>
        <w:t xml:space="preserve">Subregulation (5) applies if — </w:t>
      </w:r>
    </w:p>
    <w:p>
      <w:pPr>
        <w:pStyle w:val="Indenta"/>
      </w:pPr>
      <w:r>
        <w:tab/>
        <w:t>(a)</w:t>
      </w:r>
      <w:r>
        <w:tab/>
        <w:t>the provider does not maintain a website; and</w:t>
      </w:r>
    </w:p>
    <w:p>
      <w:pPr>
        <w:pStyle w:val="Indenta"/>
      </w:pPr>
      <w:r>
        <w:tab/>
        <w:t>(b)</w:t>
      </w:r>
      <w:r>
        <w:tab/>
        <w:t>an account holder’s betting account only allows the holder to use the betting account to place a bet using a telephone.</w:t>
      </w:r>
    </w:p>
    <w:p>
      <w:pPr>
        <w:pStyle w:val="Subsection"/>
        <w:rPr>
          <w:rStyle w:val="DraftersNotes"/>
          <w:b w:val="0"/>
          <w:i w:val="0"/>
        </w:rPr>
      </w:pPr>
      <w:r>
        <w:tab/>
        <w:t>(5)</w:t>
      </w:r>
      <w:r>
        <w:tab/>
        <w:t>If the account holder so requests by telephone, the provider must, by telephone, give the holder details of the process for closing the betting account.</w:t>
      </w:r>
    </w:p>
    <w:p>
      <w:pPr>
        <w:pStyle w:val="Penstart"/>
      </w:pPr>
      <w:r>
        <w:tab/>
        <w:t>Penalty for this subregulation: for an individual or a body corporate, a fine of $1 000.</w:t>
      </w:r>
    </w:p>
    <w:p>
      <w:pPr>
        <w:pStyle w:val="Footnotesection"/>
      </w:pPr>
      <w:bookmarkStart w:id="108" w:name="_Toc189143608"/>
      <w:bookmarkStart w:id="109" w:name="_Toc189143778"/>
      <w:r>
        <w:tab/>
        <w:t>[Regulation 77H inserted: SL 2025/30 r. 4.]</w:t>
      </w:r>
    </w:p>
    <w:p>
      <w:pPr>
        <w:pStyle w:val="Heading5"/>
      </w:pPr>
      <w:bookmarkStart w:id="110" w:name="_Toc189226688"/>
      <w:r>
        <w:rPr>
          <w:rStyle w:val="CharSectno"/>
        </w:rPr>
        <w:t>77I</w:t>
      </w:r>
      <w:r>
        <w:t>.</w:t>
      </w:r>
      <w:r>
        <w:tab/>
        <w:t>Betting account closure</w:t>
      </w:r>
      <w:bookmarkEnd w:id="108"/>
      <w:bookmarkEnd w:id="109"/>
      <w:bookmarkEnd w:id="110"/>
    </w:p>
    <w:p>
      <w:pPr>
        <w:pStyle w:val="Subsection"/>
      </w:pPr>
      <w:r>
        <w:tab/>
      </w:r>
      <w:r>
        <w:tab/>
        <w:t xml:space="preserve">If an account holder requests that the provider close their betting account, the provider must — </w:t>
      </w:r>
    </w:p>
    <w:p>
      <w:pPr>
        <w:pStyle w:val="Indenta"/>
      </w:pPr>
      <w:r>
        <w:tab/>
        <w:t>(a)</w:t>
      </w:r>
      <w:r>
        <w:tab/>
        <w:t>immediately cease to accept new bets from the holder; and</w:t>
      </w:r>
    </w:p>
    <w:p>
      <w:pPr>
        <w:pStyle w:val="Indenta"/>
        <w:keepNext/>
      </w:pPr>
      <w:r>
        <w:lastRenderedPageBreak/>
        <w:tab/>
        <w:t>(b)</w:t>
      </w:r>
      <w:r>
        <w:tab/>
        <w:t>close the betting account as soon as practicable after any existing bet is settled.</w:t>
      </w:r>
    </w:p>
    <w:p>
      <w:pPr>
        <w:pStyle w:val="Penstart"/>
      </w:pPr>
      <w:r>
        <w:tab/>
        <w:t>Penalty: for an individual or a body corporate, a fine of $1 000.</w:t>
      </w:r>
    </w:p>
    <w:p>
      <w:pPr>
        <w:pStyle w:val="Footnotesection"/>
      </w:pPr>
      <w:bookmarkStart w:id="111" w:name="_Toc189143609"/>
      <w:bookmarkStart w:id="112" w:name="_Toc189143779"/>
      <w:r>
        <w:tab/>
        <w:t>[Regulation 77I inserted: SL 2025/30 r. 4.]</w:t>
      </w:r>
    </w:p>
    <w:p>
      <w:pPr>
        <w:pStyle w:val="Heading5"/>
      </w:pPr>
      <w:bookmarkStart w:id="113" w:name="_Toc189226689"/>
      <w:r>
        <w:rPr>
          <w:rStyle w:val="CharSectno"/>
        </w:rPr>
        <w:t>77J</w:t>
      </w:r>
      <w:r>
        <w:t>.</w:t>
      </w:r>
      <w:r>
        <w:tab/>
        <w:t>Inducements and encouragement prohibited in relation to closing betting accounts</w:t>
      </w:r>
      <w:bookmarkEnd w:id="111"/>
      <w:bookmarkEnd w:id="112"/>
      <w:bookmarkEnd w:id="113"/>
    </w:p>
    <w:p>
      <w:pPr>
        <w:pStyle w:val="Subsection"/>
      </w:pPr>
      <w:r>
        <w:tab/>
        <w:t>(1)</w:t>
      </w:r>
      <w:r>
        <w:tab/>
        <w:t xml:space="preserve">If an account holder asks the provider to close their betting account, the provider must not — </w:t>
      </w:r>
    </w:p>
    <w:p>
      <w:pPr>
        <w:pStyle w:val="Indenta"/>
      </w:pPr>
      <w:r>
        <w:tab/>
        <w:t>(a)</w:t>
      </w:r>
      <w:r>
        <w:tab/>
        <w:t>offer any credit, voucher, reward or other benefit as an inducement for the holder to not close their betting account; or</w:t>
      </w:r>
    </w:p>
    <w:p>
      <w:pPr>
        <w:pStyle w:val="Indenta"/>
      </w:pPr>
      <w:r>
        <w:tab/>
        <w:t>(b)</w:t>
      </w:r>
      <w:r>
        <w:tab/>
        <w:t>encourage the holder to not close their betting account.</w:t>
      </w:r>
    </w:p>
    <w:p>
      <w:pPr>
        <w:pStyle w:val="Penstart"/>
      </w:pPr>
      <w:r>
        <w:tab/>
        <w:t>Penalty for this subregulation: for an individual or a body corporate, a fine of $1 000.</w:t>
      </w:r>
    </w:p>
    <w:p>
      <w:pPr>
        <w:pStyle w:val="Subsection"/>
      </w:pPr>
      <w:r>
        <w:tab/>
        <w:t>(2)</w:t>
      </w:r>
      <w:r>
        <w:tab/>
        <w:t xml:space="preserve">The provider does not contravene subregulation (1) if the provider merely — </w:t>
      </w:r>
    </w:p>
    <w:p>
      <w:pPr>
        <w:pStyle w:val="Indenta"/>
      </w:pPr>
      <w:r>
        <w:tab/>
        <w:t>(a)</w:t>
      </w:r>
      <w:r>
        <w:tab/>
        <w:t>explains to the account holder the consequences of closing the betting account; and</w:t>
      </w:r>
    </w:p>
    <w:p>
      <w:pPr>
        <w:pStyle w:val="Indenta"/>
      </w:pPr>
      <w:r>
        <w:tab/>
        <w:t>(b)</w:t>
      </w:r>
      <w:r>
        <w:tab/>
        <w:t>asks if the holder wishes to proceed with closing the betting account.</w:t>
      </w:r>
    </w:p>
    <w:p>
      <w:pPr>
        <w:pStyle w:val="Footnotesection"/>
      </w:pPr>
      <w:bookmarkStart w:id="114" w:name="_Toc189143610"/>
      <w:bookmarkStart w:id="115" w:name="_Toc189143695"/>
      <w:bookmarkStart w:id="116" w:name="_Toc189143780"/>
      <w:r>
        <w:tab/>
        <w:t>[Regulation 77J inserted: SL 2025/30 r. 4.]</w:t>
      </w:r>
    </w:p>
    <w:p>
      <w:pPr>
        <w:pStyle w:val="Heading3"/>
      </w:pPr>
      <w:bookmarkStart w:id="117" w:name="_Toc189219071"/>
      <w:bookmarkStart w:id="118" w:name="_Toc189226690"/>
      <w:r>
        <w:rPr>
          <w:rStyle w:val="CharDivNo"/>
        </w:rPr>
        <w:t>Division 4</w:t>
      </w:r>
      <w:r>
        <w:t> —</w:t>
      </w:r>
      <w:r>
        <w:rPr>
          <w:rStyle w:val="CharDivText"/>
        </w:rPr>
        <w:t> Deposit limits</w:t>
      </w:r>
      <w:bookmarkEnd w:id="114"/>
      <w:bookmarkEnd w:id="115"/>
      <w:bookmarkEnd w:id="116"/>
      <w:bookmarkEnd w:id="117"/>
      <w:bookmarkEnd w:id="118"/>
    </w:p>
    <w:p>
      <w:pPr>
        <w:pStyle w:val="Footnoteheading"/>
      </w:pPr>
      <w:bookmarkStart w:id="119" w:name="_Toc189143611"/>
      <w:bookmarkStart w:id="120" w:name="_Toc189143781"/>
      <w:r>
        <w:tab/>
        <w:t>[Heading inserted: SL 2025/30 r. 4.]</w:t>
      </w:r>
    </w:p>
    <w:p>
      <w:pPr>
        <w:pStyle w:val="Heading5"/>
      </w:pPr>
      <w:bookmarkStart w:id="121" w:name="_Toc189226691"/>
      <w:r>
        <w:rPr>
          <w:rStyle w:val="CharSectno"/>
        </w:rPr>
        <w:t>77K</w:t>
      </w:r>
      <w:r>
        <w:t>.</w:t>
      </w:r>
      <w:r>
        <w:tab/>
        <w:t>Deposit limits</w:t>
      </w:r>
      <w:bookmarkEnd w:id="119"/>
      <w:bookmarkEnd w:id="120"/>
      <w:bookmarkEnd w:id="121"/>
    </w:p>
    <w:p>
      <w:pPr>
        <w:pStyle w:val="Subsection"/>
      </w:pPr>
      <w:r>
        <w:tab/>
        <w:t>(1)</w:t>
      </w:r>
      <w:r>
        <w:tab/>
        <w:t xml:space="preserve">Before the provider establishes a betting account for a person, the provider must — </w:t>
      </w:r>
    </w:p>
    <w:p>
      <w:pPr>
        <w:pStyle w:val="Indenta"/>
      </w:pPr>
      <w:r>
        <w:tab/>
        <w:t>(a)</w:t>
      </w:r>
      <w:r>
        <w:tab/>
        <w:t>require the person to set a deposit limit for the betting account or indicate they do not wish to set a deposit limit for the betting account; and</w:t>
      </w:r>
    </w:p>
    <w:p>
      <w:pPr>
        <w:pStyle w:val="Indenta"/>
      </w:pPr>
      <w:r>
        <w:lastRenderedPageBreak/>
        <w:tab/>
        <w:t>(b)</w:t>
      </w:r>
      <w:r>
        <w:tab/>
        <w:t xml:space="preserve">if the person indicates they do not wish to set a deposit limit for the betting account — </w:t>
      </w:r>
    </w:p>
    <w:p>
      <w:pPr>
        <w:pStyle w:val="Indenti"/>
      </w:pPr>
      <w:r>
        <w:tab/>
        <w:t>(i)</w:t>
      </w:r>
      <w:r>
        <w:tab/>
        <w:t>give the person information about the benefits of setting a deposit limit for a betting account; and</w:t>
      </w:r>
    </w:p>
    <w:p>
      <w:pPr>
        <w:pStyle w:val="Indenti"/>
      </w:pPr>
      <w:r>
        <w:tab/>
        <w:t>(ii)</w:t>
      </w:r>
      <w:r>
        <w:tab/>
        <w:t>ask the person if they wish to proceed with not setting a deposit limit for the betting account.</w:t>
      </w:r>
    </w:p>
    <w:p>
      <w:pPr>
        <w:pStyle w:val="Penstart"/>
        <w:rPr>
          <w:rStyle w:val="DraftersNotes"/>
          <w:b w:val="0"/>
          <w:i w:val="0"/>
        </w:rPr>
      </w:pPr>
      <w:r>
        <w:tab/>
        <w:t>Penalty for this subregulation: for an individual or a body corporate, a fine of $1 000.</w:t>
      </w:r>
    </w:p>
    <w:p>
      <w:pPr>
        <w:pStyle w:val="Subsection"/>
      </w:pPr>
      <w:r>
        <w:tab/>
        <w:t>(2)</w:t>
      </w:r>
      <w:r>
        <w:tab/>
        <w:t>If a person sets a deposit limit for a betting account established for the person, the provider must make the betting account subject to the deposit limit.</w:t>
      </w:r>
    </w:p>
    <w:p>
      <w:pPr>
        <w:pStyle w:val="Penstart"/>
      </w:pPr>
      <w:r>
        <w:tab/>
        <w:t>Penalty for this subregulation: for an individual or a body corporate, a fine of $1 000.</w:t>
      </w:r>
    </w:p>
    <w:p>
      <w:pPr>
        <w:pStyle w:val="Subsection"/>
      </w:pPr>
      <w:r>
        <w:tab/>
        <w:t>(3)</w:t>
      </w:r>
      <w:r>
        <w:tab/>
        <w:t xml:space="preserve">The provider must not allow an account holder to deposit money into their betting account if the betting account is subject to a deposit limit and — </w:t>
      </w:r>
    </w:p>
    <w:p>
      <w:pPr>
        <w:pStyle w:val="Indenta"/>
      </w:pPr>
      <w:r>
        <w:tab/>
        <w:t>(a)</w:t>
      </w:r>
      <w:r>
        <w:tab/>
        <w:t>the deposit limit has been reached; or</w:t>
      </w:r>
    </w:p>
    <w:p>
      <w:pPr>
        <w:pStyle w:val="Indenta"/>
      </w:pPr>
      <w:r>
        <w:tab/>
        <w:t>(b)</w:t>
      </w:r>
      <w:r>
        <w:tab/>
        <w:t>the deposit limit would be exceeded if the money were deposited.</w:t>
      </w:r>
    </w:p>
    <w:p>
      <w:pPr>
        <w:pStyle w:val="Penstart"/>
      </w:pPr>
      <w:r>
        <w:tab/>
        <w:t>Penalty for this subregulation: for an individual or a body corporate, a fine of $1 000.</w:t>
      </w:r>
    </w:p>
    <w:p>
      <w:pPr>
        <w:pStyle w:val="Footnotesection"/>
      </w:pPr>
      <w:bookmarkStart w:id="122" w:name="_Toc189143612"/>
      <w:bookmarkStart w:id="123" w:name="_Toc189143782"/>
      <w:r>
        <w:tab/>
        <w:t>[Regulation 77K inserted: SL 2025/30 r. 4.]</w:t>
      </w:r>
    </w:p>
    <w:p>
      <w:pPr>
        <w:pStyle w:val="Heading5"/>
      </w:pPr>
      <w:bookmarkStart w:id="124" w:name="_Toc189226692"/>
      <w:r>
        <w:rPr>
          <w:rStyle w:val="CharSectno"/>
        </w:rPr>
        <w:t>77L</w:t>
      </w:r>
      <w:r>
        <w:t>.</w:t>
      </w:r>
      <w:r>
        <w:tab/>
        <w:t>Review of deposit limits</w:t>
      </w:r>
      <w:bookmarkEnd w:id="122"/>
      <w:bookmarkEnd w:id="123"/>
      <w:bookmarkEnd w:id="124"/>
    </w:p>
    <w:p>
      <w:pPr>
        <w:pStyle w:val="Subsection"/>
      </w:pPr>
      <w:r>
        <w:tab/>
        <w:t>(1)</w:t>
      </w:r>
      <w:r>
        <w:tab/>
        <w:t xml:space="preserve">In this regulation — </w:t>
      </w:r>
    </w:p>
    <w:p>
      <w:pPr>
        <w:pStyle w:val="Defstart"/>
      </w:pPr>
      <w:r>
        <w:tab/>
      </w:r>
      <w:r>
        <w:rPr>
          <w:rStyle w:val="CharDefText"/>
        </w:rPr>
        <w:t>relevant time</w:t>
      </w:r>
      <w:r>
        <w:t>, for asking an account holder, means at the time the holder places their first bet with the provider after each anniversary of the day on which the holder placed their first bet with the provider using their betting account;</w:t>
      </w:r>
    </w:p>
    <w:p>
      <w:pPr>
        <w:pStyle w:val="Defstart"/>
      </w:pPr>
      <w:r>
        <w:tab/>
      </w:r>
      <w:r>
        <w:rPr>
          <w:rStyle w:val="CharDefText"/>
        </w:rPr>
        <w:t>relevant way</w:t>
      </w:r>
      <w:r>
        <w:t xml:space="preserve">, for asking an account holder, means — </w:t>
      </w:r>
    </w:p>
    <w:p>
      <w:pPr>
        <w:pStyle w:val="Defpara"/>
      </w:pPr>
      <w:r>
        <w:tab/>
        <w:t>(a)</w:t>
      </w:r>
      <w:r>
        <w:tab/>
        <w:t>if the holder is placing their bet using a telephone — by telephone; or</w:t>
      </w:r>
    </w:p>
    <w:p>
      <w:pPr>
        <w:pStyle w:val="Defpara"/>
      </w:pPr>
      <w:r>
        <w:lastRenderedPageBreak/>
        <w:tab/>
        <w:t>(b)</w:t>
      </w:r>
      <w:r>
        <w:tab/>
        <w:t>if the holder is placing their bet using another means — in writing using that other means.</w:t>
      </w:r>
    </w:p>
    <w:p>
      <w:pPr>
        <w:pStyle w:val="Subsection"/>
      </w:pPr>
      <w:r>
        <w:tab/>
        <w:t>(2)</w:t>
      </w:r>
      <w:r>
        <w:tab/>
        <w:t>The provider must, at the relevant time and in the relevant way, ask an account holder whether the holder wishes to set a deposit limit or change the deposit limit (as the case may be) for the holder’s betting account.</w:t>
      </w:r>
    </w:p>
    <w:p>
      <w:pPr>
        <w:pStyle w:val="Penstart"/>
      </w:pPr>
      <w:r>
        <w:tab/>
        <w:t>Penalty for this subregulation: for an individual or a body corporate, a fine of $1 000.</w:t>
      </w:r>
    </w:p>
    <w:p>
      <w:pPr>
        <w:pStyle w:val="Subsection"/>
      </w:pPr>
      <w:r>
        <w:tab/>
        <w:t>(3)</w:t>
      </w:r>
      <w:r>
        <w:tab/>
        <w:t>Subregulation (2) does not apply if the account holder has not used their betting account to place a bet within the previous 12 months.</w:t>
      </w:r>
    </w:p>
    <w:p>
      <w:pPr>
        <w:pStyle w:val="Footnotesection"/>
      </w:pPr>
      <w:bookmarkStart w:id="125" w:name="_Toc189143613"/>
      <w:bookmarkStart w:id="126" w:name="_Toc189143783"/>
      <w:r>
        <w:tab/>
        <w:t>[Regulation 77L inserted: SL 2025/30 r. 4.]</w:t>
      </w:r>
    </w:p>
    <w:p>
      <w:pPr>
        <w:pStyle w:val="Heading5"/>
      </w:pPr>
      <w:bookmarkStart w:id="127" w:name="_Toc189226693"/>
      <w:r>
        <w:rPr>
          <w:rStyle w:val="CharSectno"/>
        </w:rPr>
        <w:t>77M</w:t>
      </w:r>
      <w:r>
        <w:t>.</w:t>
      </w:r>
      <w:r>
        <w:tab/>
        <w:t>Process for account holder to set or change deposit limit</w:t>
      </w:r>
      <w:bookmarkEnd w:id="125"/>
      <w:bookmarkEnd w:id="126"/>
      <w:bookmarkEnd w:id="127"/>
    </w:p>
    <w:p>
      <w:pPr>
        <w:pStyle w:val="Subsection"/>
      </w:pPr>
      <w:r>
        <w:tab/>
        <w:t>(1)</w:t>
      </w:r>
      <w:r>
        <w:tab/>
        <w:t>The provider must ensure that the process for an account holder to set or change the deposit limit to which their betting account is subject is simple and easy for a reasonable person to use.</w:t>
      </w:r>
    </w:p>
    <w:p>
      <w:pPr>
        <w:pStyle w:val="Penstart"/>
      </w:pPr>
      <w:r>
        <w:tab/>
        <w:t>Penalty for this subregulation: for an individual or a body corporate, a fine of $1 000.</w:t>
      </w:r>
    </w:p>
    <w:p>
      <w:pPr>
        <w:pStyle w:val="Subsection"/>
      </w:pPr>
      <w:r>
        <w:tab/>
        <w:t>(2)</w:t>
      </w:r>
      <w:r>
        <w:tab/>
        <w:t xml:space="preserve">The provider must ensure that the process for an account holder to set or change the deposit limit to which their betting account is subject — </w:t>
      </w:r>
    </w:p>
    <w:p>
      <w:pPr>
        <w:pStyle w:val="Indenta"/>
      </w:pPr>
      <w:r>
        <w:tab/>
        <w:t>(a)</w:t>
      </w:r>
      <w:r>
        <w:tab/>
        <w:t xml:space="preserve">allows the holder to choose the duration for which the deposit limit applies from at least 2 options offered by the provider, including, for example, the following — </w:t>
      </w:r>
    </w:p>
    <w:p>
      <w:pPr>
        <w:pStyle w:val="Indenti"/>
      </w:pPr>
      <w:r>
        <w:tab/>
        <w:t>(i)</w:t>
      </w:r>
      <w:r>
        <w:tab/>
        <w:t>1 day;</w:t>
      </w:r>
    </w:p>
    <w:p>
      <w:pPr>
        <w:pStyle w:val="Indenti"/>
      </w:pPr>
      <w:r>
        <w:tab/>
        <w:t>(ii)</w:t>
      </w:r>
      <w:r>
        <w:tab/>
        <w:t>1 week;</w:t>
      </w:r>
    </w:p>
    <w:p>
      <w:pPr>
        <w:pStyle w:val="Indenti"/>
      </w:pPr>
      <w:r>
        <w:tab/>
        <w:t>(iii)</w:t>
      </w:r>
      <w:r>
        <w:tab/>
        <w:t>1 fortnight;</w:t>
      </w:r>
    </w:p>
    <w:p>
      <w:pPr>
        <w:pStyle w:val="Indenti"/>
      </w:pPr>
      <w:r>
        <w:tab/>
        <w:t>(iv)</w:t>
      </w:r>
      <w:r>
        <w:tab/>
        <w:t>1 month;</w:t>
      </w:r>
    </w:p>
    <w:p>
      <w:pPr>
        <w:pStyle w:val="Indenta"/>
      </w:pPr>
      <w:r>
        <w:tab/>
      </w:r>
      <w:r>
        <w:tab/>
        <w:t>and</w:t>
      </w:r>
    </w:p>
    <w:p>
      <w:pPr>
        <w:pStyle w:val="Indenta"/>
      </w:pPr>
      <w:r>
        <w:tab/>
        <w:t>(b)</w:t>
      </w:r>
      <w:r>
        <w:tab/>
        <w:t>does not allow the holder to choose a duration for which the deposit limit applies of more than 1 month; and</w:t>
      </w:r>
    </w:p>
    <w:p>
      <w:pPr>
        <w:pStyle w:val="Indenta"/>
      </w:pPr>
      <w:r>
        <w:lastRenderedPageBreak/>
        <w:tab/>
        <w:t>(c)</w:t>
      </w:r>
      <w:r>
        <w:tab/>
        <w:t>allows the holder to set or change the deposit limit themselves by any means by which the holder may use the betting account to place a bet; and</w:t>
      </w:r>
    </w:p>
    <w:p>
      <w:pPr>
        <w:pStyle w:val="Indenta"/>
      </w:pPr>
      <w:r>
        <w:tab/>
        <w:t>(d)</w:t>
      </w:r>
      <w:r>
        <w:tab/>
        <w:t>allows the holder to request, in person or by telephone or email, that the provider set or change the deposit limit.</w:t>
      </w:r>
    </w:p>
    <w:p>
      <w:pPr>
        <w:pStyle w:val="Penstart"/>
      </w:pPr>
      <w:r>
        <w:tab/>
        <w:t>Penalty for this subregulation: for an individual or a body corporate, a fine of $1 000.</w:t>
      </w:r>
    </w:p>
    <w:p>
      <w:pPr>
        <w:pStyle w:val="Subsection"/>
      </w:pPr>
      <w:r>
        <w:tab/>
        <w:t>(3)</w:t>
      </w:r>
      <w:r>
        <w:tab/>
        <w:t xml:space="preserve">The provider must prominently display the process for an account holder to set or change the deposit limit to which their betting account is subject — </w:t>
      </w:r>
    </w:p>
    <w:p>
      <w:pPr>
        <w:pStyle w:val="Indenta"/>
      </w:pPr>
      <w:r>
        <w:tab/>
        <w:t>(a)</w:t>
      </w:r>
      <w:r>
        <w:tab/>
        <w:t>if the provider maintains a website — on the website; and</w:t>
      </w:r>
    </w:p>
    <w:p>
      <w:pPr>
        <w:pStyle w:val="Indenta"/>
      </w:pPr>
      <w:r>
        <w:tab/>
        <w:t>(b)</w:t>
      </w:r>
      <w:r>
        <w:tab/>
        <w:t>if an account holder is able to access their betting account using the Internet — at the location on the Internet at which the holder accesses the betting account.</w:t>
      </w:r>
    </w:p>
    <w:p>
      <w:pPr>
        <w:pStyle w:val="Penstart"/>
      </w:pPr>
      <w:r>
        <w:tab/>
        <w:t>Penalty for this subregulation: for an individual or a body corporate, a fine of $1 000.</w:t>
      </w:r>
    </w:p>
    <w:p>
      <w:pPr>
        <w:pStyle w:val="Footnotesection"/>
      </w:pPr>
      <w:bookmarkStart w:id="128" w:name="_Toc189143614"/>
      <w:bookmarkStart w:id="129" w:name="_Toc189143784"/>
      <w:r>
        <w:tab/>
        <w:t>[Regulation 77M inserted: SL 2025/30 r. 4.]</w:t>
      </w:r>
    </w:p>
    <w:p>
      <w:pPr>
        <w:pStyle w:val="Heading5"/>
      </w:pPr>
      <w:bookmarkStart w:id="130" w:name="_Toc189226694"/>
      <w:r>
        <w:rPr>
          <w:rStyle w:val="CharSectno"/>
        </w:rPr>
        <w:t>77N</w:t>
      </w:r>
      <w:r>
        <w:t>.</w:t>
      </w:r>
      <w:r>
        <w:tab/>
        <w:t>Provider must give effect to changed deposit limit</w:t>
      </w:r>
      <w:bookmarkEnd w:id="128"/>
      <w:bookmarkEnd w:id="129"/>
      <w:bookmarkEnd w:id="130"/>
    </w:p>
    <w:p>
      <w:pPr>
        <w:pStyle w:val="Subsection"/>
      </w:pPr>
      <w:r>
        <w:tab/>
        <w:t>(1)</w:t>
      </w:r>
      <w:r>
        <w:tab/>
        <w:t>If an account holder requests that the provider decrease the deposit limit to which their betting account is subject, the provider must give immediate effect to the request.</w:t>
      </w:r>
    </w:p>
    <w:p>
      <w:pPr>
        <w:pStyle w:val="Penstart"/>
      </w:pPr>
      <w:r>
        <w:tab/>
        <w:t>Penalty for this subregulation: for an individual or a body corporate, a fine of $1 000.</w:t>
      </w:r>
    </w:p>
    <w:p>
      <w:pPr>
        <w:pStyle w:val="Subsection"/>
      </w:pPr>
      <w:r>
        <w:tab/>
        <w:t>(2)</w:t>
      </w:r>
      <w:r>
        <w:tab/>
        <w:t>If an account holder requests that the provider increase the deposit limit to which their betting account is subject, the provider must give effect to the request, but no earlier than 7 days after the request is made.</w:t>
      </w:r>
    </w:p>
    <w:p>
      <w:pPr>
        <w:pStyle w:val="Penstart"/>
      </w:pPr>
      <w:r>
        <w:tab/>
        <w:t>Penalty for this subregulation: for an individual or a body corporate, a fine of $1 000.</w:t>
      </w:r>
    </w:p>
    <w:p>
      <w:pPr>
        <w:pStyle w:val="Footnotesection"/>
      </w:pPr>
      <w:bookmarkStart w:id="131" w:name="_Toc189143615"/>
      <w:bookmarkStart w:id="132" w:name="_Toc189143785"/>
      <w:r>
        <w:tab/>
        <w:t>[Regulation 77N inserted: SL 2025/30 r. 4.]</w:t>
      </w:r>
    </w:p>
    <w:p>
      <w:pPr>
        <w:pStyle w:val="Heading5"/>
      </w:pPr>
      <w:bookmarkStart w:id="133" w:name="_Toc189226695"/>
      <w:r>
        <w:rPr>
          <w:rStyle w:val="CharSectno"/>
        </w:rPr>
        <w:lastRenderedPageBreak/>
        <w:t>77O</w:t>
      </w:r>
      <w:r>
        <w:t>.</w:t>
      </w:r>
      <w:r>
        <w:tab/>
        <w:t>Provider must promote availability of deposit limits</w:t>
      </w:r>
      <w:bookmarkEnd w:id="131"/>
      <w:bookmarkEnd w:id="132"/>
      <w:bookmarkEnd w:id="133"/>
    </w:p>
    <w:p>
      <w:pPr>
        <w:pStyle w:val="Subsection"/>
      </w:pPr>
      <w:r>
        <w:tab/>
      </w:r>
      <w:r>
        <w:tab/>
        <w:t xml:space="preserve">The provider must promote the availability of deposit limits for betting accounts — </w:t>
      </w:r>
    </w:p>
    <w:p>
      <w:pPr>
        <w:pStyle w:val="Indenta"/>
      </w:pPr>
      <w:r>
        <w:tab/>
        <w:t>(a)</w:t>
      </w:r>
      <w:r>
        <w:tab/>
        <w:t>on any brochure, pamphlet or other marketing material (other than an advertisement) that gives information about how to establish a betting account with the provider; and</w:t>
      </w:r>
    </w:p>
    <w:p>
      <w:pPr>
        <w:pStyle w:val="Indenta"/>
        <w:rPr>
          <w:rStyle w:val="DraftersNotes"/>
          <w:b w:val="0"/>
          <w:i w:val="0"/>
        </w:rPr>
      </w:pPr>
      <w:r>
        <w:tab/>
        <w:t>(b)</w:t>
      </w:r>
      <w:r>
        <w:tab/>
        <w:t>as part of any “welcome pack” (however described) given to an account holder upon the establishment of the holder’s betting account; and</w:t>
      </w:r>
    </w:p>
    <w:p>
      <w:pPr>
        <w:pStyle w:val="Indenta"/>
      </w:pPr>
      <w:r>
        <w:tab/>
        <w:t>(c)</w:t>
      </w:r>
      <w:r>
        <w:tab/>
        <w:t>if the provider maintains a website — on the website’s home page and any point</w:t>
      </w:r>
      <w:r>
        <w:noBreakHyphen/>
        <w:t>of</w:t>
      </w:r>
      <w:r>
        <w:noBreakHyphen/>
        <w:t>sale page; and</w:t>
      </w:r>
    </w:p>
    <w:p>
      <w:pPr>
        <w:pStyle w:val="Indenta"/>
      </w:pPr>
      <w:r>
        <w:tab/>
        <w:t>(d)</w:t>
      </w:r>
      <w:r>
        <w:tab/>
        <w:t>on any activity statement or transaction history for a betting account that the provider gives, or makes available to, the account holder under Division 5 or 6.</w:t>
      </w:r>
    </w:p>
    <w:p>
      <w:pPr>
        <w:pStyle w:val="Penstart"/>
      </w:pPr>
      <w:r>
        <w:tab/>
        <w:t>Penalty: for an individual or a body corporate, a fine of $1 000.</w:t>
      </w:r>
    </w:p>
    <w:p>
      <w:pPr>
        <w:pStyle w:val="Footnotesection"/>
      </w:pPr>
      <w:bookmarkStart w:id="134" w:name="_Toc189143616"/>
      <w:bookmarkStart w:id="135" w:name="_Toc189143701"/>
      <w:bookmarkStart w:id="136" w:name="_Toc189143786"/>
      <w:r>
        <w:tab/>
        <w:t>[Regulation 77O inserted: SL 2025/30 r. 4.]</w:t>
      </w:r>
    </w:p>
    <w:p>
      <w:pPr>
        <w:pStyle w:val="Heading3"/>
      </w:pPr>
      <w:bookmarkStart w:id="137" w:name="_Toc189219077"/>
      <w:bookmarkStart w:id="138" w:name="_Toc189226696"/>
      <w:r>
        <w:rPr>
          <w:rStyle w:val="CharDivNo"/>
        </w:rPr>
        <w:t>Division 5</w:t>
      </w:r>
      <w:r>
        <w:t> —</w:t>
      </w:r>
      <w:r>
        <w:rPr>
          <w:rStyle w:val="CharDivText"/>
        </w:rPr>
        <w:t> Activity statements</w:t>
      </w:r>
      <w:bookmarkEnd w:id="134"/>
      <w:bookmarkEnd w:id="135"/>
      <w:bookmarkEnd w:id="136"/>
      <w:bookmarkEnd w:id="137"/>
      <w:bookmarkEnd w:id="138"/>
    </w:p>
    <w:p>
      <w:pPr>
        <w:pStyle w:val="Footnoteheading"/>
      </w:pPr>
      <w:bookmarkStart w:id="139" w:name="_Toc189143617"/>
      <w:bookmarkStart w:id="140" w:name="_Toc189143787"/>
      <w:r>
        <w:tab/>
        <w:t>[Heading inserted: SL 2025/30 r. 4.]</w:t>
      </w:r>
    </w:p>
    <w:p>
      <w:pPr>
        <w:pStyle w:val="Heading5"/>
      </w:pPr>
      <w:bookmarkStart w:id="141" w:name="_Toc189226697"/>
      <w:r>
        <w:rPr>
          <w:rStyle w:val="CharSectno"/>
        </w:rPr>
        <w:t>77P</w:t>
      </w:r>
      <w:r>
        <w:t>.</w:t>
      </w:r>
      <w:r>
        <w:tab/>
        <w:t>Term used: activity statement</w:t>
      </w:r>
      <w:bookmarkEnd w:id="139"/>
      <w:bookmarkEnd w:id="140"/>
      <w:bookmarkEnd w:id="141"/>
    </w:p>
    <w:p>
      <w:pPr>
        <w:pStyle w:val="Subsection"/>
      </w:pPr>
      <w:r>
        <w:tab/>
      </w:r>
      <w:r>
        <w:tab/>
        <w:t xml:space="preserve">In this Division — </w:t>
      </w:r>
    </w:p>
    <w:p>
      <w:pPr>
        <w:pStyle w:val="Defstart"/>
      </w:pPr>
      <w:r>
        <w:tab/>
      </w:r>
      <w:r>
        <w:rPr>
          <w:rStyle w:val="CharDefText"/>
        </w:rPr>
        <w:t>activity statement</w:t>
      </w:r>
      <w:r>
        <w:t xml:space="preserve">, for a betting account, for a month, means a document about the betting account that — </w:t>
      </w:r>
    </w:p>
    <w:p>
      <w:pPr>
        <w:pStyle w:val="Indenta"/>
      </w:pPr>
      <w:r>
        <w:tab/>
        <w:t>(a)</w:t>
      </w:r>
      <w:r>
        <w:tab/>
        <w:t xml:space="preserve">sets out the following for the month — </w:t>
      </w:r>
    </w:p>
    <w:p>
      <w:pPr>
        <w:pStyle w:val="Indenti"/>
      </w:pPr>
      <w:r>
        <w:tab/>
        <w:t>(i)</w:t>
      </w:r>
      <w:r>
        <w:tab/>
        <w:t>the amount spent;</w:t>
      </w:r>
    </w:p>
    <w:p>
      <w:pPr>
        <w:pStyle w:val="Indenti"/>
      </w:pPr>
      <w:r>
        <w:tab/>
        <w:t>(ii)</w:t>
      </w:r>
      <w:r>
        <w:tab/>
        <w:t>the number of bets placed;</w:t>
      </w:r>
    </w:p>
    <w:p>
      <w:pPr>
        <w:pStyle w:val="Indenti"/>
      </w:pPr>
      <w:r>
        <w:tab/>
        <w:t>(iii)</w:t>
      </w:r>
      <w:r>
        <w:tab/>
        <w:t>the wins and losses;</w:t>
      </w:r>
    </w:p>
    <w:p>
      <w:pPr>
        <w:pStyle w:val="Indenti"/>
      </w:pPr>
      <w:r>
        <w:tab/>
        <w:t>(iv)</w:t>
      </w:r>
      <w:r>
        <w:tab/>
        <w:t>the overall net win/loss;</w:t>
      </w:r>
    </w:p>
    <w:p>
      <w:pPr>
        <w:pStyle w:val="Indenti"/>
      </w:pPr>
      <w:r>
        <w:tab/>
        <w:t>(v)</w:t>
      </w:r>
      <w:r>
        <w:tab/>
        <w:t>the opening balance and closing balance;</w:t>
      </w:r>
    </w:p>
    <w:p>
      <w:pPr>
        <w:pStyle w:val="Indenti"/>
      </w:pPr>
      <w:r>
        <w:lastRenderedPageBreak/>
        <w:tab/>
        <w:t>(vi)</w:t>
      </w:r>
      <w:r>
        <w:tab/>
        <w:t>the deposits and withdrawals;</w:t>
      </w:r>
    </w:p>
    <w:p>
      <w:pPr>
        <w:pStyle w:val="Indenta"/>
      </w:pPr>
      <w:r>
        <w:tab/>
      </w:r>
      <w:r>
        <w:tab/>
        <w:t>and</w:t>
      </w:r>
    </w:p>
    <w:p>
      <w:pPr>
        <w:pStyle w:val="Indenta"/>
      </w:pPr>
      <w:r>
        <w:tab/>
        <w:t>(b)</w:t>
      </w:r>
      <w:r>
        <w:tab/>
        <w:t xml:space="preserve">includes a column graph that illustrates — </w:t>
      </w:r>
    </w:p>
    <w:p>
      <w:pPr>
        <w:pStyle w:val="Indenti"/>
        <w:rPr>
          <w:rStyle w:val="DraftersNotes"/>
          <w:b w:val="0"/>
          <w:i w:val="0"/>
        </w:rPr>
      </w:pPr>
      <w:r>
        <w:tab/>
        <w:t>(i)</w:t>
      </w:r>
      <w:r>
        <w:tab/>
        <w:t xml:space="preserve">the total amount spent in the period of 6 months that is made up of the month and the preceding 5 months (the </w:t>
      </w:r>
      <w:r>
        <w:rPr>
          <w:rStyle w:val="CharDefText"/>
        </w:rPr>
        <w:t>6</w:t>
      </w:r>
      <w:r>
        <w:rPr>
          <w:rStyle w:val="CharDefText"/>
        </w:rPr>
        <w:noBreakHyphen/>
        <w:t>month period</w:t>
      </w:r>
      <w:r>
        <w:t>); and</w:t>
      </w:r>
    </w:p>
    <w:p>
      <w:pPr>
        <w:pStyle w:val="Indenti"/>
      </w:pPr>
      <w:r>
        <w:tab/>
        <w:t>(ii)</w:t>
      </w:r>
      <w:r>
        <w:tab/>
        <w:t>the overall net win/loss for the 6</w:t>
      </w:r>
      <w:r>
        <w:noBreakHyphen/>
        <w:t>month period; and</w:t>
      </w:r>
    </w:p>
    <w:p>
      <w:pPr>
        <w:pStyle w:val="Indenti"/>
      </w:pPr>
      <w:r>
        <w:tab/>
        <w:t>(iii)</w:t>
      </w:r>
      <w:r>
        <w:tab/>
        <w:t>the information referred to in subparagraphs (i) and (ii) compared to the same 6</w:t>
      </w:r>
      <w:r>
        <w:noBreakHyphen/>
        <w:t>month period in the previous year;</w:t>
      </w:r>
    </w:p>
    <w:p>
      <w:pPr>
        <w:pStyle w:val="Indenta"/>
      </w:pPr>
      <w:r>
        <w:tab/>
      </w:r>
      <w:r>
        <w:tab/>
        <w:t>and</w:t>
      </w:r>
    </w:p>
    <w:p>
      <w:pPr>
        <w:pStyle w:val="Indenta"/>
      </w:pPr>
      <w:r>
        <w:tab/>
        <w:t>(c)</w:t>
      </w:r>
      <w:r>
        <w:tab/>
        <w:t>if the activity statement is given by email — includes a link to a list of transactions for the betting account for the month; and</w:t>
      </w:r>
    </w:p>
    <w:p>
      <w:pPr>
        <w:pStyle w:val="Indenta"/>
      </w:pPr>
      <w:r>
        <w:tab/>
        <w:t>(d)</w:t>
      </w:r>
      <w:r>
        <w:tab/>
        <w:t>only uses red text or red shading to show losses; and</w:t>
      </w:r>
    </w:p>
    <w:p>
      <w:pPr>
        <w:pStyle w:val="Indenta"/>
      </w:pPr>
      <w:r>
        <w:tab/>
        <w:t>(e)</w:t>
      </w:r>
      <w:r>
        <w:tab/>
        <w:t>only uses black text to show wins; and</w:t>
      </w:r>
    </w:p>
    <w:p>
      <w:pPr>
        <w:pStyle w:val="Indenta"/>
      </w:pPr>
      <w:r>
        <w:tab/>
        <w:t>(f)</w:t>
      </w:r>
      <w:r>
        <w:tab/>
        <w:t>does not use any shading to show wins; and</w:t>
      </w:r>
    </w:p>
    <w:p>
      <w:pPr>
        <w:pStyle w:val="Indenta"/>
        <w:rPr>
          <w:rStyle w:val="DraftersNotes"/>
          <w:b w:val="0"/>
          <w:i w:val="0"/>
        </w:rPr>
      </w:pPr>
      <w:r>
        <w:tab/>
        <w:t>(g)</w:t>
      </w:r>
      <w:r>
        <w:tab/>
        <w:t>includes information, or if the activity statement is given by email, a link to information, about support services for gambling; and</w:t>
      </w:r>
    </w:p>
    <w:p>
      <w:pPr>
        <w:pStyle w:val="Indenta"/>
      </w:pPr>
      <w:r>
        <w:tab/>
        <w:t>(h)</w:t>
      </w:r>
      <w:r>
        <w:tab/>
        <w:t>includes a message that promotes consumer protection tools; and</w:t>
      </w:r>
    </w:p>
    <w:p>
      <w:pPr>
        <w:pStyle w:val="Indenta"/>
        <w:rPr>
          <w:rStyle w:val="DraftersNotes"/>
          <w:b w:val="0"/>
          <w:i w:val="0"/>
        </w:rPr>
      </w:pPr>
      <w:r>
        <w:tab/>
        <w:t>(i)</w:t>
      </w:r>
      <w:r>
        <w:tab/>
        <w:t>does not include any promotional or advertising material.</w:t>
      </w:r>
    </w:p>
    <w:p>
      <w:pPr>
        <w:pStyle w:val="PermNoteHeading"/>
      </w:pPr>
      <w:r>
        <w:tab/>
        <w:t>Examples for this definition:</w:t>
      </w:r>
    </w:p>
    <w:p>
      <w:pPr>
        <w:pStyle w:val="PermNoteText"/>
      </w:pPr>
      <w:r>
        <w:tab/>
      </w:r>
      <w:r>
        <w:tab/>
        <w:t>For the purposes of paragraph (h), examples of consumer protection tools are —</w:t>
      </w:r>
    </w:p>
    <w:p>
      <w:pPr>
        <w:pStyle w:val="PermNotePara"/>
      </w:pPr>
      <w:r>
        <w:tab/>
        <w:t>(a)</w:t>
      </w:r>
      <w:r>
        <w:tab/>
        <w:t>a self</w:t>
      </w:r>
      <w:r>
        <w:noBreakHyphen/>
        <w:t>exclusion register;</w:t>
      </w:r>
    </w:p>
    <w:p>
      <w:pPr>
        <w:pStyle w:val="PermNotePara"/>
      </w:pPr>
      <w:r>
        <w:tab/>
        <w:t>(b)</w:t>
      </w:r>
      <w:r>
        <w:tab/>
        <w:t>a deposit limit on a betting account.</w:t>
      </w:r>
    </w:p>
    <w:p>
      <w:pPr>
        <w:pStyle w:val="Footnotesection"/>
      </w:pPr>
      <w:bookmarkStart w:id="142" w:name="_Toc189143618"/>
      <w:bookmarkStart w:id="143" w:name="_Toc189143788"/>
      <w:r>
        <w:tab/>
        <w:t>[Regulation 77P inserted: SL 2025/30 r. 4.]</w:t>
      </w:r>
    </w:p>
    <w:p>
      <w:pPr>
        <w:pStyle w:val="Heading5"/>
      </w:pPr>
      <w:bookmarkStart w:id="144" w:name="_Toc189226698"/>
      <w:r>
        <w:rPr>
          <w:rStyle w:val="CharSectno"/>
        </w:rPr>
        <w:lastRenderedPageBreak/>
        <w:t>77Q</w:t>
      </w:r>
      <w:r>
        <w:t>.</w:t>
      </w:r>
      <w:r>
        <w:tab/>
        <w:t>Provider must give activity statements</w:t>
      </w:r>
      <w:bookmarkEnd w:id="142"/>
      <w:bookmarkEnd w:id="143"/>
      <w:bookmarkEnd w:id="144"/>
    </w:p>
    <w:p>
      <w:pPr>
        <w:pStyle w:val="Subsection"/>
      </w:pPr>
      <w:r>
        <w:tab/>
        <w:t>(1)</w:t>
      </w:r>
      <w:r>
        <w:tab/>
        <w:t xml:space="preserve">The provider must give an account holder who is active in a month an activity statement for their betting account for the month — </w:t>
      </w:r>
    </w:p>
    <w:p>
      <w:pPr>
        <w:pStyle w:val="Indenta"/>
      </w:pPr>
      <w:r>
        <w:tab/>
        <w:t>(a)</w:t>
      </w:r>
      <w:r>
        <w:tab/>
        <w:t>if the holder accesses their betting account using the Internet — by email within 7 days after the month ends; or</w:t>
      </w:r>
    </w:p>
    <w:p>
      <w:pPr>
        <w:pStyle w:val="Indenta"/>
      </w:pPr>
      <w:r>
        <w:tab/>
        <w:t>(b)</w:t>
      </w:r>
      <w:r>
        <w:tab/>
        <w:t>otherwise — by email or post within 7 days after the month ends.</w:t>
      </w:r>
    </w:p>
    <w:p>
      <w:pPr>
        <w:pStyle w:val="Penstart"/>
      </w:pPr>
      <w:r>
        <w:tab/>
        <w:t>Penalty for this subregulation: for an individual or a body corporate, a fine of $1 000.</w:t>
      </w:r>
    </w:p>
    <w:p>
      <w:pPr>
        <w:pStyle w:val="Subsection"/>
      </w:pPr>
      <w:r>
        <w:tab/>
        <w:t>(2)</w:t>
      </w:r>
      <w:r>
        <w:tab/>
        <w:t>The provider must not give an account holder an activity statement for their betting account for a month if the holder is not active in that month.</w:t>
      </w:r>
    </w:p>
    <w:p>
      <w:pPr>
        <w:pStyle w:val="Penstart"/>
      </w:pPr>
      <w:r>
        <w:tab/>
        <w:t>Penalty for this subregulation: for an individual or a body corporate, a fine of $1 000.</w:t>
      </w:r>
    </w:p>
    <w:p>
      <w:pPr>
        <w:pStyle w:val="Subsection"/>
      </w:pPr>
      <w:r>
        <w:tab/>
        <w:t>(3)</w:t>
      </w:r>
      <w:r>
        <w:tab/>
        <w:t>For the purposes of subregulations (1) and (2), an account holder is active in a month if the holder has made at least 1 transaction in their betting account during the month.</w:t>
      </w:r>
    </w:p>
    <w:p>
      <w:pPr>
        <w:pStyle w:val="Footnotesection"/>
      </w:pPr>
      <w:bookmarkStart w:id="145" w:name="_Toc189143619"/>
      <w:bookmarkStart w:id="146" w:name="_Toc189143789"/>
      <w:r>
        <w:tab/>
        <w:t>[Regulation 77Q inserted: SL 2025/30 r. 4.]</w:t>
      </w:r>
    </w:p>
    <w:p>
      <w:pPr>
        <w:pStyle w:val="Heading5"/>
      </w:pPr>
      <w:bookmarkStart w:id="147" w:name="_Toc189226699"/>
      <w:r>
        <w:rPr>
          <w:rStyle w:val="CharSectno"/>
        </w:rPr>
        <w:t>77R</w:t>
      </w:r>
      <w:r>
        <w:t>.</w:t>
      </w:r>
      <w:r>
        <w:tab/>
        <w:t>Provider must make available and give copies of activity statements</w:t>
      </w:r>
      <w:bookmarkEnd w:id="145"/>
      <w:bookmarkEnd w:id="146"/>
      <w:bookmarkEnd w:id="147"/>
    </w:p>
    <w:p>
      <w:pPr>
        <w:pStyle w:val="Subsection"/>
      </w:pPr>
      <w:r>
        <w:tab/>
        <w:t>(1)</w:t>
      </w:r>
      <w:r>
        <w:tab/>
        <w:t>If an account holder accesses their betting account using the Internet, the provider must make all activity statements for the betting account easily available to be viewed at any time through the betting account.</w:t>
      </w:r>
    </w:p>
    <w:p>
      <w:pPr>
        <w:pStyle w:val="Penstart"/>
      </w:pPr>
      <w:r>
        <w:tab/>
        <w:t>Penalty for this subregulation: for an individual or a body corporate, a fine of $1 000.</w:t>
      </w:r>
    </w:p>
    <w:p>
      <w:pPr>
        <w:pStyle w:val="Subsection"/>
      </w:pPr>
      <w:r>
        <w:tab/>
        <w:t>(2)</w:t>
      </w:r>
      <w:r>
        <w:tab/>
        <w:t xml:space="preserve">For the purposes of subregulation (1), an activity statement is not </w:t>
      </w:r>
      <w:r>
        <w:rPr>
          <w:bCs/>
          <w:iCs/>
        </w:rPr>
        <w:t>easily available</w:t>
      </w:r>
      <w:r>
        <w:t xml:space="preserve"> to be viewed if the account holder must </w:t>
      </w:r>
      <w:r>
        <w:lastRenderedPageBreak/>
        <w:t xml:space="preserve">enter a password to view the statement once the holder has accessed the betting account. </w:t>
      </w:r>
    </w:p>
    <w:p>
      <w:pPr>
        <w:pStyle w:val="Subsection"/>
      </w:pPr>
      <w:r>
        <w:tab/>
        <w:t>(3)</w:t>
      </w:r>
      <w:r>
        <w:tab/>
        <w:t xml:space="preserve">If an account holder requests a copy of an activity statement for their betting account, the provider must give the holder the copy — </w:t>
      </w:r>
    </w:p>
    <w:p>
      <w:pPr>
        <w:pStyle w:val="Indenta"/>
      </w:pPr>
      <w:r>
        <w:tab/>
        <w:t>(a)</w:t>
      </w:r>
      <w:r>
        <w:tab/>
        <w:t>by email within 2 days after the request; or</w:t>
      </w:r>
    </w:p>
    <w:p>
      <w:pPr>
        <w:pStyle w:val="Indenta"/>
        <w:rPr>
          <w:rStyle w:val="DraftersNotes"/>
          <w:b w:val="0"/>
          <w:i w:val="0"/>
        </w:rPr>
      </w:pPr>
      <w:r>
        <w:tab/>
        <w:t>(b)</w:t>
      </w:r>
      <w:r>
        <w:tab/>
        <w:t>by post within 7 days after the request.</w:t>
      </w:r>
    </w:p>
    <w:p>
      <w:pPr>
        <w:pStyle w:val="Penstart"/>
      </w:pPr>
      <w:r>
        <w:tab/>
        <w:t>Penalty for this subregulation: for an individual or a body corporate, a fine of $1 000.</w:t>
      </w:r>
    </w:p>
    <w:p>
      <w:pPr>
        <w:pStyle w:val="Subsection"/>
      </w:pPr>
      <w:r>
        <w:tab/>
        <w:t>(4)</w:t>
      </w:r>
      <w:r>
        <w:tab/>
        <w:t>If the provider gives the copy of the activity statement to the account holder by post, the provider may charge the holder the costs associated with the postage.</w:t>
      </w:r>
    </w:p>
    <w:p>
      <w:pPr>
        <w:pStyle w:val="Footnotesection"/>
      </w:pPr>
      <w:bookmarkStart w:id="148" w:name="_Toc189143620"/>
      <w:bookmarkStart w:id="149" w:name="_Toc189143790"/>
      <w:r>
        <w:tab/>
        <w:t>[Regulation 77R inserted: SL 2025/30 r. 4.]</w:t>
      </w:r>
    </w:p>
    <w:p>
      <w:pPr>
        <w:pStyle w:val="Heading5"/>
      </w:pPr>
      <w:bookmarkStart w:id="150" w:name="_Toc189226700"/>
      <w:r>
        <w:rPr>
          <w:rStyle w:val="CharSectno"/>
        </w:rPr>
        <w:t>77S</w:t>
      </w:r>
      <w:r>
        <w:t>.</w:t>
      </w:r>
      <w:r>
        <w:tab/>
        <w:t>Form of activity statements</w:t>
      </w:r>
      <w:bookmarkEnd w:id="148"/>
      <w:bookmarkEnd w:id="149"/>
      <w:bookmarkEnd w:id="150"/>
    </w:p>
    <w:p>
      <w:pPr>
        <w:pStyle w:val="Subsection"/>
      </w:pPr>
      <w:r>
        <w:tab/>
      </w:r>
      <w:r>
        <w:tab/>
        <w:t>The provider must ensure that an activity statement is written in a way that is simple and easy for a reasonable person to understand.</w:t>
      </w:r>
    </w:p>
    <w:p>
      <w:pPr>
        <w:pStyle w:val="Penstart"/>
      </w:pPr>
      <w:r>
        <w:tab/>
        <w:t>Penalty: for an individual or a body corporate, a fine of $1 000.</w:t>
      </w:r>
    </w:p>
    <w:p>
      <w:pPr>
        <w:pStyle w:val="Footnotesection"/>
      </w:pPr>
      <w:bookmarkStart w:id="151" w:name="_Toc189143621"/>
      <w:bookmarkStart w:id="152" w:name="_Toc189143706"/>
      <w:bookmarkStart w:id="153" w:name="_Toc189143791"/>
      <w:r>
        <w:tab/>
        <w:t>[Regulation 77S inserted: SL 2025/30 r. 4.]</w:t>
      </w:r>
    </w:p>
    <w:p>
      <w:pPr>
        <w:pStyle w:val="Heading3"/>
      </w:pPr>
      <w:bookmarkStart w:id="154" w:name="_Toc189219082"/>
      <w:bookmarkStart w:id="155" w:name="_Toc189226701"/>
      <w:r>
        <w:rPr>
          <w:rStyle w:val="CharDivNo"/>
        </w:rPr>
        <w:t>Division 6 </w:t>
      </w:r>
      <w:r>
        <w:t>—</w:t>
      </w:r>
      <w:r>
        <w:rPr>
          <w:rStyle w:val="CharDivText"/>
        </w:rPr>
        <w:t> Transaction histories</w:t>
      </w:r>
      <w:bookmarkEnd w:id="151"/>
      <w:bookmarkEnd w:id="152"/>
      <w:bookmarkEnd w:id="153"/>
      <w:bookmarkEnd w:id="154"/>
      <w:bookmarkEnd w:id="155"/>
    </w:p>
    <w:p>
      <w:pPr>
        <w:pStyle w:val="Footnoteheading"/>
      </w:pPr>
      <w:bookmarkStart w:id="156" w:name="_Toc189143622"/>
      <w:bookmarkStart w:id="157" w:name="_Toc189143792"/>
      <w:r>
        <w:tab/>
        <w:t>[Heading inserted: SL 2025/30 r. 4.]</w:t>
      </w:r>
    </w:p>
    <w:p>
      <w:pPr>
        <w:pStyle w:val="Heading5"/>
      </w:pPr>
      <w:bookmarkStart w:id="158" w:name="_Toc189226702"/>
      <w:r>
        <w:rPr>
          <w:rStyle w:val="CharSectno"/>
        </w:rPr>
        <w:t>77T</w:t>
      </w:r>
      <w:r>
        <w:t>.</w:t>
      </w:r>
      <w:r>
        <w:tab/>
        <w:t>Provider must make transaction histories available to account holders who use Internet</w:t>
      </w:r>
      <w:bookmarkEnd w:id="156"/>
      <w:bookmarkEnd w:id="157"/>
      <w:bookmarkEnd w:id="158"/>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a period is specified by the account holder — that period; or</w:t>
      </w:r>
    </w:p>
    <w:p>
      <w:pPr>
        <w:pStyle w:val="Defpara"/>
        <w:rPr>
          <w:rStyle w:val="DraftersNotes"/>
          <w:b w:val="0"/>
          <w:i w:val="0"/>
        </w:rPr>
      </w:pPr>
      <w:r>
        <w:lastRenderedPageBreak/>
        <w:tab/>
        <w:t>(b)</w:t>
      </w:r>
      <w:r>
        <w:tab/>
        <w:t>otherwise — the period beginning on the day on which the betting account was established and ending at the time at which the transaction history is being viewed.</w:t>
      </w:r>
    </w:p>
    <w:p>
      <w:pPr>
        <w:pStyle w:val="Subsection"/>
        <w:rPr>
          <w:rStyle w:val="DraftersNotes"/>
          <w:b w:val="0"/>
          <w:i w:val="0"/>
        </w:rPr>
      </w:pPr>
      <w:r>
        <w:tab/>
        <w:t>(2)</w:t>
      </w:r>
      <w:r>
        <w:tab/>
        <w:t xml:space="preserve">If an account holder accesses their betting account using the Internet, the provider must make a list of transactions (a </w:t>
      </w:r>
      <w:r>
        <w:rPr>
          <w:rStyle w:val="CharDefText"/>
        </w:rPr>
        <w:t>transaction history</w:t>
      </w:r>
      <w:r>
        <w:t>) for the betting account for the relevant period easily available to be viewed at any time through the betting account.</w:t>
      </w:r>
    </w:p>
    <w:p>
      <w:pPr>
        <w:pStyle w:val="Penstart"/>
      </w:pPr>
      <w:r>
        <w:tab/>
        <w:t>Penalty for this subregulation: for an individual or a body corporate, a fine of $1 000.</w:t>
      </w:r>
    </w:p>
    <w:p>
      <w:pPr>
        <w:pStyle w:val="Subsection"/>
      </w:pPr>
      <w:r>
        <w:tab/>
        <w:t>(3)</w:t>
      </w:r>
      <w:r>
        <w:tab/>
        <w:t>For the purposes of subregulation (2), a transaction history is not easily available to be viewed if the account holder must enter a password to view the history once the holder has accessed the betting account.</w:t>
      </w:r>
    </w:p>
    <w:p>
      <w:pPr>
        <w:pStyle w:val="Subsection"/>
      </w:pPr>
      <w:r>
        <w:tab/>
        <w:t>(4)</w:t>
      </w:r>
      <w:r>
        <w:tab/>
        <w:t>Nothing in this regulation requires the provider to provide a transaction history for a period that begins more than 7 years before the time at which the transaction history is being viewed.</w:t>
      </w:r>
    </w:p>
    <w:p>
      <w:pPr>
        <w:pStyle w:val="Footnotesection"/>
      </w:pPr>
      <w:bookmarkStart w:id="159" w:name="_Toc189143623"/>
      <w:bookmarkStart w:id="160" w:name="_Toc189143793"/>
      <w:r>
        <w:tab/>
        <w:t>[Regulation 77T inserted: SL 2025/30 r. 4.]</w:t>
      </w:r>
    </w:p>
    <w:p>
      <w:pPr>
        <w:pStyle w:val="Heading5"/>
      </w:pPr>
      <w:bookmarkStart w:id="161" w:name="_Toc189226703"/>
      <w:r>
        <w:rPr>
          <w:rStyle w:val="CharSectno"/>
        </w:rPr>
        <w:t>77U</w:t>
      </w:r>
      <w:r>
        <w:t>.</w:t>
      </w:r>
      <w:r>
        <w:tab/>
        <w:t>Provider must give transaction histories on request to relevant persons</w:t>
      </w:r>
      <w:bookmarkEnd w:id="159"/>
      <w:bookmarkEnd w:id="160"/>
      <w:bookmarkEnd w:id="161"/>
    </w:p>
    <w:p>
      <w:pPr>
        <w:pStyle w:val="Subsection"/>
      </w:pPr>
      <w:r>
        <w:tab/>
        <w:t>(1)</w:t>
      </w:r>
      <w:r>
        <w:tab/>
        <w:t xml:space="preserve">In this regulation — </w:t>
      </w:r>
    </w:p>
    <w:p>
      <w:pPr>
        <w:pStyle w:val="Defstart"/>
      </w:pPr>
      <w:r>
        <w:tab/>
      </w:r>
      <w:r>
        <w:rPr>
          <w:rStyle w:val="CharDefText"/>
        </w:rPr>
        <w:t>relevant period</w:t>
      </w:r>
      <w:r>
        <w:t xml:space="preserve">, for a betting account, means — </w:t>
      </w:r>
    </w:p>
    <w:p>
      <w:pPr>
        <w:pStyle w:val="Defpara"/>
      </w:pPr>
      <w:r>
        <w:tab/>
        <w:t>(a)</w:t>
      </w:r>
      <w:r>
        <w:tab/>
        <w:t>if a period is specified by the relevant person — that period; or</w:t>
      </w:r>
    </w:p>
    <w:p>
      <w:pPr>
        <w:pStyle w:val="Defpara"/>
        <w:rPr>
          <w:rStyle w:val="DraftersNotes"/>
          <w:b w:val="0"/>
          <w:i w:val="0"/>
        </w:rPr>
      </w:pPr>
      <w:r>
        <w:tab/>
        <w:t>(b)</w:t>
      </w:r>
      <w:r>
        <w:tab/>
        <w:t>otherwise — the period beginning on the day on which the betting account was established and ending on the day of the request;</w:t>
      </w:r>
    </w:p>
    <w:p>
      <w:pPr>
        <w:pStyle w:val="Defstart"/>
      </w:pPr>
      <w:r>
        <w:tab/>
      </w:r>
      <w:r>
        <w:rPr>
          <w:rStyle w:val="CharDefText"/>
        </w:rPr>
        <w:t>relevant person</w:t>
      </w:r>
      <w:r>
        <w:t xml:space="preserve"> means — </w:t>
      </w:r>
    </w:p>
    <w:p>
      <w:pPr>
        <w:pStyle w:val="Defpara"/>
      </w:pPr>
      <w:r>
        <w:tab/>
        <w:t>(a)</w:t>
      </w:r>
      <w:r>
        <w:tab/>
        <w:t>an account holder who accesses their betting account other than by using the Internet; or</w:t>
      </w:r>
    </w:p>
    <w:p>
      <w:pPr>
        <w:pStyle w:val="Defpara"/>
      </w:pPr>
      <w:r>
        <w:lastRenderedPageBreak/>
        <w:tab/>
        <w:t>(b)</w:t>
      </w:r>
      <w:r>
        <w:tab/>
        <w:t>a person who was formerly an account holder, but whose betting account has been closed.</w:t>
      </w:r>
    </w:p>
    <w:p>
      <w:pPr>
        <w:pStyle w:val="Subsection"/>
        <w:rPr>
          <w:rStyle w:val="DraftersNotes"/>
          <w:b w:val="0"/>
          <w:i w:val="0"/>
        </w:rPr>
      </w:pPr>
      <w:r>
        <w:tab/>
        <w:t>(2)</w:t>
      </w:r>
      <w:r>
        <w:tab/>
        <w:t xml:space="preserve">If a relevant person so requests, the provider must give the person a list of transactions (a </w:t>
      </w:r>
      <w:r>
        <w:rPr>
          <w:rStyle w:val="CharDefText"/>
        </w:rPr>
        <w:t>transaction history</w:t>
      </w:r>
      <w:r>
        <w:t xml:space="preserve">) for their betting account for the relevant period by email or post within 14 days after the request. </w:t>
      </w:r>
    </w:p>
    <w:p>
      <w:pPr>
        <w:pStyle w:val="Penstart"/>
      </w:pPr>
      <w:r>
        <w:tab/>
        <w:t>Penalty for this subregulation: for an individual or a body corporate, a fine of $1 000.</w:t>
      </w:r>
    </w:p>
    <w:p>
      <w:pPr>
        <w:pStyle w:val="Subsection"/>
      </w:pPr>
      <w:r>
        <w:tab/>
        <w:t>(3)</w:t>
      </w:r>
      <w:r>
        <w:tab/>
        <w:t>Nothing in this regulation requires the provider to provide a transaction history for a period that begins more than 7 years before the request.</w:t>
      </w:r>
    </w:p>
    <w:p>
      <w:pPr>
        <w:pStyle w:val="Footnotesection"/>
      </w:pPr>
      <w:bookmarkStart w:id="162" w:name="_Toc189143624"/>
      <w:bookmarkStart w:id="163" w:name="_Toc189143709"/>
      <w:bookmarkStart w:id="164" w:name="_Toc189143794"/>
      <w:r>
        <w:tab/>
        <w:t>[Regulation 77U inserted: SL 2025/30 r. 4.]</w:t>
      </w:r>
    </w:p>
    <w:p>
      <w:pPr>
        <w:pStyle w:val="Heading3"/>
      </w:pPr>
      <w:bookmarkStart w:id="165" w:name="_Toc189219085"/>
      <w:bookmarkStart w:id="166" w:name="_Toc189226704"/>
      <w:r>
        <w:rPr>
          <w:rStyle w:val="CharDivNo"/>
        </w:rPr>
        <w:t>Division 7</w:t>
      </w:r>
      <w:r>
        <w:t> —</w:t>
      </w:r>
      <w:r>
        <w:rPr>
          <w:rStyle w:val="CharDivText"/>
        </w:rPr>
        <w:t> Consistent gambling messaging</w:t>
      </w:r>
      <w:bookmarkEnd w:id="162"/>
      <w:bookmarkEnd w:id="163"/>
      <w:bookmarkEnd w:id="164"/>
      <w:bookmarkEnd w:id="165"/>
      <w:bookmarkEnd w:id="166"/>
    </w:p>
    <w:p>
      <w:pPr>
        <w:pStyle w:val="Footnoteheading"/>
      </w:pPr>
      <w:bookmarkStart w:id="167" w:name="_Toc189143625"/>
      <w:bookmarkStart w:id="168" w:name="_Toc189143795"/>
      <w:r>
        <w:tab/>
        <w:t>[Heading inserted: SL 2025/30 r. 4.]</w:t>
      </w:r>
    </w:p>
    <w:p>
      <w:pPr>
        <w:pStyle w:val="Heading5"/>
      </w:pPr>
      <w:bookmarkStart w:id="169" w:name="_Toc189226705"/>
      <w:r>
        <w:rPr>
          <w:rStyle w:val="CharSectno"/>
        </w:rPr>
        <w:t>77V</w:t>
      </w:r>
      <w:r>
        <w:t>.</w:t>
      </w:r>
      <w:r>
        <w:tab/>
        <w:t>Commission may set out and require use of consistent gambling messaging</w:t>
      </w:r>
      <w:bookmarkEnd w:id="167"/>
      <w:bookmarkEnd w:id="168"/>
      <w:bookmarkEnd w:id="169"/>
    </w:p>
    <w:p>
      <w:pPr>
        <w:pStyle w:val="Subsection"/>
      </w:pPr>
      <w:r>
        <w:tab/>
        <w:t>(1)</w:t>
      </w:r>
      <w:r>
        <w:tab/>
        <w:t xml:space="preserve">In this regulation — </w:t>
      </w:r>
    </w:p>
    <w:p>
      <w:pPr>
        <w:pStyle w:val="Defstart"/>
      </w:pPr>
      <w:r>
        <w:tab/>
      </w:r>
      <w:r>
        <w:rPr>
          <w:rStyle w:val="CharDefText"/>
        </w:rPr>
        <w:t>consistent gambling messaging</w:t>
      </w:r>
      <w:r>
        <w:t xml:space="preserve"> means statements about the risks of, and potential harm from, gambling. </w:t>
      </w:r>
    </w:p>
    <w:p>
      <w:pPr>
        <w:pStyle w:val="Subsection"/>
      </w:pPr>
      <w:r>
        <w:tab/>
        <w:t>(2)</w:t>
      </w:r>
      <w:r>
        <w:tab/>
        <w:t xml:space="preserve">The Commission may, by notice published in the </w:t>
      </w:r>
      <w:r>
        <w:rPr>
          <w:i/>
          <w:iCs/>
        </w:rPr>
        <w:t>Gazette</w:t>
      </w:r>
      <w:r>
        <w:t xml:space="preserve"> or on the Department’s website — </w:t>
      </w:r>
    </w:p>
    <w:p>
      <w:pPr>
        <w:pStyle w:val="Indenta"/>
      </w:pPr>
      <w:r>
        <w:tab/>
        <w:t>(a)</w:t>
      </w:r>
      <w:r>
        <w:tab/>
        <w:t>set out consistent gambling messaging; and</w:t>
      </w:r>
    </w:p>
    <w:p>
      <w:pPr>
        <w:pStyle w:val="Indenta"/>
        <w:rPr>
          <w:rStyle w:val="DraftersNotes"/>
          <w:b w:val="0"/>
          <w:i w:val="0"/>
        </w:rPr>
      </w:pPr>
      <w:r>
        <w:tab/>
        <w:t>(b)</w:t>
      </w:r>
      <w:r>
        <w:tab/>
        <w:t>specify the circumstances in which providers are required to use consistent gambling messaging.</w:t>
      </w:r>
    </w:p>
    <w:p>
      <w:pPr>
        <w:pStyle w:val="Subsection"/>
        <w:rPr>
          <w:rStyle w:val="DraftersNotes"/>
          <w:b w:val="0"/>
          <w:i w:val="0"/>
        </w:rPr>
      </w:pPr>
      <w:r>
        <w:tab/>
        <w:t>(3)</w:t>
      </w:r>
      <w:r>
        <w:tab/>
        <w:t xml:space="preserve">In acting under subregulation (2), the Commission must have regard to — </w:t>
      </w:r>
    </w:p>
    <w:p>
      <w:pPr>
        <w:pStyle w:val="Indenta"/>
        <w:rPr>
          <w:rStyle w:val="DraftersNotes"/>
          <w:b w:val="0"/>
          <w:i w:val="0"/>
        </w:rPr>
      </w:pPr>
      <w:r>
        <w:tab/>
        <w:t>(a)</w:t>
      </w:r>
      <w:r>
        <w:tab/>
        <w:t>Part 8 of the National Consumer Protection Framework for Online Wagering in Australia — National Policy Statement; and</w:t>
      </w:r>
    </w:p>
    <w:p>
      <w:pPr>
        <w:pStyle w:val="Indenta"/>
      </w:pPr>
      <w:r>
        <w:lastRenderedPageBreak/>
        <w:tab/>
        <w:t>(b)</w:t>
      </w:r>
      <w:r>
        <w:tab/>
        <w:t>consistent gambling messaging that other States and Territories have adopted in giving effect to that Part.</w:t>
      </w:r>
    </w:p>
    <w:p>
      <w:pPr>
        <w:pStyle w:val="Footnotesection"/>
      </w:pPr>
      <w:bookmarkStart w:id="170" w:name="_Toc189143626"/>
      <w:bookmarkStart w:id="171" w:name="_Toc189143796"/>
      <w:r>
        <w:tab/>
        <w:t>[Regulation 77V inserted: SL 2025/30 r. 4.]</w:t>
      </w:r>
    </w:p>
    <w:p>
      <w:pPr>
        <w:pStyle w:val="Heading5"/>
      </w:pPr>
      <w:bookmarkStart w:id="172" w:name="_Toc189226706"/>
      <w:r>
        <w:rPr>
          <w:rStyle w:val="CharSectno"/>
        </w:rPr>
        <w:t>77W</w:t>
      </w:r>
      <w:r>
        <w:t>.</w:t>
      </w:r>
      <w:r>
        <w:tab/>
        <w:t>Provider must comply with notice published under r. 77V</w:t>
      </w:r>
      <w:bookmarkEnd w:id="170"/>
      <w:bookmarkEnd w:id="171"/>
      <w:bookmarkEnd w:id="172"/>
    </w:p>
    <w:p>
      <w:pPr>
        <w:pStyle w:val="Subsection"/>
        <w:rPr>
          <w:rStyle w:val="DraftersNotes"/>
          <w:b w:val="0"/>
          <w:i w:val="0"/>
        </w:rPr>
      </w:pPr>
      <w:r>
        <w:tab/>
      </w:r>
      <w:r>
        <w:tab/>
        <w:t>The provider must comply with any requirement that applies to the provider under a notice published by the Commission under regulation 77V(2).</w:t>
      </w:r>
    </w:p>
    <w:p>
      <w:pPr>
        <w:pStyle w:val="Penstart"/>
      </w:pPr>
      <w:r>
        <w:tab/>
        <w:t>Penalty: for an individual or a body corporate, a fine of $1 000.</w:t>
      </w:r>
    </w:p>
    <w:p>
      <w:pPr>
        <w:pStyle w:val="Footnotesection"/>
      </w:pPr>
      <w:bookmarkStart w:id="173" w:name="_Toc189143627"/>
      <w:bookmarkStart w:id="174" w:name="_Toc189143712"/>
      <w:bookmarkStart w:id="175" w:name="_Toc189143797"/>
      <w:r>
        <w:tab/>
        <w:t>[Regulation 77W inserted: SL 2025/30 r. 4.]</w:t>
      </w:r>
    </w:p>
    <w:p>
      <w:pPr>
        <w:pStyle w:val="Heading3"/>
      </w:pPr>
      <w:bookmarkStart w:id="176" w:name="_Toc189219088"/>
      <w:bookmarkStart w:id="177" w:name="_Toc189226707"/>
      <w:r>
        <w:rPr>
          <w:rStyle w:val="CharDivNo"/>
        </w:rPr>
        <w:t>Division 8</w:t>
      </w:r>
      <w:r>
        <w:t> —</w:t>
      </w:r>
      <w:r>
        <w:rPr>
          <w:rStyle w:val="CharDivText"/>
        </w:rPr>
        <w:t> Staff training</w:t>
      </w:r>
      <w:bookmarkEnd w:id="173"/>
      <w:bookmarkEnd w:id="174"/>
      <w:bookmarkEnd w:id="175"/>
      <w:bookmarkEnd w:id="176"/>
      <w:bookmarkEnd w:id="177"/>
    </w:p>
    <w:p>
      <w:pPr>
        <w:pStyle w:val="Footnoteheading"/>
      </w:pPr>
      <w:bookmarkStart w:id="178" w:name="_Toc189143628"/>
      <w:bookmarkStart w:id="179" w:name="_Toc189143798"/>
      <w:r>
        <w:tab/>
        <w:t>[Heading inserted: SL 2025/30 r. 4.]</w:t>
      </w:r>
    </w:p>
    <w:p>
      <w:pPr>
        <w:pStyle w:val="Heading5"/>
      </w:pPr>
      <w:bookmarkStart w:id="180" w:name="_Toc189226708"/>
      <w:r>
        <w:rPr>
          <w:rStyle w:val="CharSectno"/>
        </w:rPr>
        <w:t>77X</w:t>
      </w:r>
      <w:r>
        <w:t>.</w:t>
      </w:r>
      <w:r>
        <w:tab/>
        <w:t>Term used: relevant individual</w:t>
      </w:r>
      <w:bookmarkEnd w:id="178"/>
      <w:bookmarkEnd w:id="179"/>
      <w:bookmarkEnd w:id="180"/>
    </w:p>
    <w:p>
      <w:pPr>
        <w:pStyle w:val="Subsection"/>
      </w:pPr>
      <w:r>
        <w:tab/>
      </w:r>
      <w:r>
        <w:tab/>
        <w:t xml:space="preserve">In this Division — </w:t>
      </w:r>
    </w:p>
    <w:p>
      <w:pPr>
        <w:pStyle w:val="Defstart"/>
      </w:pPr>
      <w:r>
        <w:tab/>
      </w:r>
      <w:r>
        <w:rPr>
          <w:rStyle w:val="CharDefText"/>
        </w:rPr>
        <w:t>relevant individual</w:t>
      </w:r>
      <w:r>
        <w:t xml:space="preserve">, of a provider, means — </w:t>
      </w:r>
    </w:p>
    <w:p>
      <w:pPr>
        <w:pStyle w:val="Defpara"/>
      </w:pPr>
      <w:r>
        <w:tab/>
        <w:t>(a)</w:t>
      </w:r>
      <w:r>
        <w:tab/>
        <w:t>an individual who is a director, partner or employee of the provider; or</w:t>
      </w:r>
    </w:p>
    <w:p>
      <w:pPr>
        <w:pStyle w:val="Defpara"/>
      </w:pPr>
      <w:r>
        <w:tab/>
        <w:t>(b)</w:t>
      </w:r>
      <w:r>
        <w:tab/>
        <w:t xml:space="preserve">an individual, other than an individual referred to in paragraph (a), who — </w:t>
      </w:r>
    </w:p>
    <w:p>
      <w:pPr>
        <w:pStyle w:val="Defsubpara"/>
      </w:pPr>
      <w:r>
        <w:tab/>
        <w:t>(i)</w:t>
      </w:r>
      <w:r>
        <w:tab/>
        <w:t>is engaged in providing the provider’s interactive wagering services; or</w:t>
      </w:r>
    </w:p>
    <w:p>
      <w:pPr>
        <w:pStyle w:val="Defsubpara"/>
      </w:pPr>
      <w:r>
        <w:tab/>
        <w:t>(ii)</w:t>
      </w:r>
      <w:r>
        <w:tab/>
        <w:t>has the capacity to influence the provision of those services.</w:t>
      </w:r>
    </w:p>
    <w:p>
      <w:pPr>
        <w:pStyle w:val="Footnotesection"/>
      </w:pPr>
      <w:bookmarkStart w:id="181" w:name="_Toc189143629"/>
      <w:bookmarkStart w:id="182" w:name="_Toc189143799"/>
      <w:r>
        <w:tab/>
        <w:t>[Regulation 77X inserted: SL 2025/30 r. 4.]</w:t>
      </w:r>
    </w:p>
    <w:p>
      <w:pPr>
        <w:pStyle w:val="Heading5"/>
      </w:pPr>
      <w:bookmarkStart w:id="183" w:name="_Toc189226709"/>
      <w:r>
        <w:rPr>
          <w:rStyle w:val="CharSectno"/>
        </w:rPr>
        <w:t>77Y</w:t>
      </w:r>
      <w:r>
        <w:t>.</w:t>
      </w:r>
      <w:r>
        <w:tab/>
        <w:t>Provider must ensure relevant individuals receive training</w:t>
      </w:r>
      <w:bookmarkEnd w:id="181"/>
      <w:bookmarkEnd w:id="182"/>
      <w:bookmarkEnd w:id="183"/>
    </w:p>
    <w:p>
      <w:pPr>
        <w:pStyle w:val="Subsection"/>
      </w:pPr>
      <w:r>
        <w:tab/>
        <w:t>(1)</w:t>
      </w:r>
      <w:r>
        <w:tab/>
        <w:t xml:space="preserve">In this regulation — </w:t>
      </w:r>
    </w:p>
    <w:p>
      <w:pPr>
        <w:pStyle w:val="Defstart"/>
      </w:pPr>
      <w:r>
        <w:tab/>
      </w:r>
      <w:r>
        <w:rPr>
          <w:rStyle w:val="CharDefText"/>
        </w:rPr>
        <w:t>responsible gambling training</w:t>
      </w:r>
      <w:r>
        <w:t xml:space="preserve"> means training approved by the Commission under subregulation (4).</w:t>
      </w:r>
    </w:p>
    <w:p>
      <w:pPr>
        <w:pStyle w:val="Subsection"/>
      </w:pPr>
      <w:r>
        <w:lastRenderedPageBreak/>
        <w:tab/>
        <w:t>(2)</w:t>
      </w:r>
      <w:r>
        <w:tab/>
        <w:t>The provider must ensure that each relevant individual of the provider receives responsible gambling training that comprises —</w:t>
      </w:r>
    </w:p>
    <w:p>
      <w:pPr>
        <w:pStyle w:val="Indenta"/>
      </w:pPr>
      <w:r>
        <w:tab/>
        <w:t>(a)</w:t>
      </w:r>
      <w:r>
        <w:tab/>
        <w:t>initial training within 1 month after the individual becomes a relevant individual of the provider; and</w:t>
      </w:r>
    </w:p>
    <w:p>
      <w:pPr>
        <w:pStyle w:val="Indenta"/>
      </w:pPr>
      <w:r>
        <w:tab/>
        <w:t>(b)</w:t>
      </w:r>
      <w:r>
        <w:tab/>
        <w:t xml:space="preserve">refresher training within 12 months after — </w:t>
      </w:r>
    </w:p>
    <w:p>
      <w:pPr>
        <w:pStyle w:val="Indenti"/>
      </w:pPr>
      <w:r>
        <w:tab/>
        <w:t>(i)</w:t>
      </w:r>
      <w:r>
        <w:tab/>
        <w:t>the initial training; or</w:t>
      </w:r>
    </w:p>
    <w:p>
      <w:pPr>
        <w:pStyle w:val="Indenti"/>
      </w:pPr>
      <w:r>
        <w:tab/>
        <w:t>(ii)</w:t>
      </w:r>
      <w:r>
        <w:tab/>
        <w:t>for an individual who has received refresher training — the previous refresher training.</w:t>
      </w:r>
    </w:p>
    <w:p>
      <w:pPr>
        <w:pStyle w:val="Penstart"/>
      </w:pPr>
      <w:r>
        <w:tab/>
        <w:t>Penalty for this subregulation: for an individual or a body corporate, a fine of $1 000.</w:t>
      </w:r>
    </w:p>
    <w:p>
      <w:pPr>
        <w:pStyle w:val="Subsection"/>
      </w:pPr>
      <w:r>
        <w:tab/>
        <w:t>(3)</w:t>
      </w:r>
      <w:r>
        <w:tab/>
        <w:t>The provider must ensure that a relevant individual of the provider does not interact with an account holder unless the individual has received initial training under subregulation (2)(a).</w:t>
      </w:r>
    </w:p>
    <w:p>
      <w:pPr>
        <w:pStyle w:val="Penstart"/>
      </w:pPr>
      <w:r>
        <w:tab/>
        <w:t>Penalty for this subregulation: for an individual or a body corporate, a fine of $1 000.</w:t>
      </w:r>
    </w:p>
    <w:p>
      <w:pPr>
        <w:pStyle w:val="Subsection"/>
      </w:pPr>
      <w:r>
        <w:tab/>
        <w:t>(4)</w:t>
      </w:r>
      <w:r>
        <w:tab/>
        <w:t xml:space="preserve">The Commission may, by notice published in the </w:t>
      </w:r>
      <w:r>
        <w:rPr>
          <w:i/>
          <w:iCs/>
        </w:rPr>
        <w:t>Gazette</w:t>
      </w:r>
      <w:r>
        <w:t xml:space="preserve"> or on the Department’s website, approve training about responsible gambling for the purposes of this regulation.</w:t>
      </w:r>
    </w:p>
    <w:p>
      <w:pPr>
        <w:pStyle w:val="Footnotesection"/>
      </w:pPr>
      <w:bookmarkStart w:id="184" w:name="_Toc189143630"/>
      <w:bookmarkStart w:id="185" w:name="_Toc189143800"/>
      <w:r>
        <w:tab/>
        <w:t>[Regulation 77Y inserted: SL 2025/30 r. 4.]</w:t>
      </w:r>
    </w:p>
    <w:p>
      <w:pPr>
        <w:pStyle w:val="Heading5"/>
      </w:pPr>
      <w:bookmarkStart w:id="186" w:name="_Toc189226710"/>
      <w:r>
        <w:rPr>
          <w:rStyle w:val="CharSectno"/>
        </w:rPr>
        <w:t>77Z</w:t>
      </w:r>
      <w:r>
        <w:t>.</w:t>
      </w:r>
      <w:r>
        <w:tab/>
        <w:t>Provider must make and keep records of training</w:t>
      </w:r>
      <w:bookmarkEnd w:id="184"/>
      <w:bookmarkEnd w:id="185"/>
      <w:bookmarkEnd w:id="186"/>
    </w:p>
    <w:p>
      <w:pPr>
        <w:pStyle w:val="Subsection"/>
      </w:pPr>
      <w:r>
        <w:tab/>
        <w:t>(1)</w:t>
      </w:r>
      <w:r>
        <w:tab/>
        <w:t xml:space="preserve">The provider must make a record in relation to each relevant individual of the provider that — </w:t>
      </w:r>
    </w:p>
    <w:p>
      <w:pPr>
        <w:pStyle w:val="Indenta"/>
      </w:pPr>
      <w:r>
        <w:tab/>
        <w:t>(a)</w:t>
      </w:r>
      <w:r>
        <w:tab/>
        <w:t xml:space="preserve">specifies — </w:t>
      </w:r>
    </w:p>
    <w:p>
      <w:pPr>
        <w:pStyle w:val="Indenti"/>
      </w:pPr>
      <w:r>
        <w:tab/>
        <w:t>(i)</w:t>
      </w:r>
      <w:r>
        <w:tab/>
        <w:t>the date the individual became a relevant individual of the provider; and</w:t>
      </w:r>
    </w:p>
    <w:p>
      <w:pPr>
        <w:pStyle w:val="Indenti"/>
      </w:pPr>
      <w:r>
        <w:tab/>
        <w:t>(ii)</w:t>
      </w:r>
      <w:r>
        <w:tab/>
        <w:t>the training the individual has completed under regulation 77Y; and</w:t>
      </w:r>
    </w:p>
    <w:p>
      <w:pPr>
        <w:pStyle w:val="Indenti"/>
      </w:pPr>
      <w:r>
        <w:tab/>
        <w:t>(iii)</w:t>
      </w:r>
      <w:r>
        <w:tab/>
        <w:t>the date the training was completed;</w:t>
      </w:r>
    </w:p>
    <w:p>
      <w:pPr>
        <w:pStyle w:val="Indenta"/>
      </w:pPr>
      <w:r>
        <w:tab/>
      </w:r>
      <w:r>
        <w:tab/>
        <w:t>and</w:t>
      </w:r>
    </w:p>
    <w:p>
      <w:pPr>
        <w:pStyle w:val="Indenta"/>
      </w:pPr>
      <w:r>
        <w:lastRenderedPageBreak/>
        <w:tab/>
        <w:t>(b)</w:t>
      </w:r>
      <w:r>
        <w:tab/>
        <w:t>is written; and</w:t>
      </w:r>
    </w:p>
    <w:p>
      <w:pPr>
        <w:pStyle w:val="Indenta"/>
      </w:pPr>
      <w:r>
        <w:tab/>
        <w:t>(c)</w:t>
      </w:r>
      <w:r>
        <w:tab/>
        <w:t>is accurate; and</w:t>
      </w:r>
    </w:p>
    <w:p>
      <w:pPr>
        <w:pStyle w:val="Indenta"/>
      </w:pPr>
      <w:r>
        <w:tab/>
        <w:t>(d)</w:t>
      </w:r>
      <w:r>
        <w:tab/>
        <w:t>as far as practicable, is up to date; and</w:t>
      </w:r>
    </w:p>
    <w:p>
      <w:pPr>
        <w:pStyle w:val="Indenta"/>
      </w:pPr>
      <w:r>
        <w:tab/>
        <w:t>(e)</w:t>
      </w:r>
      <w:r>
        <w:tab/>
        <w:t>is kept in a form that can be reasonably inspected and copied by an authorised officer.</w:t>
      </w:r>
    </w:p>
    <w:p>
      <w:pPr>
        <w:pStyle w:val="Penstart"/>
      </w:pPr>
      <w:r>
        <w:tab/>
        <w:t>Penalty for this subregulation: for an individual or a body corporate, a fine of $1 000.</w:t>
      </w:r>
    </w:p>
    <w:p>
      <w:pPr>
        <w:pStyle w:val="Subsection"/>
      </w:pPr>
      <w:r>
        <w:tab/>
        <w:t>(2)</w:t>
      </w:r>
      <w:r>
        <w:tab/>
        <w:t>The provider must keep a record made under subregulation (1) for at least 7 years after the training to which the record relates was completed.</w:t>
      </w:r>
    </w:p>
    <w:p>
      <w:pPr>
        <w:pStyle w:val="Penstart"/>
      </w:pPr>
      <w:r>
        <w:tab/>
        <w:t>Penalty for this subregulation: for an individual or a body corporate, a fine of $1 000.</w:t>
      </w:r>
    </w:p>
    <w:p>
      <w:pPr>
        <w:pStyle w:val="Footnotesection"/>
      </w:pPr>
      <w:bookmarkStart w:id="187" w:name="_Toc189143631"/>
      <w:bookmarkStart w:id="188" w:name="_Toc189143801"/>
      <w:r>
        <w:tab/>
        <w:t>[Regulation 77Z inserted: SL 2025/30 r. 4.]</w:t>
      </w:r>
    </w:p>
    <w:p>
      <w:pPr>
        <w:pStyle w:val="Heading5"/>
      </w:pPr>
      <w:bookmarkStart w:id="189" w:name="_Toc189226711"/>
      <w:r>
        <w:rPr>
          <w:rStyle w:val="CharSectno"/>
        </w:rPr>
        <w:t>77ZA</w:t>
      </w:r>
      <w:r>
        <w:t>.</w:t>
      </w:r>
      <w:r>
        <w:tab/>
        <w:t>Provider must produce records to authorised officers</w:t>
      </w:r>
      <w:bookmarkEnd w:id="187"/>
      <w:bookmarkEnd w:id="188"/>
      <w:bookmarkEnd w:id="189"/>
    </w:p>
    <w:p>
      <w:pPr>
        <w:pStyle w:val="Subsection"/>
      </w:pPr>
      <w:r>
        <w:tab/>
        <w:t>(1)</w:t>
      </w:r>
      <w:r>
        <w:tab/>
        <w:t>An authorised officer may require the provider to produce a record made under regulation 77Z(1) to the officer for inspection and copying.</w:t>
      </w:r>
    </w:p>
    <w:p>
      <w:pPr>
        <w:pStyle w:val="Subsection"/>
      </w:pPr>
      <w:r>
        <w:tab/>
        <w:t>(2)</w:t>
      </w:r>
      <w:r>
        <w:tab/>
        <w:t>The provider must comply with a requirement made of the provider under subregulation (1).</w:t>
      </w:r>
    </w:p>
    <w:p>
      <w:pPr>
        <w:pStyle w:val="Penstart"/>
      </w:pPr>
      <w:r>
        <w:tab/>
        <w:t>Penalty for this subregulation: for an individual or a body corporate, a fine of $1 000.</w:t>
      </w:r>
    </w:p>
    <w:p>
      <w:pPr>
        <w:pStyle w:val="Footnotesection"/>
      </w:pPr>
      <w:bookmarkStart w:id="190" w:name="_Toc189143632"/>
      <w:bookmarkStart w:id="191" w:name="_Toc189143717"/>
      <w:bookmarkStart w:id="192" w:name="_Toc189143802"/>
      <w:r>
        <w:tab/>
        <w:t>[Regulation 77ZA inserted: SL 2025/30 r. 4.]</w:t>
      </w:r>
    </w:p>
    <w:p>
      <w:pPr>
        <w:pStyle w:val="Heading3"/>
      </w:pPr>
      <w:bookmarkStart w:id="193" w:name="_Toc189219093"/>
      <w:bookmarkStart w:id="194" w:name="_Toc189226712"/>
      <w:r>
        <w:rPr>
          <w:rStyle w:val="CharDivNo"/>
        </w:rPr>
        <w:t>Division 9</w:t>
      </w:r>
      <w:r>
        <w:t> —</w:t>
      </w:r>
      <w:r>
        <w:rPr>
          <w:rStyle w:val="CharDivText"/>
        </w:rPr>
        <w:t> Consumer protection plan</w:t>
      </w:r>
      <w:bookmarkEnd w:id="190"/>
      <w:bookmarkEnd w:id="191"/>
      <w:bookmarkEnd w:id="192"/>
      <w:bookmarkEnd w:id="193"/>
      <w:bookmarkEnd w:id="194"/>
    </w:p>
    <w:p>
      <w:pPr>
        <w:pStyle w:val="Footnoteheading"/>
      </w:pPr>
      <w:bookmarkStart w:id="195" w:name="_Toc189143633"/>
      <w:bookmarkStart w:id="196" w:name="_Toc189143803"/>
      <w:r>
        <w:tab/>
        <w:t>[Heading inserted: SL 2025/30 r. 4.]</w:t>
      </w:r>
    </w:p>
    <w:p>
      <w:pPr>
        <w:pStyle w:val="Heading5"/>
      </w:pPr>
      <w:bookmarkStart w:id="197" w:name="_Toc189226713"/>
      <w:r>
        <w:rPr>
          <w:rStyle w:val="CharSectno"/>
        </w:rPr>
        <w:t>77ZB</w:t>
      </w:r>
      <w:r>
        <w:t>.</w:t>
      </w:r>
      <w:r>
        <w:tab/>
        <w:t>Provider must have consumer protection plan</w:t>
      </w:r>
      <w:bookmarkEnd w:id="195"/>
      <w:bookmarkEnd w:id="196"/>
      <w:bookmarkEnd w:id="197"/>
    </w:p>
    <w:p>
      <w:pPr>
        <w:pStyle w:val="Subsection"/>
        <w:rPr>
          <w:rStyle w:val="DraftersNotes"/>
          <w:b w:val="0"/>
          <w:i w:val="0"/>
        </w:rPr>
      </w:pPr>
      <w:r>
        <w:tab/>
      </w:r>
      <w:r>
        <w:tab/>
        <w:t xml:space="preserve">The provider must develop and maintain a plan, to be called a consumer protection plan, that includes — </w:t>
      </w:r>
    </w:p>
    <w:p>
      <w:pPr>
        <w:pStyle w:val="Indenta"/>
        <w:rPr>
          <w:rStyle w:val="DraftersNotes"/>
          <w:b w:val="0"/>
          <w:i w:val="0"/>
        </w:rPr>
      </w:pPr>
      <w:r>
        <w:tab/>
        <w:t>(a)</w:t>
      </w:r>
      <w:r>
        <w:tab/>
        <w:t xml:space="preserve">a statement of the provider’s commitment to following the National Consumer Protection Framework for </w:t>
      </w:r>
      <w:r>
        <w:lastRenderedPageBreak/>
        <w:t>Online Wagering in Australia — National Policy Statement; and</w:t>
      </w:r>
    </w:p>
    <w:p>
      <w:pPr>
        <w:pStyle w:val="Indenta"/>
      </w:pPr>
      <w:r>
        <w:tab/>
        <w:t>(b)</w:t>
      </w:r>
      <w:r>
        <w:tab/>
        <w:t>a statement of the provider’s commitment to complying with this Part; and</w:t>
      </w:r>
    </w:p>
    <w:p>
      <w:pPr>
        <w:pStyle w:val="Indenta"/>
      </w:pPr>
      <w:r>
        <w:tab/>
        <w:t>(c)</w:t>
      </w:r>
      <w:r>
        <w:tab/>
        <w:t>a description of the measures and systems the provider has established to enable the provider to follow the National Consumer Protection Framework for Online Wagering in Australia — National Policy Statement and comply with this Part.</w:t>
      </w:r>
    </w:p>
    <w:p>
      <w:pPr>
        <w:pStyle w:val="Penstart"/>
      </w:pPr>
      <w:r>
        <w:tab/>
        <w:t>Penalty: for an individual or a body corporate, a fine of $1 000.</w:t>
      </w:r>
    </w:p>
    <w:p>
      <w:pPr>
        <w:pStyle w:val="Footnotesection"/>
      </w:pPr>
      <w:r>
        <w:tab/>
        <w:t>[Regulation 77ZB inserted: SL 2025/30 r. 4.]</w:t>
      </w:r>
    </w:p>
    <w:p>
      <w:pPr>
        <w:pStyle w:val="Heading2"/>
      </w:pPr>
      <w:bookmarkStart w:id="198" w:name="_Toc189219095"/>
      <w:bookmarkStart w:id="199" w:name="_Toc189226714"/>
      <w:r>
        <w:rPr>
          <w:rStyle w:val="CharPartNo"/>
        </w:rPr>
        <w:lastRenderedPageBreak/>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68"/>
      <w:bookmarkEnd w:id="198"/>
      <w:bookmarkEnd w:id="199"/>
    </w:p>
    <w:p>
      <w:pPr>
        <w:pStyle w:val="Footnoteheading"/>
      </w:pPr>
      <w:r>
        <w:tab/>
        <w:t>[Heading inserted: Gazette 21 Jul 2006 p. 2673.]</w:t>
      </w:r>
    </w:p>
    <w:p>
      <w:pPr>
        <w:pStyle w:val="Heading3"/>
      </w:pPr>
      <w:bookmarkStart w:id="200" w:name="_Toc189146279"/>
      <w:bookmarkStart w:id="201" w:name="_Toc189219096"/>
      <w:bookmarkStart w:id="202" w:name="_Toc189226715"/>
      <w:r>
        <w:rPr>
          <w:rStyle w:val="CharDivNo"/>
        </w:rPr>
        <w:t>Division 1</w:t>
      </w:r>
      <w:r>
        <w:t> — </w:t>
      </w:r>
      <w:r>
        <w:rPr>
          <w:rStyle w:val="CharDivText"/>
        </w:rPr>
        <w:t>Preliminary</w:t>
      </w:r>
      <w:bookmarkEnd w:id="200"/>
      <w:bookmarkEnd w:id="201"/>
      <w:bookmarkEnd w:id="202"/>
    </w:p>
    <w:p>
      <w:pPr>
        <w:pStyle w:val="Footnoteheading"/>
      </w:pPr>
      <w:r>
        <w:tab/>
        <w:t>[Heading inserted: Gazette 21 Jul 2006 p. 2673.]</w:t>
      </w:r>
    </w:p>
    <w:p>
      <w:pPr>
        <w:pStyle w:val="Heading5"/>
      </w:pPr>
      <w:bookmarkStart w:id="203" w:name="_Toc189226716"/>
      <w:r>
        <w:rPr>
          <w:rStyle w:val="CharSectno"/>
        </w:rPr>
        <w:t>78</w:t>
      </w:r>
      <w:r>
        <w:t>.</w:t>
      </w:r>
      <w:r>
        <w:tab/>
        <w:t>Terms used</w:t>
      </w:r>
      <w:bookmarkEnd w:id="203"/>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204" w:name="_Toc189146281"/>
      <w:bookmarkStart w:id="205" w:name="_Toc189219098"/>
      <w:bookmarkStart w:id="206" w:name="_Toc189226717"/>
      <w:r>
        <w:rPr>
          <w:rStyle w:val="CharDivNo"/>
        </w:rPr>
        <w:lastRenderedPageBreak/>
        <w:t>Division 2</w:t>
      </w:r>
      <w:r>
        <w:t> — </w:t>
      </w:r>
      <w:r>
        <w:rPr>
          <w:rStyle w:val="CharDivText"/>
        </w:rPr>
        <w:t>Betting with on</w:t>
      </w:r>
      <w:r>
        <w:rPr>
          <w:rStyle w:val="CharDivText"/>
        </w:rPr>
        <w:noBreakHyphen/>
        <w:t>course and local on</w:t>
      </w:r>
      <w:r>
        <w:rPr>
          <w:rStyle w:val="CharDivText"/>
        </w:rPr>
        <w:noBreakHyphen/>
        <w:t>course totalisators</w:t>
      </w:r>
      <w:bookmarkEnd w:id="204"/>
      <w:bookmarkEnd w:id="205"/>
      <w:bookmarkEnd w:id="206"/>
    </w:p>
    <w:p>
      <w:pPr>
        <w:pStyle w:val="Footnoteheading"/>
      </w:pPr>
      <w:r>
        <w:tab/>
        <w:t>[Heading inserted: Gazette 21 Jul 2006 p. 2674.]</w:t>
      </w:r>
    </w:p>
    <w:p>
      <w:pPr>
        <w:pStyle w:val="Heading5"/>
      </w:pPr>
      <w:bookmarkStart w:id="207" w:name="_Toc189226718"/>
      <w:r>
        <w:rPr>
          <w:rStyle w:val="CharSectno"/>
        </w:rPr>
        <w:t>79</w:t>
      </w:r>
      <w:r>
        <w:t>.</w:t>
      </w:r>
      <w:r>
        <w:tab/>
        <w:t>On</w:t>
      </w:r>
      <w:r>
        <w:noBreakHyphen/>
        <w:t>course totalisator bets accepted subject to the rules and these regulations</w:t>
      </w:r>
      <w:bookmarkEnd w:id="207"/>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lastRenderedPageBreak/>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208" w:name="_Toc189226719"/>
      <w:r>
        <w:rPr>
          <w:rStyle w:val="CharSectno"/>
        </w:rPr>
        <w:t>80</w:t>
      </w:r>
      <w:r>
        <w:t>.</w:t>
      </w:r>
      <w:r>
        <w:tab/>
        <w:t>Local on</w:t>
      </w:r>
      <w:r>
        <w:noBreakHyphen/>
        <w:t>course totalisator bets accepted subject to the rules and these regulations</w:t>
      </w:r>
      <w:bookmarkEnd w:id="208"/>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209" w:name="_Toc189226720"/>
      <w:r>
        <w:rPr>
          <w:rStyle w:val="CharSectno"/>
        </w:rPr>
        <w:t>81</w:t>
      </w:r>
      <w:r>
        <w:t>.</w:t>
      </w:r>
      <w:r>
        <w:tab/>
        <w:t>All bets to be 50 cents or multiples of 50 cents</w:t>
      </w:r>
      <w:bookmarkEnd w:id="209"/>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210" w:name="_Toc189226721"/>
      <w:r>
        <w:rPr>
          <w:rStyle w:val="CharSectno"/>
        </w:rPr>
        <w:lastRenderedPageBreak/>
        <w:t>82</w:t>
      </w:r>
      <w:r>
        <w:t>.</w:t>
      </w:r>
      <w:r>
        <w:tab/>
        <w:t>On</w:t>
      </w:r>
      <w:r>
        <w:noBreakHyphen/>
        <w:t>course totalisator dividend as declared</w:t>
      </w:r>
      <w:bookmarkEnd w:id="210"/>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211" w:name="_Toc189226722"/>
      <w:r>
        <w:rPr>
          <w:rStyle w:val="CharSectno"/>
        </w:rPr>
        <w:lastRenderedPageBreak/>
        <w:t>83</w:t>
      </w:r>
      <w:r>
        <w:t>.</w:t>
      </w:r>
      <w:r>
        <w:tab/>
        <w:t>Local on</w:t>
      </w:r>
      <w:r>
        <w:noBreakHyphen/>
        <w:t>course totalisator dividend as declared</w:t>
      </w:r>
      <w:bookmarkEnd w:id="211"/>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212" w:name="_Toc189226723"/>
      <w:r>
        <w:rPr>
          <w:rStyle w:val="CharSectno"/>
        </w:rPr>
        <w:t>84</w:t>
      </w:r>
      <w:r>
        <w:t>.</w:t>
      </w:r>
      <w:r>
        <w:tab/>
        <w:t>Bets may be refused</w:t>
      </w:r>
      <w:bookmarkEnd w:id="212"/>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lastRenderedPageBreak/>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spacing w:before="100"/>
      </w:pPr>
      <w:r>
        <w:tab/>
        <w:t>[Regulation 84 inserted: Gazette 21 Jul 2006 p. 2678.]</w:t>
      </w:r>
    </w:p>
    <w:p>
      <w:pPr>
        <w:pStyle w:val="Heading5"/>
      </w:pPr>
      <w:bookmarkStart w:id="213" w:name="_Toc189226724"/>
      <w:r>
        <w:rPr>
          <w:rStyle w:val="CharSectno"/>
        </w:rPr>
        <w:t>85</w:t>
      </w:r>
      <w:r>
        <w:t>.</w:t>
      </w:r>
      <w:r>
        <w:tab/>
        <w:t>Only authorised bets to be accepted</w:t>
      </w:r>
      <w:bookmarkEnd w:id="213"/>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214" w:name="_Toc189226725"/>
      <w:r>
        <w:rPr>
          <w:rStyle w:val="CharSectno"/>
        </w:rPr>
        <w:t>86</w:t>
      </w:r>
      <w:r>
        <w:t>.</w:t>
      </w:r>
      <w:r>
        <w:tab/>
        <w:t>Hours for opening</w:t>
      </w:r>
      <w:bookmarkEnd w:id="214"/>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215" w:name="_Toc189226726"/>
      <w:r>
        <w:rPr>
          <w:rStyle w:val="CharSectno"/>
        </w:rPr>
        <w:lastRenderedPageBreak/>
        <w:t>87</w:t>
      </w:r>
      <w:r>
        <w:t>.</w:t>
      </w:r>
      <w:r>
        <w:tab/>
        <w:t>Bets may be made by various methods</w:t>
      </w:r>
      <w:bookmarkEnd w:id="215"/>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216" w:name="_Toc189226727"/>
      <w:r>
        <w:rPr>
          <w:rStyle w:val="CharSectno"/>
        </w:rPr>
        <w:t>88</w:t>
      </w:r>
      <w:r>
        <w:t>.</w:t>
      </w:r>
      <w:r>
        <w:tab/>
        <w:t>On</w:t>
      </w:r>
      <w:r>
        <w:noBreakHyphen/>
        <w:t>course totalisator bets to be properly marked</w:t>
      </w:r>
      <w:bookmarkEnd w:id="216"/>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lastRenderedPageBreak/>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217" w:name="_Toc189226728"/>
      <w:r>
        <w:rPr>
          <w:rStyle w:val="CharSectno"/>
        </w:rPr>
        <w:t>89</w:t>
      </w:r>
      <w:r>
        <w:t>.</w:t>
      </w:r>
      <w:r>
        <w:tab/>
        <w:t>Local on</w:t>
      </w:r>
      <w:r>
        <w:noBreakHyphen/>
        <w:t>course totalisator bets to be properly marked</w:t>
      </w:r>
      <w:bookmarkEnd w:id="217"/>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218" w:name="_Toc189226729"/>
      <w:r>
        <w:rPr>
          <w:rStyle w:val="CharSectno"/>
        </w:rPr>
        <w:t>90</w:t>
      </w:r>
      <w:r>
        <w:t>.</w:t>
      </w:r>
      <w:r>
        <w:tab/>
        <w:t>Tickets to be properly marked</w:t>
      </w:r>
      <w:bookmarkEnd w:id="218"/>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lastRenderedPageBreak/>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219" w:name="_Toc189226730"/>
      <w:r>
        <w:rPr>
          <w:rStyle w:val="CharSectno"/>
        </w:rPr>
        <w:t>91</w:t>
      </w:r>
      <w:r>
        <w:t>.</w:t>
      </w:r>
      <w:r>
        <w:tab/>
        <w:t>Host racing club to exhibit notices at on</w:t>
      </w:r>
      <w:r>
        <w:noBreakHyphen/>
        <w:t>course totalisator and local on</w:t>
      </w:r>
      <w:r>
        <w:noBreakHyphen/>
        <w:t>course totalisator</w:t>
      </w:r>
      <w:bookmarkEnd w:id="219"/>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lastRenderedPageBreak/>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220" w:name="_Toc189226731"/>
      <w:r>
        <w:rPr>
          <w:rStyle w:val="CharSectno"/>
        </w:rPr>
        <w:t>92</w:t>
      </w:r>
      <w:r>
        <w:t>.</w:t>
      </w:r>
      <w:r>
        <w:tab/>
        <w:t>Correction of errors and omissions and the giving of certain refunds</w:t>
      </w:r>
      <w:bookmarkEnd w:id="220"/>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lastRenderedPageBreak/>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 xml:space="preserve">When a ticket is presented for the payment of a dividend or refund or for the purpose of correcting an alleged error, if the ticket has been altered, mutilated or defaced, the relevant </w:t>
      </w:r>
      <w:r>
        <w:lastRenderedPageBreak/>
        <w:t>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221" w:name="_Toc189226732"/>
      <w:r>
        <w:rPr>
          <w:rStyle w:val="CharSectno"/>
        </w:rPr>
        <w:t>93</w:t>
      </w:r>
      <w:r>
        <w:t>.</w:t>
      </w:r>
      <w:r>
        <w:tab/>
        <w:t>Time for payment of dividends or refunds for cash bets</w:t>
      </w:r>
      <w:bookmarkEnd w:id="221"/>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222" w:name="_Toc189226733"/>
      <w:r>
        <w:rPr>
          <w:rStyle w:val="CharSectno"/>
        </w:rPr>
        <w:t>94</w:t>
      </w:r>
      <w:r>
        <w:t>.</w:t>
      </w:r>
      <w:r>
        <w:tab/>
        <w:t>Presentation of tickets or claims</w:t>
      </w:r>
      <w:bookmarkEnd w:id="222"/>
    </w:p>
    <w:p>
      <w:pPr>
        <w:pStyle w:val="Subsection"/>
      </w:pPr>
      <w:r>
        <w:tab/>
        <w:t>(1)</w:t>
      </w:r>
      <w:r>
        <w:tab/>
        <w:t>Subject to subregulations (2) and (6), a dividend or refund in respect of a bet, other than a bet against a RWWA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lastRenderedPageBreak/>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 amended: SL 2021/193 r. 5.]</w:t>
      </w:r>
    </w:p>
    <w:p>
      <w:pPr>
        <w:pStyle w:val="Heading5"/>
      </w:pPr>
      <w:bookmarkStart w:id="223" w:name="_Toc189226734"/>
      <w:r>
        <w:rPr>
          <w:rStyle w:val="CharSectno"/>
        </w:rPr>
        <w:t>95</w:t>
      </w:r>
      <w:r>
        <w:t>.</w:t>
      </w:r>
      <w:r>
        <w:tab/>
        <w:t>When refunds of bets are payable</w:t>
      </w:r>
      <w:bookmarkEnd w:id="223"/>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 xml:space="preserve">starter, a person </w:t>
      </w:r>
      <w:r>
        <w:lastRenderedPageBreak/>
        <w:t>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 xml:space="preserve">course totalisator in other circumstances </w:t>
      </w:r>
      <w:r>
        <w:lastRenderedPageBreak/>
        <w:t>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224" w:name="_Toc189146299"/>
      <w:bookmarkStart w:id="225" w:name="_Toc189219116"/>
      <w:bookmarkStart w:id="226" w:name="_Toc189226735"/>
      <w:r>
        <w:rPr>
          <w:rStyle w:val="CharDivNo"/>
        </w:rPr>
        <w:t>Division 3</w:t>
      </w:r>
      <w:r>
        <w:t> — </w:t>
      </w:r>
      <w:r>
        <w:rPr>
          <w:rStyle w:val="CharDivText"/>
        </w:rPr>
        <w:t>Miscellaneous discipline and offence provisions</w:t>
      </w:r>
      <w:bookmarkEnd w:id="224"/>
      <w:bookmarkEnd w:id="225"/>
      <w:bookmarkEnd w:id="226"/>
    </w:p>
    <w:p>
      <w:pPr>
        <w:pStyle w:val="Footnoteheading"/>
        <w:spacing w:before="100"/>
      </w:pPr>
      <w:r>
        <w:tab/>
        <w:t>[Heading inserted: Gazette 21 Jul 2006 p. 2688.]</w:t>
      </w:r>
    </w:p>
    <w:p>
      <w:pPr>
        <w:pStyle w:val="Heading5"/>
      </w:pPr>
      <w:bookmarkStart w:id="227" w:name="_Toc189226736"/>
      <w:r>
        <w:rPr>
          <w:rStyle w:val="CharSectno"/>
        </w:rPr>
        <w:t>96</w:t>
      </w:r>
      <w:r>
        <w:t>.</w:t>
      </w:r>
      <w:r>
        <w:tab/>
        <w:t>Person making bet bound by these regulations, the rules of wagering and instructions</w:t>
      </w:r>
      <w:bookmarkEnd w:id="227"/>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228" w:name="_Toc189226737"/>
      <w:r>
        <w:rPr>
          <w:rStyle w:val="CharSectno"/>
        </w:rPr>
        <w:t>97</w:t>
      </w:r>
      <w:r>
        <w:t>.</w:t>
      </w:r>
      <w:r>
        <w:tab/>
        <w:t>Offences relating to making and accepting wagers</w:t>
      </w:r>
      <w:bookmarkEnd w:id="228"/>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lastRenderedPageBreak/>
        <w:tab/>
        <w:t>(2)</w:t>
      </w:r>
      <w:r>
        <w:tab/>
        <w:t>A person who knowingly accepts a wager contrary to regulation 84(4) commits an offence.</w:t>
      </w:r>
    </w:p>
    <w:p>
      <w:pPr>
        <w:pStyle w:val="Penstart"/>
      </w:pPr>
      <w:r>
        <w:tab/>
        <w:t>Penalty for this subregulation: a fine of $5 000.</w:t>
      </w:r>
    </w:p>
    <w:p>
      <w:pPr>
        <w:pStyle w:val="Subsection"/>
      </w:pPr>
      <w:r>
        <w:tab/>
        <w:t>(3)</w:t>
      </w:r>
      <w:r>
        <w:tab/>
        <w:t>A person who accepts a cheque as part or full payment for a wager commits an offence.</w:t>
      </w:r>
    </w:p>
    <w:p>
      <w:pPr>
        <w:pStyle w:val="Penstart"/>
      </w:pPr>
      <w:r>
        <w:tab/>
        <w:t>Penalty for this subregulation: a fine of $5 000.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for this subregulation: a fine of $5 000.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for this subregulation: a fine of $5 000.</w:t>
      </w:r>
    </w:p>
    <w:p>
      <w:pPr>
        <w:pStyle w:val="Footnotesection"/>
      </w:pPr>
      <w:r>
        <w:tab/>
        <w:t>[Regulation 97 inserted: Gazette 21 Jul 2006 p. 2688</w:t>
      </w:r>
      <w:r>
        <w:noBreakHyphen/>
        <w:t>9; amended: SL 2025/35 r. 10.]</w:t>
      </w:r>
    </w:p>
    <w:p>
      <w:pPr>
        <w:pStyle w:val="Heading2"/>
      </w:pPr>
      <w:bookmarkStart w:id="229" w:name="_Toc189146302"/>
      <w:bookmarkStart w:id="230" w:name="_Toc189219119"/>
      <w:bookmarkStart w:id="231" w:name="_Toc189226738"/>
      <w:r>
        <w:rPr>
          <w:rStyle w:val="CharPartNo"/>
        </w:rPr>
        <w:lastRenderedPageBreak/>
        <w:t>Part 5</w:t>
      </w:r>
      <w:r>
        <w:rPr>
          <w:rStyle w:val="CharDivNo"/>
        </w:rPr>
        <w:t> </w:t>
      </w:r>
      <w:r>
        <w:t>—</w:t>
      </w:r>
      <w:r>
        <w:rPr>
          <w:rStyle w:val="CharDivText"/>
        </w:rPr>
        <w:t> </w:t>
      </w:r>
      <w:r>
        <w:rPr>
          <w:rStyle w:val="CharPartText"/>
        </w:rPr>
        <w:t>Approval to publish or make available WA race fields</w:t>
      </w:r>
      <w:bookmarkEnd w:id="229"/>
      <w:bookmarkEnd w:id="230"/>
      <w:bookmarkEnd w:id="231"/>
    </w:p>
    <w:p>
      <w:pPr>
        <w:pStyle w:val="Footnoteheading"/>
      </w:pPr>
      <w:r>
        <w:tab/>
        <w:t>[Heading inserted: Gazette 22 Jun 2007 p. 2863.]</w:t>
      </w:r>
    </w:p>
    <w:p>
      <w:pPr>
        <w:pStyle w:val="Heading5"/>
      </w:pPr>
      <w:bookmarkStart w:id="232" w:name="_Toc189226739"/>
      <w:r>
        <w:rPr>
          <w:rStyle w:val="CharSectno"/>
        </w:rPr>
        <w:t>98</w:t>
      </w:r>
      <w:r>
        <w:t>.</w:t>
      </w:r>
      <w:r>
        <w:tab/>
        <w:t>Terms used</w:t>
      </w:r>
      <w:bookmarkEnd w:id="232"/>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233" w:name="_Toc189226740"/>
      <w:r>
        <w:rPr>
          <w:rStyle w:val="CharSectno"/>
        </w:rPr>
        <w:t>99</w:t>
      </w:r>
      <w:r>
        <w:t>.</w:t>
      </w:r>
      <w:r>
        <w:tab/>
        <w:t>Prescribed criteria: section 27D(5)</w:t>
      </w:r>
      <w:bookmarkEnd w:id="233"/>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lastRenderedPageBreak/>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234" w:name="_Toc189226741"/>
      <w:r>
        <w:rPr>
          <w:rStyle w:val="CharSectno"/>
        </w:rPr>
        <w:lastRenderedPageBreak/>
        <w:t>100</w:t>
      </w:r>
      <w:r>
        <w:t>.</w:t>
      </w:r>
      <w:r>
        <w:tab/>
        <w:t>Application for approval</w:t>
      </w:r>
      <w:bookmarkEnd w:id="234"/>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235" w:name="_Toc189146306"/>
      <w:bookmarkStart w:id="236" w:name="_Toc189219123"/>
      <w:bookmarkStart w:id="237" w:name="_Toc189226742"/>
      <w:r>
        <w:rPr>
          <w:rStyle w:val="CharPartNo"/>
        </w:rPr>
        <w:lastRenderedPageBreak/>
        <w:t>Part 6</w:t>
      </w:r>
      <w:r>
        <w:rPr>
          <w:b w:val="0"/>
        </w:rPr>
        <w:t> </w:t>
      </w:r>
      <w:r>
        <w:t>—</w:t>
      </w:r>
      <w:r>
        <w:rPr>
          <w:b w:val="0"/>
        </w:rPr>
        <w:t> </w:t>
      </w:r>
      <w:r>
        <w:rPr>
          <w:rStyle w:val="CharPartText"/>
        </w:rPr>
        <w:t>Racing bets levy</w:t>
      </w:r>
      <w:bookmarkEnd w:id="235"/>
      <w:bookmarkEnd w:id="236"/>
      <w:bookmarkEnd w:id="237"/>
    </w:p>
    <w:p>
      <w:pPr>
        <w:pStyle w:val="Footnoteheading"/>
        <w:spacing w:before="100"/>
      </w:pPr>
      <w:r>
        <w:tab/>
        <w:t>[Heading inserted: Gazette 8 Jan 2010 p. 22.]</w:t>
      </w:r>
    </w:p>
    <w:p>
      <w:pPr>
        <w:pStyle w:val="Heading5"/>
        <w:spacing w:before="200"/>
      </w:pPr>
      <w:bookmarkStart w:id="238" w:name="_Toc189226743"/>
      <w:r>
        <w:rPr>
          <w:rStyle w:val="CharSectno"/>
        </w:rPr>
        <w:t>101</w:t>
      </w:r>
      <w:r>
        <w:t>.</w:t>
      </w:r>
      <w:r>
        <w:tab/>
        <w:t>Term used: approved offshore betting operator</w:t>
      </w:r>
      <w:bookmarkEnd w:id="238"/>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pPr>
      <w:bookmarkStart w:id="239" w:name="_Toc189141531"/>
      <w:bookmarkStart w:id="240" w:name="_Toc189142316"/>
      <w:bookmarkStart w:id="241" w:name="_Toc189226744"/>
      <w:bookmarkStart w:id="242" w:name="_Hlk189146510"/>
      <w:r>
        <w:rPr>
          <w:rStyle w:val="CharSectno"/>
        </w:rPr>
        <w:t>102</w:t>
      </w:r>
      <w:r>
        <w:t>.</w:t>
      </w:r>
      <w:r>
        <w:tab/>
        <w:t>Prescribed period: section 14A(2)(a)</w:t>
      </w:r>
      <w:bookmarkEnd w:id="239"/>
      <w:bookmarkEnd w:id="240"/>
      <w:bookmarkEnd w:id="241"/>
    </w:p>
    <w:p>
      <w:pPr>
        <w:pStyle w:val="Subsection"/>
      </w:pPr>
      <w:r>
        <w:tab/>
      </w:r>
      <w:r>
        <w:tab/>
        <w:t>For the purposes of section 14A(2)(a) of the Act, the period is 14 days beginning on the first day of each month.</w:t>
      </w:r>
    </w:p>
    <w:bookmarkEnd w:id="242"/>
    <w:p>
      <w:pPr>
        <w:pStyle w:val="Footnotesection"/>
        <w:spacing w:before="100"/>
      </w:pPr>
      <w:r>
        <w:tab/>
        <w:t>[Regulation 102 inserted: SL 2025/35 r. 4.]</w:t>
      </w:r>
    </w:p>
    <w:p>
      <w:pPr>
        <w:pStyle w:val="Heading5"/>
        <w:spacing w:before="200"/>
      </w:pPr>
      <w:bookmarkStart w:id="243" w:name="_Toc189226745"/>
      <w:r>
        <w:rPr>
          <w:rStyle w:val="CharSectno"/>
        </w:rPr>
        <w:t>103</w:t>
      </w:r>
      <w:r>
        <w:t>.</w:t>
      </w:r>
      <w:r>
        <w:tab/>
        <w:t>Information prescribed: section 27D(4A)(a)</w:t>
      </w:r>
      <w:bookmarkEnd w:id="243"/>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w:t>
      </w:r>
    </w:p>
    <w:p>
      <w:pPr>
        <w:pStyle w:val="Footnotesection"/>
      </w:pPr>
      <w:r>
        <w:tab/>
        <w:t>[Regulation 103 inserted: Gazette 8 Jan 2010 p. 22; amended: SL 2025/35 r. 5.]</w:t>
      </w:r>
    </w:p>
    <w:p>
      <w:pPr>
        <w:pStyle w:val="Heading5"/>
        <w:spacing w:before="200"/>
      </w:pPr>
      <w:bookmarkStart w:id="244" w:name="_Toc189226746"/>
      <w:r>
        <w:rPr>
          <w:rStyle w:val="CharSectno"/>
        </w:rPr>
        <w:t>104</w:t>
      </w:r>
      <w:r>
        <w:t>.</w:t>
      </w:r>
      <w:r>
        <w:tab/>
        <w:t>Manner of access to prescribed information: section 27D(4A)(a)</w:t>
      </w:r>
      <w:bookmarkEnd w:id="244"/>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keepNext/>
      </w:pPr>
      <w:r>
        <w:tab/>
        <w:t>(2)</w:t>
      </w:r>
      <w:r>
        <w:tab/>
        <w:t xml:space="preserve">An approved offshore betting operator must give the Commission or an officer of RWWA approved under </w:t>
      </w:r>
      <w:r>
        <w:lastRenderedPageBreak/>
        <w:t xml:space="preserve">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245" w:name="_Toc189226747"/>
      <w:r>
        <w:rPr>
          <w:rStyle w:val="CharSectno"/>
        </w:rPr>
        <w:t>105</w:t>
      </w:r>
      <w:r>
        <w:t>.</w:t>
      </w:r>
      <w:r>
        <w:tab/>
        <w:t>Prescribed conditions: section 27D(4A)(b)</w:t>
      </w:r>
      <w:bookmarkEnd w:id="245"/>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 xml:space="preserve">An approved offshore betting operator must give authorised officers of the Commission or the Chief Steward of RWWA, at such times or locations as requested by an authorised officer or </w:t>
      </w:r>
      <w:r>
        <w:lastRenderedPageBreak/>
        <w:t>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lastRenderedPageBreak/>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246" w:name="_Toc189226748"/>
      <w:r>
        <w:rPr>
          <w:rStyle w:val="CharSectno"/>
        </w:rPr>
        <w:t>105A</w:t>
      </w:r>
      <w:r>
        <w:t>.</w:t>
      </w:r>
      <w:r>
        <w:tab/>
        <w:t>Prescribed conditions for greyhound and harness races: section 27F(1)</w:t>
      </w:r>
      <w:bookmarkEnd w:id="246"/>
    </w:p>
    <w:p>
      <w:pPr>
        <w:pStyle w:val="Subsection"/>
      </w:pPr>
      <w:r>
        <w:tab/>
        <w:t>(1)</w:t>
      </w:r>
      <w:r>
        <w:tab/>
        <w:t xml:space="preserve">In this regulation — </w:t>
      </w:r>
    </w:p>
    <w:p>
      <w:pPr>
        <w:pStyle w:val="Defstart"/>
      </w:pPr>
      <w:r>
        <w:tab/>
      </w:r>
      <w:r>
        <w:rPr>
          <w:rStyle w:val="CharDefText"/>
        </w:rPr>
        <w:t>WAGRA greyhound race</w:t>
      </w:r>
      <w:r>
        <w:t xml:space="preserve"> means a greyhound race conducted on a Saturday by the Western Australian Greyhound Racing Association;</w:t>
      </w:r>
    </w:p>
    <w:p>
      <w:pPr>
        <w:pStyle w:val="Defstart"/>
      </w:pPr>
      <w:r>
        <w:tab/>
      </w:r>
      <w:r>
        <w:rPr>
          <w:rStyle w:val="CharDefText"/>
        </w:rPr>
        <w:t>WATA harness race</w:t>
      </w:r>
      <w:r>
        <w:t xml:space="preserve"> means —</w:t>
      </w:r>
    </w:p>
    <w:p>
      <w:pPr>
        <w:pStyle w:val="Defpara"/>
      </w:pPr>
      <w:r>
        <w:tab/>
        <w:t>(a)</w:t>
      </w:r>
      <w:r>
        <w:tab/>
        <w:t xml:space="preserve">a harness race conducted on a Friday by the Western Australian Trotting Association; or </w:t>
      </w:r>
    </w:p>
    <w:p>
      <w:pPr>
        <w:pStyle w:val="Defpara"/>
      </w:pPr>
      <w:r>
        <w:tab/>
        <w:t>(b)</w:t>
      </w:r>
      <w:r>
        <w:tab/>
        <w:t>a harness race conducted on a Saturday by the Western Australian Trotting Association, but only if a harness race was not conducted by the Western Australian Trotting Association on the day before that Saturday.</w:t>
      </w:r>
    </w:p>
    <w:p>
      <w:pPr>
        <w:pStyle w:val="Subsection"/>
      </w:pPr>
      <w:r>
        <w:tab/>
        <w:t>(2)</w:t>
      </w:r>
      <w:r>
        <w:tab/>
        <w:t xml:space="preserve">For the purposes of section 27F(1) of the Act, the prescribed conditions that a domestic betting operator must comply with in relation to a greyhound race or a harness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keepNext/>
        <w:rPr>
          <w:rStyle w:val="DraftersNotes"/>
          <w:b w:val="0"/>
          <w:i w:val="0"/>
        </w:rPr>
      </w:pPr>
      <w:r>
        <w:lastRenderedPageBreak/>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4841"/>
        <w:gridCol w:w="1223"/>
      </w:tblGrid>
      <w:tr>
        <w:trPr>
          <w:tblHeader/>
        </w:trPr>
        <w:tc>
          <w:tcPr>
            <w:tcW w:w="0" w:type="auto"/>
          </w:tcPr>
          <w:p>
            <w:pPr>
              <w:pStyle w:val="TableNAm"/>
              <w:jc w:val="center"/>
              <w:rPr>
                <w:b/>
                <w:bCs/>
              </w:rPr>
            </w:pPr>
            <w:r>
              <w:rPr>
                <w:b/>
                <w:bCs/>
              </w:rPr>
              <w:t>Column 1</w:t>
            </w:r>
          </w:p>
          <w:p>
            <w:pPr>
              <w:pStyle w:val="TableNAm"/>
              <w:jc w:val="center"/>
              <w:rPr>
                <w:b/>
                <w:bCs/>
              </w:rPr>
            </w:pPr>
            <w:r>
              <w:rPr>
                <w:b/>
                <w:bCs/>
              </w:rPr>
              <w:t>Type of race</w:t>
            </w:r>
          </w:p>
        </w:tc>
        <w:tc>
          <w:tcPr>
            <w:tcW w:w="0" w:type="auto"/>
          </w:tcPr>
          <w:p>
            <w:pPr>
              <w:pStyle w:val="TableNAm"/>
              <w:jc w:val="center"/>
              <w:rPr>
                <w:b/>
                <w:bCs/>
              </w:rPr>
            </w:pPr>
            <w:r>
              <w:rPr>
                <w:b/>
                <w:bCs/>
              </w:rPr>
              <w:t>Column 2</w:t>
            </w:r>
          </w:p>
          <w:p>
            <w:pPr>
              <w:pStyle w:val="TableNAm"/>
              <w:jc w:val="center"/>
              <w:rPr>
                <w:b/>
                <w:bCs/>
              </w:rPr>
            </w:pPr>
            <w:r>
              <w:rPr>
                <w:b/>
                <w:bCs/>
              </w:rPr>
              <w:t>Amount</w:t>
            </w:r>
          </w:p>
        </w:tc>
      </w:tr>
      <w:tr>
        <w:tc>
          <w:tcPr>
            <w:tcW w:w="0" w:type="auto"/>
          </w:tcPr>
          <w:p>
            <w:pPr>
              <w:pStyle w:val="TableNAm"/>
            </w:pPr>
            <w:r>
              <w:t>A WATA harness race</w:t>
            </w:r>
          </w:p>
        </w:tc>
        <w:tc>
          <w:tcPr>
            <w:tcW w:w="0" w:type="auto"/>
          </w:tcPr>
          <w:p>
            <w:pPr>
              <w:pStyle w:val="TableNAm"/>
              <w:jc w:val="right"/>
            </w:pPr>
            <w:r>
              <w:t>$500</w:t>
            </w:r>
          </w:p>
        </w:tc>
      </w:tr>
      <w:tr>
        <w:tc>
          <w:tcPr>
            <w:tcW w:w="0" w:type="auto"/>
          </w:tcPr>
          <w:p>
            <w:pPr>
              <w:pStyle w:val="TableNAm"/>
            </w:pPr>
            <w:r>
              <w:t xml:space="preserve">A harness race other than a WATA harness race </w:t>
            </w:r>
          </w:p>
        </w:tc>
        <w:tc>
          <w:tcPr>
            <w:tcW w:w="0" w:type="auto"/>
          </w:tcPr>
          <w:p>
            <w:pPr>
              <w:pStyle w:val="TableNAm"/>
              <w:jc w:val="right"/>
            </w:pPr>
            <w:r>
              <w:t>$300</w:t>
            </w:r>
          </w:p>
        </w:tc>
      </w:tr>
      <w:tr>
        <w:tc>
          <w:tcPr>
            <w:tcW w:w="0" w:type="auto"/>
          </w:tcPr>
          <w:p>
            <w:pPr>
              <w:pStyle w:val="TableNAm"/>
            </w:pPr>
            <w:r>
              <w:t>A greyhound race</w:t>
            </w:r>
          </w:p>
        </w:tc>
        <w:tc>
          <w:tcPr>
            <w:tcW w:w="0" w:type="auto"/>
          </w:tcPr>
          <w:p>
            <w:pPr>
              <w:pStyle w:val="TableNAm"/>
              <w:jc w:val="right"/>
            </w:pPr>
            <w:r>
              <w:t>$300</w:t>
            </w:r>
          </w:p>
        </w:tc>
      </w:tr>
    </w:tbl>
    <w:p>
      <w:pPr>
        <w:pStyle w:val="Subsection"/>
      </w:pPr>
      <w:r>
        <w:tab/>
        <w:t>(4)</w:t>
      </w:r>
      <w:r>
        <w:tab/>
        <w:t>If in a racing year turnover of a domestic betting operator reaches $3 000 000, the domestic betting operator must comply with subregulation (5) for each fixed odds bet received during the racing year after turnover reaches $3 000 000.</w:t>
      </w:r>
    </w:p>
    <w:p>
      <w:pPr>
        <w:pStyle w:val="Subsection"/>
      </w:pPr>
      <w:r>
        <w:tab/>
        <w:t>(5)</w:t>
      </w:r>
      <w:r>
        <w:tab/>
        <w:t xml:space="preserve">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20"/>
        <w:gridCol w:w="1276"/>
      </w:tblGrid>
      <w:tr>
        <w:trPr>
          <w:tblHeader/>
        </w:trPr>
        <w:tc>
          <w:tcPr>
            <w:tcW w:w="4820" w:type="dxa"/>
          </w:tcPr>
          <w:p>
            <w:pPr>
              <w:pStyle w:val="TableNAm"/>
              <w:jc w:val="center"/>
              <w:rPr>
                <w:b/>
                <w:bCs/>
              </w:rPr>
            </w:pPr>
            <w:r>
              <w:rPr>
                <w:b/>
                <w:bCs/>
              </w:rPr>
              <w:t>Column 1</w:t>
            </w:r>
          </w:p>
          <w:p>
            <w:pPr>
              <w:pStyle w:val="TableNAm"/>
              <w:jc w:val="center"/>
              <w:rPr>
                <w:b/>
                <w:bCs/>
              </w:rPr>
            </w:pPr>
            <w:r>
              <w:rPr>
                <w:b/>
                <w:bCs/>
              </w:rPr>
              <w:t>Type of race</w:t>
            </w:r>
          </w:p>
        </w:tc>
        <w:tc>
          <w:tcPr>
            <w:tcW w:w="1276" w:type="dxa"/>
          </w:tcPr>
          <w:p>
            <w:pPr>
              <w:pStyle w:val="TableNAm"/>
              <w:jc w:val="center"/>
              <w:rPr>
                <w:b/>
                <w:bCs/>
              </w:rPr>
            </w:pPr>
            <w:r>
              <w:rPr>
                <w:b/>
                <w:bCs/>
              </w:rPr>
              <w:t>Column 2</w:t>
            </w:r>
          </w:p>
          <w:p>
            <w:pPr>
              <w:pStyle w:val="TableNAm"/>
              <w:jc w:val="center"/>
              <w:rPr>
                <w:b/>
                <w:bCs/>
              </w:rPr>
            </w:pPr>
            <w:r>
              <w:rPr>
                <w:b/>
                <w:bCs/>
              </w:rPr>
              <w:t>Amount</w:t>
            </w:r>
          </w:p>
        </w:tc>
      </w:tr>
      <w:tr>
        <w:tc>
          <w:tcPr>
            <w:tcW w:w="4820" w:type="dxa"/>
          </w:tcPr>
          <w:p>
            <w:pPr>
              <w:pStyle w:val="TableNAm"/>
            </w:pPr>
            <w:r>
              <w:t>A WATA harness race</w:t>
            </w:r>
          </w:p>
        </w:tc>
        <w:tc>
          <w:tcPr>
            <w:tcW w:w="1276" w:type="dxa"/>
          </w:tcPr>
          <w:p>
            <w:pPr>
              <w:pStyle w:val="TableNAm"/>
              <w:jc w:val="right"/>
            </w:pPr>
            <w:r>
              <w:t>$1 000</w:t>
            </w:r>
          </w:p>
        </w:tc>
      </w:tr>
      <w:tr>
        <w:tc>
          <w:tcPr>
            <w:tcW w:w="4820" w:type="dxa"/>
          </w:tcPr>
          <w:p>
            <w:pPr>
              <w:pStyle w:val="TableNAm"/>
            </w:pPr>
            <w:r>
              <w:t>A harness race other than a WATA harness race</w:t>
            </w:r>
          </w:p>
        </w:tc>
        <w:tc>
          <w:tcPr>
            <w:tcW w:w="1276" w:type="dxa"/>
            <w:vAlign w:val="bottom"/>
          </w:tcPr>
          <w:p>
            <w:pPr>
              <w:pStyle w:val="TableNAm"/>
              <w:jc w:val="right"/>
            </w:pPr>
            <w:r>
              <w:t>$500</w:t>
            </w:r>
          </w:p>
        </w:tc>
      </w:tr>
      <w:tr>
        <w:tc>
          <w:tcPr>
            <w:tcW w:w="4820" w:type="dxa"/>
          </w:tcPr>
          <w:p>
            <w:pPr>
              <w:pStyle w:val="TableNAm"/>
            </w:pPr>
            <w:r>
              <w:lastRenderedPageBreak/>
              <w:t>A WAGRA greyhound race</w:t>
            </w:r>
          </w:p>
        </w:tc>
        <w:tc>
          <w:tcPr>
            <w:tcW w:w="1276" w:type="dxa"/>
          </w:tcPr>
          <w:p>
            <w:pPr>
              <w:pStyle w:val="TableNAm"/>
              <w:jc w:val="right"/>
            </w:pPr>
            <w:r>
              <w:t>$750</w:t>
            </w:r>
          </w:p>
        </w:tc>
      </w:tr>
      <w:tr>
        <w:tc>
          <w:tcPr>
            <w:tcW w:w="4820" w:type="dxa"/>
          </w:tcPr>
          <w:p>
            <w:pPr>
              <w:pStyle w:val="TableNAm"/>
            </w:pPr>
            <w:r>
              <w:t>A greyhound race other than a WAGRA greyhound race</w:t>
            </w:r>
          </w:p>
        </w:tc>
        <w:tc>
          <w:tcPr>
            <w:tcW w:w="1276" w:type="dxa"/>
            <w:vAlign w:val="bottom"/>
          </w:tcPr>
          <w:p>
            <w:pPr>
              <w:pStyle w:val="TableNAm"/>
              <w:jc w:val="right"/>
            </w:pPr>
            <w:r>
              <w:t>$500</w:t>
            </w:r>
          </w:p>
        </w:tc>
      </w:tr>
    </w:tbl>
    <w:p>
      <w:pPr>
        <w:pStyle w:val="Footnotesection"/>
      </w:pPr>
      <w:r>
        <w:tab/>
        <w:t>[Regulation 105A inserted: SL 2021/193 r. 6.]</w:t>
      </w:r>
    </w:p>
    <w:p>
      <w:pPr>
        <w:pStyle w:val="Heading5"/>
      </w:pPr>
      <w:bookmarkStart w:id="247" w:name="_Toc189226749"/>
      <w:r>
        <w:rPr>
          <w:rStyle w:val="CharSectno"/>
        </w:rPr>
        <w:t>105B</w:t>
      </w:r>
      <w:r>
        <w:t>.</w:t>
      </w:r>
      <w:r>
        <w:tab/>
        <w:t>Prescribed conditions for thoroughbred races: section 27F(1)</w:t>
      </w:r>
      <w:bookmarkEnd w:id="247"/>
    </w:p>
    <w:p>
      <w:pPr>
        <w:pStyle w:val="Subsection"/>
      </w:pPr>
      <w:r>
        <w:tab/>
        <w:t>(1)</w:t>
      </w:r>
      <w:r>
        <w:tab/>
        <w:t xml:space="preserve">In this regulation — </w:t>
      </w:r>
    </w:p>
    <w:p>
      <w:pPr>
        <w:pStyle w:val="Defstart"/>
      </w:pPr>
      <w:r>
        <w:tab/>
      </w:r>
      <w:r>
        <w:rPr>
          <w:rStyle w:val="CharDefText"/>
        </w:rPr>
        <w:t>combined win/place bet</w:t>
      </w:r>
      <w:r>
        <w:t xml:space="preserve"> means a bet comprising 2 unequal amounts, 1 amount being for a win and 1 amount being for a place and both amounts being bet on the same runner at the same time, at stated odds for a win and place;</w:t>
      </w:r>
    </w:p>
    <w:p>
      <w:pPr>
        <w:pStyle w:val="Defstart"/>
      </w:pPr>
      <w:r>
        <w:tab/>
      </w:r>
      <w:r>
        <w:rPr>
          <w:rStyle w:val="CharDefText"/>
        </w:rPr>
        <w:t>place component</w:t>
      </w:r>
      <w:r>
        <w:t xml:space="preserve"> means the component of a combined win/place bet or an each way bet in which the person placing the bet selects a runner to achieve a place in a particular race;</w:t>
      </w:r>
    </w:p>
    <w:p>
      <w:pPr>
        <w:pStyle w:val="Defstart"/>
      </w:pPr>
      <w:r>
        <w:tab/>
      </w:r>
      <w:r>
        <w:rPr>
          <w:rStyle w:val="CharDefText"/>
        </w:rPr>
        <w:t>type 1 thoroughbred race</w:t>
      </w:r>
      <w:r>
        <w:t xml:space="preserve"> means a thoroughbred race conducted by The Western Australian Turf Club;</w:t>
      </w:r>
    </w:p>
    <w:p>
      <w:pPr>
        <w:pStyle w:val="Defstart"/>
      </w:pPr>
      <w:r>
        <w:tab/>
      </w:r>
      <w:r>
        <w:rPr>
          <w:rStyle w:val="CharDefText"/>
        </w:rPr>
        <w:t>type 2 thoroughbred race</w:t>
      </w:r>
      <w:r>
        <w:t xml:space="preserve"> means a thoroughbred race conducted on a Saturday by any of the following, but only if a thoroughbred race is not conducted on that Saturday by The Western Australian Turf Club — </w:t>
      </w:r>
    </w:p>
    <w:p>
      <w:pPr>
        <w:pStyle w:val="Defpara"/>
      </w:pPr>
      <w:r>
        <w:tab/>
        <w:t>(a)</w:t>
      </w:r>
      <w:r>
        <w:tab/>
        <w:t>the Bunbury Turf Club Inc;</w:t>
      </w:r>
    </w:p>
    <w:p>
      <w:pPr>
        <w:pStyle w:val="Defpara"/>
      </w:pPr>
      <w:r>
        <w:tab/>
        <w:t>(b)</w:t>
      </w:r>
      <w:r>
        <w:tab/>
        <w:t>the Kalgoorlie</w:t>
      </w:r>
      <w:r>
        <w:noBreakHyphen/>
        <w:t xml:space="preserve">Boulder Racing Club Incorporated; </w:t>
      </w:r>
    </w:p>
    <w:p>
      <w:pPr>
        <w:pStyle w:val="Defpara"/>
      </w:pPr>
      <w:r>
        <w:tab/>
        <w:t>(c)</w:t>
      </w:r>
      <w:r>
        <w:tab/>
        <w:t xml:space="preserve">the Northam Race Club; </w:t>
      </w:r>
    </w:p>
    <w:p>
      <w:pPr>
        <w:pStyle w:val="Defpara"/>
      </w:pPr>
      <w:r>
        <w:tab/>
        <w:t>(d)</w:t>
      </w:r>
      <w:r>
        <w:tab/>
        <w:t>the Pinjarra Race Club;</w:t>
      </w:r>
    </w:p>
    <w:p>
      <w:pPr>
        <w:pStyle w:val="Defstart"/>
      </w:pPr>
      <w:r>
        <w:tab/>
      </w:r>
      <w:r>
        <w:rPr>
          <w:rStyle w:val="CharDefText"/>
        </w:rPr>
        <w:t>type 3 thoroughbred race</w:t>
      </w:r>
      <w:r>
        <w:t xml:space="preserve"> means a thoroughbred race other than a type 1 thoroughbred race or a type 2 thoroughbred race.</w:t>
      </w:r>
    </w:p>
    <w:p>
      <w:pPr>
        <w:pStyle w:val="Subsection"/>
      </w:pPr>
      <w:r>
        <w:lastRenderedPageBreak/>
        <w:tab/>
        <w:t>(2)</w:t>
      </w:r>
      <w:r>
        <w:tab/>
        <w:t xml:space="preserve">For the purposes of section 27F(1) of the Act, the prescribed conditions that a domestic betting operator must comply with in relation to a thoroughbred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828"/>
        <w:gridCol w:w="1843"/>
      </w:tblGrid>
      <w:tr>
        <w:trPr>
          <w:tblHeader/>
        </w:trPr>
        <w:tc>
          <w:tcPr>
            <w:tcW w:w="3828" w:type="dxa"/>
          </w:tcPr>
          <w:p>
            <w:pPr>
              <w:pStyle w:val="TableNAm"/>
              <w:jc w:val="center"/>
              <w:rPr>
                <w:b/>
                <w:bCs/>
              </w:rPr>
            </w:pPr>
            <w:r>
              <w:rPr>
                <w:b/>
                <w:bCs/>
              </w:rPr>
              <w:t>Column 1</w:t>
            </w:r>
          </w:p>
          <w:p>
            <w:pPr>
              <w:pStyle w:val="TableNAm"/>
              <w:jc w:val="center"/>
              <w:rPr>
                <w:b/>
                <w:bCs/>
              </w:rPr>
            </w:pPr>
            <w:r>
              <w:rPr>
                <w:b/>
                <w:bCs/>
              </w:rPr>
              <w:t>Type of race</w:t>
            </w:r>
          </w:p>
        </w:tc>
        <w:tc>
          <w:tcPr>
            <w:tcW w:w="1843" w:type="dxa"/>
          </w:tcPr>
          <w:p>
            <w:pPr>
              <w:pStyle w:val="TableNAm"/>
              <w:jc w:val="center"/>
              <w:rPr>
                <w:b/>
                <w:bCs/>
              </w:rPr>
            </w:pPr>
            <w:r>
              <w:rPr>
                <w:b/>
                <w:bCs/>
              </w:rPr>
              <w:t>Column 2</w:t>
            </w:r>
          </w:p>
          <w:p>
            <w:pPr>
              <w:pStyle w:val="TableNAm"/>
              <w:jc w:val="center"/>
              <w:rPr>
                <w:b/>
                <w:bCs/>
              </w:rPr>
            </w:pPr>
            <w:r>
              <w:rPr>
                <w:b/>
                <w:bCs/>
              </w:rPr>
              <w:t>Amount</w:t>
            </w:r>
          </w:p>
        </w:tc>
      </w:tr>
      <w:tr>
        <w:tc>
          <w:tcPr>
            <w:tcW w:w="3828" w:type="dxa"/>
          </w:tcPr>
          <w:p>
            <w:pPr>
              <w:pStyle w:val="TableNAm"/>
            </w:pPr>
            <w:r>
              <w:t>A type 1 thoroughbred race</w:t>
            </w:r>
          </w:p>
        </w:tc>
        <w:tc>
          <w:tcPr>
            <w:tcW w:w="1843" w:type="dxa"/>
          </w:tcPr>
          <w:p>
            <w:pPr>
              <w:pStyle w:val="TableNAm"/>
              <w:jc w:val="right"/>
            </w:pPr>
            <w:r>
              <w:t>$1 000</w:t>
            </w:r>
          </w:p>
        </w:tc>
      </w:tr>
      <w:tr>
        <w:tc>
          <w:tcPr>
            <w:tcW w:w="3828" w:type="dxa"/>
          </w:tcPr>
          <w:p>
            <w:pPr>
              <w:pStyle w:val="TableNAm"/>
            </w:pPr>
            <w:r>
              <w:t>A type 2 thoroughbred race</w:t>
            </w:r>
          </w:p>
        </w:tc>
        <w:tc>
          <w:tcPr>
            <w:tcW w:w="1843" w:type="dxa"/>
          </w:tcPr>
          <w:p>
            <w:pPr>
              <w:pStyle w:val="TableNAm"/>
              <w:jc w:val="right"/>
            </w:pPr>
            <w:r>
              <w:t>$1 000</w:t>
            </w:r>
          </w:p>
        </w:tc>
      </w:tr>
      <w:tr>
        <w:tc>
          <w:tcPr>
            <w:tcW w:w="3828" w:type="dxa"/>
          </w:tcPr>
          <w:p>
            <w:pPr>
              <w:pStyle w:val="TableNAm"/>
            </w:pPr>
            <w:r>
              <w:t>A type 3 thoroughbred race</w:t>
            </w:r>
          </w:p>
        </w:tc>
        <w:tc>
          <w:tcPr>
            <w:tcW w:w="1843" w:type="dxa"/>
          </w:tcPr>
          <w:p>
            <w:pPr>
              <w:pStyle w:val="TableNAm"/>
              <w:jc w:val="right"/>
            </w:pPr>
            <w:r>
              <w:t>$500</w:t>
            </w:r>
          </w:p>
        </w:tc>
      </w:tr>
    </w:tbl>
    <w:p>
      <w:pPr>
        <w:pStyle w:val="Subsection"/>
      </w:pPr>
      <w:r>
        <w:tab/>
        <w:t>(4)</w:t>
      </w:r>
      <w:r>
        <w:tab/>
        <w:t>If in a racing year turnover of a domestic betting operator reaches $3 000 000, the domestic betting operator must comply with subregulations (5) to (8) for each fixed odds bet received during the racing year after turnover reaches $3 000 000.</w:t>
      </w:r>
    </w:p>
    <w:p>
      <w:pPr>
        <w:pStyle w:val="Subsection"/>
      </w:pPr>
      <w:r>
        <w:tab/>
        <w:t>(5)</w:t>
      </w:r>
      <w:r>
        <w:tab/>
        <w:t xml:space="preserve">The domestic betting operator must accept a fixed odds bet on a type 1 thoroughbred race or a type 2 thoroughbred race charged against a betting account if — </w:t>
      </w:r>
    </w:p>
    <w:p>
      <w:pPr>
        <w:pStyle w:val="Indenta"/>
      </w:pPr>
      <w:r>
        <w:tab/>
        <w:t>(a)</w:t>
      </w:r>
      <w:r>
        <w:tab/>
        <w:t>the bet is a win bet, combined win/place bet or each way bet; and</w:t>
      </w:r>
    </w:p>
    <w:p>
      <w:pPr>
        <w:pStyle w:val="Indenta"/>
      </w:pPr>
      <w:r>
        <w:lastRenderedPageBreak/>
        <w:tab/>
        <w:t>(b)</w:t>
      </w:r>
      <w:r>
        <w:tab/>
        <w:t>the amount the domestic betting operator may lose as a result of the bet does not exceed $2 000; and</w:t>
      </w:r>
    </w:p>
    <w:p>
      <w:pPr>
        <w:pStyle w:val="Indenta"/>
      </w:pPr>
      <w:r>
        <w:tab/>
        <w:t>(c)</w:t>
      </w:r>
      <w:r>
        <w:tab/>
        <w:t>if the bet has a place component — the amount the domestic betting operator may lose as a result of the place component does not exceed $800.</w:t>
      </w:r>
    </w:p>
    <w:p>
      <w:pPr>
        <w:pStyle w:val="Subsection"/>
      </w:pPr>
      <w:r>
        <w:tab/>
        <w:t>(6)</w:t>
      </w:r>
      <w:r>
        <w:tab/>
        <w:t>The domestic betting operator must accept a fixed odds bet on a type 1 thoroughbred race or a type 2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$800.</w:t>
      </w:r>
    </w:p>
    <w:p>
      <w:pPr>
        <w:pStyle w:val="Subsection"/>
      </w:pPr>
      <w:r>
        <w:tab/>
        <w:t>(7)</w:t>
      </w:r>
      <w:r>
        <w:tab/>
        <w:t xml:space="preserve">The domestic betting operator must accept a fixed odds bet on a type 3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$1 000; and</w:t>
      </w:r>
    </w:p>
    <w:p>
      <w:pPr>
        <w:pStyle w:val="Indenta"/>
      </w:pPr>
      <w:r>
        <w:tab/>
        <w:t>(c)</w:t>
      </w:r>
      <w:r>
        <w:tab/>
        <w:t>if the bet has a place component — the amount the domestic betting operator may lose as a result of the place component does not exceed $400.</w:t>
      </w:r>
    </w:p>
    <w:p>
      <w:pPr>
        <w:pStyle w:val="Subsection"/>
      </w:pPr>
      <w:r>
        <w:tab/>
        <w:t>(8)</w:t>
      </w:r>
      <w:r>
        <w:tab/>
        <w:t>The domestic betting operator must accept a fixed odds bet on a type 3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$400.</w:t>
      </w:r>
    </w:p>
    <w:p>
      <w:pPr>
        <w:pStyle w:val="Footnotesection"/>
      </w:pPr>
      <w:r>
        <w:tab/>
        <w:t>[Regulation 105B inserted: SL 2021/193 r. 6.]</w:t>
      </w:r>
    </w:p>
    <w:p>
      <w:pPr>
        <w:pStyle w:val="Heading5"/>
      </w:pPr>
      <w:bookmarkStart w:id="248" w:name="_Toc189226750"/>
      <w:r>
        <w:rPr>
          <w:rStyle w:val="CharSectno"/>
        </w:rPr>
        <w:lastRenderedPageBreak/>
        <w:t>105C</w:t>
      </w:r>
      <w:r>
        <w:t>.</w:t>
      </w:r>
      <w:r>
        <w:tab/>
        <w:t>Prescribed conditions under regulations 105A and 105B do not apply to certain bets</w:t>
      </w:r>
      <w:bookmarkEnd w:id="248"/>
    </w:p>
    <w:p>
      <w:pPr>
        <w:pStyle w:val="Subsection"/>
        <w:keepNext/>
      </w:pPr>
      <w:r>
        <w:tab/>
        <w:t>(1)</w:t>
      </w:r>
      <w:r>
        <w:tab/>
        <w:t xml:space="preserve">In this regulation — </w:t>
      </w:r>
    </w:p>
    <w:p>
      <w:pPr>
        <w:pStyle w:val="Defstart"/>
        <w:keepNext/>
      </w:pPr>
      <w:r>
        <w:tab/>
      </w:r>
      <w:r>
        <w:rPr>
          <w:rStyle w:val="CharDefText"/>
        </w:rPr>
        <w:t>fraudulent behaviour</w:t>
      </w:r>
      <w:r>
        <w:t xml:space="preserve"> includes the following — </w:t>
      </w:r>
    </w:p>
    <w:p>
      <w:pPr>
        <w:pStyle w:val="Defpara"/>
      </w:pPr>
      <w:r>
        <w:tab/>
        <w:t>(a)</w:t>
      </w:r>
      <w:r>
        <w:tab/>
        <w:t xml:space="preserve">cheating or otherwise employing any wrongful practice, trick, scheme or device; </w:t>
      </w:r>
    </w:p>
    <w:p>
      <w:pPr>
        <w:pStyle w:val="Defpara"/>
      </w:pPr>
      <w:r>
        <w:tab/>
        <w:t>(b)</w:t>
      </w:r>
      <w:r>
        <w:tab/>
        <w:t>making a statement that the person knows, or ought reasonably to know, is false or misleading in a material particular;</w:t>
      </w:r>
    </w:p>
    <w:p>
      <w:pPr>
        <w:pStyle w:val="Defpara"/>
      </w:pPr>
      <w:r>
        <w:tab/>
        <w:t>(c)</w:t>
      </w:r>
      <w:r>
        <w:tab/>
        <w:t>using a forged document;</w:t>
      </w:r>
    </w:p>
    <w:p>
      <w:pPr>
        <w:pStyle w:val="Defpara"/>
      </w:pPr>
      <w:r>
        <w:tab/>
        <w:t>(d)</w:t>
      </w:r>
      <w:r>
        <w:tab/>
        <w:t>using a false pretence.</w:t>
      </w:r>
    </w:p>
    <w:p>
      <w:pPr>
        <w:pStyle w:val="Subsection"/>
      </w:pPr>
      <w:r>
        <w:tab/>
        <w:t>(2)</w:t>
      </w:r>
      <w:r>
        <w:tab/>
        <w:t xml:space="preserve">A domestic betting operator is not required to accept a bet, on a race charged against a betting account, under regulation 105A or 105B, if any of the following apply — </w:t>
      </w:r>
    </w:p>
    <w:p>
      <w:pPr>
        <w:pStyle w:val="Indenta"/>
      </w:pPr>
      <w:r>
        <w:tab/>
        <w:t>(a)</w:t>
      </w:r>
      <w:r>
        <w:tab/>
        <w:t>the usual residential address of the person who established the betting account is outside Australia;</w:t>
      </w:r>
    </w:p>
    <w:p>
      <w:pPr>
        <w:pStyle w:val="Indenta"/>
      </w:pPr>
      <w:r>
        <w:tab/>
        <w:t>(b)</w:t>
      </w:r>
      <w:r>
        <w:tab/>
        <w:t xml:space="preserve">the person who established the betting account is — </w:t>
      </w:r>
    </w:p>
    <w:p>
      <w:pPr>
        <w:pStyle w:val="Indenti"/>
      </w:pPr>
      <w:r>
        <w:tab/>
        <w:t>(i)</w:t>
      </w:r>
      <w:r>
        <w:tab/>
        <w:t>not the beneficial owner of the bet; or</w:t>
      </w:r>
    </w:p>
    <w:p>
      <w:pPr>
        <w:pStyle w:val="Indenti"/>
      </w:pPr>
      <w:r>
        <w:tab/>
        <w:t>(ii)</w:t>
      </w:r>
      <w:r>
        <w:tab/>
        <w:t>another domestic betting operator; or</w:t>
      </w:r>
    </w:p>
    <w:p>
      <w:pPr>
        <w:pStyle w:val="Indenti"/>
      </w:pPr>
      <w:r>
        <w:tab/>
        <w:t>(iii)</w:t>
      </w:r>
      <w:r>
        <w:tab/>
        <w:t>an employee of another domestic betting operator; or</w:t>
      </w:r>
    </w:p>
    <w:p>
      <w:pPr>
        <w:pStyle w:val="Indenti"/>
      </w:pPr>
      <w:r>
        <w:tab/>
        <w:t>(iv)</w:t>
      </w:r>
      <w:r>
        <w:tab/>
        <w:t>a relative (as defined in section 7(1) of the Act) of an employee of another domestic betting operator; or</w:t>
      </w:r>
    </w:p>
    <w:p>
      <w:pPr>
        <w:pStyle w:val="Indenti"/>
      </w:pPr>
      <w:r>
        <w:tab/>
        <w:t>(v)</w:t>
      </w:r>
      <w:r>
        <w:tab/>
        <w:t>in breach of a term or condition of the betting account;</w:t>
      </w:r>
    </w:p>
    <w:p>
      <w:pPr>
        <w:pStyle w:val="Indenta"/>
      </w:pPr>
      <w:r>
        <w:tab/>
        <w:t>(c)</w:t>
      </w:r>
      <w:r>
        <w:tab/>
        <w:t>the person who established the betting account has notified the domestic betting operator that the person has voluntarily excluded themselves from betting with the domestic betting operator;</w:t>
      </w:r>
    </w:p>
    <w:p>
      <w:pPr>
        <w:pStyle w:val="Indenta"/>
      </w:pPr>
      <w:r>
        <w:tab/>
        <w:t>(d)</w:t>
      </w:r>
      <w:r>
        <w:tab/>
        <w:t xml:space="preserve">the betting account does not have a balance sufficient to pay the amount of the bet; </w:t>
      </w:r>
    </w:p>
    <w:p>
      <w:pPr>
        <w:pStyle w:val="Indenta"/>
      </w:pPr>
      <w:r>
        <w:lastRenderedPageBreak/>
        <w:tab/>
        <w:t>(e)</w:t>
      </w:r>
      <w:r>
        <w:tab/>
        <w:t xml:space="preserve">the domestic betting operator has closed another betting account of the person who established the betting account because — </w:t>
      </w:r>
    </w:p>
    <w:p>
      <w:pPr>
        <w:pStyle w:val="Indenti"/>
      </w:pPr>
      <w:r>
        <w:tab/>
        <w:t>(i)</w:t>
      </w:r>
      <w:r>
        <w:tab/>
        <w:t>the person was warned off or disqualified under the RWWA Act; or</w:t>
      </w:r>
    </w:p>
    <w:p>
      <w:pPr>
        <w:pStyle w:val="Indenti"/>
      </w:pPr>
      <w:r>
        <w:tab/>
        <w:t>(ii)</w:t>
      </w:r>
      <w:r>
        <w:tab/>
        <w:t>the person engaged in fraudulent behaviour;</w:t>
      </w:r>
    </w:p>
    <w:p>
      <w:pPr>
        <w:pStyle w:val="Indenta"/>
      </w:pPr>
      <w:r>
        <w:tab/>
        <w:t>(f)</w:t>
      </w:r>
      <w:r>
        <w:tab/>
        <w:t xml:space="preserve">the bet is — </w:t>
      </w:r>
    </w:p>
    <w:p>
      <w:pPr>
        <w:pStyle w:val="Indenti"/>
      </w:pPr>
      <w:r>
        <w:tab/>
        <w:t>(i)</w:t>
      </w:r>
      <w:r>
        <w:tab/>
        <w:t>made by means of a betting exchange; or</w:t>
      </w:r>
    </w:p>
    <w:p>
      <w:pPr>
        <w:pStyle w:val="Indenti"/>
      </w:pPr>
      <w:r>
        <w:tab/>
        <w:t>(ii)</w:t>
      </w:r>
      <w:r>
        <w:tab/>
        <w:t>a bet back as defined in section 14A(1) of the Act; or</w:t>
      </w:r>
    </w:p>
    <w:p>
      <w:pPr>
        <w:pStyle w:val="Indenti"/>
      </w:pPr>
      <w:r>
        <w:tab/>
        <w:t>(iii)</w:t>
      </w:r>
      <w:r>
        <w:tab/>
        <w:t>an internet bet placed using a proxy server;</w:t>
      </w:r>
    </w:p>
    <w:p>
      <w:pPr>
        <w:pStyle w:val="Indenta"/>
      </w:pPr>
      <w:r>
        <w:tab/>
        <w:t>(g)</w:t>
      </w:r>
      <w:r>
        <w:tab/>
        <w:t>the scheduled starting time of the 1</w:t>
      </w:r>
      <w:r>
        <w:rPr>
          <w:vertAlign w:val="superscript"/>
        </w:rPr>
        <w:t>st</w:t>
      </w:r>
      <w:r>
        <w:t xml:space="preserve"> race of the race meeting at which the race is run is before 4 pm and the bet is placed — </w:t>
      </w:r>
    </w:p>
    <w:p>
      <w:pPr>
        <w:pStyle w:val="Indenti"/>
      </w:pPr>
      <w:r>
        <w:tab/>
        <w:t>(i)</w:t>
      </w:r>
      <w:r>
        <w:tab/>
        <w:t>before 9 am on the day of the race; or</w:t>
      </w:r>
    </w:p>
    <w:p>
      <w:pPr>
        <w:pStyle w:val="Indenti"/>
      </w:pPr>
      <w:r>
        <w:tab/>
        <w:t>(ii)</w:t>
      </w:r>
      <w:r>
        <w:tab/>
        <w:t xml:space="preserve">on any day before the day of the race; </w:t>
      </w:r>
    </w:p>
    <w:p>
      <w:pPr>
        <w:pStyle w:val="Indenta"/>
      </w:pPr>
      <w:r>
        <w:tab/>
        <w:t>(h)</w:t>
      </w:r>
      <w:r>
        <w:tab/>
        <w:t>the scheduled starting time of the 1</w:t>
      </w:r>
      <w:r>
        <w:rPr>
          <w:vertAlign w:val="superscript"/>
        </w:rPr>
        <w:t>st</w:t>
      </w:r>
      <w:r>
        <w:t xml:space="preserve"> race of the race meeting at which the race is run is at or after 4 pm and the bet is placed — </w:t>
      </w:r>
    </w:p>
    <w:p>
      <w:pPr>
        <w:pStyle w:val="Indenti"/>
      </w:pPr>
      <w:r>
        <w:tab/>
        <w:t>(i)</w:t>
      </w:r>
      <w:r>
        <w:tab/>
        <w:t>before 2 pm on the day of the race; or</w:t>
      </w:r>
    </w:p>
    <w:p>
      <w:pPr>
        <w:pStyle w:val="Indenti"/>
      </w:pPr>
      <w:r>
        <w:tab/>
        <w:t>(ii)</w:t>
      </w:r>
      <w:r>
        <w:tab/>
        <w:t xml:space="preserve">on any day before the day of the race; </w:t>
      </w:r>
    </w:p>
    <w:p>
      <w:pPr>
        <w:pStyle w:val="Indenta"/>
      </w:pPr>
      <w:r>
        <w:tab/>
        <w:t>(i)</w:t>
      </w:r>
      <w:r>
        <w:tab/>
        <w:t xml:space="preserve">the bet involves the selection of a series of propositions in relation to races and the final dividend is — </w:t>
      </w:r>
    </w:p>
    <w:p>
      <w:pPr>
        <w:pStyle w:val="Indenti"/>
      </w:pPr>
      <w:r>
        <w:tab/>
        <w:t>(i)</w:t>
      </w:r>
      <w:r>
        <w:tab/>
        <w:t>reliant on all propositions being correctly selected; and</w:t>
      </w:r>
    </w:p>
    <w:p>
      <w:pPr>
        <w:pStyle w:val="Indenti"/>
      </w:pPr>
      <w:r>
        <w:tab/>
        <w:t>(ii)</w:t>
      </w:r>
      <w:r>
        <w:tab/>
        <w:t>determined by multiplying together the odds of each selection;</w:t>
      </w:r>
    </w:p>
    <w:p>
      <w:pPr>
        <w:pStyle w:val="Indenta"/>
      </w:pPr>
      <w:r>
        <w:tab/>
        <w:t>(j)</w:t>
      </w:r>
      <w:r>
        <w:tab/>
        <w:t xml:space="preserve">the bet is 1 of a number of bets that are all identical or similar and the bets have been placed in a systematic manner from the same internet protocol address; </w:t>
      </w:r>
    </w:p>
    <w:p>
      <w:pPr>
        <w:pStyle w:val="Indenta"/>
      </w:pPr>
      <w:r>
        <w:lastRenderedPageBreak/>
        <w:tab/>
        <w:t>(k)</w:t>
      </w:r>
      <w:r>
        <w:tab/>
        <w:t xml:space="preserve">a free component (as defined in the </w:t>
      </w:r>
      <w:r>
        <w:rPr>
          <w:i/>
        </w:rPr>
        <w:t>Betting Tax Assessment Act 2018</w:t>
      </w:r>
      <w:r>
        <w:t xml:space="preserve"> section 4) is used to place all or part of the bet;</w:t>
      </w:r>
    </w:p>
    <w:p>
      <w:pPr>
        <w:pStyle w:val="Indenta"/>
      </w:pPr>
      <w:r>
        <w:tab/>
        <w:t>(l)</w:t>
      </w:r>
      <w:r>
        <w:tab/>
        <w:t>the domestic betting operator has accepted another bet on the race in respect of the same runner that the bet was placed on and if the other bet and the bet had formed 1 bet the domestic betting operator would not have been required, under regulation 105A or 105B, to accept the bet.</w:t>
      </w:r>
    </w:p>
    <w:p>
      <w:pPr>
        <w:pStyle w:val="Footnotesection"/>
      </w:pPr>
      <w:r>
        <w:tab/>
        <w:t>[Regulation 105C inserted: SL 2021/193 r. 6.]</w:t>
      </w:r>
    </w:p>
    <w:p>
      <w:pPr>
        <w:pStyle w:val="Heading5"/>
      </w:pPr>
      <w:bookmarkStart w:id="249" w:name="_Toc189226751"/>
      <w:r>
        <w:rPr>
          <w:rStyle w:val="CharSectno"/>
        </w:rPr>
        <w:t>106</w:t>
      </w:r>
      <w:r>
        <w:t>.</w:t>
      </w:r>
      <w:r>
        <w:tab/>
        <w:t>Information prescribed: section 27F(2)(a)</w:t>
      </w:r>
      <w:bookmarkEnd w:id="249"/>
    </w:p>
    <w:p>
      <w:pPr>
        <w:pStyle w:val="Subsection"/>
      </w:pPr>
      <w:r>
        <w:tab/>
      </w:r>
      <w:r>
        <w:tab/>
        <w:t>For the purposes of section 27F(2)(a) of the Act, the prescribed information is information in documents, records or accounts relating to racing bets placed with, or placed or accepted through, a domestic betting operator.</w:t>
      </w:r>
    </w:p>
    <w:p>
      <w:pPr>
        <w:pStyle w:val="Footnotesection"/>
      </w:pPr>
      <w:r>
        <w:tab/>
        <w:t>[Regulation 106 inserted: Gazette 8 Jan 2010 p. 24; amended: SL 2025/35 r. 6.]</w:t>
      </w:r>
    </w:p>
    <w:p>
      <w:pPr>
        <w:pStyle w:val="Heading5"/>
      </w:pPr>
      <w:bookmarkStart w:id="250" w:name="_Toc189226752"/>
      <w:r>
        <w:rPr>
          <w:rStyle w:val="CharSectno"/>
        </w:rPr>
        <w:t>107</w:t>
      </w:r>
      <w:r>
        <w:t>.</w:t>
      </w:r>
      <w:r>
        <w:tab/>
        <w:t>Manner of access to prescribed information: section 27F(2)(a)</w:t>
      </w:r>
      <w:bookmarkEnd w:id="250"/>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lastRenderedPageBreak/>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251" w:name="_Toc189226753"/>
      <w:r>
        <w:rPr>
          <w:rStyle w:val="CharSectno"/>
        </w:rPr>
        <w:t>108</w:t>
      </w:r>
      <w:r>
        <w:t>.</w:t>
      </w:r>
      <w:r>
        <w:tab/>
        <w:t>Prescribed conditions: section 27F(2)(b)</w:t>
      </w:r>
      <w:bookmarkEnd w:id="251"/>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keepNext/>
        <w:spacing w:before="150"/>
      </w:pPr>
      <w:r>
        <w:lastRenderedPageBreak/>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252" w:name="_Toc189226754"/>
      <w:r>
        <w:rPr>
          <w:rStyle w:val="CharSectno"/>
        </w:rPr>
        <w:lastRenderedPageBreak/>
        <w:t>109</w:t>
      </w:r>
      <w:r>
        <w:t>.</w:t>
      </w:r>
      <w:r>
        <w:tab/>
        <w:t>Prescribed criteria: section 27F(4)</w:t>
      </w:r>
      <w:bookmarkEnd w:id="252"/>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253" w:name="_Toc189226755"/>
      <w:r>
        <w:rPr>
          <w:rStyle w:val="CharSectno"/>
        </w:rPr>
        <w:t>110</w:t>
      </w:r>
      <w:r>
        <w:t>.</w:t>
      </w:r>
      <w:r>
        <w:tab/>
        <w:t>Audited return</w:t>
      </w:r>
      <w:bookmarkEnd w:id="253"/>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for this subregulation: a fine of $5 000.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lastRenderedPageBreak/>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 amended: SL 2025/35 r. 10.]</w:t>
      </w:r>
    </w:p>
    <w:p>
      <w:pPr>
        <w:pStyle w:val="Heading2"/>
      </w:pPr>
      <w:bookmarkStart w:id="254" w:name="_Toc189141535"/>
      <w:bookmarkStart w:id="255" w:name="_Toc189141653"/>
      <w:bookmarkStart w:id="256" w:name="_Toc189141720"/>
      <w:bookmarkStart w:id="257" w:name="_Toc189142320"/>
      <w:bookmarkStart w:id="258" w:name="_Toc189219137"/>
      <w:bookmarkStart w:id="259" w:name="_Toc189226756"/>
      <w:r>
        <w:rPr>
          <w:rStyle w:val="CharPartNo"/>
        </w:rPr>
        <w:lastRenderedPageBreak/>
        <w:t>Part 7</w:t>
      </w:r>
      <w:r>
        <w:t> —</w:t>
      </w:r>
      <w:r>
        <w:rPr>
          <w:rStyle w:val="CharPartText"/>
        </w:rPr>
        <w:t> Infringement notices</w:t>
      </w:r>
      <w:bookmarkEnd w:id="254"/>
      <w:bookmarkEnd w:id="255"/>
      <w:bookmarkEnd w:id="256"/>
      <w:bookmarkEnd w:id="257"/>
      <w:bookmarkEnd w:id="258"/>
      <w:bookmarkEnd w:id="259"/>
    </w:p>
    <w:p>
      <w:pPr>
        <w:pStyle w:val="Footnoteheading"/>
        <w:spacing w:before="100"/>
      </w:pPr>
      <w:bookmarkStart w:id="260" w:name="_Toc189141536"/>
      <w:bookmarkStart w:id="261" w:name="_Toc189142321"/>
      <w:r>
        <w:tab/>
        <w:t>[Heading inserted: SL 2025/35 r. 7.]</w:t>
      </w:r>
    </w:p>
    <w:p>
      <w:pPr>
        <w:pStyle w:val="Heading5"/>
      </w:pPr>
      <w:bookmarkStart w:id="262" w:name="_Toc189226757"/>
      <w:r>
        <w:rPr>
          <w:rStyle w:val="CharSectno"/>
        </w:rPr>
        <w:t>111</w:t>
      </w:r>
      <w:r>
        <w:t>.</w:t>
      </w:r>
      <w:r>
        <w:tab/>
        <w:t>Prescribed offences and modified penalties</w:t>
      </w:r>
      <w:bookmarkEnd w:id="260"/>
      <w:bookmarkEnd w:id="261"/>
      <w:bookmarkEnd w:id="262"/>
    </w:p>
    <w:p>
      <w:pPr>
        <w:pStyle w:val="Subsection"/>
      </w:pPr>
      <w:r>
        <w:rPr>
          <w:szCs w:val="24"/>
        </w:rPr>
        <w:tab/>
        <w:t>(1)</w:t>
      </w:r>
      <w:r>
        <w:rPr>
          <w:szCs w:val="24"/>
        </w:rPr>
        <w:tab/>
        <w:t xml:space="preserve">The offences specified in Schedule 2 are offences for which an infringement notice may be issued under the </w:t>
      </w:r>
      <w:r>
        <w:rPr>
          <w:i/>
          <w:szCs w:val="24"/>
        </w:rPr>
        <w:t>Criminal Procedure Act 2004</w:t>
      </w:r>
      <w:r>
        <w:rPr>
          <w:szCs w:val="24"/>
        </w:rPr>
        <w:t xml:space="preserve"> Part 2 as modified by the </w:t>
      </w:r>
      <w:r>
        <w:rPr>
          <w:i/>
          <w:szCs w:val="24"/>
        </w:rPr>
        <w:t>Gaming and Wagering Commission Act 1987</w:t>
      </w:r>
      <w:r>
        <w:rPr>
          <w:szCs w:val="24"/>
        </w:rPr>
        <w:t xml:space="preserve"> section 36.</w:t>
      </w:r>
    </w:p>
    <w:p>
      <w:pPr>
        <w:pStyle w:val="Subsection"/>
        <w:rPr>
          <w:szCs w:val="24"/>
        </w:rPr>
      </w:pPr>
      <w:r>
        <w:rPr>
          <w:szCs w:val="24"/>
        </w:rPr>
        <w:tab/>
        <w:t>(2)</w:t>
      </w:r>
      <w:r>
        <w:rPr>
          <w:szCs w:val="24"/>
        </w:rPr>
        <w:tab/>
        <w:t xml:space="preserve">For the purposes of the </w:t>
      </w:r>
      <w:r>
        <w:rPr>
          <w:i/>
          <w:szCs w:val="24"/>
        </w:rPr>
        <w:t>Criminal Procedure Act 2004</w:t>
      </w:r>
      <w:r>
        <w:rPr>
          <w:szCs w:val="24"/>
        </w:rPr>
        <w:t xml:space="preserve"> section 5(3), the penalty specified opposite an offence in Schedule 2 is the modified penalty for that offence.</w:t>
      </w:r>
    </w:p>
    <w:p>
      <w:pPr>
        <w:pStyle w:val="Subsection"/>
        <w:rPr>
          <w:szCs w:val="24"/>
        </w:rPr>
      </w:pPr>
      <w:r>
        <w:rPr>
          <w:szCs w:val="24"/>
        </w:rPr>
        <w:tab/>
        <w:t>(3)</w:t>
      </w:r>
      <w:r>
        <w:rPr>
          <w:szCs w:val="24"/>
        </w:rPr>
        <w:tab/>
        <w:t xml:space="preserve">However, the modified penalty specified for each offence specified in Schedule 2 Division 2 items 19 to 50 is not applicable in a case where regulation 77D(2) is relied on in relation to a person described in paragraph (b) of the definition of </w:t>
      </w:r>
      <w:r>
        <w:rPr>
          <w:b/>
          <w:i/>
          <w:szCs w:val="24"/>
        </w:rPr>
        <w:t>responsible person</w:t>
      </w:r>
      <w:r>
        <w:rPr>
          <w:szCs w:val="24"/>
        </w:rPr>
        <w:t xml:space="preserve"> in regulation 77D(1).</w:t>
      </w:r>
    </w:p>
    <w:p>
      <w:pPr>
        <w:pStyle w:val="Footnotesection"/>
        <w:spacing w:before="100"/>
      </w:pPr>
      <w:bookmarkStart w:id="263" w:name="_Toc189141537"/>
      <w:bookmarkStart w:id="264" w:name="_Toc189142322"/>
      <w:r>
        <w:tab/>
        <w:t>[Regulation 111 inserted: SL 2025/35 r. 7.]</w:t>
      </w:r>
    </w:p>
    <w:p>
      <w:pPr>
        <w:pStyle w:val="Heading5"/>
      </w:pPr>
      <w:bookmarkStart w:id="265" w:name="_Toc189226758"/>
      <w:r>
        <w:rPr>
          <w:rStyle w:val="CharSectno"/>
        </w:rPr>
        <w:t>112</w:t>
      </w:r>
      <w:r>
        <w:t>.</w:t>
      </w:r>
      <w:r>
        <w:tab/>
        <w:t>Forms for infringement notice and withdrawal notice</w:t>
      </w:r>
      <w:bookmarkEnd w:id="263"/>
      <w:bookmarkEnd w:id="264"/>
      <w:bookmarkEnd w:id="265"/>
    </w:p>
    <w:p>
      <w:pPr>
        <w:pStyle w:val="Subsection"/>
      </w:pPr>
      <w:r>
        <w:rPr>
          <w:szCs w:val="24"/>
        </w:rPr>
        <w:tab/>
        <w:t>(1)</w:t>
      </w:r>
      <w:r>
        <w:rPr>
          <w:szCs w:val="24"/>
        </w:rPr>
        <w:tab/>
      </w:r>
      <w:r>
        <w:t xml:space="preserve">For the purposes of the </w:t>
      </w:r>
      <w:r>
        <w:rPr>
          <w:i/>
        </w:rPr>
        <w:t>Criminal Procedure Act </w:t>
      </w:r>
      <w:r>
        <w:rPr>
          <w:i/>
          <w:iCs/>
        </w:rPr>
        <w:t>2004</w:t>
      </w:r>
      <w:r>
        <w:t xml:space="preserve"> section 6(d), the form of an infringement notice is Schedule 1 Form 2.</w:t>
      </w:r>
    </w:p>
    <w:p>
      <w:pPr>
        <w:pStyle w:val="Subsection"/>
      </w:pPr>
      <w:r>
        <w:rPr>
          <w:szCs w:val="24"/>
        </w:rPr>
        <w:tab/>
        <w:t>(2)</w:t>
      </w:r>
      <w:r>
        <w:rPr>
          <w:szCs w:val="24"/>
        </w:rPr>
        <w:tab/>
      </w:r>
      <w:r>
        <w:t xml:space="preserve">For the purposes of the </w:t>
      </w:r>
      <w:r>
        <w:rPr>
          <w:i/>
          <w:iCs/>
        </w:rPr>
        <w:t>Criminal Procedure Act 2004</w:t>
      </w:r>
      <w:r>
        <w:t xml:space="preserve"> section 15(2), the form stating that an infringement notice has been withdrawn is Schedule 1 Form 3.</w:t>
      </w:r>
    </w:p>
    <w:p>
      <w:pPr>
        <w:pStyle w:val="Footnotesection"/>
        <w:spacing w:before="100"/>
      </w:pPr>
      <w:r>
        <w:tab/>
        <w:t>[Regulation 112 inserted: SL 2025/35 r. 7.]</w:t>
      </w:r>
    </w:p>
    <w:p>
      <w:pPr>
        <w:ind w:left="49" w:right="-20"/>
        <w:jc w:val="center"/>
        <w:rPr>
          <w:rStyle w:val="CharDivText"/>
        </w:rPr>
        <w:sectPr>
          <w:headerReference w:type="even" r:id="rId21"/>
          <w:headerReference w:type="default" r:id="rId22"/>
          <w:headerReference w:type="first" r:id="rId23"/>
          <w:pgSz w:w="11907" w:h="16840" w:code="9"/>
          <w:pgMar w:top="2269" w:right="2409" w:bottom="3543" w:left="2409" w:header="720" w:footer="3544" w:gutter="0"/>
          <w:pgNumType w:start="1"/>
          <w:cols w:space="720"/>
          <w:noEndnote/>
          <w:titlePg/>
          <w:docGrid w:linePitch="326"/>
        </w:sectPr>
      </w:pPr>
    </w:p>
    <w:p>
      <w:pPr>
        <w:pStyle w:val="yScheduleHeading"/>
        <w:pageBreakBefore w:val="0"/>
      </w:pPr>
      <w:bookmarkStart w:id="266" w:name="_Toc189146320"/>
      <w:bookmarkStart w:id="267" w:name="_Toc189219140"/>
      <w:bookmarkStart w:id="268" w:name="_Toc189226759"/>
      <w:r>
        <w:rPr>
          <w:rStyle w:val="CharSchNo"/>
        </w:rPr>
        <w:lastRenderedPageBreak/>
        <w:t>Appendix</w:t>
      </w:r>
      <w:bookmarkEnd w:id="266"/>
      <w:bookmarkEnd w:id="267"/>
      <w:bookmarkEnd w:id="268"/>
    </w:p>
    <w:p>
      <w:pPr>
        <w:pStyle w:val="yHeading2"/>
        <w:spacing w:before="120"/>
      </w:pPr>
      <w:bookmarkStart w:id="269" w:name="_Toc189146321"/>
      <w:bookmarkStart w:id="270" w:name="_Toc189219141"/>
      <w:bookmarkStart w:id="271" w:name="_Toc189226760"/>
      <w:r>
        <w:rPr>
          <w:rStyle w:val="CharSchText"/>
        </w:rPr>
        <w:t>Rules of Betting</w:t>
      </w:r>
      <w:bookmarkEnd w:id="269"/>
      <w:bookmarkEnd w:id="270"/>
      <w:bookmarkEnd w:id="271"/>
    </w:p>
    <w:p>
      <w:pPr>
        <w:pStyle w:val="yFootnoteheading"/>
      </w:pPr>
      <w:r>
        <w:tab/>
        <w:t>[Heading inserted: Gazette 14 Sep 1990 p. 4864.]</w:t>
      </w:r>
    </w:p>
    <w:p>
      <w:pPr>
        <w:pStyle w:val="yHeading3"/>
        <w:rPr>
          <w:sz w:val="22"/>
        </w:rPr>
      </w:pPr>
      <w:bookmarkStart w:id="272" w:name="_Toc189146322"/>
      <w:bookmarkStart w:id="273" w:name="_Toc189219142"/>
      <w:bookmarkStart w:id="274" w:name="_Toc189226761"/>
      <w:r>
        <w:rPr>
          <w:rStyle w:val="CharSDivNo"/>
        </w:rPr>
        <w:t>Part 1</w:t>
      </w:r>
      <w:r>
        <w:rPr>
          <w:sz w:val="22"/>
        </w:rPr>
        <w:t> — </w:t>
      </w:r>
      <w:r>
        <w:rPr>
          <w:rStyle w:val="CharSDivText"/>
        </w:rPr>
        <w:t>Betting under the rules of racing</w:t>
      </w:r>
      <w:bookmarkEnd w:id="272"/>
      <w:bookmarkEnd w:id="273"/>
      <w:bookmarkEnd w:id="274"/>
    </w:p>
    <w:p>
      <w:pPr>
        <w:pStyle w:val="yFootnoteheading"/>
        <w:rPr>
          <w:snapToGrid w:val="0"/>
        </w:rPr>
      </w:pPr>
      <w:r>
        <w:rPr>
          <w:snapToGrid w:val="0"/>
        </w:rPr>
        <w:tab/>
        <w:t>[Heading inserted: Gazette 21 Jul 1998 p. 3856.]</w:t>
      </w:r>
    </w:p>
    <w:p>
      <w:pPr>
        <w:pStyle w:val="yHeading5"/>
        <w:spacing w:before="260"/>
        <w:rPr>
          <w:snapToGrid w:val="0"/>
        </w:rPr>
      </w:pPr>
      <w:bookmarkStart w:id="275" w:name="_Toc189226762"/>
      <w:r>
        <w:rPr>
          <w:rStyle w:val="CharSClsNo"/>
        </w:rPr>
        <w:t>1</w:t>
      </w:r>
      <w:r>
        <w:rPr>
          <w:snapToGrid w:val="0"/>
        </w:rPr>
        <w:t>.</w:t>
      </w:r>
      <w:r>
        <w:rPr>
          <w:snapToGrid w:val="0"/>
        </w:rPr>
        <w:tab/>
        <w:t>Terms used</w:t>
      </w:r>
      <w:bookmarkEnd w:id="275"/>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276" w:name="_Toc189226763"/>
      <w:r>
        <w:rPr>
          <w:rStyle w:val="CharSClsNo"/>
        </w:rPr>
        <w:lastRenderedPageBreak/>
        <w:t>2</w:t>
      </w:r>
      <w:r>
        <w:rPr>
          <w:snapToGrid w:val="0"/>
        </w:rPr>
        <w:t>.</w:t>
      </w:r>
      <w:r>
        <w:rPr>
          <w:snapToGrid w:val="0"/>
        </w:rPr>
        <w:tab/>
        <w:t>Bets void in certain circumstances</w:t>
      </w:r>
      <w:bookmarkEnd w:id="276"/>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277" w:name="_Toc189226764"/>
      <w:r>
        <w:rPr>
          <w:rStyle w:val="CharSClsNo"/>
        </w:rPr>
        <w:t>3</w:t>
      </w:r>
      <w:r>
        <w:rPr>
          <w:snapToGrid w:val="0"/>
        </w:rPr>
        <w:t>.</w:t>
      </w:r>
      <w:r>
        <w:rPr>
          <w:snapToGrid w:val="0"/>
        </w:rPr>
        <w:tab/>
        <w:t>When bets are off</w:t>
      </w:r>
      <w:bookmarkEnd w:id="277"/>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 xml:space="preserve">either the backer or the bookmaker may demand bets to be confirmed before the race is run, upon proving to the committee or the stewards that he or she has just cause for so doing; if and when ordered by the committee or the stewards </w:t>
      </w:r>
      <w:r>
        <w:rPr>
          <w:snapToGrid w:val="0"/>
        </w:rPr>
        <w:lastRenderedPageBreak/>
        <w:t>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278" w:name="_Toc189226765"/>
      <w:r>
        <w:rPr>
          <w:rStyle w:val="CharSClsNo"/>
        </w:rPr>
        <w:t>4A</w:t>
      </w:r>
      <w:r>
        <w:t>.</w:t>
      </w:r>
      <w:r>
        <w:tab/>
        <w:t>Determination of bets where runner withdrawn</w:t>
      </w:r>
      <w:bookmarkEnd w:id="278"/>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lastRenderedPageBreak/>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lastRenderedPageBreak/>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lastRenderedPageBreak/>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279" w:name="_Toc189226766"/>
      <w:r>
        <w:rPr>
          <w:rStyle w:val="CharSClsNo"/>
        </w:rPr>
        <w:t>4</w:t>
      </w:r>
      <w:r>
        <w:rPr>
          <w:snapToGrid w:val="0"/>
        </w:rPr>
        <w:t>.</w:t>
      </w:r>
      <w:r>
        <w:rPr>
          <w:snapToGrid w:val="0"/>
        </w:rPr>
        <w:tab/>
        <w:t>Determination and settlement of bets</w:t>
      </w:r>
      <w:bookmarkEnd w:id="279"/>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280" w:name="_Toc189226767"/>
      <w:r>
        <w:rPr>
          <w:rStyle w:val="CharSClsNo"/>
        </w:rPr>
        <w:lastRenderedPageBreak/>
        <w:t>5</w:t>
      </w:r>
      <w:r>
        <w:rPr>
          <w:snapToGrid w:val="0"/>
        </w:rPr>
        <w:t>.</w:t>
      </w:r>
      <w:r>
        <w:rPr>
          <w:snapToGrid w:val="0"/>
        </w:rPr>
        <w:tab/>
        <w:t>Bets in respect of postponed race or race meeting</w:t>
      </w:r>
      <w:bookmarkEnd w:id="280"/>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281" w:name="_Toc189226768"/>
      <w:r>
        <w:rPr>
          <w:rStyle w:val="CharSClsNo"/>
        </w:rPr>
        <w:t>6</w:t>
      </w:r>
      <w:r>
        <w:rPr>
          <w:snapToGrid w:val="0"/>
        </w:rPr>
        <w:t>.</w:t>
      </w:r>
      <w:r>
        <w:rPr>
          <w:snapToGrid w:val="0"/>
        </w:rPr>
        <w:tab/>
        <w:t>Each way bets</w:t>
      </w:r>
      <w:bookmarkEnd w:id="281"/>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282" w:name="_Toc189226769"/>
      <w:r>
        <w:rPr>
          <w:rStyle w:val="CharSClsNo"/>
        </w:rPr>
        <w:t>7</w:t>
      </w:r>
      <w:r>
        <w:rPr>
          <w:snapToGrid w:val="0"/>
        </w:rPr>
        <w:t>.</w:t>
      </w:r>
      <w:r>
        <w:rPr>
          <w:snapToGrid w:val="0"/>
        </w:rPr>
        <w:tab/>
        <w:t>All bets to be “play or pay” except in certain circumstances</w:t>
      </w:r>
      <w:bookmarkEnd w:id="282"/>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lastRenderedPageBreak/>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283" w:name="_Toc189226770"/>
      <w:r>
        <w:rPr>
          <w:rStyle w:val="CharSClsNo"/>
        </w:rPr>
        <w:t>8</w:t>
      </w:r>
      <w:r>
        <w:rPr>
          <w:snapToGrid w:val="0"/>
        </w:rPr>
        <w:t>.</w:t>
      </w:r>
      <w:r>
        <w:rPr>
          <w:snapToGrid w:val="0"/>
        </w:rPr>
        <w:tab/>
        <w:t>Provisions as to settlement of bets following dead heat</w:t>
      </w:r>
      <w:bookmarkEnd w:id="283"/>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lastRenderedPageBreak/>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284" w:name="_Toc189226771"/>
      <w:r>
        <w:rPr>
          <w:rStyle w:val="CharSClsNo"/>
        </w:rPr>
        <w:t>9</w:t>
      </w:r>
      <w:r>
        <w:rPr>
          <w:snapToGrid w:val="0"/>
        </w:rPr>
        <w:t>.</w:t>
      </w:r>
      <w:r>
        <w:rPr>
          <w:snapToGrid w:val="0"/>
        </w:rPr>
        <w:tab/>
        <w:t>Doubles</w:t>
      </w:r>
      <w:bookmarkEnd w:id="284"/>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lastRenderedPageBreak/>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285" w:name="_Toc189226772"/>
      <w:r>
        <w:rPr>
          <w:rStyle w:val="CharSClsNo"/>
        </w:rPr>
        <w:lastRenderedPageBreak/>
        <w:t>10</w:t>
      </w:r>
      <w:r>
        <w:rPr>
          <w:snapToGrid w:val="0"/>
        </w:rPr>
        <w:t>.</w:t>
      </w:r>
      <w:r>
        <w:rPr>
          <w:snapToGrid w:val="0"/>
        </w:rPr>
        <w:tab/>
        <w:t>Multiple doubles</w:t>
      </w:r>
      <w:bookmarkEnd w:id="285"/>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286" w:name="_Toc189226773"/>
      <w:r>
        <w:rPr>
          <w:rStyle w:val="CharSClsNo"/>
        </w:rPr>
        <w:t>11</w:t>
      </w:r>
      <w:r>
        <w:rPr>
          <w:snapToGrid w:val="0"/>
        </w:rPr>
        <w:t>.</w:t>
      </w:r>
      <w:r>
        <w:rPr>
          <w:snapToGrid w:val="0"/>
        </w:rPr>
        <w:tab/>
        <w:t>“All up” bets</w:t>
      </w:r>
      <w:bookmarkEnd w:id="286"/>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287" w:name="_Toc189226774"/>
      <w:r>
        <w:rPr>
          <w:rStyle w:val="CharSClsNo"/>
        </w:rPr>
        <w:t>12</w:t>
      </w:r>
      <w:r>
        <w:rPr>
          <w:snapToGrid w:val="0"/>
        </w:rPr>
        <w:t>.</w:t>
      </w:r>
      <w:r>
        <w:rPr>
          <w:snapToGrid w:val="0"/>
        </w:rPr>
        <w:tab/>
        <w:t>Provisions as to races that are re</w:t>
      </w:r>
      <w:r>
        <w:rPr>
          <w:snapToGrid w:val="0"/>
        </w:rPr>
        <w:noBreakHyphen/>
        <w:t>run</w:t>
      </w:r>
      <w:bookmarkEnd w:id="287"/>
    </w:p>
    <w:p>
      <w:pPr>
        <w:pStyle w:val="ySubsection"/>
        <w:keepNext/>
        <w:rPr>
          <w:snapToGrid w:val="0"/>
        </w:rPr>
      </w:pPr>
      <w:r>
        <w:rPr>
          <w:snapToGrid w:val="0"/>
        </w:rPr>
        <w:tab/>
      </w:r>
      <w:r>
        <w:rPr>
          <w:snapToGrid w:val="0"/>
        </w:rPr>
        <w:tab/>
        <w:t>In the event of a race being ordered to be re</w:t>
      </w:r>
      <w:r>
        <w:rPr>
          <w:snapToGrid w:val="0"/>
        </w:rPr>
        <w:noBreakHyphen/>
        <w:t xml:space="preserve">run the same day, all bets in favour of any runner which started on the first run shall stand, </w:t>
      </w:r>
      <w:r>
        <w:rPr>
          <w:snapToGrid w:val="0"/>
        </w:rPr>
        <w:lastRenderedPageBreak/>
        <w:t>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288" w:name="_Toc189226775"/>
      <w:r>
        <w:rPr>
          <w:rStyle w:val="CharSClsNo"/>
        </w:rPr>
        <w:t>13</w:t>
      </w:r>
      <w:r>
        <w:rPr>
          <w:snapToGrid w:val="0"/>
        </w:rPr>
        <w:t>.</w:t>
      </w:r>
      <w:r>
        <w:rPr>
          <w:snapToGrid w:val="0"/>
        </w:rPr>
        <w:tab/>
        <w:t>Provisions as to bets on runners that are entered for 2 or more races on same day</w:t>
      </w:r>
      <w:bookmarkEnd w:id="288"/>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289" w:name="_Toc189226776"/>
      <w:r>
        <w:rPr>
          <w:rStyle w:val="CharSClsNo"/>
        </w:rPr>
        <w:t>14</w:t>
      </w:r>
      <w:r>
        <w:rPr>
          <w:snapToGrid w:val="0"/>
        </w:rPr>
        <w:t>.</w:t>
      </w:r>
      <w:r>
        <w:rPr>
          <w:snapToGrid w:val="0"/>
        </w:rPr>
        <w:tab/>
        <w:t>Prohibition on betting after race</w:t>
      </w:r>
      <w:bookmarkEnd w:id="289"/>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290" w:name="_Toc189226777"/>
      <w:r>
        <w:rPr>
          <w:rStyle w:val="CharSClsNo"/>
        </w:rPr>
        <w:lastRenderedPageBreak/>
        <w:t>15</w:t>
      </w:r>
      <w:r>
        <w:rPr>
          <w:snapToGrid w:val="0"/>
        </w:rPr>
        <w:t>.</w:t>
      </w:r>
      <w:r>
        <w:rPr>
          <w:snapToGrid w:val="0"/>
        </w:rPr>
        <w:tab/>
        <w:t>Settlement of bets on deaths of parties thereto</w:t>
      </w:r>
      <w:bookmarkEnd w:id="290"/>
    </w:p>
    <w:p>
      <w:pPr>
        <w:pStyle w:val="ySubsection"/>
        <w:keepNext/>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291" w:name="_Toc189226778"/>
      <w:r>
        <w:rPr>
          <w:rStyle w:val="CharSClsNo"/>
        </w:rPr>
        <w:t>16</w:t>
      </w:r>
      <w:r>
        <w:rPr>
          <w:snapToGrid w:val="0"/>
        </w:rPr>
        <w:t>.</w:t>
      </w:r>
      <w:r>
        <w:rPr>
          <w:snapToGrid w:val="0"/>
        </w:rPr>
        <w:tab/>
        <w:t>Settlement of bets on suspension or cancellation of licence of bookmaker</w:t>
      </w:r>
      <w:bookmarkEnd w:id="291"/>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292" w:name="_Toc189226779"/>
      <w:r>
        <w:rPr>
          <w:rStyle w:val="CharSClsNo"/>
        </w:rPr>
        <w:t>17</w:t>
      </w:r>
      <w:r>
        <w:rPr>
          <w:snapToGrid w:val="0"/>
        </w:rPr>
        <w:t>.</w:t>
      </w:r>
      <w:r>
        <w:rPr>
          <w:snapToGrid w:val="0"/>
        </w:rPr>
        <w:tab/>
        <w:t>Settling</w:t>
      </w:r>
      <w:bookmarkEnd w:id="292"/>
    </w:p>
    <w:p>
      <w:pPr>
        <w:pStyle w:val="ySubsection"/>
      </w:pPr>
      <w:r>
        <w:rPr>
          <w:snapToGrid w:val="0"/>
        </w:rPr>
        <w:tab/>
      </w:r>
      <w:r>
        <w:rPr>
          <w:snapToGrid w:val="0"/>
        </w:rPr>
        <w:tab/>
        <w:t>Settling in terms of these rules shall not be disturbed except in cases of fraud.</w:t>
      </w:r>
    </w:p>
    <w:p>
      <w:pPr>
        <w:outlineLvl w:val="0"/>
        <w:sectPr>
          <w:headerReference w:type="even" r:id="rId28"/>
          <w:headerReference w:type="default" r:id="rId29"/>
          <w:pgSz w:w="11907" w:h="16840" w:code="9"/>
          <w:pgMar w:top="2381" w:right="2410" w:bottom="3544" w:left="2410" w:header="720" w:footer="3544" w:gutter="0"/>
          <w:cols w:space="720"/>
        </w:sectPr>
      </w:pPr>
    </w:p>
    <w:p>
      <w:pPr>
        <w:pStyle w:val="yHeading3"/>
        <w:rPr>
          <w:szCs w:val="24"/>
        </w:rPr>
      </w:pPr>
      <w:bookmarkStart w:id="294" w:name="_Toc189146341"/>
      <w:bookmarkStart w:id="295" w:name="_Toc189219161"/>
      <w:bookmarkStart w:id="296" w:name="_Toc189226780"/>
      <w:r>
        <w:rPr>
          <w:rStyle w:val="CharSDivNo"/>
          <w:szCs w:val="24"/>
        </w:rPr>
        <w:lastRenderedPageBreak/>
        <w:t>Part 2</w:t>
      </w:r>
      <w:r>
        <w:rPr>
          <w:szCs w:val="24"/>
        </w:rPr>
        <w:t> —</w:t>
      </w:r>
      <w:r>
        <w:rPr>
          <w:rStyle w:val="CharSClsNo"/>
          <w:sz w:val="24"/>
          <w:szCs w:val="24"/>
        </w:rPr>
        <w:t> </w:t>
      </w:r>
      <w:r>
        <w:rPr>
          <w:rStyle w:val="CharSDivText"/>
          <w:szCs w:val="24"/>
        </w:rPr>
        <w:t>Betting on approved events</w:t>
      </w:r>
      <w:bookmarkEnd w:id="294"/>
      <w:bookmarkEnd w:id="295"/>
      <w:bookmarkEnd w:id="296"/>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 xml:space="preserve">where the bet covers 2 contingencies and either of those contingencies is decided in the backer’s favour and the other </w:t>
      </w:r>
      <w:r>
        <w:rPr>
          <w:snapToGrid w:val="0"/>
        </w:rPr>
        <w:lastRenderedPageBreak/>
        <w:t>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lastRenderedPageBreak/>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lastRenderedPageBreak/>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lastRenderedPageBreak/>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lastRenderedPageBreak/>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lastRenderedPageBreak/>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297" w:name="_Toc189146342"/>
      <w:bookmarkStart w:id="298" w:name="_Toc189219162"/>
      <w:bookmarkStart w:id="299" w:name="_Toc189226781"/>
      <w:r>
        <w:rPr>
          <w:rStyle w:val="CharSchNo"/>
        </w:rPr>
        <w:lastRenderedPageBreak/>
        <w:t>Schedule 1</w:t>
      </w:r>
      <w:r>
        <w:rPr>
          <w:rStyle w:val="CharSDivNo"/>
        </w:rPr>
        <w:t> </w:t>
      </w:r>
      <w:r>
        <w:t>—</w:t>
      </w:r>
      <w:r>
        <w:rPr>
          <w:rStyle w:val="CharSDivText"/>
        </w:rPr>
        <w:t> </w:t>
      </w:r>
      <w:r>
        <w:rPr>
          <w:rStyle w:val="CharSchText"/>
        </w:rPr>
        <w:t>Forms</w:t>
      </w:r>
      <w:bookmarkEnd w:id="297"/>
      <w:bookmarkEnd w:id="298"/>
      <w:bookmarkEnd w:id="299"/>
    </w:p>
    <w:p>
      <w:pPr>
        <w:pStyle w:val="yShoulderClause"/>
      </w:pPr>
      <w:r>
        <w:t>[r. 77 and 112(1) and (2)]</w:t>
      </w:r>
    </w:p>
    <w:p>
      <w:pPr>
        <w:pStyle w:val="yFootnoteheading"/>
        <w:rPr>
          <w:b/>
          <w:snapToGrid w:val="0"/>
        </w:rPr>
      </w:pPr>
      <w:r>
        <w:tab/>
        <w:t>[Heading inserted: Gazette 30 Jan 2004 p. 411; amended: SL 2025/35 r. 8(1).]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MiscellaneousHeading"/>
        <w:pageBreakBefore/>
        <w:spacing w:after="60"/>
        <w:rPr>
          <w:b/>
          <w:bCs/>
        </w:rPr>
      </w:pPr>
      <w:r>
        <w:rPr>
          <w:rStyle w:val="CharSClsNo"/>
          <w:b/>
          <w:bCs/>
        </w:rPr>
        <w:lastRenderedPageBreak/>
        <w:t>Form 2</w:t>
      </w:r>
      <w:r>
        <w:rPr>
          <w:b/>
          <w:bCs/>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559"/>
        <w:gridCol w:w="29"/>
        <w:gridCol w:w="2098"/>
        <w:gridCol w:w="1984"/>
      </w:tblGrid>
      <w:tr>
        <w:trPr>
          <w:trHeight w:val="282"/>
        </w:trPr>
        <w:tc>
          <w:tcPr>
            <w:tcW w:w="4820" w:type="dxa"/>
            <w:gridSpan w:val="4"/>
            <w:tcBorders>
              <w:top w:val="single" w:sz="4" w:space="0" w:color="auto"/>
              <w:left w:val="single" w:sz="4" w:space="0" w:color="auto"/>
              <w:bottom w:val="single" w:sz="4" w:space="0" w:color="auto"/>
              <w:right w:val="single" w:sz="4" w:space="0" w:color="auto"/>
            </w:tcBorders>
            <w:noWrap/>
            <w:hideMark/>
          </w:tcPr>
          <w:p>
            <w:pPr>
              <w:pStyle w:val="yTableNAm"/>
              <w:jc w:val="center"/>
              <w:rPr>
                <w:i/>
              </w:rPr>
            </w:pPr>
            <w:r>
              <w:br w:type="page"/>
            </w:r>
            <w:r>
              <w:rPr>
                <w:i/>
              </w:rPr>
              <w:t>Betting Control Act 1954</w:t>
            </w:r>
          </w:p>
          <w:p>
            <w:pPr>
              <w:pStyle w:val="yTableNAm"/>
              <w:jc w:val="center"/>
              <w:rPr>
                <w:b/>
                <w:sz w:val="28"/>
              </w:rPr>
            </w:pPr>
            <w:r>
              <w:rPr>
                <w:b/>
                <w:sz w:val="28"/>
              </w:rPr>
              <w:t>INFRINGEMENT NOTICE</w:t>
            </w:r>
          </w:p>
        </w:tc>
        <w:tc>
          <w:tcPr>
            <w:tcW w:w="1984" w:type="dxa"/>
            <w:tcBorders>
              <w:top w:val="single" w:sz="4" w:space="0" w:color="auto"/>
              <w:left w:val="single" w:sz="4" w:space="0" w:color="auto"/>
              <w:bottom w:val="single" w:sz="4" w:space="0" w:color="auto"/>
              <w:right w:val="single" w:sz="4" w:space="0" w:color="auto"/>
            </w:tcBorders>
            <w:noWrap/>
            <w:hideMark/>
          </w:tcPr>
          <w:p>
            <w:pPr>
              <w:pStyle w:val="yTableNAm"/>
            </w:pPr>
            <w:r>
              <w:t xml:space="preserve">Infringement </w:t>
            </w:r>
            <w:r>
              <w:br/>
              <w:t>notice no.</w:t>
            </w:r>
          </w:p>
        </w:tc>
      </w:tr>
      <w:tr>
        <w:trPr>
          <w:trHeight w:val="150"/>
        </w:trP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Alleged offender</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Name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Address</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Alleged offence</w:t>
            </w: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Date or period</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Time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Place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1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Details of offence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1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06"/>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Written law contravened</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06"/>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06"/>
        </w:trPr>
        <w:tc>
          <w:tcPr>
            <w:tcW w:w="1134"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Modified penalty</w:t>
            </w:r>
          </w:p>
        </w:tc>
        <w:tc>
          <w:tcPr>
            <w:tcW w:w="5670" w:type="dxa"/>
            <w:gridSpan w:val="4"/>
            <w:tcBorders>
              <w:top w:val="single" w:sz="4" w:space="0" w:color="auto"/>
              <w:left w:val="single" w:sz="4" w:space="0" w:color="auto"/>
              <w:bottom w:val="single" w:sz="4" w:space="0" w:color="auto"/>
              <w:right w:val="single" w:sz="4" w:space="0" w:color="auto"/>
            </w:tcBorders>
            <w:noWrap/>
            <w:hideMark/>
          </w:tcPr>
          <w:p>
            <w:pPr>
              <w:pStyle w:val="yTableNAm"/>
            </w:pPr>
            <w:r>
              <w:t>$</w:t>
            </w:r>
          </w:p>
        </w:tc>
      </w:tr>
      <w:tr>
        <w:tc>
          <w:tcPr>
            <w:tcW w:w="1134"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Date</w:t>
            </w: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Date of notice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Issuing officer</w:t>
            </w: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Name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Signature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401"/>
        </w:trPr>
        <w:tc>
          <w:tcPr>
            <w:tcW w:w="1134"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TAKE NOTICE</w:t>
            </w:r>
          </w:p>
        </w:tc>
        <w:tc>
          <w:tcPr>
            <w:tcW w:w="5670" w:type="dxa"/>
            <w:gridSpan w:val="4"/>
            <w:tcBorders>
              <w:top w:val="single" w:sz="4" w:space="0" w:color="auto"/>
              <w:left w:val="single" w:sz="4" w:space="0" w:color="auto"/>
              <w:bottom w:val="single" w:sz="4" w:space="0" w:color="auto"/>
              <w:right w:val="single" w:sz="4" w:space="0" w:color="auto"/>
            </w:tcBorders>
            <w:noWrap/>
            <w:hideMark/>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the Approved Officer (the </w:t>
            </w:r>
            <w:r>
              <w:rPr>
                <w:b/>
                <w:bCs/>
              </w:rPr>
              <w:t>Gaming and Wagering Commission</w:t>
            </w:r>
            <w:r>
              <w:t>) within 28 days after the date of this notice.</w:t>
            </w:r>
          </w:p>
          <w:p>
            <w:pPr>
              <w:pStyle w:val="yTableNAm"/>
            </w:pPr>
            <w:r>
              <w:rPr>
                <w:b/>
              </w:rPr>
              <w:t>If you do not pay</w:t>
            </w:r>
            <w:r>
              <w:t xml:space="preserve"> the modified penalty within 28 days after the date of this notice, you may be prosecuted or enforcement action may be taken under the </w:t>
            </w:r>
            <w:r>
              <w:rPr>
                <w:i/>
              </w:rPr>
              <w:t>Fines, Penalties and Infringement Notices Enforcement Act 1994</w:t>
            </w:r>
            <w:r>
              <w:t xml:space="preserve">. Under that Act, some or all of the following action may be taken — your </w:t>
            </w:r>
            <w:r>
              <w:lastRenderedPageBreak/>
              <w:t>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Gaming and Wagering Commission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r>
              <w:br/>
              <w:t>and post this notice to the Gaming and Wagering Commission at the address below within 28 days after the date of this notice.</w:t>
            </w:r>
          </w:p>
        </w:tc>
      </w:tr>
      <w:tr>
        <w:trPr>
          <w:trHeight w:val="401"/>
        </w:trP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lastRenderedPageBreak/>
              <w:t>How to pay</w:t>
            </w:r>
          </w:p>
        </w:tc>
        <w:tc>
          <w:tcPr>
            <w:tcW w:w="1588" w:type="dxa"/>
            <w:gridSpan w:val="2"/>
            <w:tcBorders>
              <w:top w:val="single" w:sz="4" w:space="0" w:color="auto"/>
              <w:left w:val="single" w:sz="4" w:space="0" w:color="auto"/>
              <w:bottom w:val="single" w:sz="4" w:space="0" w:color="auto"/>
              <w:right w:val="single" w:sz="4" w:space="0" w:color="auto"/>
            </w:tcBorders>
            <w:noWrap/>
            <w:hideMark/>
          </w:tcPr>
          <w:p>
            <w:pPr>
              <w:pStyle w:val="yTableNAm"/>
              <w:rPr>
                <w:szCs w:val="22"/>
              </w:rPr>
            </w:pPr>
            <w:r>
              <w:rPr>
                <w:szCs w:val="22"/>
              </w:rPr>
              <w:t>By post</w:t>
            </w:r>
          </w:p>
        </w:tc>
        <w:tc>
          <w:tcPr>
            <w:tcW w:w="4082" w:type="dxa"/>
            <w:gridSpan w:val="2"/>
            <w:tcBorders>
              <w:top w:val="single" w:sz="4" w:space="0" w:color="auto"/>
              <w:left w:val="single" w:sz="4" w:space="0" w:color="auto"/>
              <w:bottom w:val="single" w:sz="4" w:space="0" w:color="auto"/>
              <w:right w:val="single" w:sz="4" w:space="0" w:color="auto"/>
            </w:tcBorders>
            <w:noWrap/>
            <w:hideMark/>
          </w:tcPr>
          <w:p>
            <w:pPr>
              <w:pStyle w:val="yTableNAm"/>
              <w:rPr>
                <w:i/>
                <w:szCs w:val="22"/>
              </w:rPr>
            </w:pPr>
            <w:r>
              <w:rPr>
                <w:i/>
                <w:szCs w:val="22"/>
              </w:rPr>
              <w:t>[Insert details for paying by post]</w:t>
            </w:r>
          </w:p>
        </w:tc>
      </w:tr>
      <w:tr>
        <w:trPr>
          <w:trHeight w:val="447"/>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88" w:type="dxa"/>
            <w:gridSpan w:val="2"/>
            <w:tcBorders>
              <w:top w:val="single" w:sz="4" w:space="0" w:color="auto"/>
              <w:left w:val="single" w:sz="4" w:space="0" w:color="auto"/>
              <w:bottom w:val="single" w:sz="4" w:space="0" w:color="auto"/>
              <w:right w:val="single" w:sz="4" w:space="0" w:color="auto"/>
            </w:tcBorders>
            <w:noWrap/>
            <w:hideMark/>
          </w:tcPr>
          <w:p>
            <w:pPr>
              <w:pStyle w:val="yTableNAm"/>
              <w:rPr>
                <w:szCs w:val="22"/>
              </w:rPr>
            </w:pPr>
            <w:r>
              <w:rPr>
                <w:szCs w:val="22"/>
              </w:rPr>
              <w:t>In person</w:t>
            </w:r>
          </w:p>
        </w:tc>
        <w:tc>
          <w:tcPr>
            <w:tcW w:w="4082" w:type="dxa"/>
            <w:gridSpan w:val="2"/>
            <w:tcBorders>
              <w:top w:val="single" w:sz="4" w:space="0" w:color="auto"/>
              <w:left w:val="single" w:sz="4" w:space="0" w:color="auto"/>
              <w:bottom w:val="single" w:sz="4" w:space="0" w:color="auto"/>
              <w:right w:val="single" w:sz="4" w:space="0" w:color="auto"/>
            </w:tcBorders>
            <w:noWrap/>
            <w:hideMark/>
          </w:tcPr>
          <w:p>
            <w:pPr>
              <w:pStyle w:val="yTableNAm"/>
              <w:rPr>
                <w:i/>
                <w:szCs w:val="22"/>
              </w:rPr>
            </w:pPr>
            <w:r>
              <w:rPr>
                <w:i/>
                <w:szCs w:val="22"/>
              </w:rPr>
              <w:t>[Insert details for paying in person]</w:t>
            </w:r>
          </w:p>
        </w:tc>
      </w:tr>
      <w:tr>
        <w:trPr>
          <w:trHeight w:val="447"/>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88" w:type="dxa"/>
            <w:gridSpan w:val="2"/>
            <w:tcBorders>
              <w:top w:val="single" w:sz="4" w:space="0" w:color="auto"/>
              <w:left w:val="single" w:sz="4" w:space="0" w:color="auto"/>
              <w:bottom w:val="single" w:sz="4" w:space="0" w:color="auto"/>
              <w:right w:val="single" w:sz="4" w:space="0" w:color="auto"/>
            </w:tcBorders>
            <w:noWrap/>
            <w:hideMark/>
          </w:tcPr>
          <w:p>
            <w:pPr>
              <w:pStyle w:val="yTableNAm"/>
              <w:rPr>
                <w:szCs w:val="22"/>
              </w:rPr>
            </w:pPr>
            <w:r>
              <w:rPr>
                <w:szCs w:val="22"/>
              </w:rPr>
              <w:t>Electronically</w:t>
            </w:r>
          </w:p>
        </w:tc>
        <w:tc>
          <w:tcPr>
            <w:tcW w:w="4082" w:type="dxa"/>
            <w:gridSpan w:val="2"/>
            <w:tcBorders>
              <w:top w:val="single" w:sz="4" w:space="0" w:color="auto"/>
              <w:left w:val="single" w:sz="4" w:space="0" w:color="auto"/>
              <w:bottom w:val="single" w:sz="4" w:space="0" w:color="auto"/>
              <w:right w:val="single" w:sz="4" w:space="0" w:color="auto"/>
            </w:tcBorders>
            <w:noWrap/>
            <w:hideMark/>
          </w:tcPr>
          <w:p>
            <w:pPr>
              <w:pStyle w:val="yTableNAm"/>
              <w:rPr>
                <w:i/>
                <w:szCs w:val="22"/>
              </w:rPr>
            </w:pPr>
            <w:r>
              <w:rPr>
                <w:i/>
                <w:szCs w:val="22"/>
              </w:rPr>
              <w:t>[Insert details for paying electronically]</w:t>
            </w:r>
          </w:p>
        </w:tc>
      </w:tr>
    </w:tbl>
    <w:p>
      <w:pPr>
        <w:pStyle w:val="yMiscellaneousHeading"/>
        <w:spacing w:after="60"/>
        <w:rPr>
          <w:b/>
          <w:bCs/>
        </w:rPr>
      </w:pPr>
      <w:r>
        <w:rPr>
          <w:rStyle w:val="CharSClsNo"/>
          <w:b/>
          <w:bCs/>
        </w:rPr>
        <w:t>Form 3</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560"/>
        <w:gridCol w:w="1701"/>
        <w:gridCol w:w="1984"/>
      </w:tblGrid>
      <w:tr>
        <w:trPr>
          <w:trHeight w:val="282"/>
        </w:trPr>
        <w:tc>
          <w:tcPr>
            <w:tcW w:w="4820" w:type="dxa"/>
            <w:gridSpan w:val="3"/>
            <w:tcBorders>
              <w:top w:val="single" w:sz="4" w:space="0" w:color="auto"/>
              <w:left w:val="single" w:sz="4" w:space="0" w:color="auto"/>
              <w:bottom w:val="single" w:sz="4" w:space="0" w:color="auto"/>
              <w:right w:val="single" w:sz="4" w:space="0" w:color="auto"/>
            </w:tcBorders>
            <w:noWrap/>
            <w:hideMark/>
          </w:tcPr>
          <w:p>
            <w:pPr>
              <w:pStyle w:val="yTableNAm"/>
              <w:keepNext/>
              <w:jc w:val="center"/>
            </w:pPr>
            <w:r>
              <w:br w:type="page"/>
            </w:r>
            <w:r>
              <w:rPr>
                <w:i/>
              </w:rPr>
              <w:t>Betting Control Act 1954</w:t>
            </w:r>
          </w:p>
          <w:p>
            <w:pPr>
              <w:pStyle w:val="yTableNAm"/>
              <w:keepNext/>
              <w:jc w:val="center"/>
              <w:rPr>
                <w:b/>
                <w:sz w:val="28"/>
              </w:rPr>
            </w:pPr>
            <w:r>
              <w:rPr>
                <w:b/>
                <w:sz w:val="28"/>
              </w:rPr>
              <w:t>WITHDRAWAL OF INFRINGEMENT NOTICE</w:t>
            </w:r>
          </w:p>
        </w:tc>
        <w:tc>
          <w:tcPr>
            <w:tcW w:w="1984" w:type="dxa"/>
            <w:tcBorders>
              <w:top w:val="single" w:sz="4" w:space="0" w:color="auto"/>
              <w:left w:val="single" w:sz="4" w:space="0" w:color="auto"/>
              <w:bottom w:val="single" w:sz="4" w:space="0" w:color="auto"/>
              <w:right w:val="single" w:sz="4" w:space="0" w:color="auto"/>
            </w:tcBorders>
            <w:noWrap/>
            <w:hideMark/>
          </w:tcPr>
          <w:p>
            <w:pPr>
              <w:pStyle w:val="yTableNAm"/>
              <w:keepNext/>
            </w:pPr>
            <w:r>
              <w:t>Withdrawal no.</w:t>
            </w:r>
          </w:p>
        </w:tc>
      </w:tr>
      <w:tr>
        <w:trPr>
          <w:trHeight w:val="150"/>
        </w:trP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Alleged offender</w:t>
            </w: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Name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Address</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lastRenderedPageBreak/>
              <w:t>Details of infringement notice</w:t>
            </w: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Infringement notice no.</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Date of issue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Alleged offence</w:t>
            </w: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Date or period</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Time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Place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 xml:space="preserve">Details of offence </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282"/>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Written law contravened</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282"/>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Officer of the Commission withdrawing notice</w:t>
            </w: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Name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rPr>
                <w:rStyle w:val="DraftersNotes"/>
              </w:rPr>
            </w:pPr>
          </w:p>
        </w:tc>
      </w:tr>
      <w:tr>
        <w:trPr>
          <w:trHeight w:val="37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Signature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c>
          <w:tcPr>
            <w:tcW w:w="1559"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Date</w:t>
            </w: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Date of withdrawal</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097"/>
        </w:trPr>
        <w:tc>
          <w:tcPr>
            <w:tcW w:w="1559" w:type="dxa"/>
            <w:tcBorders>
              <w:top w:val="single" w:sz="4" w:space="0" w:color="auto"/>
              <w:left w:val="single" w:sz="4" w:space="0" w:color="auto"/>
              <w:bottom w:val="single" w:sz="4" w:space="0" w:color="auto"/>
              <w:right w:val="single" w:sz="4" w:space="0" w:color="auto"/>
            </w:tcBorders>
            <w:noWrap/>
          </w:tcPr>
          <w:p>
            <w:pPr>
              <w:pStyle w:val="yTableNAm"/>
              <w:keepNext/>
              <w:rPr>
                <w:b/>
              </w:rPr>
            </w:pPr>
            <w:r>
              <w:rPr>
                <w:b/>
              </w:rPr>
              <w:t>Withdrawal of infringement notice</w:t>
            </w:r>
          </w:p>
          <w:p>
            <w:pPr>
              <w:pStyle w:val="yTableNAm"/>
              <w:keepNext/>
              <w:rPr>
                <w:i/>
              </w:rPr>
            </w:pPr>
          </w:p>
        </w:tc>
        <w:tc>
          <w:tcPr>
            <w:tcW w:w="5245" w:type="dxa"/>
            <w:gridSpan w:val="3"/>
            <w:tcBorders>
              <w:top w:val="single" w:sz="4" w:space="0" w:color="auto"/>
              <w:left w:val="single" w:sz="4" w:space="0" w:color="auto"/>
              <w:bottom w:val="single" w:sz="4" w:space="0" w:color="auto"/>
              <w:right w:val="single" w:sz="4" w:space="0" w:color="auto"/>
            </w:tcBorders>
            <w:noWrap/>
            <w:hideMark/>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rPr>
                <w:rStyle w:val="DraftersNotes"/>
                <w:b w:val="0"/>
                <w:iCs/>
              </w:rPr>
            </w:pPr>
            <w:r>
              <w:rPr>
                <w:i/>
                <w:iCs/>
              </w:rPr>
              <w:t>[Insert details for processing of refund.]</w:t>
            </w:r>
          </w:p>
        </w:tc>
      </w:tr>
    </w:tbl>
    <w:p>
      <w:pPr>
        <w:pStyle w:val="yFootnotesection"/>
      </w:pPr>
      <w:r>
        <w:tab/>
        <w:t>[Schedule 1 inserted: Gazette 30 Jan 2004 p. 411; amended: Gazette 14 Jun 2013 p. 2243; SL 2025/35 r. 8(2).]</w:t>
      </w:r>
    </w:p>
    <w:p>
      <w:pPr>
        <w:pStyle w:val="yScheduleHeading"/>
      </w:pPr>
      <w:bookmarkStart w:id="300" w:name="_Toc189141540"/>
      <w:bookmarkStart w:id="301" w:name="_Toc189141658"/>
      <w:bookmarkStart w:id="302" w:name="_Toc189141725"/>
      <w:bookmarkStart w:id="303" w:name="_Toc189142325"/>
      <w:bookmarkStart w:id="304" w:name="_Toc189219163"/>
      <w:bookmarkStart w:id="305" w:name="_Toc189226782"/>
      <w:r>
        <w:rPr>
          <w:rStyle w:val="CharSchNo"/>
        </w:rPr>
        <w:lastRenderedPageBreak/>
        <w:t>Schedule 2</w:t>
      </w:r>
      <w:r>
        <w:t> —</w:t>
      </w:r>
      <w:r>
        <w:rPr>
          <w:rStyle w:val="CharSchText"/>
        </w:rPr>
        <w:t> Prescribed offences and modified penalties</w:t>
      </w:r>
      <w:bookmarkEnd w:id="300"/>
      <w:bookmarkEnd w:id="301"/>
      <w:bookmarkEnd w:id="302"/>
      <w:bookmarkEnd w:id="303"/>
      <w:bookmarkEnd w:id="304"/>
      <w:bookmarkEnd w:id="305"/>
    </w:p>
    <w:p>
      <w:pPr>
        <w:pStyle w:val="yShoulderClause"/>
      </w:pPr>
      <w:r>
        <w:t>[r. 111]</w:t>
      </w:r>
    </w:p>
    <w:p>
      <w:pPr>
        <w:pStyle w:val="yFootnoteheading"/>
        <w:rPr>
          <w:b/>
          <w:snapToGrid w:val="0"/>
        </w:rPr>
      </w:pPr>
      <w:bookmarkStart w:id="306" w:name="_Toc189141541"/>
      <w:bookmarkStart w:id="307" w:name="_Toc189141659"/>
      <w:bookmarkStart w:id="308" w:name="_Toc189141726"/>
      <w:bookmarkStart w:id="309" w:name="_Toc189142326"/>
      <w:r>
        <w:tab/>
        <w:t>[Heading inserted: SL 2025/35 r. 9.]</w:t>
      </w:r>
    </w:p>
    <w:p>
      <w:pPr>
        <w:pStyle w:val="yHeading3"/>
        <w:rPr>
          <w:rStyle w:val="CharDivText"/>
        </w:rPr>
      </w:pPr>
      <w:bookmarkStart w:id="310" w:name="_Toc189219164"/>
      <w:bookmarkStart w:id="311" w:name="_Toc189226783"/>
      <w:r>
        <w:rPr>
          <w:rStyle w:val="CharSDivNo"/>
        </w:rPr>
        <w:t>Division 1</w:t>
      </w:r>
      <w:r>
        <w:t> —</w:t>
      </w:r>
      <w:r>
        <w:rPr>
          <w:rStyle w:val="CharDivText"/>
        </w:rPr>
        <w:t> </w:t>
      </w:r>
      <w:r>
        <w:rPr>
          <w:rStyle w:val="CharSDivText"/>
        </w:rPr>
        <w:t>Offences under Act</w:t>
      </w:r>
      <w:bookmarkEnd w:id="306"/>
      <w:bookmarkEnd w:id="307"/>
      <w:bookmarkEnd w:id="308"/>
      <w:bookmarkEnd w:id="309"/>
      <w:bookmarkEnd w:id="310"/>
      <w:bookmarkEnd w:id="311"/>
    </w:p>
    <w:p>
      <w:pPr>
        <w:pStyle w:val="yFootnoteheading"/>
        <w:spacing w:after="60"/>
        <w:rPr>
          <w:snapToGrid w:val="0"/>
        </w:rPr>
      </w:pPr>
      <w:r>
        <w:tab/>
        <w:t>[Heading inserted: SL 2025/35 r. 9.]</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072"/>
        <w:gridCol w:w="3685"/>
        <w:gridCol w:w="1905"/>
      </w:tblGrid>
      <w:tr>
        <w:trPr>
          <w:cantSplit/>
          <w:tblHeader/>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
              </w:rPr>
            </w:pPr>
            <w:r>
              <w:rPr>
                <w:b/>
              </w:rPr>
              <w:t>Item</w:t>
            </w:r>
          </w:p>
        </w:tc>
        <w:tc>
          <w:tcPr>
            <w:tcW w:w="3685" w:type="dxa"/>
            <w:tcBorders>
              <w:top w:val="single" w:sz="4" w:space="0" w:color="auto"/>
              <w:left w:val="single" w:sz="4" w:space="0" w:color="auto"/>
              <w:bottom w:val="single" w:sz="4" w:space="0" w:color="auto"/>
              <w:right w:val="single" w:sz="4" w:space="0" w:color="auto"/>
            </w:tcBorders>
            <w:hideMark/>
          </w:tcPr>
          <w:p>
            <w:pPr>
              <w:pStyle w:val="yTableNAm"/>
              <w:jc w:val="center"/>
              <w:rPr>
                <w:b/>
              </w:rPr>
            </w:pPr>
            <w:r>
              <w:rPr>
                <w:b/>
              </w:rPr>
              <w:t>Section</w:t>
            </w:r>
          </w:p>
        </w:tc>
        <w:tc>
          <w:tcPr>
            <w:tcW w:w="1905"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Modified penalty</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4A(6)</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4B(3A)</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11(6)</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11(6B)</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11(6C)</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11B(4)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11B(11)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11B(13)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11B(14)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11C(2)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11C(9)</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highlight w:val="yellow"/>
              </w:rPr>
            </w:pPr>
            <w:r>
              <w:t>$2 000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11C(12)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11C(13)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 xml:space="preserve">s. 11E(5) to the extent that it applies to records as the Commission specifies in writing </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lastRenderedPageBreak/>
              <w:t>15.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11F(1)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11F(2)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14A(2)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left" w:pos="369"/>
              </w:tabs>
              <w:ind w:left="369" w:hanging="369"/>
            </w:pPr>
            <w:r>
              <w:t>(a)</w:t>
            </w:r>
            <w:r>
              <w:tab/>
              <w:t xml:space="preserve">for a first offence, $500; </w:t>
            </w:r>
          </w:p>
          <w:p>
            <w:pPr>
              <w:pStyle w:val="yTableNAm"/>
              <w:tabs>
                <w:tab w:val="left" w:pos="369"/>
              </w:tabs>
              <w:ind w:left="369" w:hanging="369"/>
            </w:pPr>
            <w:r>
              <w:t>(b)</w:t>
            </w:r>
            <w:r>
              <w:tab/>
              <w:t xml:space="preserve">for each separate and further offence committed by the betting operator under the </w:t>
            </w:r>
            <w:r>
              <w:rPr>
                <w:i/>
                <w:iCs/>
              </w:rPr>
              <w:t>Interpretation Act 1984</w:t>
            </w:r>
            <w:r>
              <w:t xml:space="preserve"> s. 71, $100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20A(2)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22(1)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$250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22(2)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$250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25(3)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26</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26A(3)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26C(5)</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27</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27D(2A)</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28C</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lastRenderedPageBreak/>
              <w:t>28.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28E</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bl>
    <w:p>
      <w:pPr>
        <w:pStyle w:val="yFootnotesection"/>
      </w:pPr>
      <w:bookmarkStart w:id="312" w:name="_Toc189141542"/>
      <w:bookmarkStart w:id="313" w:name="_Toc189141660"/>
      <w:bookmarkStart w:id="314" w:name="_Toc189141727"/>
      <w:bookmarkStart w:id="315" w:name="_Toc189142327"/>
      <w:bookmarkStart w:id="316" w:name="_Toc189219165"/>
      <w:r>
        <w:tab/>
        <w:t>[Division 1 inserted: SL 2025/35 r. 9.]</w:t>
      </w:r>
    </w:p>
    <w:p>
      <w:pPr>
        <w:pStyle w:val="yHeading3"/>
        <w:rPr>
          <w:rStyle w:val="CharDivText"/>
        </w:rPr>
      </w:pPr>
      <w:bookmarkStart w:id="317" w:name="_Toc189226784"/>
      <w:r>
        <w:rPr>
          <w:rStyle w:val="CharSDivNo"/>
        </w:rPr>
        <w:t>Division 2</w:t>
      </w:r>
      <w:r>
        <w:t> —</w:t>
      </w:r>
      <w:r>
        <w:rPr>
          <w:rStyle w:val="CharDivText"/>
        </w:rPr>
        <w:t> </w:t>
      </w:r>
      <w:r>
        <w:rPr>
          <w:rStyle w:val="CharSDivText"/>
        </w:rPr>
        <w:t>Offences under regulations</w:t>
      </w:r>
      <w:bookmarkEnd w:id="312"/>
      <w:bookmarkEnd w:id="313"/>
      <w:bookmarkEnd w:id="314"/>
      <w:bookmarkEnd w:id="315"/>
      <w:bookmarkEnd w:id="316"/>
      <w:bookmarkEnd w:id="317"/>
    </w:p>
    <w:p>
      <w:pPr>
        <w:pStyle w:val="yFootnoteheading"/>
        <w:spacing w:after="60"/>
        <w:rPr>
          <w:snapToGrid w:val="0"/>
        </w:rPr>
      </w:pPr>
      <w:r>
        <w:tab/>
        <w:t>[Heading inserted: SL 2025/35 r. 9.]</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072"/>
        <w:gridCol w:w="3685"/>
        <w:gridCol w:w="1905"/>
      </w:tblGrid>
      <w:tr>
        <w:trPr>
          <w:cantSplit/>
          <w:tblHeader/>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
              </w:rPr>
            </w:pPr>
            <w:r>
              <w:rPr>
                <w:b/>
              </w:rPr>
              <w:t>Item</w:t>
            </w:r>
          </w:p>
        </w:tc>
        <w:tc>
          <w:tcPr>
            <w:tcW w:w="3685" w:type="dxa"/>
            <w:tcBorders>
              <w:top w:val="single" w:sz="4" w:space="0" w:color="auto"/>
              <w:left w:val="single" w:sz="4" w:space="0" w:color="auto"/>
              <w:bottom w:val="single" w:sz="4" w:space="0" w:color="auto"/>
              <w:right w:val="single" w:sz="4" w:space="0" w:color="auto"/>
            </w:tcBorders>
            <w:hideMark/>
          </w:tcPr>
          <w:p>
            <w:pPr>
              <w:pStyle w:val="yTableNAm"/>
              <w:jc w:val="center"/>
              <w:rPr>
                <w:b/>
              </w:rPr>
            </w:pPr>
            <w:r>
              <w:rPr>
                <w:b/>
              </w:rPr>
              <w:t>Regulation</w:t>
            </w:r>
          </w:p>
        </w:tc>
        <w:tc>
          <w:tcPr>
            <w:tcW w:w="1905"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Modified penalty</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27(1)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$100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27(2)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$250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28(1)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28(1a)</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28(2)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28(2a)</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29</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36(3)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51(1)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51(3)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55</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lastRenderedPageBreak/>
              <w:t>15.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57</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58(1)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59(1)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59(2)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77E</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77F</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77G(1)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77G(3)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77G(4)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77H(2)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77H(3)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77H(5)</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77I</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77J(1)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77K(1)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77K(2)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77K(3)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77L(2)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77M(2)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lastRenderedPageBreak/>
              <w:t>34.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77M(3)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77N(1)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77N(2)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77O</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77Q(1)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77Q(2)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77R(1)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77R(3)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77T(2)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77U(2)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77W</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77Y(2)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77Y(3)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77Z(1)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77Z(2)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77ZA(2)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77ZB</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97(3)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97(4)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lastRenderedPageBreak/>
              <w:t>53.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97(5)</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110(1)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bl>
    <w:p>
      <w:pPr>
        <w:pStyle w:val="yFootnotesection"/>
      </w:pPr>
      <w:r>
        <w:tab/>
        <w:t>[Division 2 inserted: SL 2025/35 r. 9.]</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default" r:id="rId33"/>
          <w:pgSz w:w="11907" w:h="16840" w:code="9"/>
          <w:pgMar w:top="2381" w:right="2410" w:bottom="3544" w:left="2410" w:header="720" w:footer="3544" w:gutter="0"/>
          <w:cols w:space="720"/>
        </w:sectPr>
      </w:pPr>
    </w:p>
    <w:p>
      <w:pPr>
        <w:pStyle w:val="nHeading2"/>
      </w:pPr>
      <w:bookmarkStart w:id="318" w:name="_Toc189146343"/>
      <w:bookmarkStart w:id="319" w:name="_Toc189219166"/>
      <w:bookmarkStart w:id="320" w:name="_Toc189226785"/>
      <w:r>
        <w:lastRenderedPageBreak/>
        <w:t>Notes</w:t>
      </w:r>
      <w:bookmarkEnd w:id="318"/>
      <w:bookmarkEnd w:id="319"/>
      <w:bookmarkEnd w:id="320"/>
    </w:p>
    <w:p>
      <w:pPr>
        <w:pStyle w:val="nStatement"/>
      </w:pPr>
      <w:r>
        <w:t xml:space="preserve">This is a compilation of the </w:t>
      </w:r>
      <w:r>
        <w:rPr>
          <w:i/>
          <w:noProof/>
        </w:rPr>
        <w:t>Betting Control Regulations 1978</w:t>
      </w:r>
      <w:r>
        <w:t xml:space="preserve"> and includes amendments made by other written laws. For provisions that have come into operation, and for information about any reprints, see the compilation table. </w:t>
      </w:r>
    </w:p>
    <w:p>
      <w:pPr>
        <w:pStyle w:val="nHeading3"/>
      </w:pPr>
      <w:bookmarkStart w:id="321" w:name="_Toc189226786"/>
      <w:r>
        <w:t>Compilation table</w:t>
      </w:r>
      <w:bookmarkEnd w:id="321"/>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Regulations 1978</w:t>
            </w:r>
          </w:p>
        </w:tc>
        <w:tc>
          <w:tcPr>
            <w:tcW w:w="1276" w:type="dxa"/>
            <w:gridSpan w:val="2"/>
          </w:tcPr>
          <w:p>
            <w:pPr>
              <w:pStyle w:val="nTable"/>
              <w:spacing w:after="40"/>
            </w:pPr>
            <w:r>
              <w:t>22 Jun 1978 p. 1991</w:t>
            </w:r>
            <w:r>
              <w:noBreakHyphen/>
              <w:t>2014</w:t>
            </w:r>
          </w:p>
        </w:tc>
        <w:tc>
          <w:tcPr>
            <w:tcW w:w="2693" w:type="dxa"/>
            <w:gridSpan w:val="2"/>
          </w:tcPr>
          <w:p>
            <w:pPr>
              <w:pStyle w:val="nTable"/>
              <w:spacing w:after="40"/>
            </w:pPr>
            <w:r>
              <w:t>22 Jun 1978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1983</w:t>
            </w:r>
          </w:p>
        </w:tc>
        <w:tc>
          <w:tcPr>
            <w:tcW w:w="1276" w:type="dxa"/>
            <w:gridSpan w:val="2"/>
          </w:tcPr>
          <w:p>
            <w:pPr>
              <w:pStyle w:val="nTable"/>
              <w:spacing w:after="40"/>
            </w:pPr>
            <w:r>
              <w:t>12 Aug 1983 p. 2918</w:t>
            </w:r>
          </w:p>
        </w:tc>
        <w:tc>
          <w:tcPr>
            <w:tcW w:w="2693" w:type="dxa"/>
            <w:gridSpan w:val="2"/>
          </w:tcPr>
          <w:p>
            <w:pPr>
              <w:pStyle w:val="nTable"/>
              <w:spacing w:after="40"/>
            </w:pPr>
            <w:r>
              <w:t>12 Aug 1983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1988</w:t>
            </w:r>
          </w:p>
        </w:tc>
        <w:tc>
          <w:tcPr>
            <w:tcW w:w="1276" w:type="dxa"/>
            <w:gridSpan w:val="2"/>
          </w:tcPr>
          <w:p>
            <w:pPr>
              <w:pStyle w:val="nTable"/>
              <w:spacing w:after="40"/>
            </w:pPr>
            <w:r>
              <w:t>4 Mar 1988 p. 667</w:t>
            </w:r>
            <w:r>
              <w:noBreakHyphen/>
              <w:t>8</w:t>
            </w:r>
          </w:p>
        </w:tc>
        <w:tc>
          <w:tcPr>
            <w:tcW w:w="2693" w:type="dxa"/>
            <w:gridSpan w:val="2"/>
          </w:tcPr>
          <w:p>
            <w:pPr>
              <w:pStyle w:val="nTable"/>
              <w:spacing w:after="40"/>
            </w:pPr>
            <w:r>
              <w:t>4 Mar 1988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1988</w:t>
            </w:r>
          </w:p>
        </w:tc>
        <w:tc>
          <w:tcPr>
            <w:tcW w:w="1276" w:type="dxa"/>
            <w:gridSpan w:val="2"/>
          </w:tcPr>
          <w:p>
            <w:pPr>
              <w:pStyle w:val="nTable"/>
              <w:spacing w:after="40"/>
            </w:pPr>
            <w:r>
              <w:t>24 Jun 1988 p. 2003</w:t>
            </w:r>
            <w:r>
              <w:noBreakHyphen/>
              <w:t>5</w:t>
            </w:r>
          </w:p>
        </w:tc>
        <w:tc>
          <w:tcPr>
            <w:tcW w:w="2693" w:type="dxa"/>
            <w:gridSpan w:val="2"/>
          </w:tcPr>
          <w:p>
            <w:pPr>
              <w:pStyle w:val="nTable"/>
              <w:spacing w:after="40"/>
            </w:pPr>
            <w:r>
              <w:t>24 Jun 1988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1989</w:t>
            </w:r>
          </w:p>
        </w:tc>
        <w:tc>
          <w:tcPr>
            <w:tcW w:w="1276" w:type="dxa"/>
            <w:gridSpan w:val="2"/>
          </w:tcPr>
          <w:p>
            <w:pPr>
              <w:pStyle w:val="nTable"/>
              <w:spacing w:after="40"/>
            </w:pPr>
            <w:r>
              <w:t>14 Jul 1989 p. 2133</w:t>
            </w:r>
          </w:p>
        </w:tc>
        <w:tc>
          <w:tcPr>
            <w:tcW w:w="2693" w:type="dxa"/>
            <w:gridSpan w:val="2"/>
          </w:tcPr>
          <w:p>
            <w:pPr>
              <w:pStyle w:val="nTable"/>
              <w:spacing w:after="40"/>
            </w:pPr>
            <w:r>
              <w:t>14 Jul 1989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1990</w:t>
            </w:r>
          </w:p>
        </w:tc>
        <w:tc>
          <w:tcPr>
            <w:tcW w:w="1276" w:type="dxa"/>
            <w:gridSpan w:val="2"/>
          </w:tcPr>
          <w:p>
            <w:pPr>
              <w:pStyle w:val="nTable"/>
              <w:spacing w:after="40"/>
            </w:pPr>
            <w:r>
              <w:t>14 Sep 1990 p. 4863</w:t>
            </w:r>
            <w:r>
              <w:noBreakHyphen/>
              <w:t>4</w:t>
            </w:r>
          </w:p>
        </w:tc>
        <w:tc>
          <w:tcPr>
            <w:tcW w:w="2693" w:type="dxa"/>
            <w:gridSpan w:val="2"/>
          </w:tcPr>
          <w:p>
            <w:pPr>
              <w:pStyle w:val="nTable"/>
              <w:spacing w:after="40"/>
            </w:pPr>
            <w:r>
              <w:t>14 Sep 1990</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1991</w:t>
            </w:r>
          </w:p>
        </w:tc>
        <w:tc>
          <w:tcPr>
            <w:tcW w:w="1276" w:type="dxa"/>
            <w:gridSpan w:val="2"/>
          </w:tcPr>
          <w:p>
            <w:pPr>
              <w:pStyle w:val="nTable"/>
              <w:spacing w:after="40"/>
            </w:pPr>
            <w:r>
              <w:t>14 Feb 1992 p. 857</w:t>
            </w:r>
            <w:r>
              <w:noBreakHyphen/>
              <w:t>62</w:t>
            </w:r>
          </w:p>
        </w:tc>
        <w:tc>
          <w:tcPr>
            <w:tcW w:w="2693" w:type="dxa"/>
            <w:gridSpan w:val="2"/>
          </w:tcPr>
          <w:p>
            <w:pPr>
              <w:pStyle w:val="nTable"/>
              <w:spacing w:after="40"/>
            </w:pPr>
            <w:r>
              <w:t>14 Feb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1992</w:t>
            </w:r>
          </w:p>
        </w:tc>
        <w:tc>
          <w:tcPr>
            <w:tcW w:w="1276" w:type="dxa"/>
            <w:gridSpan w:val="2"/>
          </w:tcPr>
          <w:p>
            <w:pPr>
              <w:pStyle w:val="nTable"/>
              <w:spacing w:after="40"/>
            </w:pPr>
            <w:r>
              <w:t>10 Jul 1992 p. 3286</w:t>
            </w:r>
            <w:r>
              <w:noBreakHyphen/>
              <w:t>95</w:t>
            </w:r>
          </w:p>
        </w:tc>
        <w:tc>
          <w:tcPr>
            <w:tcW w:w="2693" w:type="dxa"/>
            <w:gridSpan w:val="2"/>
          </w:tcPr>
          <w:p>
            <w:pPr>
              <w:pStyle w:val="nTable"/>
              <w:spacing w:after="40"/>
            </w:pPr>
            <w:r>
              <w:t>10 Jul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1992</w:t>
            </w:r>
          </w:p>
        </w:tc>
        <w:tc>
          <w:tcPr>
            <w:tcW w:w="1276" w:type="dxa"/>
            <w:gridSpan w:val="2"/>
          </w:tcPr>
          <w:p>
            <w:pPr>
              <w:pStyle w:val="nTable"/>
              <w:spacing w:after="40"/>
            </w:pPr>
            <w:r>
              <w:t>31 Jul 1992 p. 3796</w:t>
            </w:r>
          </w:p>
        </w:tc>
        <w:tc>
          <w:tcPr>
            <w:tcW w:w="2693" w:type="dxa"/>
            <w:gridSpan w:val="2"/>
          </w:tcPr>
          <w:p>
            <w:pPr>
              <w:pStyle w:val="nTable"/>
              <w:spacing w:after="40"/>
            </w:pPr>
            <w:r>
              <w:t>31 Jul 1992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1993</w:t>
            </w:r>
          </w:p>
        </w:tc>
        <w:tc>
          <w:tcPr>
            <w:tcW w:w="1276" w:type="dxa"/>
            <w:gridSpan w:val="2"/>
          </w:tcPr>
          <w:p>
            <w:pPr>
              <w:pStyle w:val="nTable"/>
              <w:spacing w:after="40"/>
            </w:pPr>
            <w:r>
              <w:t>31 Aug 1993 p. 4677 (correction 10 Sep 1993 p. 4975)</w:t>
            </w:r>
          </w:p>
        </w:tc>
        <w:tc>
          <w:tcPr>
            <w:tcW w:w="2693" w:type="dxa"/>
            <w:gridSpan w:val="2"/>
          </w:tcPr>
          <w:p>
            <w:pPr>
              <w:pStyle w:val="nTable"/>
              <w:spacing w:after="40"/>
            </w:pPr>
            <w:r>
              <w:t>31 Aug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1993</w:t>
            </w:r>
          </w:p>
        </w:tc>
        <w:tc>
          <w:tcPr>
            <w:tcW w:w="1276" w:type="dxa"/>
            <w:gridSpan w:val="2"/>
          </w:tcPr>
          <w:p>
            <w:pPr>
              <w:pStyle w:val="nTable"/>
              <w:spacing w:after="40"/>
            </w:pPr>
            <w:r>
              <w:t>24 Dec 1993 p. 6839</w:t>
            </w:r>
            <w:r>
              <w:noBreakHyphen/>
              <w:t>40</w:t>
            </w:r>
          </w:p>
        </w:tc>
        <w:tc>
          <w:tcPr>
            <w:tcW w:w="2693"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1994</w:t>
            </w:r>
          </w:p>
        </w:tc>
        <w:tc>
          <w:tcPr>
            <w:tcW w:w="1276" w:type="dxa"/>
            <w:gridSpan w:val="2"/>
          </w:tcPr>
          <w:p>
            <w:pPr>
              <w:pStyle w:val="nTable"/>
              <w:spacing w:after="40"/>
            </w:pPr>
            <w:r>
              <w:t>2 Dec 1994 p. 6383</w:t>
            </w:r>
          </w:p>
        </w:tc>
        <w:tc>
          <w:tcPr>
            <w:tcW w:w="2693" w:type="dxa"/>
            <w:gridSpan w:val="2"/>
          </w:tcPr>
          <w:p>
            <w:pPr>
              <w:pStyle w:val="nTable"/>
              <w:spacing w:after="40"/>
            </w:pPr>
            <w:r>
              <w:t>2 Dec 1994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1996</w:t>
            </w:r>
          </w:p>
        </w:tc>
        <w:tc>
          <w:tcPr>
            <w:tcW w:w="1276" w:type="dxa"/>
            <w:gridSpan w:val="2"/>
          </w:tcPr>
          <w:p>
            <w:pPr>
              <w:pStyle w:val="nTable"/>
              <w:spacing w:after="40"/>
            </w:pPr>
            <w:r>
              <w:t>25 Jun 1996 p. 2974</w:t>
            </w:r>
            <w:r>
              <w:noBreakHyphen/>
              <w:t>8</w:t>
            </w:r>
          </w:p>
        </w:tc>
        <w:tc>
          <w:tcPr>
            <w:tcW w:w="2693" w:type="dxa"/>
            <w:gridSpan w:val="2"/>
          </w:tcPr>
          <w:p>
            <w:pPr>
              <w:pStyle w:val="nTable"/>
              <w:spacing w:after="40"/>
            </w:pPr>
            <w:r>
              <w:t xml:space="preserve">28 Jun 1996 (see r.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lastRenderedPageBreak/>
              <w:t>Betting Control Amendment Regulations (No. 2) 1996</w:t>
            </w:r>
          </w:p>
        </w:tc>
        <w:tc>
          <w:tcPr>
            <w:tcW w:w="1276" w:type="dxa"/>
            <w:gridSpan w:val="2"/>
          </w:tcPr>
          <w:p>
            <w:pPr>
              <w:pStyle w:val="nTable"/>
              <w:spacing w:after="40"/>
            </w:pPr>
            <w:r>
              <w:t>22 Oct 1996 p. 5619</w:t>
            </w:r>
          </w:p>
        </w:tc>
        <w:tc>
          <w:tcPr>
            <w:tcW w:w="2693" w:type="dxa"/>
            <w:gridSpan w:val="2"/>
          </w:tcPr>
          <w:p>
            <w:pPr>
              <w:pStyle w:val="nTable"/>
              <w:spacing w:after="40"/>
            </w:pPr>
            <w:r>
              <w:t>22 Oct 1996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1997</w:t>
            </w:r>
          </w:p>
        </w:tc>
        <w:tc>
          <w:tcPr>
            <w:tcW w:w="1276" w:type="dxa"/>
            <w:gridSpan w:val="2"/>
          </w:tcPr>
          <w:p>
            <w:pPr>
              <w:pStyle w:val="nTable"/>
              <w:spacing w:after="40"/>
            </w:pPr>
            <w:r>
              <w:t>4 Mar 1997</w:t>
            </w:r>
            <w:r>
              <w:br/>
              <w:t>p. 1395</w:t>
            </w:r>
          </w:p>
        </w:tc>
        <w:tc>
          <w:tcPr>
            <w:tcW w:w="2693" w:type="dxa"/>
            <w:gridSpan w:val="2"/>
          </w:tcPr>
          <w:p>
            <w:pPr>
              <w:pStyle w:val="nTable"/>
              <w:spacing w:after="40"/>
            </w:pPr>
            <w:r>
              <w:t>4 Mar 1997</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keepNext/>
              <w:spacing w:after="40"/>
              <w:ind w:right="113"/>
            </w:pPr>
            <w:r>
              <w:rPr>
                <w:i/>
              </w:rPr>
              <w:t>Betting Control Amendment Regulations (No. 2) 1997</w:t>
            </w:r>
          </w:p>
        </w:tc>
        <w:tc>
          <w:tcPr>
            <w:tcW w:w="1276" w:type="dxa"/>
            <w:gridSpan w:val="2"/>
          </w:tcPr>
          <w:p>
            <w:pPr>
              <w:pStyle w:val="nTable"/>
              <w:keepNext/>
              <w:spacing w:after="40"/>
            </w:pPr>
            <w:r>
              <w:t>4 Mar 1997 p. 1396 (as amended 24 Jun 1997 p. 3014)</w:t>
            </w:r>
          </w:p>
        </w:tc>
        <w:tc>
          <w:tcPr>
            <w:tcW w:w="2693" w:type="dxa"/>
            <w:gridSpan w:val="2"/>
          </w:tcPr>
          <w:p>
            <w:pPr>
              <w:pStyle w:val="nTable"/>
              <w:keepNext/>
              <w:spacing w:after="40"/>
            </w:pPr>
            <w:r>
              <w:t>1 Aug 1997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3) 1997</w:t>
            </w:r>
          </w:p>
        </w:tc>
        <w:tc>
          <w:tcPr>
            <w:tcW w:w="1276" w:type="dxa"/>
            <w:gridSpan w:val="2"/>
          </w:tcPr>
          <w:p>
            <w:pPr>
              <w:pStyle w:val="nTable"/>
              <w:spacing w:after="40"/>
            </w:pPr>
            <w:r>
              <w:t>24 Jun 1997 p. 3014</w:t>
            </w:r>
          </w:p>
        </w:tc>
        <w:tc>
          <w:tcPr>
            <w:tcW w:w="2693" w:type="dxa"/>
            <w:gridSpan w:val="2"/>
          </w:tcPr>
          <w:p>
            <w:pPr>
              <w:pStyle w:val="nTable"/>
              <w:spacing w:after="40"/>
            </w:pPr>
            <w:r>
              <w:t>24 Jun 1997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1998</w:t>
            </w:r>
          </w:p>
        </w:tc>
        <w:tc>
          <w:tcPr>
            <w:tcW w:w="1276" w:type="dxa"/>
            <w:gridSpan w:val="2"/>
          </w:tcPr>
          <w:p>
            <w:pPr>
              <w:pStyle w:val="nTable"/>
              <w:spacing w:after="40"/>
            </w:pPr>
            <w:r>
              <w:t>13 Mar 1998 p. 1394</w:t>
            </w:r>
          </w:p>
        </w:tc>
        <w:tc>
          <w:tcPr>
            <w:tcW w:w="2693" w:type="dxa"/>
            <w:gridSpan w:val="2"/>
          </w:tcPr>
          <w:p>
            <w:pPr>
              <w:pStyle w:val="nTable"/>
              <w:spacing w:after="40"/>
            </w:pPr>
            <w:r>
              <w:t>13 Mar 1998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1998</w:t>
            </w:r>
          </w:p>
        </w:tc>
        <w:tc>
          <w:tcPr>
            <w:tcW w:w="1276" w:type="dxa"/>
            <w:gridSpan w:val="2"/>
          </w:tcPr>
          <w:p>
            <w:pPr>
              <w:pStyle w:val="nTable"/>
              <w:spacing w:after="40"/>
            </w:pPr>
            <w:r>
              <w:t>10 Jul 1998 p. 3647</w:t>
            </w:r>
          </w:p>
        </w:tc>
        <w:tc>
          <w:tcPr>
            <w:tcW w:w="2693" w:type="dxa"/>
            <w:gridSpan w:val="2"/>
          </w:tcPr>
          <w:p>
            <w:pPr>
              <w:pStyle w:val="nTable"/>
              <w:spacing w:after="40"/>
            </w:pPr>
            <w:r>
              <w:t>1 Aug 1998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1998</w:t>
            </w:r>
          </w:p>
        </w:tc>
        <w:tc>
          <w:tcPr>
            <w:tcW w:w="1276" w:type="dxa"/>
            <w:gridSpan w:val="2"/>
          </w:tcPr>
          <w:p>
            <w:pPr>
              <w:pStyle w:val="nTable"/>
              <w:spacing w:after="40"/>
            </w:pPr>
            <w:r>
              <w:t>21 Jul 1998 p. 3850</w:t>
            </w:r>
            <w:r>
              <w:noBreakHyphen/>
              <w:t>60</w:t>
            </w:r>
          </w:p>
        </w:tc>
        <w:tc>
          <w:tcPr>
            <w:tcW w:w="2693" w:type="dxa"/>
            <w:gridSpan w:val="2"/>
          </w:tcPr>
          <w:p>
            <w:pPr>
              <w:pStyle w:val="nTable"/>
              <w:spacing w:after="40"/>
            </w:pPr>
            <w:r>
              <w:t xml:space="preserve">1 Aug 1998 (see r. 2 and </w:t>
            </w:r>
            <w:r>
              <w:rPr>
                <w:i/>
              </w:rPr>
              <w:t xml:space="preserve">Gazette </w:t>
            </w:r>
            <w:r>
              <w:t>21 Jul 1998 p. 3825)</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1999</w:t>
            </w:r>
          </w:p>
        </w:tc>
        <w:tc>
          <w:tcPr>
            <w:tcW w:w="1276" w:type="dxa"/>
            <w:gridSpan w:val="2"/>
          </w:tcPr>
          <w:p>
            <w:pPr>
              <w:pStyle w:val="nTable"/>
              <w:spacing w:after="40"/>
            </w:pPr>
            <w:r>
              <w:t>26 Nov 1999 p. 5908</w:t>
            </w:r>
            <w:r>
              <w:noBreakHyphen/>
              <w:t>10</w:t>
            </w:r>
          </w:p>
        </w:tc>
        <w:tc>
          <w:tcPr>
            <w:tcW w:w="2693" w:type="dxa"/>
            <w:gridSpan w:val="2"/>
          </w:tcPr>
          <w:p>
            <w:pPr>
              <w:pStyle w:val="nTable"/>
              <w:spacing w:after="40"/>
            </w:pPr>
            <w:r>
              <w:t>26 Nov 1999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2000 </w:t>
            </w:r>
          </w:p>
        </w:tc>
        <w:tc>
          <w:tcPr>
            <w:tcW w:w="1276" w:type="dxa"/>
            <w:gridSpan w:val="2"/>
          </w:tcPr>
          <w:p>
            <w:pPr>
              <w:pStyle w:val="nTable"/>
              <w:spacing w:after="40"/>
            </w:pPr>
            <w:r>
              <w:t>13 Oct 2000 p. 5726</w:t>
            </w:r>
            <w:r>
              <w:noBreakHyphen/>
              <w:t>7</w:t>
            </w:r>
          </w:p>
        </w:tc>
        <w:tc>
          <w:tcPr>
            <w:tcW w:w="2693" w:type="dxa"/>
            <w:gridSpan w:val="2"/>
          </w:tcPr>
          <w:p>
            <w:pPr>
              <w:pStyle w:val="nTable"/>
              <w:spacing w:after="40"/>
            </w:pPr>
            <w:r>
              <w:t xml:space="preserve">13 Oct 2000 </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2001</w:t>
            </w:r>
          </w:p>
        </w:tc>
        <w:tc>
          <w:tcPr>
            <w:tcW w:w="1276" w:type="dxa"/>
            <w:gridSpan w:val="2"/>
          </w:tcPr>
          <w:p>
            <w:pPr>
              <w:pStyle w:val="nTable"/>
              <w:spacing w:after="40"/>
            </w:pPr>
            <w:r>
              <w:t>11 Sep 2001 p. 5001</w:t>
            </w:r>
          </w:p>
        </w:tc>
        <w:tc>
          <w:tcPr>
            <w:tcW w:w="2693" w:type="dxa"/>
            <w:gridSpan w:val="2"/>
          </w:tcPr>
          <w:p>
            <w:pPr>
              <w:pStyle w:val="nTable"/>
              <w:spacing w:after="40"/>
            </w:pPr>
            <w:r>
              <w:t>11 Sep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2001</w:t>
            </w:r>
          </w:p>
        </w:tc>
        <w:tc>
          <w:tcPr>
            <w:tcW w:w="1276" w:type="dxa"/>
            <w:gridSpan w:val="2"/>
          </w:tcPr>
          <w:p>
            <w:pPr>
              <w:pStyle w:val="nTable"/>
              <w:spacing w:after="40"/>
            </w:pPr>
            <w:r>
              <w:t>2 Oct 2001 p. 5454</w:t>
            </w:r>
            <w:r>
              <w:noBreakHyphen/>
              <w:t>5</w:t>
            </w:r>
          </w:p>
        </w:tc>
        <w:tc>
          <w:tcPr>
            <w:tcW w:w="2693" w:type="dxa"/>
            <w:gridSpan w:val="2"/>
          </w:tcPr>
          <w:p>
            <w:pPr>
              <w:pStyle w:val="nTable"/>
              <w:spacing w:after="40"/>
            </w:pPr>
            <w:r>
              <w:t>2 Oct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2001</w:t>
            </w:r>
          </w:p>
        </w:tc>
        <w:tc>
          <w:tcPr>
            <w:tcW w:w="1276" w:type="dxa"/>
            <w:gridSpan w:val="2"/>
          </w:tcPr>
          <w:p>
            <w:pPr>
              <w:pStyle w:val="nTable"/>
              <w:spacing w:after="40"/>
            </w:pPr>
            <w:r>
              <w:t>18 Jan 2002 p. 284</w:t>
            </w:r>
          </w:p>
        </w:tc>
        <w:tc>
          <w:tcPr>
            <w:tcW w:w="2693" w:type="dxa"/>
            <w:gridSpan w:val="2"/>
          </w:tcPr>
          <w:p>
            <w:pPr>
              <w:pStyle w:val="nTable"/>
              <w:spacing w:after="40"/>
            </w:pPr>
            <w:r>
              <w:t>21 Jan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2002</w:t>
            </w:r>
          </w:p>
        </w:tc>
        <w:tc>
          <w:tcPr>
            <w:tcW w:w="1276" w:type="dxa"/>
            <w:gridSpan w:val="2"/>
          </w:tcPr>
          <w:p>
            <w:pPr>
              <w:pStyle w:val="nTable"/>
              <w:spacing w:after="40"/>
            </w:pPr>
            <w:r>
              <w:t>20 Sep 2002 p. 4697</w:t>
            </w:r>
            <w:r>
              <w:noBreakHyphen/>
              <w:t>704</w:t>
            </w:r>
          </w:p>
        </w:tc>
        <w:tc>
          <w:tcPr>
            <w:tcW w:w="2693"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2002</w:t>
            </w:r>
          </w:p>
        </w:tc>
        <w:tc>
          <w:tcPr>
            <w:tcW w:w="1276" w:type="dxa"/>
            <w:gridSpan w:val="2"/>
          </w:tcPr>
          <w:p>
            <w:pPr>
              <w:pStyle w:val="nTable"/>
              <w:spacing w:after="40"/>
            </w:pPr>
            <w:r>
              <w:t>17 Dec 2002 p. 5923</w:t>
            </w:r>
            <w:r>
              <w:noBreakHyphen/>
              <w:t>4</w:t>
            </w:r>
          </w:p>
        </w:tc>
        <w:tc>
          <w:tcPr>
            <w:tcW w:w="2693" w:type="dxa"/>
            <w:gridSpan w:val="2"/>
          </w:tcPr>
          <w:p>
            <w:pPr>
              <w:pStyle w:val="nTable"/>
              <w:spacing w:after="40"/>
            </w:pPr>
            <w:r>
              <w:t>17 Dec 2002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2003</w:t>
            </w:r>
          </w:p>
        </w:tc>
        <w:tc>
          <w:tcPr>
            <w:tcW w:w="1276" w:type="dxa"/>
            <w:gridSpan w:val="2"/>
          </w:tcPr>
          <w:p>
            <w:pPr>
              <w:pStyle w:val="nTable"/>
              <w:spacing w:after="40"/>
            </w:pPr>
            <w:r>
              <w:t>25 Mar 2003 p. 921</w:t>
            </w:r>
            <w:r>
              <w:noBreakHyphen/>
              <w:t>2</w:t>
            </w:r>
          </w:p>
        </w:tc>
        <w:tc>
          <w:tcPr>
            <w:tcW w:w="2693" w:type="dxa"/>
            <w:gridSpan w:val="2"/>
          </w:tcPr>
          <w:p>
            <w:pPr>
              <w:pStyle w:val="nTable"/>
              <w:spacing w:after="40"/>
            </w:pPr>
            <w:r>
              <w:t>1 Apr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Betting Control Amendment Regulations (No. 2) 2003</w:t>
            </w:r>
          </w:p>
        </w:tc>
        <w:tc>
          <w:tcPr>
            <w:tcW w:w="1276" w:type="dxa"/>
            <w:gridSpan w:val="2"/>
          </w:tcPr>
          <w:p>
            <w:pPr>
              <w:pStyle w:val="nTable"/>
              <w:spacing w:after="40"/>
            </w:pPr>
            <w:r>
              <w:t>20 Jun 2003 p. 2250</w:t>
            </w:r>
            <w:r>
              <w:noBreakHyphen/>
              <w:t>1</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2003</w:t>
            </w:r>
          </w:p>
        </w:tc>
        <w:tc>
          <w:tcPr>
            <w:tcW w:w="1276" w:type="dxa"/>
            <w:gridSpan w:val="2"/>
          </w:tcPr>
          <w:p>
            <w:pPr>
              <w:pStyle w:val="nTable"/>
              <w:spacing w:after="40"/>
            </w:pPr>
            <w:r>
              <w:t>26 Sep 2003 p. 4225</w:t>
            </w:r>
            <w:r>
              <w:noBreakHyphen/>
              <w:t>6</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2003</w:t>
            </w:r>
          </w:p>
        </w:tc>
        <w:tc>
          <w:tcPr>
            <w:tcW w:w="1276" w:type="dxa"/>
            <w:gridSpan w:val="2"/>
          </w:tcPr>
          <w:p>
            <w:pPr>
              <w:pStyle w:val="nTable"/>
              <w:spacing w:after="40"/>
            </w:pPr>
            <w:r>
              <w:t>11 Nov 2003 p. 4673</w:t>
            </w:r>
            <w:r>
              <w:noBreakHyphen/>
              <w:t>4</w:t>
            </w:r>
          </w:p>
        </w:tc>
        <w:tc>
          <w:tcPr>
            <w:tcW w:w="2693" w:type="dxa"/>
            <w:gridSpan w:val="2"/>
          </w:tcPr>
          <w:p>
            <w:pPr>
              <w:pStyle w:val="nTable"/>
              <w:spacing w:after="40"/>
            </w:pPr>
            <w:r>
              <w:t>11 Nov 2003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2004</w:t>
            </w:r>
          </w:p>
        </w:tc>
        <w:tc>
          <w:tcPr>
            <w:tcW w:w="1276" w:type="dxa"/>
            <w:gridSpan w:val="2"/>
          </w:tcPr>
          <w:p>
            <w:pPr>
              <w:pStyle w:val="nTable"/>
              <w:spacing w:after="40"/>
            </w:pPr>
            <w:r>
              <w:t>30 Jan 2004 p. 403</w:t>
            </w:r>
            <w:r>
              <w:noBreakHyphen/>
              <w:t>12</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2004</w:t>
            </w:r>
          </w:p>
        </w:tc>
        <w:tc>
          <w:tcPr>
            <w:tcW w:w="1276" w:type="dxa"/>
            <w:gridSpan w:val="2"/>
          </w:tcPr>
          <w:p>
            <w:pPr>
              <w:pStyle w:val="nTable"/>
              <w:spacing w:after="40"/>
            </w:pPr>
            <w:r>
              <w:t>1 Jul 2004 p. 2625</w:t>
            </w:r>
            <w:r>
              <w:noBreakHyphen/>
              <w:t>6</w:t>
            </w:r>
          </w:p>
        </w:tc>
        <w:tc>
          <w:tcPr>
            <w:tcW w:w="2693" w:type="dxa"/>
            <w:gridSpan w:val="2"/>
          </w:tcPr>
          <w:p>
            <w:pPr>
              <w:pStyle w:val="nTable"/>
              <w:spacing w:after="40"/>
            </w:pPr>
            <w:r>
              <w:t>1 Jul 2004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2004</w:t>
            </w:r>
            <w:r>
              <w:t xml:space="preserve"> </w:t>
            </w:r>
          </w:p>
        </w:tc>
        <w:tc>
          <w:tcPr>
            <w:tcW w:w="1276" w:type="dxa"/>
            <w:gridSpan w:val="2"/>
          </w:tcPr>
          <w:p>
            <w:pPr>
              <w:pStyle w:val="nTable"/>
              <w:spacing w:after="40"/>
            </w:pPr>
            <w:r>
              <w:t>9 Jul 2004 p. 2780</w:t>
            </w:r>
            <w:r>
              <w:noBreakHyphen/>
              <w:t>1</w:t>
            </w:r>
          </w:p>
        </w:tc>
        <w:tc>
          <w:tcPr>
            <w:tcW w:w="2693" w:type="dxa"/>
            <w:gridSpan w:val="2"/>
          </w:tcPr>
          <w:p>
            <w:pPr>
              <w:pStyle w:val="nTable"/>
              <w:spacing w:after="40"/>
            </w:pPr>
            <w:r>
              <w:t>1 Jan 2005 (see r. 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2005</w:t>
            </w:r>
          </w:p>
        </w:tc>
        <w:tc>
          <w:tcPr>
            <w:tcW w:w="1276" w:type="dxa"/>
            <w:gridSpan w:val="2"/>
          </w:tcPr>
          <w:p>
            <w:pPr>
              <w:pStyle w:val="nTable"/>
              <w:spacing w:after="40"/>
            </w:pPr>
            <w:r>
              <w:t>14 Oct 2005 p. 4558</w:t>
            </w:r>
            <w:r>
              <w:noBreakHyphen/>
              <w:t>9</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2006</w:t>
            </w:r>
          </w:p>
        </w:tc>
        <w:tc>
          <w:tcPr>
            <w:tcW w:w="1276" w:type="dxa"/>
            <w:gridSpan w:val="2"/>
          </w:tcPr>
          <w:p>
            <w:pPr>
              <w:pStyle w:val="nTable"/>
              <w:spacing w:after="40"/>
            </w:pPr>
            <w:r>
              <w:t>28 Apr 2006 p. 1659</w:t>
            </w:r>
          </w:p>
        </w:tc>
        <w:tc>
          <w:tcPr>
            <w:tcW w:w="2693" w:type="dxa"/>
            <w:gridSpan w:val="2"/>
          </w:tcPr>
          <w:p>
            <w:pPr>
              <w:pStyle w:val="nTable"/>
              <w:spacing w:after="40"/>
            </w:pPr>
            <w:r>
              <w:t>28 Apr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2006</w:t>
            </w:r>
          </w:p>
        </w:tc>
        <w:tc>
          <w:tcPr>
            <w:tcW w:w="1276" w:type="dxa"/>
            <w:gridSpan w:val="2"/>
          </w:tcPr>
          <w:p>
            <w:pPr>
              <w:pStyle w:val="nTable"/>
              <w:spacing w:after="40"/>
            </w:pPr>
            <w:r>
              <w:t>21 Jul 2006 p. 2669</w:t>
            </w:r>
            <w:r>
              <w:noBreakHyphen/>
              <w:t>89</w:t>
            </w:r>
          </w:p>
        </w:tc>
        <w:tc>
          <w:tcPr>
            <w:tcW w:w="2693" w:type="dxa"/>
            <w:gridSpan w:val="2"/>
          </w:tcPr>
          <w:p>
            <w:pPr>
              <w:pStyle w:val="nTable"/>
              <w:spacing w:after="40"/>
            </w:pPr>
            <w:r>
              <w:t>21 Jul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2006</w:t>
            </w:r>
          </w:p>
        </w:tc>
        <w:tc>
          <w:tcPr>
            <w:tcW w:w="1276" w:type="dxa"/>
            <w:gridSpan w:val="2"/>
          </w:tcPr>
          <w:p>
            <w:pPr>
              <w:pStyle w:val="nTable"/>
              <w:spacing w:after="40"/>
            </w:pPr>
            <w:r>
              <w:t>10 Oct 2006 p. 4391</w:t>
            </w:r>
            <w:r>
              <w:noBreakHyphen/>
              <w:t>2</w:t>
            </w:r>
          </w:p>
        </w:tc>
        <w:tc>
          <w:tcPr>
            <w:tcW w:w="2693" w:type="dxa"/>
            <w:gridSpan w:val="2"/>
          </w:tcPr>
          <w:p>
            <w:pPr>
              <w:pStyle w:val="nTable"/>
              <w:spacing w:after="40"/>
            </w:pPr>
            <w:r>
              <w:t>10 Oct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2006</w:t>
            </w:r>
            <w:r>
              <w:rPr>
                <w:iCs/>
              </w:rPr>
              <w:t xml:space="preserve"> </w:t>
            </w:r>
          </w:p>
        </w:tc>
        <w:tc>
          <w:tcPr>
            <w:tcW w:w="1276" w:type="dxa"/>
            <w:gridSpan w:val="2"/>
          </w:tcPr>
          <w:p>
            <w:pPr>
              <w:pStyle w:val="nTable"/>
              <w:spacing w:after="40"/>
            </w:pPr>
            <w:r>
              <w:t>14 Nov 2006 p. 4729</w:t>
            </w:r>
            <w:r>
              <w:noBreakHyphen/>
              <w:t>30</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2007</w:t>
            </w:r>
          </w:p>
        </w:tc>
        <w:tc>
          <w:tcPr>
            <w:tcW w:w="1276" w:type="dxa"/>
            <w:gridSpan w:val="2"/>
          </w:tcPr>
          <w:p>
            <w:pPr>
              <w:pStyle w:val="nTable"/>
              <w:spacing w:after="40"/>
            </w:pPr>
            <w:r>
              <w:t>22 Jun 2007 p. 2863</w:t>
            </w:r>
            <w:r>
              <w:noBreakHyphen/>
              <w:t>5</w:t>
            </w:r>
          </w:p>
        </w:tc>
        <w:tc>
          <w:tcPr>
            <w:tcW w:w="2693" w:type="dxa"/>
            <w:gridSpan w:val="2"/>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2007</w:t>
            </w:r>
          </w:p>
        </w:tc>
        <w:tc>
          <w:tcPr>
            <w:tcW w:w="1276" w:type="dxa"/>
            <w:gridSpan w:val="2"/>
          </w:tcPr>
          <w:p>
            <w:pPr>
              <w:pStyle w:val="nTable"/>
              <w:spacing w:after="40"/>
            </w:pPr>
            <w:r>
              <w:t>18 Sep 2007 p. 4716</w:t>
            </w:r>
            <w:r>
              <w:noBreakHyphen/>
              <w:t>18</w:t>
            </w:r>
          </w:p>
        </w:tc>
        <w:tc>
          <w:tcPr>
            <w:tcW w:w="2693" w:type="dxa"/>
            <w:gridSpan w:val="2"/>
          </w:tcPr>
          <w:p>
            <w:pPr>
              <w:pStyle w:val="nTable"/>
              <w:spacing w:after="40"/>
              <w:rPr>
                <w:snapToGrid w:val="0"/>
              </w:rPr>
            </w:pPr>
            <w:r>
              <w:rPr>
                <w:snapToGrid w:val="0"/>
              </w:rPr>
              <w:t>r. 1 and 2: 18 Sep 2007 (see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rPr>
            </w:pPr>
            <w:r>
              <w:rPr>
                <w:i/>
              </w:rPr>
              <w:t>Betting Control Amendment Regulations (No. 4) 2007</w:t>
            </w:r>
            <w:r>
              <w:rPr>
                <w:iCs/>
              </w:rPr>
              <w:t xml:space="preserve"> </w:t>
            </w:r>
          </w:p>
        </w:tc>
        <w:tc>
          <w:tcPr>
            <w:tcW w:w="1276" w:type="dxa"/>
            <w:gridSpan w:val="2"/>
          </w:tcPr>
          <w:p>
            <w:pPr>
              <w:pStyle w:val="nTable"/>
              <w:spacing w:after="40"/>
            </w:pPr>
            <w:r>
              <w:t>9 Oct 2007 p. 5348-50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 xml:space="preserve">Betting Control Amendment Regulations 2008 </w:t>
            </w:r>
          </w:p>
        </w:tc>
        <w:tc>
          <w:tcPr>
            <w:tcW w:w="1276" w:type="dxa"/>
            <w:gridSpan w:val="2"/>
          </w:tcPr>
          <w:p>
            <w:pPr>
              <w:pStyle w:val="nTable"/>
              <w:spacing w:after="40"/>
            </w:pPr>
            <w:r>
              <w:t>28 Oct 2008 p. 4732</w:t>
            </w:r>
            <w:r>
              <w:noBreakHyphen/>
              <w:t>3</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2009</w:t>
            </w:r>
          </w:p>
        </w:tc>
        <w:tc>
          <w:tcPr>
            <w:tcW w:w="1276" w:type="dxa"/>
            <w:gridSpan w:val="2"/>
          </w:tcPr>
          <w:p>
            <w:pPr>
              <w:pStyle w:val="nTable"/>
              <w:spacing w:after="40"/>
            </w:pPr>
            <w:r>
              <w:t>25 Sep 2009 p. 3751-2</w:t>
            </w:r>
          </w:p>
        </w:tc>
        <w:tc>
          <w:tcPr>
            <w:tcW w:w="2693" w:type="dxa"/>
            <w:gridSpan w:val="2"/>
          </w:tcPr>
          <w:p>
            <w:pPr>
              <w:pStyle w:val="nTable"/>
              <w:spacing w:after="40"/>
              <w:rPr>
                <w:snapToGrid w:val="0"/>
              </w:rPr>
            </w:pPr>
            <w:r>
              <w:rPr>
                <w:snapToGrid w:val="0"/>
              </w:rPr>
              <w:t>r. 1 and 2: 25 Sep 2009 (see r. 2(a));</w:t>
            </w:r>
            <w:r>
              <w:rPr>
                <w:snapToGrid w:val="0"/>
              </w:rPr>
              <w:br/>
              <w:t>Regulations other than r. 1 and 2: 26 Sep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2009</w:t>
            </w:r>
          </w:p>
        </w:tc>
        <w:tc>
          <w:tcPr>
            <w:tcW w:w="1276" w:type="dxa"/>
            <w:gridSpan w:val="2"/>
          </w:tcPr>
          <w:p>
            <w:pPr>
              <w:pStyle w:val="nTable"/>
              <w:spacing w:after="40"/>
            </w:pPr>
            <w:r>
              <w:t>30 Oct 2009 p. 4312-13</w:t>
            </w:r>
          </w:p>
        </w:tc>
        <w:tc>
          <w:tcPr>
            <w:tcW w:w="2693"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5) 2009</w:t>
            </w:r>
          </w:p>
        </w:tc>
        <w:tc>
          <w:tcPr>
            <w:tcW w:w="1276" w:type="dxa"/>
            <w:gridSpan w:val="2"/>
          </w:tcPr>
          <w:p>
            <w:pPr>
              <w:pStyle w:val="nTable"/>
              <w:spacing w:after="40"/>
            </w:pPr>
            <w:r>
              <w:t>8 Jan 2010 p. 19-27</w:t>
            </w:r>
          </w:p>
        </w:tc>
        <w:tc>
          <w:tcPr>
            <w:tcW w:w="2693"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Betting Control Amendment Regulations (No. 3) 2010</w:t>
            </w:r>
            <w:r>
              <w:rPr>
                <w:iCs/>
              </w:rPr>
              <w:t xml:space="preserve"> </w:t>
            </w:r>
          </w:p>
        </w:tc>
        <w:tc>
          <w:tcPr>
            <w:tcW w:w="1276" w:type="dxa"/>
            <w:gridSpan w:val="2"/>
          </w:tcPr>
          <w:p>
            <w:pPr>
              <w:pStyle w:val="nTable"/>
              <w:spacing w:after="40"/>
            </w:pPr>
            <w:r>
              <w:t>19 Nov 2010 p. 5739</w:t>
            </w:r>
            <w:r>
              <w:noBreakHyphen/>
              <w:t>40</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2011</w:t>
            </w:r>
            <w:r>
              <w:t xml:space="preserve"> </w:t>
            </w:r>
          </w:p>
        </w:tc>
        <w:tc>
          <w:tcPr>
            <w:tcW w:w="1276" w:type="dxa"/>
            <w:gridSpan w:val="2"/>
          </w:tcPr>
          <w:p>
            <w:pPr>
              <w:pStyle w:val="nTable"/>
              <w:spacing w:after="40"/>
            </w:pPr>
            <w:r>
              <w:t>4 Nov 2011 p. 4635-6</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2012</w:t>
            </w:r>
          </w:p>
        </w:tc>
        <w:tc>
          <w:tcPr>
            <w:tcW w:w="1276" w:type="dxa"/>
            <w:gridSpan w:val="2"/>
          </w:tcPr>
          <w:p>
            <w:pPr>
              <w:pStyle w:val="nTable"/>
              <w:spacing w:after="40"/>
            </w:pPr>
            <w:r>
              <w:t>16 Nov 2012 p. 5646-7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2012</w:t>
            </w:r>
          </w:p>
        </w:tc>
        <w:tc>
          <w:tcPr>
            <w:tcW w:w="1276" w:type="dxa"/>
            <w:gridSpan w:val="2"/>
          </w:tcPr>
          <w:p>
            <w:pPr>
              <w:pStyle w:val="nTable"/>
              <w:spacing w:after="40"/>
            </w:pPr>
            <w:r>
              <w:t>4 Jan 2013 p. 11-15</w:t>
            </w:r>
          </w:p>
        </w:tc>
        <w:tc>
          <w:tcPr>
            <w:tcW w:w="2693" w:type="dxa"/>
            <w:gridSpan w:val="2"/>
          </w:tcPr>
          <w:p>
            <w:pPr>
              <w:pStyle w:val="nTable"/>
              <w:spacing w:after="40"/>
              <w:rPr>
                <w:snapToGrid w:val="0"/>
              </w:rPr>
            </w:pPr>
            <w:r>
              <w:rPr>
                <w:snapToGrid w:val="0"/>
              </w:rPr>
              <w:t>r. 1 and 2: 4 Jan 2013 (see r. 2(a));</w:t>
            </w:r>
            <w:r>
              <w:rPr>
                <w:snapToGrid w:val="0"/>
              </w:rPr>
              <w:br/>
              <w:t>Regulations other than r. 1 and 2: 5</w:t>
            </w:r>
            <w:r>
              <w:t>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2013</w:t>
            </w:r>
          </w:p>
        </w:tc>
        <w:tc>
          <w:tcPr>
            <w:tcW w:w="1276" w:type="dxa"/>
            <w:gridSpan w:val="2"/>
            <w:shd w:val="clear" w:color="auto" w:fill="auto"/>
          </w:tcPr>
          <w:p>
            <w:pPr>
              <w:pStyle w:val="nTable"/>
              <w:spacing w:after="40"/>
            </w:pPr>
            <w:r>
              <w:t>14 Jun 2013 p. 2240-3</w:t>
            </w:r>
          </w:p>
        </w:tc>
        <w:tc>
          <w:tcPr>
            <w:tcW w:w="2693" w:type="dxa"/>
            <w:gridSpan w:val="2"/>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lastRenderedPageBreak/>
              <w:t>Betting Control Amendment Regulations (No. 3) 2013</w:t>
            </w:r>
          </w:p>
        </w:tc>
        <w:tc>
          <w:tcPr>
            <w:tcW w:w="1276" w:type="dxa"/>
            <w:gridSpan w:val="2"/>
            <w:shd w:val="clear" w:color="auto" w:fill="auto"/>
          </w:tcPr>
          <w:p>
            <w:pPr>
              <w:pStyle w:val="nTable"/>
              <w:spacing w:after="40"/>
            </w:pPr>
            <w:r>
              <w:t>8 Nov 2013 p. 4972</w:t>
            </w:r>
            <w:r>
              <w:noBreakHyphen/>
              <w:t>3</w:t>
            </w:r>
          </w:p>
        </w:tc>
        <w:tc>
          <w:tcPr>
            <w:tcW w:w="2693" w:type="dxa"/>
            <w:gridSpan w:val="2"/>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2013</w:t>
            </w:r>
          </w:p>
        </w:tc>
        <w:tc>
          <w:tcPr>
            <w:tcW w:w="1276" w:type="dxa"/>
            <w:gridSpan w:val="2"/>
            <w:shd w:val="clear" w:color="auto" w:fill="auto"/>
          </w:tcPr>
          <w:p>
            <w:pPr>
              <w:pStyle w:val="nTable"/>
              <w:spacing w:after="40"/>
            </w:pPr>
            <w:r>
              <w:t>29 Nov 2013 p. 5467</w:t>
            </w:r>
          </w:p>
        </w:tc>
        <w:tc>
          <w:tcPr>
            <w:tcW w:w="2693" w:type="dxa"/>
            <w:gridSpan w:val="2"/>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Betting Control Amendment Regulations (No. 2) 2014 </w:t>
            </w:r>
          </w:p>
        </w:tc>
        <w:tc>
          <w:tcPr>
            <w:tcW w:w="1276" w:type="dxa"/>
            <w:gridSpan w:val="2"/>
            <w:shd w:val="clear" w:color="auto" w:fill="auto"/>
          </w:tcPr>
          <w:p>
            <w:pPr>
              <w:pStyle w:val="nTable"/>
              <w:spacing w:after="40"/>
            </w:pPr>
            <w:r>
              <w:t>14 Nov 2014 p. 4279</w:t>
            </w:r>
            <w:r>
              <w:noBreakHyphen/>
              <w:t>80</w:t>
            </w:r>
          </w:p>
        </w:tc>
        <w:tc>
          <w:tcPr>
            <w:tcW w:w="2693" w:type="dxa"/>
            <w:gridSpan w:val="2"/>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gridSpan w:val="2"/>
            <w:shd w:val="clear" w:color="auto" w:fill="auto"/>
          </w:tcPr>
          <w:p>
            <w:pPr>
              <w:pStyle w:val="nTable"/>
              <w:spacing w:after="40"/>
            </w:pPr>
            <w:r>
              <w:t>6 Nov 2015 p. 4581-8</w:t>
            </w:r>
          </w:p>
        </w:tc>
        <w:tc>
          <w:tcPr>
            <w:tcW w:w="2693" w:type="dxa"/>
            <w:gridSpan w:val="2"/>
            <w:shd w:val="clear" w:color="auto" w:fill="auto"/>
          </w:tcPr>
          <w:p>
            <w:pPr>
              <w:pStyle w:val="nTable"/>
              <w:spacing w:after="40"/>
            </w:pPr>
            <w:r>
              <w:rPr>
                <w:bCs/>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2016</w:t>
            </w:r>
          </w:p>
        </w:tc>
        <w:tc>
          <w:tcPr>
            <w:tcW w:w="1276" w:type="dxa"/>
            <w:gridSpan w:val="2"/>
            <w:shd w:val="clear" w:color="auto" w:fill="auto"/>
          </w:tcPr>
          <w:p>
            <w:pPr>
              <w:pStyle w:val="nTable"/>
              <w:spacing w:after="40"/>
            </w:pPr>
            <w:r>
              <w:t>8 Mar 2016 p. 669</w:t>
            </w:r>
          </w:p>
        </w:tc>
        <w:tc>
          <w:tcPr>
            <w:tcW w:w="2693" w:type="dxa"/>
            <w:gridSpan w:val="2"/>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2016</w:t>
            </w:r>
          </w:p>
        </w:tc>
        <w:tc>
          <w:tcPr>
            <w:tcW w:w="1276" w:type="dxa"/>
            <w:gridSpan w:val="2"/>
            <w:shd w:val="clear" w:color="auto" w:fill="auto"/>
          </w:tcPr>
          <w:p>
            <w:pPr>
              <w:pStyle w:val="nTable"/>
              <w:spacing w:after="40"/>
            </w:pPr>
            <w:r>
              <w:t>13 May 2016 p. 1427</w:t>
            </w:r>
          </w:p>
        </w:tc>
        <w:tc>
          <w:tcPr>
            <w:tcW w:w="2693" w:type="dxa"/>
            <w:gridSpan w:val="2"/>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gridSpan w:val="2"/>
            <w:shd w:val="clear" w:color="auto" w:fill="auto"/>
          </w:tcPr>
          <w:p>
            <w:pPr>
              <w:pStyle w:val="nTable"/>
              <w:spacing w:after="40"/>
            </w:pPr>
            <w:r>
              <w:t>28 Oct 2016 p. 4910</w:t>
            </w:r>
            <w:r>
              <w:noBreakHyphen/>
              <w:t>16</w:t>
            </w:r>
          </w:p>
        </w:tc>
        <w:tc>
          <w:tcPr>
            <w:tcW w:w="2693" w:type="dxa"/>
            <w:gridSpan w:val="2"/>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gridSpan w:val="2"/>
            <w:shd w:val="clear" w:color="auto" w:fill="auto"/>
          </w:tcPr>
          <w:p>
            <w:pPr>
              <w:pStyle w:val="nTable"/>
              <w:spacing w:after="40"/>
            </w:pPr>
            <w:r>
              <w:t>10 Nov 2017 p. 5579</w:t>
            </w:r>
            <w:r>
              <w:noBreakHyphen/>
              <w:t>94</w:t>
            </w:r>
          </w:p>
        </w:tc>
        <w:tc>
          <w:tcPr>
            <w:tcW w:w="2693" w:type="dxa"/>
            <w:gridSpan w:val="2"/>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gridSpan w:val="2"/>
            <w:shd w:val="clear" w:color="auto" w:fill="auto"/>
          </w:tcPr>
          <w:p>
            <w:pPr>
              <w:pStyle w:val="nTable"/>
              <w:spacing w:after="40"/>
            </w:pPr>
            <w:r>
              <w:t>7 Sep 2018 p. 3192-200</w:t>
            </w:r>
          </w:p>
        </w:tc>
        <w:tc>
          <w:tcPr>
            <w:tcW w:w="2693" w:type="dxa"/>
            <w:gridSpan w:val="2"/>
            <w:shd w:val="clear" w:color="auto" w:fill="auto"/>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2019</w:t>
            </w:r>
          </w:p>
        </w:tc>
        <w:tc>
          <w:tcPr>
            <w:tcW w:w="1276" w:type="dxa"/>
            <w:gridSpan w:val="2"/>
            <w:shd w:val="clear" w:color="auto" w:fill="auto"/>
          </w:tcPr>
          <w:p>
            <w:pPr>
              <w:pStyle w:val="nTable"/>
              <w:spacing w:after="40"/>
            </w:pPr>
            <w:r>
              <w:t>25 Jan 2019 p. 199-202</w:t>
            </w:r>
          </w:p>
        </w:tc>
        <w:tc>
          <w:tcPr>
            <w:tcW w:w="2693" w:type="dxa"/>
            <w:gridSpan w:val="2"/>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and Gaming Regulations Amendment Regulations 2019 </w:t>
            </w:r>
            <w:r>
              <w:t>Pt. 2</w:t>
            </w:r>
          </w:p>
        </w:tc>
        <w:tc>
          <w:tcPr>
            <w:tcW w:w="1276" w:type="dxa"/>
            <w:gridSpan w:val="2"/>
            <w:shd w:val="clear" w:color="auto" w:fill="auto"/>
          </w:tcPr>
          <w:p>
            <w:pPr>
              <w:pStyle w:val="nTable"/>
              <w:spacing w:after="40"/>
            </w:pPr>
            <w:r>
              <w:t>25 Jan 2019 p. 202-3</w:t>
            </w:r>
          </w:p>
        </w:tc>
        <w:tc>
          <w:tcPr>
            <w:tcW w:w="2693" w:type="dxa"/>
            <w:gridSpan w:val="2"/>
            <w:shd w:val="clear" w:color="auto" w:fill="auto"/>
          </w:tcPr>
          <w:p>
            <w:pPr>
              <w:pStyle w:val="nTable"/>
              <w:spacing w:after="40"/>
            </w:pPr>
            <w:r>
              <w:t xml:space="preserve">1 Feb 2019 (see r. 2(b) and </w:t>
            </w:r>
            <w:r>
              <w:rPr>
                <w:i/>
              </w:rPr>
              <w:t xml:space="preserve">Gazette </w:t>
            </w:r>
            <w:r>
              <w:t>25 Jan 2019 p. 193)</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lastRenderedPageBreak/>
              <w:t>Racing, Gaming and Liquor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22 Oct 2019 p. 3720</w:t>
            </w:r>
            <w:r>
              <w:noBreakHyphen/>
              <w:t>9</w:t>
            </w:r>
          </w:p>
        </w:tc>
        <w:tc>
          <w:tcPr>
            <w:tcW w:w="2693" w:type="dxa"/>
            <w:gridSpan w:val="2"/>
            <w:tcBorders>
              <w:top w:val="nil"/>
              <w:bottom w:val="nil"/>
            </w:tcBorders>
            <w:shd w:val="clear" w:color="auto" w:fill="auto"/>
          </w:tcPr>
          <w:p>
            <w:pPr>
              <w:pStyle w:val="nTable"/>
              <w:spacing w:after="40"/>
            </w:pPr>
            <w:r>
              <w:t>1 Jan 2020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Betting Control Amendment Regulations 2021</w:t>
            </w:r>
          </w:p>
        </w:tc>
        <w:tc>
          <w:tcPr>
            <w:tcW w:w="1276" w:type="dxa"/>
            <w:gridSpan w:val="2"/>
            <w:tcBorders>
              <w:top w:val="nil"/>
              <w:bottom w:val="nil"/>
            </w:tcBorders>
            <w:shd w:val="clear" w:color="auto" w:fill="auto"/>
          </w:tcPr>
          <w:p>
            <w:pPr>
              <w:pStyle w:val="nTable"/>
              <w:spacing w:after="40"/>
            </w:pPr>
            <w:r>
              <w:t>SL 2021/193 19 Nov 2021</w:t>
            </w:r>
          </w:p>
        </w:tc>
        <w:tc>
          <w:tcPr>
            <w:tcW w:w="2693" w:type="dxa"/>
            <w:gridSpan w:val="2"/>
            <w:tcBorders>
              <w:top w:val="nil"/>
              <w:bottom w:val="nil"/>
            </w:tcBorders>
            <w:shd w:val="clear" w:color="auto" w:fill="auto"/>
          </w:tcPr>
          <w:p>
            <w:pPr>
              <w:pStyle w:val="nTable"/>
              <w:spacing w:after="40"/>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and Gaming Regulations Amendment (Fees and Charges) Regulations 2022</w:t>
            </w:r>
            <w:r>
              <w:t xml:space="preserve"> Pt. 2</w:t>
            </w:r>
          </w:p>
        </w:tc>
        <w:tc>
          <w:tcPr>
            <w:tcW w:w="1276" w:type="dxa"/>
            <w:gridSpan w:val="2"/>
            <w:tcBorders>
              <w:top w:val="nil"/>
              <w:bottom w:val="nil"/>
            </w:tcBorders>
            <w:shd w:val="clear" w:color="auto" w:fill="auto"/>
          </w:tcPr>
          <w:p>
            <w:pPr>
              <w:pStyle w:val="nTable"/>
              <w:spacing w:after="40"/>
            </w:pPr>
            <w:r>
              <w:t>SL 2022/144 12 Aug 2022</w:t>
            </w:r>
          </w:p>
        </w:tc>
        <w:tc>
          <w:tcPr>
            <w:tcW w:w="2693" w:type="dxa"/>
            <w:gridSpan w:val="2"/>
            <w:tcBorders>
              <w:top w:val="nil"/>
              <w:bottom w:val="nil"/>
            </w:tcBorders>
            <w:shd w:val="clear" w:color="auto" w:fill="auto"/>
          </w:tcPr>
          <w:p>
            <w:pPr>
              <w:pStyle w:val="nTable"/>
              <w:spacing w:after="40"/>
              <w:rPr>
                <w:snapToGrid w:val="0"/>
              </w:rPr>
            </w:pPr>
            <w:r>
              <w:t>1 Jan 2023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 xml:space="preserve">Racing and Gaming Regulations Amendment (Fees and Charges) Regulations 2023 </w:t>
            </w:r>
            <w:r>
              <w:t>Pt. 2</w:t>
            </w:r>
          </w:p>
        </w:tc>
        <w:tc>
          <w:tcPr>
            <w:tcW w:w="1276" w:type="dxa"/>
            <w:gridSpan w:val="2"/>
            <w:tcBorders>
              <w:top w:val="nil"/>
              <w:bottom w:val="nil"/>
            </w:tcBorders>
            <w:shd w:val="clear" w:color="auto" w:fill="auto"/>
          </w:tcPr>
          <w:p>
            <w:pPr>
              <w:pStyle w:val="nTable"/>
              <w:spacing w:after="40"/>
            </w:pPr>
            <w:r>
              <w:t>SL 2023/156 18 Oct 2023</w:t>
            </w:r>
          </w:p>
        </w:tc>
        <w:tc>
          <w:tcPr>
            <w:tcW w:w="2693" w:type="dxa"/>
            <w:gridSpan w:val="2"/>
            <w:tcBorders>
              <w:top w:val="nil"/>
              <w:bottom w:val="nil"/>
            </w:tcBorders>
            <w:shd w:val="clear" w:color="auto" w:fill="auto"/>
          </w:tcPr>
          <w:p>
            <w:pPr>
              <w:pStyle w:val="nTable"/>
              <w:spacing w:after="40"/>
            </w:pPr>
            <w:r>
              <w:t>1 Jan 2024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and Gaming Regulations Amendment (Fees and Charges) Regulations 2024</w:t>
            </w:r>
            <w:r>
              <w:rPr>
                <w:iCs/>
                <w:noProof/>
              </w:rPr>
              <w:t xml:space="preserve"> Pt. 2</w:t>
            </w:r>
          </w:p>
        </w:tc>
        <w:tc>
          <w:tcPr>
            <w:tcW w:w="1276" w:type="dxa"/>
            <w:gridSpan w:val="2"/>
            <w:tcBorders>
              <w:top w:val="nil"/>
              <w:bottom w:val="nil"/>
            </w:tcBorders>
            <w:shd w:val="clear" w:color="auto" w:fill="auto"/>
          </w:tcPr>
          <w:p>
            <w:pPr>
              <w:pStyle w:val="nTable"/>
              <w:spacing w:after="40"/>
            </w:pPr>
            <w:r>
              <w:t>SL 2024/213 16 Oct 2024</w:t>
            </w:r>
          </w:p>
        </w:tc>
        <w:tc>
          <w:tcPr>
            <w:tcW w:w="2693" w:type="dxa"/>
            <w:gridSpan w:val="2"/>
            <w:tcBorders>
              <w:top w:val="nil"/>
              <w:bottom w:val="nil"/>
            </w:tcBorders>
            <w:shd w:val="clear" w:color="auto" w:fill="auto"/>
          </w:tcPr>
          <w:p>
            <w:pPr>
              <w:pStyle w:val="nTable"/>
              <w:spacing w:after="40"/>
            </w:pPr>
            <w:r>
              <w:t>1 Jan 2025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Gambling Regulations Amendment Regulations (No. 2) 2025</w:t>
            </w:r>
            <w:r>
              <w:rPr>
                <w:iCs/>
              </w:rPr>
              <w:t xml:space="preserve"> Pt. 2</w:t>
            </w:r>
          </w:p>
        </w:tc>
        <w:tc>
          <w:tcPr>
            <w:tcW w:w="1276" w:type="dxa"/>
            <w:gridSpan w:val="2"/>
            <w:tcBorders>
              <w:top w:val="nil"/>
              <w:bottom w:val="nil"/>
            </w:tcBorders>
            <w:shd w:val="clear" w:color="auto" w:fill="auto"/>
          </w:tcPr>
          <w:p>
            <w:pPr>
              <w:pStyle w:val="nTable"/>
              <w:spacing w:after="40"/>
            </w:pPr>
            <w:r>
              <w:t>SL 2025/30 5 Feb 2025</w:t>
            </w:r>
          </w:p>
        </w:tc>
        <w:tc>
          <w:tcPr>
            <w:tcW w:w="2693" w:type="dxa"/>
            <w:gridSpan w:val="2"/>
            <w:tcBorders>
              <w:top w:val="nil"/>
              <w:bottom w:val="nil"/>
            </w:tcBorders>
            <w:shd w:val="clear" w:color="auto" w:fill="auto"/>
          </w:tcPr>
          <w:p>
            <w:pPr>
              <w:pStyle w:val="nTable"/>
              <w:spacing w:after="40"/>
            </w:pPr>
            <w:r>
              <w:t>6 Feb 2025 (see r. 2(b))</w:t>
            </w:r>
          </w:p>
        </w:tc>
      </w:tr>
      <w:tr>
        <w:trPr>
          <w:gridBefore w:val="1"/>
          <w:wBefore w:w="8" w:type="dxa"/>
          <w:cantSplit/>
        </w:trPr>
        <w:tc>
          <w:tcPr>
            <w:tcW w:w="3119" w:type="dxa"/>
            <w:gridSpan w:val="2"/>
            <w:tcBorders>
              <w:top w:val="nil"/>
              <w:bottom w:val="single" w:sz="4" w:space="0" w:color="auto"/>
            </w:tcBorders>
            <w:shd w:val="clear" w:color="auto" w:fill="auto"/>
          </w:tcPr>
          <w:p>
            <w:pPr>
              <w:pStyle w:val="nTable"/>
              <w:spacing w:after="40"/>
              <w:ind w:right="113"/>
              <w:rPr>
                <w:iCs/>
              </w:rPr>
            </w:pPr>
            <w:r>
              <w:rPr>
                <w:i/>
              </w:rPr>
              <w:t>Gambling Regulations Amendment Regulations 2025</w:t>
            </w:r>
            <w:r>
              <w:rPr>
                <w:iCs/>
              </w:rPr>
              <w:t xml:space="preserve"> Pt. 2</w:t>
            </w:r>
          </w:p>
        </w:tc>
        <w:tc>
          <w:tcPr>
            <w:tcW w:w="1276" w:type="dxa"/>
            <w:gridSpan w:val="2"/>
            <w:tcBorders>
              <w:top w:val="nil"/>
              <w:bottom w:val="single" w:sz="4" w:space="0" w:color="auto"/>
            </w:tcBorders>
            <w:shd w:val="clear" w:color="auto" w:fill="auto"/>
          </w:tcPr>
          <w:p>
            <w:pPr>
              <w:pStyle w:val="nTable"/>
              <w:spacing w:after="40"/>
            </w:pPr>
            <w:r>
              <w:t>SL 2025/35 5 Feb 2025</w:t>
            </w:r>
          </w:p>
        </w:tc>
        <w:tc>
          <w:tcPr>
            <w:tcW w:w="2693" w:type="dxa"/>
            <w:gridSpan w:val="2"/>
            <w:tcBorders>
              <w:top w:val="nil"/>
              <w:bottom w:val="single" w:sz="4" w:space="0" w:color="auto"/>
            </w:tcBorders>
            <w:shd w:val="clear" w:color="auto" w:fill="auto"/>
          </w:tcPr>
          <w:p>
            <w:pPr>
              <w:pStyle w:val="nTable"/>
              <w:spacing w:after="40"/>
            </w:pPr>
            <w:r>
              <w:t>6 Feb 2025 (see r. 2(b))</w:t>
            </w:r>
          </w:p>
        </w:tc>
      </w:tr>
    </w:tbl>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323" w:name="_Toc189226787"/>
      <w:r>
        <w:rPr>
          <w:sz w:val="28"/>
        </w:rPr>
        <w:lastRenderedPageBreak/>
        <w:t>Defined terms</w:t>
      </w:r>
      <w:bookmarkEnd w:id="3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6-month period</w:t>
      </w:r>
      <w:r>
        <w:tab/>
        <w:t>77P</w:t>
      </w:r>
    </w:p>
    <w:p>
      <w:pPr>
        <w:pStyle w:val="DefinedTerms"/>
      </w:pPr>
      <w:r>
        <w:t>account holder</w:t>
      </w:r>
      <w:r>
        <w:tab/>
        <w:t>77C</w:t>
      </w:r>
    </w:p>
    <w:p>
      <w:pPr>
        <w:pStyle w:val="DefinedTerms"/>
      </w:pPr>
      <w:r>
        <w:t>activity statement</w:t>
      </w:r>
      <w:r>
        <w:tab/>
        <w:t>77P</w:t>
      </w:r>
    </w:p>
    <w:p>
      <w:pPr>
        <w:pStyle w:val="DefinedTerms"/>
      </w:pPr>
      <w:r>
        <w:t>all up bet</w:t>
      </w:r>
      <w:r>
        <w:tab/>
        <w:t>App. cl. 1(1)</w:t>
      </w:r>
    </w:p>
    <w:p>
      <w:pPr>
        <w:pStyle w:val="DefinedTerms"/>
      </w:pPr>
      <w:r>
        <w:t>another jurisdiction</w:t>
      </w:r>
      <w:r>
        <w:tab/>
        <w:t>98</w:t>
      </w:r>
    </w:p>
    <w:p>
      <w:pPr>
        <w:pStyle w:val="DefinedTerms"/>
      </w:pPr>
      <w:r>
        <w:t>approval</w:t>
      </w:r>
      <w:r>
        <w:tab/>
        <w:t>98</w:t>
      </w:r>
    </w:p>
    <w:p>
      <w:pPr>
        <w:pStyle w:val="DefinedTerms"/>
      </w:pPr>
      <w:r>
        <w:t>approved event</w:t>
      </w:r>
      <w:r>
        <w:tab/>
        <w:t>3(1)</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cl. 1(1)</w:t>
      </w:r>
    </w:p>
    <w:p>
      <w:pPr>
        <w:pStyle w:val="DefinedTerms"/>
      </w:pPr>
      <w:r>
        <w:t>bet</w:t>
      </w:r>
      <w:r>
        <w:tab/>
        <w:t>App. cl. 4A(1)</w:t>
      </w:r>
    </w:p>
    <w:p>
      <w:pPr>
        <w:pStyle w:val="DefinedTerms"/>
      </w:pPr>
      <w:r>
        <w:t>bet back</w:t>
      </w:r>
      <w:r>
        <w:tab/>
        <w:t>3(1)</w:t>
      </w:r>
    </w:p>
    <w:p>
      <w:pPr>
        <w:pStyle w:val="DefinedTerms"/>
      </w:pPr>
      <w:r>
        <w:t>betting</w:t>
      </w:r>
      <w:r>
        <w:tab/>
        <w:t>98</w:t>
      </w:r>
    </w:p>
    <w:p>
      <w:pPr>
        <w:pStyle w:val="DefinedTerms"/>
      </w:pPr>
      <w:r>
        <w:t>betting account</w:t>
      </w:r>
      <w:r>
        <w:tab/>
        <w:t>3(1), 77C</w:t>
      </w:r>
    </w:p>
    <w:p>
      <w:pPr>
        <w:pStyle w:val="DefinedTerms"/>
      </w:pPr>
      <w:r>
        <w:t>betting sheet</w:t>
      </w:r>
      <w:r>
        <w:tab/>
        <w:t>App. cl. 1(1)</w:t>
      </w:r>
    </w:p>
    <w:p>
      <w:pPr>
        <w:pStyle w:val="DefinedTerms"/>
      </w:pPr>
      <w:r>
        <w:t>cash</w:t>
      </w:r>
      <w:r>
        <w:tab/>
        <w:t>3(1)</w:t>
      </w:r>
    </w:p>
    <w:p>
      <w:pPr>
        <w:pStyle w:val="DefinedTerms"/>
      </w:pPr>
      <w:r>
        <w:t>combined win/place bet</w:t>
      </w:r>
      <w:r>
        <w:tab/>
        <w:t>105B(1)</w:t>
      </w:r>
    </w:p>
    <w:p>
      <w:pPr>
        <w:pStyle w:val="DefinedTerms"/>
      </w:pPr>
      <w:r>
        <w:t>commencement day</w:t>
      </w:r>
      <w:r>
        <w:tab/>
        <w:t>102(1)</w:t>
      </w:r>
    </w:p>
    <w:p>
      <w:pPr>
        <w:pStyle w:val="DefinedTerms"/>
      </w:pPr>
      <w:r>
        <w:t>committee</w:t>
      </w:r>
      <w:r>
        <w:tab/>
        <w:t>App. cl. 1(1)</w:t>
      </w:r>
    </w:p>
    <w:p>
      <w:pPr>
        <w:pStyle w:val="DefinedTerms"/>
      </w:pPr>
      <w:r>
        <w:t>concession bet</w:t>
      </w:r>
      <w:r>
        <w:tab/>
        <w:t>3(1)</w:t>
      </w:r>
    </w:p>
    <w:p>
      <w:pPr>
        <w:pStyle w:val="DefinedTerms"/>
      </w:pPr>
      <w:r>
        <w:t>consistent gambling messaging</w:t>
      </w:r>
      <w:r>
        <w:tab/>
        <w:t>77V(1)</w:t>
      </w:r>
    </w:p>
    <w:p>
      <w:pPr>
        <w:pStyle w:val="DefinedTerms"/>
      </w:pPr>
      <w:r>
        <w:t>country</w:t>
      </w:r>
      <w:r>
        <w:tab/>
        <w:t>3(1)</w:t>
      </w:r>
    </w:p>
    <w:p>
      <w:pPr>
        <w:pStyle w:val="DefinedTerms"/>
      </w:pPr>
      <w:r>
        <w:t>deposit limit</w:t>
      </w:r>
      <w:r>
        <w:tab/>
        <w:t>77C</w:t>
      </w:r>
    </w:p>
    <w:p>
      <w:pPr>
        <w:pStyle w:val="DefinedTerms"/>
      </w:pPr>
      <w:r>
        <w:t>double</w:t>
      </w:r>
      <w:r>
        <w:tab/>
        <w:t>App. cl. 1(1)</w:t>
      </w:r>
    </w:p>
    <w:p>
      <w:pPr>
        <w:pStyle w:val="DefinedTerms"/>
      </w:pPr>
      <w:r>
        <w:t>each way bet</w:t>
      </w:r>
      <w:r>
        <w:tab/>
        <w:t>2(1)</w:t>
      </w:r>
    </w:p>
    <w:p>
      <w:pPr>
        <w:pStyle w:val="DefinedTerms"/>
      </w:pPr>
      <w:r>
        <w:t>Flexi Bet</w:t>
      </w:r>
      <w:r>
        <w:tab/>
        <w:t>3(1)</w:t>
      </w:r>
    </w:p>
    <w:p>
      <w:pPr>
        <w:pStyle w:val="DefinedTerms"/>
      </w:pPr>
      <w:r>
        <w:t>fraudulent behaviour</w:t>
      </w:r>
      <w:r>
        <w:tab/>
        <w:t>105C(1)</w:t>
      </w:r>
    </w:p>
    <w:p>
      <w:pPr>
        <w:pStyle w:val="DefinedTerms"/>
      </w:pPr>
      <w:r>
        <w:t>grandstand enclosure</w:t>
      </w:r>
      <w:r>
        <w:tab/>
        <w:t>3(1)</w:t>
      </w:r>
    </w:p>
    <w:p>
      <w:pPr>
        <w:pStyle w:val="DefinedTerms"/>
      </w:pPr>
      <w:r>
        <w:t>greyhound race</w:t>
      </w:r>
      <w:r>
        <w:tab/>
        <w:t>3(1)</w:t>
      </w:r>
    </w:p>
    <w:p>
      <w:pPr>
        <w:pStyle w:val="DefinedTerms"/>
      </w:pPr>
      <w:r>
        <w:t>harness race</w:t>
      </w:r>
      <w:r>
        <w:tab/>
        <w:t>3(1)</w:t>
      </w:r>
    </w:p>
    <w:p>
      <w:pPr>
        <w:pStyle w:val="DefinedTerms"/>
      </w:pPr>
      <w:r>
        <w:t>host club</w:t>
      </w:r>
      <w:r>
        <w:tab/>
        <w:t>91(1)</w:t>
      </w:r>
    </w:p>
    <w:p>
      <w:pPr>
        <w:pStyle w:val="DefinedTerms"/>
      </w:pPr>
      <w:r>
        <w:t>interactive wagering service</w:t>
      </w:r>
      <w:r>
        <w:tab/>
        <w:t>77B</w:t>
      </w:r>
    </w:p>
    <w:p>
      <w:pPr>
        <w:pStyle w:val="DefinedTerms"/>
      </w:pPr>
      <w:r>
        <w:t>internet betting</w:t>
      </w:r>
      <w:r>
        <w:tab/>
        <w:t>3(1)</w:t>
      </w:r>
    </w:p>
    <w:p>
      <w:pPr>
        <w:pStyle w:val="DefinedTerms"/>
      </w:pPr>
    </w:p>
    <w:p>
      <w:pPr>
        <w:pStyle w:val="DefinedTerms"/>
      </w:pPr>
    </w:p>
    <w:p>
      <w:pPr>
        <w:pStyle w:val="DefinedTerms"/>
      </w:pPr>
      <w:r>
        <w:lastRenderedPageBreak/>
        <w:t>late scratched runner</w:t>
      </w:r>
      <w:r>
        <w:tab/>
        <w:t>App. cl. 4A(1)</w:t>
      </w:r>
    </w:p>
    <w:p>
      <w:pPr>
        <w:pStyle w:val="DefinedTerms"/>
      </w:pPr>
      <w:r>
        <w:t>leger</w:t>
      </w:r>
      <w:r>
        <w:tab/>
        <w:t>3(1)</w:t>
      </w:r>
    </w:p>
    <w:p>
      <w:pPr>
        <w:pStyle w:val="DefinedTerms"/>
      </w:pPr>
      <w:r>
        <w:t>local on-course totalisator</w:t>
      </w:r>
      <w:r>
        <w:tab/>
        <w:t>78(1)</w:t>
      </w:r>
    </w:p>
    <w:p>
      <w:pPr>
        <w:pStyle w:val="DefinedTerms"/>
      </w:pPr>
      <w:r>
        <w:t>multiple double</w:t>
      </w:r>
      <w:r>
        <w:tab/>
        <w:t>App. cl. 10(2)</w:t>
      </w:r>
    </w:p>
    <w:p>
      <w:pPr>
        <w:pStyle w:val="DefinedTerms"/>
      </w:pPr>
      <w:r>
        <w:t>National Consumer Protection Framework for Online Wagering in Australia - National Policy Statement</w:t>
      </w:r>
      <w:r>
        <w:tab/>
        <w:t>77C</w:t>
      </w:r>
    </w:p>
    <w:p>
      <w:pPr>
        <w:pStyle w:val="DefinedTerms"/>
      </w:pPr>
      <w:r>
        <w:t>objection</w:t>
      </w:r>
      <w:r>
        <w:tab/>
        <w:t>App. cl. 1(1)</w:t>
      </w:r>
    </w:p>
    <w:p>
      <w:pPr>
        <w:pStyle w:val="DefinedTerms"/>
      </w:pPr>
      <w:r>
        <w:t>odds</w:t>
      </w:r>
      <w:r>
        <w:tab/>
        <w:t>App. cl. 4A(1)</w:t>
      </w:r>
    </w:p>
    <w:p>
      <w:pPr>
        <w:pStyle w:val="DefinedTerms"/>
      </w:pPr>
      <w:r>
        <w:t>on-course totalisator</w:t>
      </w:r>
      <w:r>
        <w:tab/>
        <w:t>78(1)</w:t>
      </w:r>
    </w:p>
    <w:p>
      <w:pPr>
        <w:pStyle w:val="DefinedTerms"/>
      </w:pPr>
      <w:r>
        <w:t>percentage</w:t>
      </w:r>
      <w:r>
        <w:tab/>
        <w:t>App. cl. 4A(1)</w:t>
      </w:r>
    </w:p>
    <w:p>
      <w:pPr>
        <w:pStyle w:val="DefinedTerms"/>
      </w:pPr>
      <w:r>
        <w:t>place bet</w:t>
      </w:r>
      <w:r>
        <w:tab/>
        <w:t>3(1)</w:t>
      </w:r>
    </w:p>
    <w:p>
      <w:pPr>
        <w:pStyle w:val="DefinedTerms"/>
      </w:pPr>
      <w:r>
        <w:t>place component</w:t>
      </w:r>
      <w:r>
        <w:tab/>
        <w:t>105B(1)</w:t>
      </w:r>
    </w:p>
    <w:p>
      <w:pPr>
        <w:pStyle w:val="DefinedTerms"/>
      </w:pPr>
      <w:r>
        <w:t>play or pay</w:t>
      </w:r>
      <w:r>
        <w:tab/>
        <w:t>App. cl. 1(1)</w:t>
      </w:r>
    </w:p>
    <w:p>
      <w:pPr>
        <w:pStyle w:val="DefinedTerms"/>
      </w:pPr>
      <w:r>
        <w:t>prescribed information</w:t>
      </w:r>
      <w:r>
        <w:tab/>
        <w:t>104(1), 107(1)</w:t>
      </w:r>
    </w:p>
    <w:p>
      <w:pPr>
        <w:pStyle w:val="DefinedTerms"/>
      </w:pPr>
      <w:r>
        <w:t>provider</w:t>
      </w:r>
      <w:r>
        <w:tab/>
        <w:t>77B, 77C</w:t>
      </w:r>
    </w:p>
    <w:p>
      <w:pPr>
        <w:pStyle w:val="DefinedTerms"/>
      </w:pPr>
      <w:r>
        <w:t>racing year</w:t>
      </w:r>
      <w:r>
        <w:tab/>
        <w:t>3(1)</w:t>
      </w:r>
    </w:p>
    <w:p>
      <w:pPr>
        <w:pStyle w:val="DefinedTerms"/>
      </w:pPr>
      <w:r>
        <w:t>relevant individual</w:t>
      </w:r>
      <w:r>
        <w:tab/>
        <w:t>77X</w:t>
      </w:r>
    </w:p>
    <w:p>
      <w:pPr>
        <w:pStyle w:val="DefinedTerms"/>
      </w:pPr>
      <w:r>
        <w:t>relevant period</w:t>
      </w:r>
      <w:r>
        <w:tab/>
        <w:t>77T(1), 77U(1)</w:t>
      </w:r>
    </w:p>
    <w:p>
      <w:pPr>
        <w:pStyle w:val="DefinedTerms"/>
      </w:pPr>
      <w:r>
        <w:t>relevant person</w:t>
      </w:r>
      <w:r>
        <w:tab/>
        <w:t>77U(1), 98</w:t>
      </w:r>
    </w:p>
    <w:p>
      <w:pPr>
        <w:pStyle w:val="DefinedTerms"/>
      </w:pPr>
      <w:r>
        <w:t>relevant time</w:t>
      </w:r>
      <w:r>
        <w:tab/>
        <w:t>77L(1)</w:t>
      </w:r>
    </w:p>
    <w:p>
      <w:pPr>
        <w:pStyle w:val="DefinedTerms"/>
      </w:pPr>
      <w:r>
        <w:t>relevant way</w:t>
      </w:r>
      <w:r>
        <w:tab/>
        <w:t>77L(1)</w:t>
      </w:r>
    </w:p>
    <w:p>
      <w:pPr>
        <w:pStyle w:val="DefinedTerms"/>
      </w:pPr>
      <w:r>
        <w:t>responsible gambling training</w:t>
      </w:r>
      <w:r>
        <w:tab/>
        <w:t>77Y(1)</w:t>
      </w:r>
    </w:p>
    <w:p>
      <w:pPr>
        <w:pStyle w:val="DefinedTerms"/>
      </w:pPr>
      <w:r>
        <w:t>responsible person</w:t>
      </w:r>
      <w:r>
        <w:tab/>
        <w:t>77D(1)</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cl. 1(1)</w:t>
      </w:r>
    </w:p>
    <w:p>
      <w:pPr>
        <w:pStyle w:val="DefinedTerms"/>
      </w:pPr>
      <w:r>
        <w:t>scheduled starting time</w:t>
      </w:r>
      <w:r>
        <w:tab/>
        <w:t>3(1)</w:t>
      </w:r>
    </w:p>
    <w:p>
      <w:pPr>
        <w:pStyle w:val="DefinedTerms"/>
      </w:pPr>
      <w:r>
        <w:t>sporting event</w:t>
      </w:r>
      <w:r>
        <w:tab/>
        <w:t>3(1)</w:t>
      </w:r>
    </w:p>
    <w:p>
      <w:pPr>
        <w:pStyle w:val="DefinedTerms"/>
      </w:pPr>
      <w:r>
        <w:t>sum percentage</w:t>
      </w:r>
      <w:r>
        <w:tab/>
        <w:t>App. cl. 4A(1)</w:t>
      </w:r>
    </w:p>
    <w:p>
      <w:pPr>
        <w:pStyle w:val="DefinedTerms"/>
      </w:pPr>
      <w:r>
        <w:t>thoroughbred race</w:t>
      </w:r>
      <w:r>
        <w:tab/>
        <w:t>3(1)</w:t>
      </w:r>
    </w:p>
    <w:p>
      <w:pPr>
        <w:pStyle w:val="DefinedTerms"/>
      </w:pPr>
      <w:r>
        <w:t>totalisator</w:t>
      </w:r>
      <w:r>
        <w:tab/>
        <w:t>62(1A)</w:t>
      </w:r>
    </w:p>
    <w:p>
      <w:pPr>
        <w:pStyle w:val="DefinedTerms"/>
      </w:pPr>
      <w:r>
        <w:t>transaction</w:t>
      </w:r>
      <w:r>
        <w:tab/>
        <w:t>77C</w:t>
      </w:r>
    </w:p>
    <w:p>
      <w:pPr>
        <w:pStyle w:val="DefinedTerms"/>
      </w:pPr>
      <w:r>
        <w:t>transaction history</w:t>
      </w:r>
      <w:r>
        <w:tab/>
        <w:t>77T(2), 77U(2)</w:t>
      </w:r>
    </w:p>
    <w:p>
      <w:pPr>
        <w:pStyle w:val="DefinedTerms"/>
      </w:pPr>
      <w:r>
        <w:t>treble</w:t>
      </w:r>
      <w:r>
        <w:tab/>
        <w:t>App. cl. 1(1)</w:t>
      </w:r>
    </w:p>
    <w:p>
      <w:pPr>
        <w:pStyle w:val="DefinedTerms"/>
      </w:pPr>
      <w:r>
        <w:t>type 1 thoroughbred race</w:t>
      </w:r>
      <w:r>
        <w:tab/>
        <w:t>105B(1)</w:t>
      </w:r>
    </w:p>
    <w:p>
      <w:pPr>
        <w:pStyle w:val="DefinedTerms"/>
      </w:pPr>
      <w:r>
        <w:t>type 2 thoroughbred race</w:t>
      </w:r>
      <w:r>
        <w:tab/>
        <w:t>105B(1)</w:t>
      </w:r>
    </w:p>
    <w:p>
      <w:pPr>
        <w:pStyle w:val="DefinedTerms"/>
      </w:pPr>
      <w:r>
        <w:t>type 3 thoroughbred race</w:t>
      </w:r>
      <w:r>
        <w:tab/>
        <w:t>105B(1)</w:t>
      </w:r>
    </w:p>
    <w:p>
      <w:pPr>
        <w:pStyle w:val="DefinedTerms"/>
      </w:pPr>
      <w:r>
        <w:t>WAGRA greyhound race</w:t>
      </w:r>
      <w:r>
        <w:tab/>
        <w:t>105A(1)</w:t>
      </w:r>
    </w:p>
    <w:p>
      <w:pPr>
        <w:pStyle w:val="DefinedTerms"/>
      </w:pPr>
      <w:r>
        <w:t>walk-over</w:t>
      </w:r>
      <w:r>
        <w:tab/>
        <w:t>App. cl. 1(1)</w:t>
      </w:r>
    </w:p>
    <w:p>
      <w:pPr>
        <w:pStyle w:val="DefinedTerms"/>
      </w:pPr>
      <w:r>
        <w:t>WATA harness race</w:t>
      </w:r>
      <w:r>
        <w:tab/>
        <w:t>105A(1)</w:t>
      </w:r>
    </w:p>
    <w:p>
      <w:pPr>
        <w:pStyle w:val="DefinedTerms"/>
      </w:pPr>
      <w:r>
        <w:t>Western Australian Greyhound Racing Association</w:t>
      </w:r>
      <w:r>
        <w:tab/>
        <w:t>3(1)</w:t>
      </w:r>
    </w:p>
    <w:p>
      <w:pPr>
        <w:pStyle w:val="DefinedTerms"/>
      </w:pPr>
      <w:r>
        <w:t>Western Australian Trotting Association</w:t>
      </w:r>
      <w:r>
        <w:tab/>
        <w:t>3(1)</w:t>
      </w:r>
    </w:p>
    <w:p>
      <w:pPr>
        <w:pStyle w:val="DefinedTerms"/>
      </w:pPr>
    </w:p>
    <w:p>
      <w:pPr>
        <w:pStyle w:val="DefinedTerms"/>
      </w:pPr>
      <w:r>
        <w:lastRenderedPageBreak/>
        <w:t>win bet</w:t>
      </w:r>
      <w:r>
        <w:tab/>
        <w:t>3(1)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4ADBEE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N8udj0CAAB4BAAADgAAAAAA&#10;AAAAAAAAAAAuAgAAZHJzL2Uyb0RvYy54bWxQSwECLQAUAAYACAAAACEAY38uG9wAAAAJAQAADwAA&#10;AAAAAAAAAAAAAACXBAAAZHJzL2Rvd25yZXYueG1sUEsFBgAAAAAEAAQA8wAAAKAFAAAAAA==&#10;" stroked="f" strokeweight=".5pt">
                <v:textbox>
                  <w:txbxContent>
                    <w:p w14:paraId="20256F76" w14:textId="611D8C0C" w:rsidR="009F56F6" w:rsidRDefault="00DA432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64095">
                        <w:rPr>
                          <w:sz w:val="16"/>
                        </w:rPr>
                        <w:t>2025</w:t>
                      </w:r>
                      <w:r>
                        <w:rPr>
                          <w:sz w:val="16"/>
                        </w:rPr>
                        <w:fldChar w:fldCharType="end"/>
                      </w:r>
                      <w:r>
                        <w:rPr>
                          <w:sz w:val="16"/>
                        </w:rPr>
                        <w:t>.</w:t>
                      </w:r>
                    </w:p>
                    <w:p w14:paraId="5731C514" w14:textId="77777777" w:rsidR="009F56F6" w:rsidRDefault="00DA432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B62677C" w14:textId="683B8255" w:rsidR="009F56F6" w:rsidRDefault="00DA432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64095">
                        <w:rPr>
                          <w:sz w:val="16"/>
                        </w:rPr>
                        <w:t>2025</w:t>
                      </w:r>
                      <w:r>
                        <w:rPr>
                          <w:sz w:val="16"/>
                        </w:rPr>
                        <w:fldChar w:fldCharType="end"/>
                      </w:r>
                      <w:r>
                        <w:rPr>
                          <w:sz w:val="16"/>
                        </w:rPr>
                        <w:t>.</w:t>
                      </w:r>
                    </w:p>
                    <w:p w14:paraId="7928C401" w14:textId="77777777" w:rsidR="009F56F6" w:rsidRDefault="00DA432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rPr>
        <w:jc w:val="center"/>
      </w:trP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952"/>
      <w:gridCol w:w="13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93" w:name="Schedule"/>
    <w:bookmarkEnd w:id="2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2" w:name="Compilation"/>
    <w:bookmarkEnd w:id="32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4" w:name="DefinedTerms"/>
    <w:bookmarkEnd w:id="32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5" w:name="Coversheet"/>
    <w:bookmarkEnd w:id="3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0161505"/>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 w:name="WAFER_20191203144149" w:val="RemoveTocBookmarks,RemoveUnusedBookmarks,RemoveLanguageTags,ResetPageSize,RunningHeaders,UpdateStyles,UsedStyles"/>
    <w:docVar w:name="WAFER_20191203144149_GUID" w:val="a08238fe-9fa4-45cb-a08c-18f3333feda6"/>
    <w:docVar w:name="WAFER_2020021012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229_GUID" w:val="8bf01268-a23b-43b6-8fc8-6fc5b151cd1a"/>
    <w:docVar w:name="WAFER_202111161433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3300_GUID" w:val="c6749c32-71a2-46b1-9dcb-71ce77cceb30"/>
    <w:docVar w:name="WAFER_2022080915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310_GUID" w:val="1b6a859d-e592-4d05-91ef-f178007cde59"/>
    <w:docVar w:name="WAFER_202212161021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2155_GUID" w:val="b5ad5b7c-d64c-470e-ad84-c29765423dbf"/>
    <w:docVar w:name="WAFER_2023101308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82805_GUID" w:val="f98d5609-d4b8-4fb4-9974-28a9e7d61087"/>
    <w:docVar w:name="WAFER_2023122015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43_GUID" w:val="85ffa73c-d6a6-4f4f-b5d5-6a66d524c674"/>
    <w:docVar w:name="WAFER_20241010125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25532_GUID" w:val="a57f5f18-b124-4944-993b-4831ee9d1be8"/>
    <w:docVar w:name="WAFER_20241223085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85914_GUID" w:val="4bd16c8c-ffee-4736-a9c6-6877aed894a4"/>
    <w:docVar w:name="WAFER_20250130161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1444_GUID" w:val="db60965c-1f77-4c0f-ac48-cd54568acafe"/>
    <w:docVar w:name="WAFER_20250130161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0161505_GUID" w:val="4a1ece05-d5bc-4a75-a33e-d7ddf8aa22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61"/>
    <o:shapelayout v:ext="edit">
      <o:idmap v:ext="edit" data="1"/>
    </o:shapelayout>
  </w:shapeDefaults>
  <w:decimalSymbol w:val="."/>
  <w:listSeparator w:val=","/>
  <w15:docId w15:val="{C4EA06E4-3B88-4B4C-948A-EEE24F4E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709930">
      <w:bodyDiv w:val="1"/>
      <w:marLeft w:val="0"/>
      <w:marRight w:val="0"/>
      <w:marTop w:val="0"/>
      <w:marBottom w:val="0"/>
      <w:divBdr>
        <w:top w:val="none" w:sz="0" w:space="0" w:color="auto"/>
        <w:left w:val="none" w:sz="0" w:space="0" w:color="auto"/>
        <w:bottom w:val="none" w:sz="0" w:space="0" w:color="auto"/>
        <w:right w:val="none" w:sz="0" w:space="0" w:color="auto"/>
      </w:divBdr>
    </w:div>
    <w:div w:id="796068556">
      <w:bodyDiv w:val="1"/>
      <w:marLeft w:val="0"/>
      <w:marRight w:val="0"/>
      <w:marTop w:val="0"/>
      <w:marBottom w:val="0"/>
      <w:divBdr>
        <w:top w:val="none" w:sz="0" w:space="0" w:color="auto"/>
        <w:left w:val="none" w:sz="0" w:space="0" w:color="auto"/>
        <w:bottom w:val="none" w:sz="0" w:space="0" w:color="auto"/>
        <w:right w:val="none" w:sz="0" w:space="0" w:color="auto"/>
      </w:divBdr>
    </w:div>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4.xml"/><Relationship Id="rId38" Type="http://schemas.openxmlformats.org/officeDocument/2006/relationships/header" Target="header19.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41A37-E2EA-4193-BE64-1BD53E9D7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33632</Words>
  <Characters>157062</Characters>
  <Application>Microsoft Office Word</Application>
  <DocSecurity>0</DocSecurity>
  <Lines>5235</Lines>
  <Paragraphs>3405</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187289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1978 - 08-q0-00</dc:title>
  <dc:subject/>
  <dc:creator/>
  <cp:keywords/>
  <dc:description/>
  <cp:lastModifiedBy>Master Repository Process</cp:lastModifiedBy>
  <cp:revision>4</cp:revision>
  <cp:lastPrinted>2019-12-05T01:11:00Z</cp:lastPrinted>
  <dcterms:created xsi:type="dcterms:W3CDTF">2025-06-23T06:16:00Z</dcterms:created>
  <dcterms:modified xsi:type="dcterms:W3CDTF">2025-06-23T06:17:00Z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AsAtDate">
    <vt:lpwstr>06 Feb 2025</vt:lpwstr>
  </property>
  <property fmtid="{D5CDD505-2E9C-101B-9397-08002B2CF9AE}" pid="8" name="Suffix">
    <vt:lpwstr>08-q0-00</vt:lpwstr>
  </property>
  <property fmtid="{D5CDD505-2E9C-101B-9397-08002B2CF9AE}" pid="9" name="Official">
    <vt:lpwstr/>
  </property>
  <property fmtid="{D5CDD505-2E9C-101B-9397-08002B2CF9AE}" pid="10" name="CommencementDate">
    <vt:lpwstr>20250206</vt:lpwstr>
  </property>
  <property fmtid="{D5CDD505-2E9C-101B-9397-08002B2CF9AE}" pid="11" name="CommencementAsAt">
    <vt:filetime>2025-02-05T16:00:00Z</vt:filetime>
  </property>
  <property fmtid="{D5CDD505-2E9C-101B-9397-08002B2CF9AE}" pid="12" name="CommencementYear">
    <vt:lpwstr>2025</vt:lpwstr>
  </property>
</Properties>
</file>