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_Toc189228692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 in this Act</w:t>
      </w:r>
      <w:r>
        <w:tab/>
      </w:r>
      <w:r>
        <w:fldChar w:fldCharType="begin"/>
      </w:r>
      <w:r>
        <w:instrText xml:space="preserve"> PAGEREF _Toc189228693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electricity transmission and distribution systems</w:t>
      </w:r>
    </w:p>
    <w:p>
      <w:pPr>
        <w:pStyle w:val="TOC8"/>
        <w:rPr>
          <w:rFonts w:asciiTheme="minorHAnsi" w:eastAsiaTheme="minorEastAsia" w:hAnsiTheme="minorHAnsi" w:cstheme="minorBidi"/>
          <w:szCs w:val="22"/>
        </w:rPr>
      </w:pPr>
      <w:r>
        <w:t>89</w:t>
      </w:r>
      <w:r>
        <w:rPr>
          <w:snapToGrid w:val="0"/>
        </w:rPr>
        <w:t>.</w:t>
      </w:r>
      <w:r>
        <w:rPr>
          <w:snapToGrid w:val="0"/>
        </w:rPr>
        <w:tab/>
        <w:t>Definitions</w:t>
      </w:r>
      <w:r>
        <w:tab/>
      </w:r>
      <w:r>
        <w:fldChar w:fldCharType="begin"/>
      </w:r>
      <w:r>
        <w:instrText xml:space="preserve"> PAGEREF _Toc189228695 \h </w:instrText>
      </w:r>
      <w:r>
        <w:fldChar w:fldCharType="separate"/>
      </w:r>
      <w:r>
        <w:t>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Enforcement</w:t>
      </w:r>
      <w:r>
        <w:tab/>
      </w:r>
      <w:r>
        <w:fldChar w:fldCharType="begin"/>
      </w:r>
      <w:r>
        <w:instrText xml:space="preserve"> PAGEREF _Toc189228696 \h </w:instrText>
      </w:r>
      <w:r>
        <w:fldChar w:fldCharType="separate"/>
      </w:r>
      <w:r>
        <w:t>6</w:t>
      </w:r>
      <w:r>
        <w:fldChar w:fldCharType="end"/>
      </w:r>
    </w:p>
    <w:p>
      <w:pPr>
        <w:pStyle w:val="TOC8"/>
        <w:rPr>
          <w:rFonts w:asciiTheme="minorHAnsi" w:eastAsiaTheme="minorEastAsia" w:hAnsiTheme="minorHAnsi" w:cstheme="minorBidi"/>
          <w:szCs w:val="22"/>
        </w:rPr>
      </w:pPr>
      <w:r>
        <w:t>95.</w:t>
      </w:r>
      <w:r>
        <w:tab/>
        <w:t>Regulations for access and pricing — existing access agreements</w:t>
      </w:r>
      <w:r>
        <w:tab/>
      </w:r>
      <w:r>
        <w:fldChar w:fldCharType="begin"/>
      </w:r>
      <w:r>
        <w:instrText xml:space="preserve"> PAGEREF _Toc189228697 \h </w:instrText>
      </w:r>
      <w:r>
        <w:fldChar w:fldCharType="separate"/>
      </w:r>
      <w:r>
        <w:t>6</w:t>
      </w:r>
      <w:r>
        <w:fldChar w:fldCharType="end"/>
      </w:r>
    </w:p>
    <w:p>
      <w:pPr>
        <w:pStyle w:val="TOC8"/>
        <w:rPr>
          <w:rFonts w:asciiTheme="minorHAnsi" w:eastAsiaTheme="minorEastAsia" w:hAnsiTheme="minorHAnsi" w:cstheme="minorBidi"/>
          <w:szCs w:val="22"/>
        </w:rPr>
      </w:pPr>
      <w:r>
        <w:t>95A.</w:t>
      </w:r>
      <w:r>
        <w:tab/>
        <w:t>Phasing</w:t>
      </w:r>
      <w:r>
        <w:noBreakHyphen/>
        <w:t>out of operation of access and procurement provisions</w:t>
      </w:r>
      <w:r>
        <w:tab/>
      </w:r>
      <w:r>
        <w:fldChar w:fldCharType="begin"/>
      </w:r>
      <w:r>
        <w:instrText xml:space="preserve"> PAGEREF _Toc189228698 \h </w:instrText>
      </w:r>
      <w:r>
        <w:fldChar w:fldCharType="separate"/>
      </w:r>
      <w:r>
        <w:t>7</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_Toc189228699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_Toc189228701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_Toc189228702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_Toc189228703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 xml:space="preserve">Electricity Transmission and Distribution Systems (Access) Act 1994 </w:t>
      </w:r>
    </w:p>
    <w:p>
      <w:pPr>
        <w:pStyle w:val="LongTitle"/>
      </w:pPr>
      <w:r>
        <w:t>An Act to make provision for the availability of access to electricity transmission and distribution systems, and for related matters.</w:t>
      </w:r>
    </w:p>
    <w:p>
      <w:pPr>
        <w:pStyle w:val="Footnotelongtitle"/>
      </w:pPr>
      <w:r>
        <w:tab/>
        <w:t>[Long title inserted: No. 18 of 2005 s. 139.]</w:t>
      </w:r>
    </w:p>
    <w:p>
      <w:pPr>
        <w:pStyle w:val="Heading2"/>
      </w:pPr>
      <w:bookmarkStart w:id="2" w:name="_Toc189227717"/>
      <w:bookmarkStart w:id="3" w:name="_Toc189228222"/>
      <w:bookmarkStart w:id="4" w:name="_Toc18922869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922869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Act 1994</w:t>
      </w:r>
      <w:r>
        <w:rPr>
          <w:snapToGrid w:val="0"/>
        </w:rPr>
        <w:t>.</w:t>
      </w:r>
    </w:p>
    <w:p>
      <w:pPr>
        <w:pStyle w:val="Footnotesection"/>
      </w:pPr>
      <w:r>
        <w:tab/>
        <w:t>[Section 1 amended: No. 18 of 2005 s. 139.]</w:t>
      </w:r>
    </w:p>
    <w:p>
      <w:pPr>
        <w:pStyle w:val="Heading5"/>
      </w:pPr>
      <w:bookmarkStart w:id="6" w:name="_Toc189228693"/>
      <w:r>
        <w:t>2.</w:t>
      </w:r>
      <w:r>
        <w:tab/>
        <w:t>Terms used in this Act</w:t>
      </w:r>
      <w:bookmarkEnd w:id="6"/>
    </w:p>
    <w:p>
      <w:pPr>
        <w:pStyle w:val="Subsection"/>
      </w:pPr>
      <w:r>
        <w:tab/>
      </w:r>
      <w:r>
        <w:tab/>
        <w:t xml:space="preserve">In this Act, unless the contrary intention appears — </w:t>
      </w:r>
    </w:p>
    <w:p>
      <w:pPr>
        <w:pStyle w:val="Defstart"/>
      </w:pPr>
      <w:r>
        <w:rPr>
          <w:b/>
        </w:rPr>
        <w:tab/>
      </w:r>
      <w:r>
        <w:rPr>
          <w:rStyle w:val="CharDefText"/>
        </w:rPr>
        <w:t>corporation</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t xml:space="preserve">of the </w:t>
      </w:r>
      <w:r>
        <w:rPr>
          <w:i/>
        </w:rPr>
        <w:t>Electricity Corporations Act 2005</w:t>
      </w:r>
      <w:r>
        <w:t>;</w:t>
      </w:r>
    </w:p>
    <w:p>
      <w:pPr>
        <w:pStyle w:val="Defstart"/>
      </w:pPr>
      <w:r>
        <w:rPr>
          <w:b/>
        </w:rPr>
        <w:tab/>
      </w:r>
      <w:r>
        <w:rPr>
          <w:rStyle w:val="CharDefText"/>
        </w:rPr>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r>
        <w:rPr>
          <w:rStyle w:val="CharDefText"/>
        </w:rPr>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t>as expanded or altered from time to time.</w:t>
      </w:r>
    </w:p>
    <w:p>
      <w:pPr>
        <w:pStyle w:val="Footnotesection"/>
      </w:pPr>
      <w:r>
        <w:tab/>
        <w:t>[Section 2 inserted: No. 18 of 2005 s. 139.]</w:t>
      </w:r>
    </w:p>
    <w:p>
      <w:pPr>
        <w:pStyle w:val="Ednotesection"/>
      </w:pPr>
      <w:r>
        <w:t>[</w:t>
      </w:r>
      <w:r>
        <w:rPr>
          <w:b/>
        </w:rPr>
        <w:t>3.</w:t>
      </w:r>
      <w:r>
        <w:tab/>
        <w:t>Deleted: No. 18 of 2005 s. 139.]</w:t>
      </w:r>
    </w:p>
    <w:p>
      <w:pPr>
        <w:pStyle w:val="Ednotepart"/>
      </w:pPr>
      <w:r>
        <w:lastRenderedPageBreak/>
        <w:t>[Parts 2, 3, 4 and 5 (s. 4-88) deleted: No. 18 of 2005 s. 139.]</w:t>
      </w:r>
    </w:p>
    <w:p>
      <w:pPr>
        <w:pStyle w:val="Heading2"/>
      </w:pPr>
      <w:bookmarkStart w:id="7" w:name="_Toc189227720"/>
      <w:bookmarkStart w:id="8" w:name="_Toc189228225"/>
      <w:bookmarkStart w:id="9" w:name="_Toc189228694"/>
      <w:r>
        <w:rPr>
          <w:rStyle w:val="CharPartNo"/>
        </w:rPr>
        <w:lastRenderedPageBreak/>
        <w:t>Part 6</w:t>
      </w:r>
      <w:r>
        <w:rPr>
          <w:rStyle w:val="CharDivNo"/>
        </w:rPr>
        <w:t> </w:t>
      </w:r>
      <w:r>
        <w:t>—</w:t>
      </w:r>
      <w:r>
        <w:rPr>
          <w:rStyle w:val="CharDivText"/>
        </w:rPr>
        <w:t> </w:t>
      </w:r>
      <w:r>
        <w:rPr>
          <w:rStyle w:val="CharPartText"/>
        </w:rPr>
        <w:t>Access to electricity transmission and distribution systems</w:t>
      </w:r>
      <w:bookmarkEnd w:id="7"/>
      <w:bookmarkEnd w:id="8"/>
      <w:bookmarkEnd w:id="9"/>
    </w:p>
    <w:p>
      <w:pPr>
        <w:pStyle w:val="Footnoteheading"/>
      </w:pPr>
      <w:r>
        <w:tab/>
        <w:t>[Heading inserted: No. 18 of 2005 s. 139.]</w:t>
      </w:r>
    </w:p>
    <w:p>
      <w:pPr>
        <w:pStyle w:val="Heading5"/>
        <w:rPr>
          <w:snapToGrid w:val="0"/>
        </w:rPr>
      </w:pPr>
      <w:bookmarkStart w:id="10" w:name="_Toc189228695"/>
      <w:r>
        <w:rPr>
          <w:rStyle w:val="CharSectno"/>
        </w:rPr>
        <w:t>89</w:t>
      </w:r>
      <w:r>
        <w:rPr>
          <w:snapToGrid w:val="0"/>
        </w:rPr>
        <w:t>.</w:t>
      </w:r>
      <w:r>
        <w:rPr>
          <w:snapToGrid w:val="0"/>
        </w:rPr>
        <w:tab/>
        <w:t>Definitions</w:t>
      </w:r>
      <w:bookmarkEnd w:id="10"/>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r>
        <w:rPr>
          <w:rStyle w:val="CharDefText"/>
        </w:rPr>
        <w:t>electricity distribution capacity</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rStyle w:val="CharDefText"/>
        </w:rPr>
        <w:t>electricity distribution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electricity transmission capacity</w:t>
      </w:r>
      <w:r>
        <w:t>, in relation to the electricity transmission system operated by a corporation, means the capacity of the system to transport electricity, consistent with the need to maintain the continuity and integrity of that system;</w:t>
      </w:r>
    </w:p>
    <w:p>
      <w:pPr>
        <w:pStyle w:val="Defstart"/>
      </w:pPr>
      <w:r>
        <w:lastRenderedPageBreak/>
        <w:tab/>
      </w:r>
      <w:r>
        <w:rPr>
          <w:rStyle w:val="CharDefText"/>
        </w:rPr>
        <w:t>electricity transmission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regulations</w:t>
      </w:r>
      <w:r>
        <w:t xml:space="preserve"> means the regulations referred to in section 95.</w:t>
      </w:r>
    </w:p>
    <w:p>
      <w:pPr>
        <w:pStyle w:val="Subsection"/>
        <w:rPr>
          <w:snapToGrid w:val="0"/>
        </w:rPr>
      </w:pPr>
      <w:r>
        <w:rPr>
          <w:snapToGrid w:val="0"/>
        </w:rPr>
        <w:tab/>
        <w:t>(2)</w:t>
      </w:r>
      <w:r>
        <w:rPr>
          <w:snapToGrid w:val="0"/>
        </w:rPr>
        <w:tab/>
        <w:t xml:space="preserve">In this Part </w:t>
      </w:r>
      <w:r>
        <w:rPr>
          <w:rStyle w:val="CharDefText"/>
        </w:rPr>
        <w:t>user</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r>
        <w:tab/>
        <w:t>(3)</w:t>
      </w:r>
      <w:r>
        <w:tab/>
        <w:t xml:space="preserve">In this Part a reference to Schedule 5 or 6 is a reference to that Schedule as in force before its repeal by the </w:t>
      </w:r>
      <w:r>
        <w:rPr>
          <w:i/>
        </w:rPr>
        <w:t>Electricity Transmission and Distribution Systems (Repeal and Related Provisions) Regulations 2007.</w:t>
      </w:r>
    </w:p>
    <w:p>
      <w:pPr>
        <w:pStyle w:val="Footnotesection"/>
      </w:pPr>
      <w:r>
        <w:tab/>
        <w:t>[Section 89 amended: No. 53 of 2003 s. 107; No. 18 of 2005 s. 139; amended in Gazette 26 Jun 2007 p. 3019.]</w:t>
      </w:r>
    </w:p>
    <w:p>
      <w:pPr>
        <w:pStyle w:val="Ednotesection"/>
      </w:pPr>
      <w:r>
        <w:t>[</w:t>
      </w:r>
      <w:r>
        <w:rPr>
          <w:b/>
        </w:rPr>
        <w:t>90, 91.</w:t>
      </w:r>
      <w:r>
        <w:tab/>
        <w:t>Deleted in Gazette 26 Jun 2007 p. 3019.]</w:t>
      </w:r>
    </w:p>
    <w:p>
      <w:pPr>
        <w:pStyle w:val="Ednotesection"/>
      </w:pPr>
      <w:r>
        <w:t>[</w:t>
      </w:r>
      <w:r>
        <w:rPr>
          <w:b/>
        </w:rPr>
        <w:t>92, 93.</w:t>
      </w:r>
      <w:r>
        <w:tab/>
        <w:t>Deleted: No. 18 of 2005 s. 139.]</w:t>
      </w:r>
    </w:p>
    <w:p>
      <w:pPr>
        <w:pStyle w:val="Heading5"/>
        <w:rPr>
          <w:snapToGrid w:val="0"/>
        </w:rPr>
      </w:pPr>
      <w:bookmarkStart w:id="11" w:name="_Toc189228696"/>
      <w:r>
        <w:rPr>
          <w:rStyle w:val="CharSectno"/>
        </w:rPr>
        <w:lastRenderedPageBreak/>
        <w:t>94</w:t>
      </w:r>
      <w:r>
        <w:rPr>
          <w:snapToGrid w:val="0"/>
        </w:rPr>
        <w:t>.</w:t>
      </w:r>
      <w:r>
        <w:rPr>
          <w:snapToGrid w:val="0"/>
        </w:rPr>
        <w:tab/>
        <w:t>Enforcement</w:t>
      </w:r>
      <w:bookmarkEnd w:id="11"/>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by civil proceedings in a court,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No. 18 of 2005 s. 139; amended in Gazette 26 Jun 2007 p. 3019.]</w:t>
      </w:r>
    </w:p>
    <w:p>
      <w:pPr>
        <w:pStyle w:val="Heading5"/>
      </w:pPr>
      <w:bookmarkStart w:id="12" w:name="_Toc189228697"/>
      <w:r>
        <w:rPr>
          <w:rStyle w:val="CharSectno"/>
        </w:rPr>
        <w:t>95</w:t>
      </w:r>
      <w:r>
        <w:t>.</w:t>
      </w:r>
      <w:r>
        <w:tab/>
        <w:t>Regulations for access and pricing — existing access agreements</w:t>
      </w:r>
      <w:bookmarkEnd w:id="12"/>
    </w:p>
    <w:p>
      <w:pPr>
        <w:pStyle w:val="Subsection"/>
      </w:pPr>
      <w:r>
        <w:tab/>
        <w:t>(1)</w:t>
      </w:r>
      <w:r>
        <w:tab/>
        <w:t xml:space="preserve">Regulations may be made under section 96 providing for matters relating to — </w:t>
      </w:r>
    </w:p>
    <w:p>
      <w:pPr>
        <w:pStyle w:val="Indenta"/>
      </w:pPr>
      <w:r>
        <w:tab/>
        <w:t>(a)</w:t>
      </w:r>
      <w:r>
        <w:tab/>
        <w:t>access to, and pricing for, electricity transmission capacity; and</w:t>
      </w:r>
    </w:p>
    <w:p>
      <w:pPr>
        <w:pStyle w:val="Indenta"/>
      </w:pPr>
      <w:r>
        <w:tab/>
        <w:t>(b)</w:t>
      </w:r>
      <w:r>
        <w:tab/>
        <w:t>access to, and pricing for, electricity distribution capacity,</w:t>
      </w:r>
    </w:p>
    <w:p>
      <w:pPr>
        <w:pStyle w:val="Subsection"/>
      </w:pPr>
      <w:r>
        <w:tab/>
      </w:r>
      <w:r>
        <w:tab/>
        <w:t>to the extent that provision in respect of those matters is necessary or expedient for the operation and enforcement of existing access agreements.</w:t>
      </w:r>
    </w:p>
    <w:p>
      <w:pPr>
        <w:pStyle w:val="Subsection"/>
      </w:pPr>
      <w:r>
        <w:lastRenderedPageBreak/>
        <w:tab/>
        <w:t>(2)</w:t>
      </w:r>
      <w:r>
        <w:tab/>
        <w:t xml:space="preserve">For the purposes of subsection (1) an </w:t>
      </w:r>
      <w:r>
        <w:rPr>
          <w:rStyle w:val="CharDefText"/>
        </w:rPr>
        <w:t>existing access agreement</w:t>
      </w:r>
      <w:r>
        <w:t xml:space="preserve"> is — </w:t>
      </w:r>
    </w:p>
    <w:p>
      <w:pPr>
        <w:pStyle w:val="Indenta"/>
      </w:pPr>
      <w:r>
        <w:tab/>
        <w:t>(a)</w:t>
      </w:r>
      <w:r>
        <w:tab/>
        <w:t xml:space="preserve">an access agreement as defined in the </w:t>
      </w:r>
      <w:r>
        <w:rPr>
          <w:i/>
        </w:rPr>
        <w:t>Electricity Transmission Regulations 1996</w:t>
      </w:r>
      <w:r>
        <w:t xml:space="preserve"> regulation 3(1); or</w:t>
      </w:r>
    </w:p>
    <w:p>
      <w:pPr>
        <w:pStyle w:val="Indenta"/>
      </w:pPr>
      <w:r>
        <w:tab/>
        <w:t>(b)</w:t>
      </w:r>
      <w:r>
        <w:tab/>
        <w:t xml:space="preserve">a distribution access agreement as defined in the </w:t>
      </w:r>
      <w:r>
        <w:rPr>
          <w:i/>
        </w:rPr>
        <w:t>Electricity Distribution Regulations 1997</w:t>
      </w:r>
      <w:r>
        <w:t xml:space="preserve"> regulation 3(1),</w:t>
      </w:r>
    </w:p>
    <w:p>
      <w:pPr>
        <w:pStyle w:val="Subsection"/>
      </w:pPr>
      <w:r>
        <w:tab/>
      </w:r>
      <w:r>
        <w:tab/>
        <w:t>that is in operation on 1 July 2007.</w:t>
      </w:r>
    </w:p>
    <w:p>
      <w:pPr>
        <w:pStyle w:val="Subsection"/>
      </w:pPr>
      <w:r>
        <w:tab/>
        <w:t>(3)</w:t>
      </w:r>
      <w:r>
        <w:tab/>
        <w:t>Without limiting subsection (1) the regulations may, to the extent mentioned in that subsection, make provision for any matter in respect of which regulations could have been made under Schedule 5 clause 2(2), (3) or (4) or Schedule 6 clause 2(2), (3) or (4).</w:t>
      </w:r>
    </w:p>
    <w:p>
      <w:pPr>
        <w:pStyle w:val="Footnotesection"/>
      </w:pPr>
      <w:r>
        <w:tab/>
        <w:t>[Section 95 inserted in Gazette 26 Jun 2007 p. 3020.]</w:t>
      </w:r>
    </w:p>
    <w:p>
      <w:pPr>
        <w:pStyle w:val="Heading5"/>
      </w:pPr>
      <w:bookmarkStart w:id="13" w:name="_Toc189228698"/>
      <w:r>
        <w:rPr>
          <w:rStyle w:val="CharSectno"/>
        </w:rPr>
        <w:t>95A</w:t>
      </w:r>
      <w:r>
        <w:t>.</w:t>
      </w:r>
      <w:r>
        <w:tab/>
        <w:t>Phasing</w:t>
      </w:r>
      <w:r>
        <w:noBreakHyphen/>
        <w:t>out of operation of access and procurement provisions</w:t>
      </w:r>
      <w:bookmarkEnd w:id="13"/>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lastRenderedPageBreak/>
        <w:tab/>
        <w:t>(ii)</w:t>
      </w:r>
      <w:r>
        <w:tab/>
        <w:t xml:space="preserve">the </w:t>
      </w:r>
      <w:r>
        <w:rPr>
          <w:i/>
        </w:rPr>
        <w:t xml:space="preserve">Electricity Industry Act 2004 </w:t>
      </w:r>
      <w:r>
        <w:t>Part 8, the Code established under that Part and the electricity system and market rules under that Act.</w:t>
      </w:r>
    </w:p>
    <w:p>
      <w:pPr>
        <w:pStyle w:val="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 90 or 91 or Schedule 5 or 6, or any portion of any of those sections or Schedules;</w:t>
      </w:r>
    </w:p>
    <w:p>
      <w:pPr>
        <w:pStyle w:val="Defstart"/>
        <w:keepNext/>
      </w:pPr>
      <w:r>
        <w:tab/>
      </w:r>
      <w:r>
        <w:rPr>
          <w:rStyle w:val="CharDefText"/>
        </w:rPr>
        <w:t>specified</w:t>
      </w:r>
      <w:r>
        <w:t xml:space="preserve"> means specified in the declaration.</w:t>
      </w:r>
    </w:p>
    <w:p>
      <w:pPr>
        <w:pStyle w:val="Footnotesection"/>
      </w:pPr>
      <w:r>
        <w:tab/>
        <w:t>[Section 95A inserted: No. 33 of 2004 s. 26; amended: No. 18 of 2005 s. 139; No. 1 of 2024 s. 50.]</w:t>
      </w:r>
    </w:p>
    <w:p>
      <w:pPr>
        <w:pStyle w:val="Heading5"/>
      </w:pPr>
      <w:bookmarkStart w:id="14" w:name="_Toc189228699"/>
      <w:r>
        <w:rPr>
          <w:rStyle w:val="CharSectno"/>
        </w:rPr>
        <w:t>96</w:t>
      </w:r>
      <w:r>
        <w:t>.</w:t>
      </w:r>
      <w:r>
        <w:tab/>
        <w:t>Regulations</w:t>
      </w:r>
      <w:bookmarkEnd w:id="1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No. 18 of 2005 s. 139.]</w:t>
      </w:r>
    </w:p>
    <w:p>
      <w:pPr>
        <w:pStyle w:val="Ednotepart"/>
      </w:pPr>
      <w:r>
        <w:lastRenderedPageBreak/>
        <w:t>[Part 7 deleted: No. 18 of 2005 s. 139.]</w:t>
      </w:r>
    </w:p>
    <w:p>
      <w:pPr>
        <w:pStyle w:val="yEdnoteschedule"/>
      </w:pPr>
      <w:r>
        <w:t>[Schedules 1, 2, 3 and 4 deleted: No. 18 of 2005 s. 139.]</w:t>
      </w:r>
    </w:p>
    <w:p>
      <w:pPr>
        <w:pStyle w:val="yEdnoteschedule"/>
      </w:pPr>
      <w:r>
        <w:t>[Schedules 5 and 6 deleted in Gazette 26 Jun 2007 p. 3019.]</w:t>
      </w:r>
    </w:p>
    <w:p>
      <w:pPr>
        <w:pStyle w:val="yEdnoteschedule"/>
      </w:pPr>
      <w:r>
        <w:t>[Schedule 7 deleted: No. 18 of 2005 s. 139.]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5" w:name="_Toc189227726"/>
      <w:bookmarkStart w:id="16" w:name="_Toc189228231"/>
      <w:bookmarkStart w:id="17" w:name="_Toc189228700"/>
      <w:r>
        <w:lastRenderedPageBreak/>
        <w:t>Notes</w:t>
      </w:r>
      <w:bookmarkEnd w:id="15"/>
      <w:bookmarkEnd w:id="16"/>
      <w:bookmarkEnd w:id="17"/>
    </w:p>
    <w:p>
      <w:pPr>
        <w:pStyle w:val="nStatement"/>
      </w:pPr>
      <w:r>
        <w:t xml:space="preserve">This is a compilation of the </w:t>
      </w:r>
      <w:r>
        <w:rPr>
          <w:i/>
          <w:noProof/>
        </w:rPr>
        <w:t>Electricity Transmission and Distribution Systems (Access) Act 1994</w:t>
      </w:r>
      <w:r>
        <w:t xml:space="preserve"> and includes amendments made by other written laws</w:t>
      </w:r>
      <w:r>
        <w:rPr>
          <w:snapToGrid w:val="0"/>
          <w:vertAlign w:val="superscript"/>
        </w:rPr>
        <w:t xml:space="preserve"> 2</w:t>
      </w:r>
      <w:r>
        <w:t>. For provisions that have come into operation, and for information about any reprints, see the compilation table. For provisions that have not yet come into operation see the uncommenced provisions table.</w:t>
      </w:r>
    </w:p>
    <w:p>
      <w:pPr>
        <w:pStyle w:val="nHeading3"/>
      </w:pPr>
      <w:bookmarkStart w:id="18" w:name="_Toc189228701"/>
      <w:r>
        <w:t>Compilation table</w:t>
      </w:r>
      <w:bookmarkEnd w:id="1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right w:val="nil"/>
            </w:tcBorders>
          </w:tcPr>
          <w:p>
            <w:pPr>
              <w:pStyle w:val="nTable"/>
              <w:spacing w:after="40"/>
            </w:pPr>
            <w:r>
              <w:rPr>
                <w:i/>
              </w:rPr>
              <w:t>Electricity Corporation Act 1994</w:t>
            </w:r>
            <w:r>
              <w:rPr>
                <w:vertAlign w:val="superscript"/>
              </w:rPr>
              <w:t> 3</w:t>
            </w:r>
          </w:p>
        </w:tc>
        <w:tc>
          <w:tcPr>
            <w:tcW w:w="1134" w:type="dxa"/>
            <w:tcBorders>
              <w:left w:val="nil"/>
              <w:bottom w:val="nil"/>
              <w:right w:val="nil"/>
            </w:tcBorders>
          </w:tcPr>
          <w:p>
            <w:pPr>
              <w:pStyle w:val="nTable"/>
              <w:spacing w:after="40"/>
            </w:pPr>
            <w:r>
              <w:t>86 of 1994</w:t>
            </w:r>
          </w:p>
        </w:tc>
        <w:tc>
          <w:tcPr>
            <w:tcW w:w="1134" w:type="dxa"/>
            <w:tcBorders>
              <w:left w:val="nil"/>
              <w:bottom w:val="nil"/>
              <w:right w:val="nil"/>
            </w:tcBorders>
          </w:tcPr>
          <w:p>
            <w:pPr>
              <w:pStyle w:val="nTable"/>
              <w:spacing w:after="40"/>
            </w:pPr>
            <w:r>
              <w:t>15 Dec 1994</w:t>
            </w:r>
          </w:p>
        </w:tc>
        <w:tc>
          <w:tcPr>
            <w:tcW w:w="2552" w:type="dxa"/>
            <w:tcBorders>
              <w:left w:val="nil"/>
              <w:bottom w:val="nil"/>
            </w:tcBorders>
          </w:tcPr>
          <w:p>
            <w:pPr>
              <w:pStyle w:val="nTable"/>
              <w:spacing w:after="40"/>
            </w:pPr>
            <w:r>
              <w:t xml:space="preserve">Act other than s. 90, 91 and 93: 1 Jan 1995 (see s. 2(1) and </w:t>
            </w:r>
            <w:r>
              <w:rPr>
                <w:i/>
              </w:rPr>
              <w:t xml:space="preserve">Gazette </w:t>
            </w:r>
            <w:r>
              <w:t>23 Dec 1994 p. 7069);</w:t>
            </w:r>
            <w:r>
              <w:br/>
              <w:t xml:space="preserve">s. 90 and 93: 1 Jan 1997 (see s. 2(2) and </w:t>
            </w:r>
            <w:r>
              <w:rPr>
                <w:i/>
              </w:rPr>
              <w:t>Gazette</w:t>
            </w:r>
            <w:r>
              <w:t xml:space="preserve"> 31 Dec 1996 p. 7255); </w:t>
            </w:r>
            <w:r>
              <w:br/>
              <w:t>s. 91: 1 Jul 1997 (see s. 2(2) and </w:t>
            </w:r>
            <w:r>
              <w:rPr>
                <w:i/>
              </w:rPr>
              <w:t>Gazette</w:t>
            </w:r>
            <w:r>
              <w:t xml:space="preserve"> 1 Jul 1997 p. 3249)</w:t>
            </w:r>
          </w:p>
        </w:tc>
      </w:tr>
      <w:tr>
        <w:tc>
          <w:tcPr>
            <w:tcW w:w="2268" w:type="dxa"/>
            <w:tcBorders>
              <w:top w:val="nil"/>
              <w:bottom w:val="nil"/>
              <w:right w:val="nil"/>
            </w:tcBorders>
          </w:tcPr>
          <w:p>
            <w:pPr>
              <w:pStyle w:val="nTable"/>
              <w:spacing w:after="40"/>
              <w:rPr>
                <w:i/>
              </w:rPr>
            </w:pPr>
            <w:r>
              <w:rPr>
                <w:i/>
              </w:rPr>
              <w:t xml:space="preserve">State Enterprises (Commonwealth Tax Equivalents) Act 1996 </w:t>
            </w:r>
            <w:r>
              <w:t>s. 10(3)</w:t>
            </w:r>
          </w:p>
        </w:tc>
        <w:tc>
          <w:tcPr>
            <w:tcW w:w="1134" w:type="dxa"/>
            <w:tcBorders>
              <w:top w:val="nil"/>
              <w:left w:val="nil"/>
              <w:bottom w:val="nil"/>
              <w:right w:val="nil"/>
            </w:tcBorders>
          </w:tcPr>
          <w:p>
            <w:pPr>
              <w:pStyle w:val="nTable"/>
              <w:spacing w:after="40"/>
            </w:pPr>
            <w:r>
              <w:t>55 of 1996</w:t>
            </w:r>
          </w:p>
        </w:tc>
        <w:tc>
          <w:tcPr>
            <w:tcW w:w="1134" w:type="dxa"/>
            <w:tcBorders>
              <w:top w:val="nil"/>
              <w:left w:val="nil"/>
              <w:bottom w:val="nil"/>
              <w:right w:val="nil"/>
            </w:tcBorders>
          </w:tcPr>
          <w:p>
            <w:pPr>
              <w:pStyle w:val="nTable"/>
              <w:spacing w:after="40"/>
            </w:pPr>
            <w:r>
              <w:t>11 Nov 1996</w:t>
            </w:r>
          </w:p>
        </w:tc>
        <w:tc>
          <w:tcPr>
            <w:tcW w:w="2552" w:type="dxa"/>
            <w:tcBorders>
              <w:top w:val="nil"/>
              <w:left w:val="nil"/>
              <w:bottom w:val="nil"/>
            </w:tcBorders>
          </w:tcPr>
          <w:p>
            <w:pPr>
              <w:pStyle w:val="nTable"/>
              <w:spacing w:after="40"/>
            </w:pPr>
            <w:r>
              <w:t>1 Jul 1996 (see s. 2 and 3(3))</w:t>
            </w:r>
          </w:p>
        </w:tc>
      </w:tr>
      <w:tr>
        <w:tc>
          <w:tcPr>
            <w:tcW w:w="2268" w:type="dxa"/>
            <w:tcBorders>
              <w:top w:val="nil"/>
              <w:bottom w:val="nil"/>
              <w:right w:val="nil"/>
            </w:tcBorders>
          </w:tcPr>
          <w:p>
            <w:pPr>
              <w:pStyle w:val="nTable"/>
              <w:spacing w:after="40"/>
              <w:rPr>
                <w:i/>
              </w:rPr>
            </w:pPr>
            <w:r>
              <w:rPr>
                <w:i/>
              </w:rPr>
              <w:t xml:space="preserve">Statutes (Repeals and Minor Amendments) Act 1997 </w:t>
            </w:r>
            <w:r>
              <w:t>s. 52</w:t>
            </w:r>
          </w:p>
        </w:tc>
        <w:tc>
          <w:tcPr>
            <w:tcW w:w="1134" w:type="dxa"/>
            <w:tcBorders>
              <w:top w:val="nil"/>
              <w:left w:val="nil"/>
              <w:bottom w:val="nil"/>
              <w:right w:val="nil"/>
            </w:tcBorders>
          </w:tcPr>
          <w:p>
            <w:pPr>
              <w:pStyle w:val="nTable"/>
              <w:spacing w:after="40"/>
            </w:pPr>
            <w:r>
              <w:t>57 of 1997</w:t>
            </w:r>
          </w:p>
        </w:tc>
        <w:tc>
          <w:tcPr>
            <w:tcW w:w="1134" w:type="dxa"/>
            <w:tcBorders>
              <w:top w:val="nil"/>
              <w:left w:val="nil"/>
              <w:bottom w:val="nil"/>
              <w:right w:val="nil"/>
            </w:tcBorders>
          </w:tcPr>
          <w:p>
            <w:pPr>
              <w:pStyle w:val="nTable"/>
              <w:spacing w:after="40"/>
            </w:pPr>
            <w:r>
              <w:t>15 Dec 1997</w:t>
            </w:r>
          </w:p>
        </w:tc>
        <w:tc>
          <w:tcPr>
            <w:tcW w:w="2552" w:type="dxa"/>
            <w:tcBorders>
              <w:top w:val="nil"/>
              <w:left w:val="nil"/>
              <w:bottom w:val="nil"/>
            </w:tcBorders>
          </w:tcPr>
          <w:p>
            <w:pPr>
              <w:pStyle w:val="nTable"/>
              <w:spacing w:after="40"/>
            </w:pPr>
            <w:r>
              <w:t>15 Dec 1997 (see s. 2(1))</w:t>
            </w:r>
          </w:p>
        </w:tc>
      </w:tr>
      <w:tr>
        <w:tc>
          <w:tcPr>
            <w:tcW w:w="2268" w:type="dxa"/>
            <w:tcBorders>
              <w:top w:val="nil"/>
              <w:bottom w:val="nil"/>
              <w:right w:val="nil"/>
            </w:tcBorders>
          </w:tcPr>
          <w:p>
            <w:pPr>
              <w:pStyle w:val="nTable"/>
              <w:spacing w:after="40"/>
              <w:rPr>
                <w:i/>
              </w:rPr>
            </w:pPr>
            <w:r>
              <w:rPr>
                <w:i/>
              </w:rPr>
              <w:t>Statutes (Repeals and Minor Amendments) Act (No. 2) 1998</w:t>
            </w:r>
            <w:r>
              <w:t xml:space="preserve"> s. 32</w:t>
            </w:r>
          </w:p>
        </w:tc>
        <w:tc>
          <w:tcPr>
            <w:tcW w:w="1134" w:type="dxa"/>
            <w:tcBorders>
              <w:top w:val="nil"/>
              <w:left w:val="nil"/>
              <w:bottom w:val="nil"/>
              <w:right w:val="nil"/>
            </w:tcBorders>
          </w:tcPr>
          <w:p>
            <w:pPr>
              <w:pStyle w:val="nTable"/>
              <w:spacing w:after="40"/>
            </w:pPr>
            <w:r>
              <w:t>10 of 1998</w:t>
            </w:r>
          </w:p>
        </w:tc>
        <w:tc>
          <w:tcPr>
            <w:tcW w:w="1134" w:type="dxa"/>
            <w:tcBorders>
              <w:top w:val="nil"/>
              <w:left w:val="nil"/>
              <w:bottom w:val="nil"/>
              <w:right w:val="nil"/>
            </w:tcBorders>
          </w:tcPr>
          <w:p>
            <w:pPr>
              <w:pStyle w:val="nTable"/>
              <w:spacing w:after="40"/>
            </w:pPr>
            <w:r>
              <w:t>30 Apr 1998</w:t>
            </w:r>
          </w:p>
        </w:tc>
        <w:tc>
          <w:tcPr>
            <w:tcW w:w="2552" w:type="dxa"/>
            <w:tcBorders>
              <w:top w:val="nil"/>
              <w:left w:val="nil"/>
              <w:bottom w:val="nil"/>
            </w:tcBorders>
          </w:tcPr>
          <w:p>
            <w:pPr>
              <w:pStyle w:val="nTable"/>
              <w:spacing w:after="40"/>
            </w:pPr>
            <w:r>
              <w:t>30 Apr 1998 (see s. 2(1))</w:t>
            </w:r>
          </w:p>
        </w:tc>
      </w:tr>
      <w:tr>
        <w:tc>
          <w:tcPr>
            <w:tcW w:w="2268" w:type="dxa"/>
            <w:tcBorders>
              <w:top w:val="nil"/>
              <w:bottom w:val="nil"/>
              <w:right w:val="nil"/>
            </w:tcBorders>
          </w:tcPr>
          <w:p>
            <w:pPr>
              <w:pStyle w:val="nTable"/>
              <w:spacing w:after="40"/>
              <w:rPr>
                <w:i/>
              </w:rPr>
            </w:pPr>
            <w:r>
              <w:rPr>
                <w:i/>
              </w:rPr>
              <w:t xml:space="preserve">Acts Amendment and Repeal (Financial Sector Reform) Act 1999 </w:t>
            </w:r>
            <w:r>
              <w:t>s. 76</w:t>
            </w:r>
          </w:p>
        </w:tc>
        <w:tc>
          <w:tcPr>
            <w:tcW w:w="1134" w:type="dxa"/>
            <w:tcBorders>
              <w:top w:val="nil"/>
              <w:left w:val="nil"/>
              <w:bottom w:val="nil"/>
              <w:right w:val="nil"/>
            </w:tcBorders>
          </w:tcPr>
          <w:p>
            <w:pPr>
              <w:pStyle w:val="nTable"/>
              <w:spacing w:after="40"/>
            </w:pPr>
            <w:r>
              <w:t>26 of 1999</w:t>
            </w:r>
          </w:p>
        </w:tc>
        <w:tc>
          <w:tcPr>
            <w:tcW w:w="1134" w:type="dxa"/>
            <w:tcBorders>
              <w:top w:val="nil"/>
              <w:left w:val="nil"/>
              <w:bottom w:val="nil"/>
              <w:right w:val="nil"/>
            </w:tcBorders>
          </w:tcPr>
          <w:p>
            <w:pPr>
              <w:pStyle w:val="nTable"/>
              <w:spacing w:after="40"/>
            </w:pPr>
            <w:r>
              <w:t>29 Jun 1999</w:t>
            </w:r>
          </w:p>
        </w:tc>
        <w:tc>
          <w:tcPr>
            <w:tcW w:w="2552" w:type="dxa"/>
            <w:tcBorders>
              <w:top w:val="nil"/>
              <w:left w:val="nil"/>
              <w:bottom w:val="nil"/>
            </w:tcBorders>
          </w:tcPr>
          <w:p>
            <w:pPr>
              <w:pStyle w:val="nTable"/>
              <w:spacing w:after="40"/>
            </w:pPr>
            <w:r>
              <w:t xml:space="preserve">1 Jul 1999 (see s. 2(1) and </w:t>
            </w:r>
            <w:r>
              <w:rPr>
                <w:i/>
              </w:rPr>
              <w:t>Gazette</w:t>
            </w:r>
            <w:r>
              <w:t xml:space="preserve"> 30 Jun 1999 p. 2905)</w:t>
            </w:r>
          </w:p>
        </w:tc>
      </w:tr>
      <w:tr>
        <w:tc>
          <w:tcPr>
            <w:tcW w:w="2268" w:type="dxa"/>
            <w:tcBorders>
              <w:top w:val="nil"/>
              <w:bottom w:val="nil"/>
              <w:right w:val="nil"/>
            </w:tcBorders>
          </w:tcPr>
          <w:p>
            <w:pPr>
              <w:pStyle w:val="nTable"/>
              <w:spacing w:after="40"/>
              <w:rPr>
                <w:i/>
              </w:rPr>
            </w:pPr>
            <w:r>
              <w:rPr>
                <w:i/>
              </w:rPr>
              <w:t xml:space="preserve">Gas Corporation (Business Disposal) Act 1999  </w:t>
            </w:r>
            <w:r>
              <w:t>s. 45 and 87</w:t>
            </w:r>
          </w:p>
        </w:tc>
        <w:tc>
          <w:tcPr>
            <w:tcW w:w="1134" w:type="dxa"/>
            <w:tcBorders>
              <w:top w:val="nil"/>
              <w:left w:val="nil"/>
              <w:bottom w:val="nil"/>
              <w:right w:val="nil"/>
            </w:tcBorders>
          </w:tcPr>
          <w:p>
            <w:pPr>
              <w:pStyle w:val="nTable"/>
              <w:spacing w:after="40"/>
            </w:pPr>
            <w:r>
              <w:t>58 of 1999</w:t>
            </w:r>
          </w:p>
        </w:tc>
        <w:tc>
          <w:tcPr>
            <w:tcW w:w="1134" w:type="dxa"/>
            <w:tcBorders>
              <w:top w:val="nil"/>
              <w:left w:val="nil"/>
              <w:bottom w:val="nil"/>
              <w:right w:val="nil"/>
            </w:tcBorders>
          </w:tcPr>
          <w:p>
            <w:pPr>
              <w:pStyle w:val="nTable"/>
              <w:spacing w:after="40"/>
            </w:pPr>
            <w:r>
              <w:t>24 Dec 1999</w:t>
            </w:r>
          </w:p>
        </w:tc>
        <w:tc>
          <w:tcPr>
            <w:tcW w:w="2552" w:type="dxa"/>
            <w:tcBorders>
              <w:top w:val="nil"/>
              <w:left w:val="nil"/>
              <w:bottom w:val="nil"/>
            </w:tcBorders>
          </w:tcPr>
          <w:p>
            <w:pPr>
              <w:pStyle w:val="nTable"/>
              <w:spacing w:after="40"/>
            </w:pPr>
            <w:r>
              <w:t xml:space="preserve">s. 45: 24 Dec 1999 (see s. 2(1)); </w:t>
            </w:r>
            <w:r>
              <w:br/>
              <w:t xml:space="preserve">s. 87: 1 Jul 2000 (see s. 2(2) and </w:t>
            </w:r>
            <w:r>
              <w:rPr>
                <w:i/>
              </w:rPr>
              <w:t>Gazette</w:t>
            </w:r>
            <w:r>
              <w:t xml:space="preserve"> 4 Jul 2000 p. 3545) </w:t>
            </w:r>
          </w:p>
        </w:tc>
      </w:tr>
      <w:tr>
        <w:trPr>
          <w:cantSplit/>
        </w:trPr>
        <w:tc>
          <w:tcPr>
            <w:tcW w:w="7088" w:type="dxa"/>
            <w:gridSpan w:val="4"/>
            <w:tcBorders>
              <w:top w:val="nil"/>
              <w:bottom w:val="nil"/>
            </w:tcBorders>
          </w:tcPr>
          <w:p>
            <w:pPr>
              <w:pStyle w:val="nTable"/>
              <w:spacing w:after="40"/>
            </w:pPr>
            <w:r>
              <w:rPr>
                <w:b/>
              </w:rPr>
              <w:t xml:space="preserve">Reprint of the </w:t>
            </w:r>
            <w:r>
              <w:rPr>
                <w:b/>
                <w:i/>
              </w:rPr>
              <w:t>Electricity Corporation Act 1994</w:t>
            </w:r>
            <w:r>
              <w:rPr>
                <w:b/>
              </w:rPr>
              <w:t xml:space="preserve"> as at 4 Jan 2000 </w:t>
            </w:r>
            <w:r>
              <w:t>(includes amendments listed above except those in the</w:t>
            </w:r>
            <w:r>
              <w:rPr>
                <w:i/>
              </w:rPr>
              <w:t xml:space="preserve"> Gas Corporation (Business Disposal) Act 1999 </w:t>
            </w:r>
            <w:r>
              <w:t>s. 87)</w:t>
            </w:r>
          </w:p>
        </w:tc>
      </w:tr>
      <w:tr>
        <w:tc>
          <w:tcPr>
            <w:tcW w:w="2268" w:type="dxa"/>
            <w:tcBorders>
              <w:top w:val="nil"/>
              <w:bottom w:val="nil"/>
              <w:right w:val="nil"/>
            </w:tcBorders>
          </w:tcPr>
          <w:p>
            <w:pPr>
              <w:pStyle w:val="nTable"/>
              <w:spacing w:after="40"/>
              <w:rPr>
                <w:b/>
              </w:rPr>
            </w:pPr>
            <w:r>
              <w:rPr>
                <w:i/>
              </w:rPr>
              <w:t xml:space="preserve">Statutes (Repeals and Minor Amendments) Act 2000 </w:t>
            </w:r>
            <w:r>
              <w:t>s. 14</w:t>
            </w:r>
          </w:p>
        </w:tc>
        <w:tc>
          <w:tcPr>
            <w:tcW w:w="1134" w:type="dxa"/>
            <w:tcBorders>
              <w:top w:val="nil"/>
              <w:left w:val="nil"/>
              <w:bottom w:val="nil"/>
              <w:right w:val="nil"/>
            </w:tcBorders>
          </w:tcPr>
          <w:p>
            <w:pPr>
              <w:pStyle w:val="nTable"/>
              <w:spacing w:after="40"/>
            </w:pPr>
            <w:r>
              <w:t>24 of 2000</w:t>
            </w:r>
          </w:p>
        </w:tc>
        <w:tc>
          <w:tcPr>
            <w:tcW w:w="1134" w:type="dxa"/>
            <w:tcBorders>
              <w:top w:val="nil"/>
              <w:left w:val="nil"/>
              <w:bottom w:val="nil"/>
              <w:right w:val="nil"/>
            </w:tcBorders>
          </w:tcPr>
          <w:p>
            <w:pPr>
              <w:pStyle w:val="nTable"/>
              <w:spacing w:after="40"/>
            </w:pPr>
            <w:r>
              <w:t>4 Jul 2000</w:t>
            </w:r>
          </w:p>
        </w:tc>
        <w:tc>
          <w:tcPr>
            <w:tcW w:w="2552" w:type="dxa"/>
            <w:tcBorders>
              <w:top w:val="nil"/>
              <w:left w:val="nil"/>
              <w:bottom w:val="nil"/>
            </w:tcBorders>
          </w:tcPr>
          <w:p>
            <w:pPr>
              <w:pStyle w:val="nTable"/>
              <w:spacing w:after="40"/>
            </w:pPr>
            <w:r>
              <w:t>4 Jul 2000 (see s. 2)</w:t>
            </w:r>
          </w:p>
        </w:tc>
      </w:tr>
      <w:tr>
        <w:tc>
          <w:tcPr>
            <w:tcW w:w="2268" w:type="dxa"/>
            <w:tcBorders>
              <w:top w:val="nil"/>
              <w:bottom w:val="nil"/>
              <w:right w:val="nil"/>
            </w:tcBorders>
          </w:tcPr>
          <w:p>
            <w:pPr>
              <w:pStyle w:val="nTable"/>
              <w:spacing w:after="40"/>
              <w:rPr>
                <w:i/>
              </w:rPr>
            </w:pPr>
            <w:r>
              <w:rPr>
                <w:i/>
              </w:rPr>
              <w:lastRenderedPageBreak/>
              <w:t xml:space="preserve">State Superannuation (Transitional and Consequential Provisions) Act 2000 </w:t>
            </w:r>
            <w:r>
              <w:t>s. 42</w:t>
            </w:r>
          </w:p>
        </w:tc>
        <w:tc>
          <w:tcPr>
            <w:tcW w:w="1134" w:type="dxa"/>
            <w:tcBorders>
              <w:top w:val="nil"/>
              <w:left w:val="nil"/>
              <w:bottom w:val="nil"/>
              <w:right w:val="nil"/>
            </w:tcBorders>
          </w:tcPr>
          <w:p>
            <w:pPr>
              <w:pStyle w:val="nTable"/>
              <w:spacing w:after="40"/>
            </w:pPr>
            <w:r>
              <w:t>43 of 2000</w:t>
            </w:r>
          </w:p>
        </w:tc>
        <w:tc>
          <w:tcPr>
            <w:tcW w:w="1134" w:type="dxa"/>
            <w:tcBorders>
              <w:top w:val="nil"/>
              <w:left w:val="nil"/>
              <w:bottom w:val="nil"/>
              <w:right w:val="nil"/>
            </w:tcBorders>
          </w:tcPr>
          <w:p>
            <w:pPr>
              <w:pStyle w:val="nTable"/>
              <w:spacing w:after="40"/>
            </w:pPr>
            <w:r>
              <w:t>2 Nov 2000</w:t>
            </w:r>
          </w:p>
        </w:tc>
        <w:tc>
          <w:tcPr>
            <w:tcW w:w="2552" w:type="dxa"/>
            <w:tcBorders>
              <w:top w:val="nil"/>
              <w:left w:val="nil"/>
              <w:bottom w:val="nil"/>
            </w:tcBorders>
          </w:tcPr>
          <w:p>
            <w:pPr>
              <w:pStyle w:val="nTable"/>
              <w:spacing w:after="40"/>
            </w:pPr>
            <w:r>
              <w:t xml:space="preserve">17 Feb 2001 (see s. 2(1) and </w:t>
            </w:r>
            <w:r>
              <w:rPr>
                <w:i/>
              </w:rPr>
              <w:t>Gazette</w:t>
            </w:r>
            <w:r>
              <w:t xml:space="preserve"> 16 Feb 2001 p. 903)</w:t>
            </w:r>
          </w:p>
        </w:tc>
      </w:tr>
      <w:tr>
        <w:tc>
          <w:tcPr>
            <w:tcW w:w="2268" w:type="dxa"/>
            <w:tcBorders>
              <w:top w:val="nil"/>
              <w:bottom w:val="nil"/>
              <w:right w:val="nil"/>
            </w:tcBorders>
          </w:tcPr>
          <w:p>
            <w:pPr>
              <w:pStyle w:val="nTable"/>
              <w:spacing w:after="40"/>
              <w:rPr>
                <w:i/>
              </w:rPr>
            </w:pPr>
            <w:r>
              <w:rPr>
                <w:i/>
              </w:rPr>
              <w:t xml:space="preserve">Corporations (Consequential Amendments) Act 2001 </w:t>
            </w:r>
            <w:r>
              <w:t>Pt. 22</w:t>
            </w:r>
          </w:p>
        </w:tc>
        <w:tc>
          <w:tcPr>
            <w:tcW w:w="1134" w:type="dxa"/>
            <w:tcBorders>
              <w:top w:val="nil"/>
              <w:left w:val="nil"/>
              <w:bottom w:val="nil"/>
              <w:right w:val="nil"/>
            </w:tcBorders>
          </w:tcPr>
          <w:p>
            <w:pPr>
              <w:pStyle w:val="nTable"/>
              <w:spacing w:after="40"/>
            </w:pPr>
            <w:r>
              <w:t>10 of 2001</w:t>
            </w:r>
          </w:p>
        </w:tc>
        <w:tc>
          <w:tcPr>
            <w:tcW w:w="1134" w:type="dxa"/>
            <w:tcBorders>
              <w:top w:val="nil"/>
              <w:left w:val="nil"/>
              <w:bottom w:val="nil"/>
              <w:right w:val="nil"/>
            </w:tcBorders>
          </w:tcPr>
          <w:p>
            <w:pPr>
              <w:pStyle w:val="nTable"/>
              <w:spacing w:after="40"/>
            </w:pPr>
            <w:r>
              <w:t>28 Jun 2001</w:t>
            </w:r>
          </w:p>
        </w:tc>
        <w:tc>
          <w:tcPr>
            <w:tcW w:w="2552" w:type="dxa"/>
            <w:tcBorders>
              <w:top w:val="nil"/>
              <w:left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right w:val="nil"/>
            </w:tcBorders>
          </w:tcPr>
          <w:p>
            <w:pPr>
              <w:pStyle w:val="nTable"/>
              <w:spacing w:after="40"/>
              <w:rPr>
                <w:i/>
              </w:rPr>
            </w:pPr>
            <w:r>
              <w:rPr>
                <w:i/>
              </w:rPr>
              <w:t>Labour Relations Reform Act 2002</w:t>
            </w:r>
            <w:r>
              <w:t xml:space="preserve"> s. 27</w:t>
            </w:r>
          </w:p>
        </w:tc>
        <w:tc>
          <w:tcPr>
            <w:tcW w:w="1134" w:type="dxa"/>
            <w:tcBorders>
              <w:top w:val="nil"/>
              <w:left w:val="nil"/>
              <w:bottom w:val="nil"/>
              <w:right w:val="nil"/>
            </w:tcBorders>
          </w:tcPr>
          <w:p>
            <w:pPr>
              <w:pStyle w:val="nTable"/>
              <w:spacing w:after="40"/>
            </w:pPr>
            <w:r>
              <w:t>20 of 2002</w:t>
            </w:r>
          </w:p>
        </w:tc>
        <w:tc>
          <w:tcPr>
            <w:tcW w:w="1134" w:type="dxa"/>
            <w:tcBorders>
              <w:top w:val="nil"/>
              <w:left w:val="nil"/>
              <w:bottom w:val="nil"/>
              <w:right w:val="nil"/>
            </w:tcBorders>
          </w:tcPr>
          <w:p>
            <w:pPr>
              <w:pStyle w:val="nTable"/>
              <w:spacing w:after="40"/>
            </w:pPr>
            <w:r>
              <w:t>8 Jul 2002</w:t>
            </w:r>
          </w:p>
        </w:tc>
        <w:tc>
          <w:tcPr>
            <w:tcW w:w="2552" w:type="dxa"/>
            <w:tcBorders>
              <w:top w:val="nil"/>
              <w:left w:val="nil"/>
              <w:bottom w:val="nil"/>
            </w:tcBorders>
          </w:tcPr>
          <w:p>
            <w:pPr>
              <w:pStyle w:val="nTable"/>
              <w:spacing w:after="40"/>
            </w:pPr>
            <w:r>
              <w:t xml:space="preserve">15 Sep 2002 (see s. 2(1) and </w:t>
            </w:r>
            <w:r>
              <w:rPr>
                <w:i/>
              </w:rPr>
              <w:t>Gazette</w:t>
            </w:r>
            <w:r>
              <w:t xml:space="preserve"> 6 Sep 2002 p. 4487)</w:t>
            </w:r>
          </w:p>
        </w:tc>
      </w:tr>
      <w:tr>
        <w:tc>
          <w:tcPr>
            <w:tcW w:w="4536" w:type="dxa"/>
            <w:gridSpan w:val="3"/>
            <w:tcBorders>
              <w:top w:val="nil"/>
              <w:bottom w:val="nil"/>
              <w:right w:val="nil"/>
            </w:tcBorders>
          </w:tcPr>
          <w:p>
            <w:pPr>
              <w:pStyle w:val="nTable"/>
              <w:spacing w:after="40"/>
              <w:rPr>
                <w:i/>
              </w:rPr>
            </w:pPr>
            <w:r>
              <w:rPr>
                <w:i/>
              </w:rPr>
              <w:t>Electricity Corporation (Act Amendment) Regulations 2002</w:t>
            </w:r>
            <w:r>
              <w:t xml:space="preserve"> published in </w:t>
            </w:r>
            <w:r>
              <w:rPr>
                <w:i/>
              </w:rPr>
              <w:t>Gazette</w:t>
            </w:r>
            <w:r>
              <w:t xml:space="preserve"> 1 Nov 2002 p. 5375</w:t>
            </w:r>
            <w:r>
              <w:noBreakHyphen/>
              <w:t>87</w:t>
            </w:r>
          </w:p>
        </w:tc>
        <w:tc>
          <w:tcPr>
            <w:tcW w:w="2552" w:type="dxa"/>
            <w:tcBorders>
              <w:top w:val="nil"/>
              <w:left w:val="nil"/>
              <w:bottom w:val="nil"/>
            </w:tcBorders>
          </w:tcPr>
          <w:p>
            <w:pPr>
              <w:pStyle w:val="nTable"/>
              <w:spacing w:after="40"/>
            </w:pPr>
            <w:r>
              <w:t>1 Nov 2002</w:t>
            </w:r>
          </w:p>
        </w:tc>
      </w:tr>
      <w:tr>
        <w:tc>
          <w:tcPr>
            <w:tcW w:w="7088" w:type="dxa"/>
            <w:gridSpan w:val="4"/>
            <w:tcBorders>
              <w:top w:val="nil"/>
              <w:bottom w:val="nil"/>
            </w:tcBorders>
          </w:tcPr>
          <w:p>
            <w:pPr>
              <w:pStyle w:val="nTable"/>
              <w:spacing w:after="40"/>
            </w:pPr>
            <w:r>
              <w:rPr>
                <w:b/>
              </w:rPr>
              <w:t xml:space="preserve">Reprint 2: The </w:t>
            </w:r>
            <w:r>
              <w:rPr>
                <w:b/>
                <w:i/>
              </w:rPr>
              <w:t>Electricity Corporation Act 1994</w:t>
            </w:r>
            <w:r>
              <w:rPr>
                <w:b/>
              </w:rPr>
              <w:t xml:space="preserve"> as at 3 Jan 2003 </w:t>
            </w:r>
            <w:r>
              <w:t>(includes amendments listed above)</w:t>
            </w:r>
          </w:p>
        </w:tc>
      </w:tr>
      <w:tr>
        <w:tc>
          <w:tcPr>
            <w:tcW w:w="2268" w:type="dxa"/>
            <w:tcBorders>
              <w:top w:val="nil"/>
              <w:bottom w:val="nil"/>
              <w:right w:val="nil"/>
            </w:tcBorders>
          </w:tcPr>
          <w:p>
            <w:pPr>
              <w:pStyle w:val="nTable"/>
              <w:spacing w:after="40"/>
              <w:rPr>
                <w:b/>
              </w:rPr>
            </w:pPr>
            <w:r>
              <w:rPr>
                <w:i/>
              </w:rPr>
              <w:t>Corporations (Consequential Amendments) Act (No. 3) 2003</w:t>
            </w:r>
            <w:r>
              <w:t xml:space="preserve"> Pt. 4</w:t>
            </w:r>
            <w:r>
              <w:rPr>
                <w:vertAlign w:val="superscript"/>
              </w:rPr>
              <w:t> 4</w:t>
            </w:r>
          </w:p>
        </w:tc>
        <w:tc>
          <w:tcPr>
            <w:tcW w:w="1134" w:type="dxa"/>
            <w:tcBorders>
              <w:top w:val="nil"/>
              <w:left w:val="nil"/>
              <w:bottom w:val="nil"/>
              <w:right w:val="nil"/>
            </w:tcBorders>
          </w:tcPr>
          <w:p>
            <w:pPr>
              <w:pStyle w:val="nTable"/>
              <w:spacing w:after="40"/>
            </w:pPr>
            <w:r>
              <w:t>21 of 2003</w:t>
            </w:r>
          </w:p>
        </w:tc>
        <w:tc>
          <w:tcPr>
            <w:tcW w:w="1134" w:type="dxa"/>
            <w:tcBorders>
              <w:top w:val="nil"/>
              <w:left w:val="nil"/>
              <w:bottom w:val="nil"/>
              <w:right w:val="nil"/>
            </w:tcBorders>
          </w:tcPr>
          <w:p>
            <w:pPr>
              <w:pStyle w:val="nTable"/>
              <w:spacing w:after="40"/>
            </w:pPr>
            <w:r>
              <w:t>23 Apr 2003</w:t>
            </w:r>
          </w:p>
        </w:tc>
        <w:tc>
          <w:tcPr>
            <w:tcW w:w="2552" w:type="dxa"/>
            <w:tcBorders>
              <w:top w:val="nil"/>
              <w:left w:val="nil"/>
              <w:bottom w:val="nil"/>
            </w:tcBorders>
          </w:tcPr>
          <w:p>
            <w:pPr>
              <w:pStyle w:val="nTable"/>
              <w:spacing w:after="40"/>
            </w:pPr>
            <w:r>
              <w:t xml:space="preserve">11 Mar 2002 (see s. 2 and Cwlth </w:t>
            </w:r>
            <w:r>
              <w:rPr>
                <w:i/>
              </w:rPr>
              <w:t>Gazette</w:t>
            </w:r>
            <w:r>
              <w:t xml:space="preserve"> 24 Oct 2001 No. GN42)</w:t>
            </w:r>
          </w:p>
        </w:tc>
      </w:tr>
      <w:tr>
        <w:tc>
          <w:tcPr>
            <w:tcW w:w="2268" w:type="dxa"/>
            <w:tcBorders>
              <w:top w:val="nil"/>
              <w:bottom w:val="nil"/>
              <w:right w:val="nil"/>
            </w:tcBorders>
          </w:tcPr>
          <w:p>
            <w:pPr>
              <w:pStyle w:val="nTable"/>
              <w:spacing w:after="40"/>
              <w:rPr>
                <w:i/>
              </w:rPr>
            </w:pPr>
            <w:r>
              <w:rPr>
                <w:i/>
              </w:rPr>
              <w:t>Acts Amendment (Equality of Status) Act 2003</w:t>
            </w:r>
            <w:r>
              <w:t xml:space="preserve"> Pt. 18</w:t>
            </w:r>
          </w:p>
        </w:tc>
        <w:tc>
          <w:tcPr>
            <w:tcW w:w="1134" w:type="dxa"/>
            <w:tcBorders>
              <w:top w:val="nil"/>
              <w:left w:val="nil"/>
              <w:bottom w:val="nil"/>
              <w:right w:val="nil"/>
            </w:tcBorders>
          </w:tcPr>
          <w:p>
            <w:pPr>
              <w:pStyle w:val="nTable"/>
              <w:spacing w:after="40"/>
            </w:pPr>
            <w:r>
              <w:t>28 of 2003</w:t>
            </w:r>
          </w:p>
        </w:tc>
        <w:tc>
          <w:tcPr>
            <w:tcW w:w="1134" w:type="dxa"/>
            <w:tcBorders>
              <w:top w:val="nil"/>
              <w:left w:val="nil"/>
              <w:bottom w:val="nil"/>
              <w:right w:val="nil"/>
            </w:tcBorders>
          </w:tcPr>
          <w:p>
            <w:pPr>
              <w:pStyle w:val="nTable"/>
              <w:spacing w:after="40"/>
            </w:pPr>
            <w:r>
              <w:t>22 May 2003</w:t>
            </w:r>
          </w:p>
        </w:tc>
        <w:tc>
          <w:tcPr>
            <w:tcW w:w="2552" w:type="dxa"/>
            <w:tcBorders>
              <w:top w:val="nil"/>
              <w:left w:val="nil"/>
              <w:bottom w:val="nil"/>
            </w:tcBorders>
          </w:tcPr>
          <w:p>
            <w:pPr>
              <w:pStyle w:val="nTable"/>
              <w:spacing w:after="40"/>
            </w:pPr>
            <w:r>
              <w:t xml:space="preserve">1 Jul 2003 (see s. 2 and </w:t>
            </w:r>
            <w:r>
              <w:rPr>
                <w:i/>
              </w:rPr>
              <w:t xml:space="preserve">Gazette </w:t>
            </w:r>
            <w:r>
              <w:t>30 Jun 2003 p. 2579)</w:t>
            </w:r>
          </w:p>
        </w:tc>
      </w:tr>
      <w:tr>
        <w:tc>
          <w:tcPr>
            <w:tcW w:w="2268" w:type="dxa"/>
            <w:tcBorders>
              <w:top w:val="nil"/>
              <w:bottom w:val="nil"/>
              <w:right w:val="nil"/>
            </w:tcBorders>
          </w:tcPr>
          <w:p>
            <w:pPr>
              <w:pStyle w:val="nTable"/>
              <w:spacing w:after="40"/>
              <w:rPr>
                <w:i/>
              </w:rPr>
            </w:pPr>
            <w:r>
              <w:rPr>
                <w:i/>
                <w:snapToGrid w:val="0"/>
              </w:rPr>
              <w:t xml:space="preserve">Sentencing Legislation Amendment and Repeal Act 2003 </w:t>
            </w:r>
            <w:r>
              <w:rPr>
                <w:snapToGrid w:val="0"/>
              </w:rPr>
              <w:t>s. 57</w:t>
            </w:r>
          </w:p>
        </w:tc>
        <w:tc>
          <w:tcPr>
            <w:tcW w:w="1134" w:type="dxa"/>
            <w:tcBorders>
              <w:top w:val="nil"/>
              <w:left w:val="nil"/>
              <w:bottom w:val="nil"/>
              <w:right w:val="nil"/>
            </w:tcBorders>
          </w:tcPr>
          <w:p>
            <w:pPr>
              <w:pStyle w:val="nTable"/>
              <w:spacing w:after="40"/>
            </w:pPr>
            <w:r>
              <w:t>50 of 2003</w:t>
            </w:r>
          </w:p>
        </w:tc>
        <w:tc>
          <w:tcPr>
            <w:tcW w:w="1134" w:type="dxa"/>
            <w:tcBorders>
              <w:top w:val="nil"/>
              <w:left w:val="nil"/>
              <w:bottom w:val="nil"/>
              <w:right w:val="nil"/>
            </w:tcBorders>
          </w:tcPr>
          <w:p>
            <w:pPr>
              <w:pStyle w:val="nTable"/>
              <w:spacing w:after="40"/>
            </w:pPr>
            <w:r>
              <w:t>9 Jul 2003</w:t>
            </w:r>
          </w:p>
        </w:tc>
        <w:tc>
          <w:tcPr>
            <w:tcW w:w="2552" w:type="dxa"/>
            <w:tcBorders>
              <w:top w:val="nil"/>
              <w:left w:val="nil"/>
              <w:bottom w:val="nil"/>
            </w:tcBorders>
          </w:tcPr>
          <w:p>
            <w:pPr>
              <w:pStyle w:val="nTable"/>
              <w:spacing w:after="40"/>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4536" w:type="dxa"/>
            <w:gridSpan w:val="3"/>
            <w:tcBorders>
              <w:top w:val="nil"/>
              <w:bottom w:val="nil"/>
              <w:right w:val="nil"/>
            </w:tcBorders>
          </w:tcPr>
          <w:p>
            <w:pPr>
              <w:pStyle w:val="nTable"/>
              <w:spacing w:after="40"/>
              <w:rPr>
                <w:i/>
                <w:snapToGrid w:val="0"/>
              </w:rPr>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Borders>
              <w:top w:val="nil"/>
              <w:left w:val="nil"/>
              <w:bottom w:val="nil"/>
            </w:tcBorders>
          </w:tcPr>
          <w:p>
            <w:pPr>
              <w:pStyle w:val="nTable"/>
              <w:spacing w:after="40"/>
              <w:rPr>
                <w:spacing w:val="-2"/>
              </w:rPr>
            </w:pPr>
            <w:r>
              <w:rPr>
                <w:spacing w:val="-2"/>
              </w:rPr>
              <w:t>15 Sep 2003 (see r. 2)</w:t>
            </w:r>
          </w:p>
        </w:tc>
      </w:tr>
      <w:tr>
        <w:tc>
          <w:tcPr>
            <w:tcW w:w="2268" w:type="dxa"/>
            <w:tcBorders>
              <w:top w:val="nil"/>
              <w:bottom w:val="nil"/>
              <w:right w:val="nil"/>
            </w:tcBorders>
          </w:tcPr>
          <w:p>
            <w:pPr>
              <w:pStyle w:val="nTable"/>
              <w:spacing w:after="40"/>
              <w:rPr>
                <w:i/>
                <w:spacing w:val="-2"/>
              </w:rPr>
            </w:pPr>
            <w:r>
              <w:rPr>
                <w:i/>
                <w:snapToGrid w:val="0"/>
              </w:rPr>
              <w:t xml:space="preserve">Energy Legislation Amendment Act 2003 </w:t>
            </w:r>
            <w:r>
              <w:rPr>
                <w:spacing w:val="-2"/>
              </w:rPr>
              <w:t>s. 102</w:t>
            </w:r>
            <w:r>
              <w:rPr>
                <w:spacing w:val="-2"/>
              </w:rPr>
              <w:noBreakHyphen/>
              <w:t>108, 109(1)</w:t>
            </w:r>
            <w:r>
              <w:rPr>
                <w:spacing w:val="-2"/>
              </w:rPr>
              <w:noBreakHyphen/>
              <w:t>(3) and 110(1)</w:t>
            </w:r>
            <w:r>
              <w:rPr>
                <w:spacing w:val="-2"/>
              </w:rPr>
              <w:noBreakHyphen/>
              <w:t>(3)</w:t>
            </w:r>
            <w:r>
              <w:rPr>
                <w:spacing w:val="-2"/>
                <w:vertAlign w:val="superscript"/>
              </w:rPr>
              <w:t> 7</w:t>
            </w:r>
          </w:p>
        </w:tc>
        <w:tc>
          <w:tcPr>
            <w:tcW w:w="1134" w:type="dxa"/>
            <w:tcBorders>
              <w:top w:val="nil"/>
              <w:left w:val="nil"/>
              <w:bottom w:val="nil"/>
              <w:right w:val="nil"/>
            </w:tcBorders>
          </w:tcPr>
          <w:p>
            <w:pPr>
              <w:pStyle w:val="nTable"/>
              <w:spacing w:after="40"/>
              <w:rPr>
                <w:spacing w:val="-2"/>
              </w:rPr>
            </w:pPr>
            <w:r>
              <w:t>53 of 2003</w:t>
            </w:r>
          </w:p>
        </w:tc>
        <w:tc>
          <w:tcPr>
            <w:tcW w:w="1134" w:type="dxa"/>
            <w:tcBorders>
              <w:top w:val="nil"/>
              <w:left w:val="nil"/>
              <w:bottom w:val="nil"/>
              <w:right w:val="nil"/>
            </w:tcBorders>
          </w:tcPr>
          <w:p>
            <w:pPr>
              <w:pStyle w:val="nTable"/>
              <w:spacing w:after="40"/>
            </w:pPr>
            <w:r>
              <w:t>8 Oct 2003</w:t>
            </w:r>
          </w:p>
        </w:tc>
        <w:tc>
          <w:tcPr>
            <w:tcW w:w="2552" w:type="dxa"/>
            <w:tcBorders>
              <w:top w:val="nil"/>
              <w:left w:val="nil"/>
              <w:bottom w:val="nil"/>
            </w:tcBorders>
          </w:tcPr>
          <w:p>
            <w:pPr>
              <w:pStyle w:val="nTable"/>
              <w:spacing w:after="40"/>
              <w:rPr>
                <w:spacing w:val="-2"/>
              </w:rPr>
            </w:pPr>
            <w:r>
              <w:rPr>
                <w:spacing w:val="-2"/>
              </w:rPr>
              <w:t>8 Oct 2003 (see s. 2(1) and (2))</w:t>
            </w:r>
          </w:p>
        </w:tc>
      </w:tr>
      <w:tr>
        <w:tc>
          <w:tcPr>
            <w:tcW w:w="2268" w:type="dxa"/>
            <w:tcBorders>
              <w:top w:val="nil"/>
              <w:bottom w:val="nil"/>
              <w:right w:val="nil"/>
            </w:tcBorders>
          </w:tcPr>
          <w:p>
            <w:pPr>
              <w:pStyle w:val="nTable"/>
              <w:spacing w:after="40"/>
              <w:rPr>
                <w:i/>
                <w:snapToGrid w:val="0"/>
              </w:rPr>
            </w:pPr>
            <w:r>
              <w:rPr>
                <w:i/>
                <w:snapToGrid w:val="0"/>
              </w:rPr>
              <w:t>Statutes (Repeals and Minor Amendments) Act 2003</w:t>
            </w:r>
            <w:r>
              <w:rPr>
                <w:snapToGrid w:val="0"/>
              </w:rPr>
              <w:t xml:space="preserve"> s. 49</w:t>
            </w:r>
          </w:p>
        </w:tc>
        <w:tc>
          <w:tcPr>
            <w:tcW w:w="1134" w:type="dxa"/>
            <w:tcBorders>
              <w:top w:val="nil"/>
              <w:left w:val="nil"/>
              <w:bottom w:val="nil"/>
              <w:right w:val="nil"/>
            </w:tcBorders>
          </w:tcPr>
          <w:p>
            <w:pPr>
              <w:pStyle w:val="nTable"/>
              <w:spacing w:after="40"/>
            </w:pPr>
            <w:r>
              <w:t>74 of 2003</w:t>
            </w:r>
          </w:p>
        </w:tc>
        <w:tc>
          <w:tcPr>
            <w:tcW w:w="1134" w:type="dxa"/>
            <w:tcBorders>
              <w:top w:val="nil"/>
              <w:left w:val="nil"/>
              <w:bottom w:val="nil"/>
              <w:right w:val="nil"/>
            </w:tcBorders>
          </w:tcPr>
          <w:p>
            <w:pPr>
              <w:pStyle w:val="nTable"/>
              <w:spacing w:after="40"/>
            </w:pPr>
            <w:r>
              <w:t>15 Dec 2003</w:t>
            </w:r>
          </w:p>
        </w:tc>
        <w:tc>
          <w:tcPr>
            <w:tcW w:w="2552" w:type="dxa"/>
            <w:tcBorders>
              <w:top w:val="nil"/>
              <w:left w:val="nil"/>
              <w:bottom w:val="nil"/>
            </w:tcBorders>
          </w:tcPr>
          <w:p>
            <w:pPr>
              <w:pStyle w:val="nTable"/>
              <w:spacing w:after="40"/>
              <w:rPr>
                <w:spacing w:val="-2"/>
              </w:rPr>
            </w:pPr>
            <w:r>
              <w:rPr>
                <w:spacing w:val="-2"/>
              </w:rPr>
              <w:t>15 Dec 2003 (see s. 2)</w:t>
            </w:r>
          </w:p>
        </w:tc>
      </w:tr>
      <w:tr>
        <w:tc>
          <w:tcPr>
            <w:tcW w:w="2268" w:type="dxa"/>
            <w:tcBorders>
              <w:top w:val="nil"/>
              <w:bottom w:val="nil"/>
              <w:right w:val="nil"/>
            </w:tcBorders>
          </w:tcPr>
          <w:p>
            <w:pPr>
              <w:pStyle w:val="nTable"/>
              <w:spacing w:after="40"/>
              <w:rPr>
                <w:i/>
                <w:snapToGrid w:val="0"/>
              </w:rPr>
            </w:pPr>
            <w:r>
              <w:rPr>
                <w:i/>
                <w:snapToGrid w:val="0"/>
              </w:rPr>
              <w:t>Electricity Legislation Amendment Act 2004</w:t>
            </w:r>
            <w:r>
              <w:rPr>
                <w:snapToGrid w:val="0"/>
              </w:rPr>
              <w:t xml:space="preserve"> Pt. 2 Div. 2</w:t>
            </w:r>
          </w:p>
        </w:tc>
        <w:tc>
          <w:tcPr>
            <w:tcW w:w="1134" w:type="dxa"/>
            <w:tcBorders>
              <w:top w:val="nil"/>
              <w:left w:val="nil"/>
              <w:bottom w:val="nil"/>
              <w:right w:val="nil"/>
            </w:tcBorders>
          </w:tcPr>
          <w:p>
            <w:pPr>
              <w:pStyle w:val="nTable"/>
              <w:spacing w:after="40"/>
            </w:pPr>
            <w:r>
              <w:t>33 of 2004</w:t>
            </w:r>
          </w:p>
        </w:tc>
        <w:tc>
          <w:tcPr>
            <w:tcW w:w="1134" w:type="dxa"/>
            <w:tcBorders>
              <w:top w:val="nil"/>
              <w:left w:val="nil"/>
              <w:bottom w:val="nil"/>
              <w:right w:val="nil"/>
            </w:tcBorders>
          </w:tcPr>
          <w:p>
            <w:pPr>
              <w:pStyle w:val="nTable"/>
              <w:spacing w:after="40"/>
            </w:pPr>
            <w:r>
              <w:t>20 Oct 2004</w:t>
            </w:r>
          </w:p>
        </w:tc>
        <w:tc>
          <w:tcPr>
            <w:tcW w:w="2552" w:type="dxa"/>
            <w:tcBorders>
              <w:top w:val="nil"/>
              <w:left w:val="nil"/>
              <w:bottom w:val="nil"/>
            </w:tcBorders>
          </w:tcPr>
          <w:p>
            <w:pPr>
              <w:pStyle w:val="nTable"/>
              <w:spacing w:after="40"/>
              <w:rPr>
                <w:spacing w:val="-2"/>
              </w:rPr>
            </w:pPr>
            <w:r>
              <w:rPr>
                <w:spacing w:val="-2"/>
              </w:rPr>
              <w:t xml:space="preserve">24 Nov 2004 (see s. 2 and </w:t>
            </w:r>
            <w:r>
              <w:rPr>
                <w:i/>
                <w:spacing w:val="-2"/>
              </w:rPr>
              <w:t>Gazette</w:t>
            </w:r>
            <w:r>
              <w:rPr>
                <w:spacing w:val="-2"/>
              </w:rPr>
              <w:t xml:space="preserve"> 23 Nov 2004 p. 5243)</w:t>
            </w:r>
          </w:p>
        </w:tc>
      </w:tr>
      <w:tr>
        <w:trPr>
          <w:cantSplit/>
        </w:trPr>
        <w:tc>
          <w:tcPr>
            <w:tcW w:w="2268" w:type="dxa"/>
            <w:tcBorders>
              <w:top w:val="nil"/>
              <w:bottom w:val="nil"/>
              <w:right w:val="nil"/>
            </w:tcBorders>
          </w:tcPr>
          <w:p>
            <w:pPr>
              <w:pStyle w:val="nTable"/>
              <w:spacing w:after="40"/>
              <w:rPr>
                <w:i/>
                <w:snapToGrid w:val="0"/>
              </w:rPr>
            </w:pPr>
            <w:r>
              <w:rPr>
                <w:i/>
                <w:snapToGrid w:val="0"/>
              </w:rPr>
              <w:lastRenderedPageBreak/>
              <w:t>Electricity Corporations Act 2005</w:t>
            </w:r>
            <w:r>
              <w:rPr>
                <w:snapToGrid w:val="0"/>
              </w:rPr>
              <w:t xml:space="preserve"> </w:t>
            </w:r>
            <w:r>
              <w:t>Sch. 5 cl. 7-22</w:t>
            </w:r>
            <w:r>
              <w:rPr>
                <w:snapToGrid w:val="0"/>
                <w:vertAlign w:val="superscript"/>
              </w:rPr>
              <w:t> 5, 6</w:t>
            </w:r>
          </w:p>
        </w:tc>
        <w:tc>
          <w:tcPr>
            <w:tcW w:w="1134" w:type="dxa"/>
            <w:tcBorders>
              <w:top w:val="nil"/>
              <w:left w:val="nil"/>
              <w:bottom w:val="nil"/>
              <w:right w:val="nil"/>
            </w:tcBorders>
          </w:tcPr>
          <w:p>
            <w:pPr>
              <w:pStyle w:val="nTable"/>
              <w:spacing w:after="40"/>
            </w:pPr>
            <w:r>
              <w:t>18 of 2005 (as amended by No. 8 of 2009 s. 50(3)(b))</w:t>
            </w:r>
          </w:p>
        </w:tc>
        <w:tc>
          <w:tcPr>
            <w:tcW w:w="1134" w:type="dxa"/>
            <w:tcBorders>
              <w:top w:val="nil"/>
              <w:left w:val="nil"/>
              <w:bottom w:val="nil"/>
              <w:right w:val="nil"/>
            </w:tcBorders>
          </w:tcPr>
          <w:p>
            <w:pPr>
              <w:pStyle w:val="nTable"/>
              <w:spacing w:after="40"/>
            </w:pPr>
            <w:r>
              <w:t>13 Oct 2005</w:t>
            </w:r>
          </w:p>
        </w:tc>
        <w:tc>
          <w:tcPr>
            <w:tcW w:w="2552" w:type="dxa"/>
            <w:tcBorders>
              <w:top w:val="nil"/>
              <w:left w:val="nil"/>
              <w:bottom w:val="nil"/>
            </w:tcBorders>
          </w:tcPr>
          <w:p>
            <w:pPr>
              <w:pStyle w:val="nTable"/>
              <w:spacing w:after="40"/>
              <w:rPr>
                <w:spacing w:val="-2"/>
              </w:rPr>
            </w:pPr>
            <w:r>
              <w:rPr>
                <w:spacing w:val="-2"/>
              </w:rPr>
              <w:t xml:space="preserve">Sch. 5 (other than </w:t>
            </w:r>
            <w:r>
              <w:rPr>
                <w:snapToGrid w:val="0"/>
              </w:rPr>
              <w:t xml:space="preserve">cl. 21(2)(a)(ii)): </w:t>
            </w:r>
            <w:r>
              <w:rPr>
                <w:spacing w:val="-2"/>
              </w:rPr>
              <w:t xml:space="preserve">1 Apr 2006 (see s. 2(2) and </w:t>
            </w:r>
            <w:r>
              <w:rPr>
                <w:i/>
                <w:spacing w:val="-2"/>
              </w:rPr>
              <w:t>Gazette</w:t>
            </w:r>
            <w:r>
              <w:rPr>
                <w:spacing w:val="-2"/>
              </w:rPr>
              <w:t xml:space="preserve"> 31 Mar 2006 p. 1153)</w:t>
            </w:r>
          </w:p>
          <w:p>
            <w:pPr>
              <w:pStyle w:val="nTable"/>
              <w:spacing w:after="40"/>
              <w:rPr>
                <w:spacing w:val="-2"/>
              </w:rPr>
            </w:pPr>
            <w:r>
              <w:rPr>
                <w:spacing w:val="-2"/>
              </w:rPr>
              <w:t xml:space="preserve">Sch. 5 </w:t>
            </w:r>
            <w:r>
              <w:rPr>
                <w:snapToGrid w:val="0"/>
              </w:rPr>
              <w:t>cl. 21(2)(a)(ii) deleted by No. 8 of 2009 s. 50(3)(b)</w:t>
            </w:r>
          </w:p>
        </w:tc>
      </w:tr>
      <w:tr>
        <w:tc>
          <w:tcPr>
            <w:tcW w:w="7088" w:type="dxa"/>
            <w:gridSpan w:val="4"/>
            <w:tcBorders>
              <w:top w:val="nil"/>
              <w:bottom w:val="nil"/>
            </w:tcBorders>
          </w:tcPr>
          <w:p>
            <w:pPr>
              <w:pStyle w:val="nTable"/>
              <w:spacing w:after="40"/>
              <w:rPr>
                <w:spacing w:val="-2"/>
              </w:rPr>
            </w:pPr>
            <w:r>
              <w:rPr>
                <w:b/>
              </w:rPr>
              <w:t xml:space="preserve">Reprint 3:  The </w:t>
            </w:r>
            <w:r>
              <w:rPr>
                <w:b/>
                <w:i/>
              </w:rPr>
              <w:t>Electricity Transmission and Distribution Systems (Access) Act 1994</w:t>
            </w:r>
            <w:r>
              <w:rPr>
                <w:b/>
              </w:rPr>
              <w:t xml:space="preserve"> as at 4 Aug 2006 </w:t>
            </w:r>
            <w:r>
              <w:t>(includes amendments listed above)</w:t>
            </w:r>
          </w:p>
        </w:tc>
      </w:tr>
      <w:tr>
        <w:tc>
          <w:tcPr>
            <w:tcW w:w="4536" w:type="dxa"/>
            <w:gridSpan w:val="3"/>
            <w:tcBorders>
              <w:top w:val="nil"/>
              <w:bottom w:val="nil"/>
            </w:tcBorders>
          </w:tcPr>
          <w:p>
            <w:pPr>
              <w:pStyle w:val="nTable"/>
              <w:spacing w:after="40"/>
            </w:pPr>
            <w:r>
              <w:rPr>
                <w:i/>
              </w:rPr>
              <w:t>Electricity Transmission and Distribution Systems (Repeal and Related Provisions) Regulations 2007</w:t>
            </w:r>
            <w:r>
              <w:t xml:space="preserve"> published in </w:t>
            </w:r>
            <w:r>
              <w:rPr>
                <w:i/>
              </w:rPr>
              <w:t>Gazette</w:t>
            </w:r>
            <w:r>
              <w:t xml:space="preserve"> 26 Jun 2007 p. 3018-21</w:t>
            </w:r>
            <w:r>
              <w:rPr>
                <w:vertAlign w:val="superscript"/>
              </w:rPr>
              <w:t> 8</w:t>
            </w:r>
          </w:p>
        </w:tc>
        <w:tc>
          <w:tcPr>
            <w:tcW w:w="2552" w:type="dxa"/>
            <w:tcBorders>
              <w:top w:val="nil"/>
              <w:bottom w:val="nil"/>
            </w:tcBorders>
          </w:tcPr>
          <w:p>
            <w:pPr>
              <w:pStyle w:val="nTable"/>
              <w:spacing w:after="40"/>
              <w:rPr>
                <w:spacing w:val="-2"/>
              </w:rPr>
            </w:pPr>
            <w:r>
              <w:t>r. 1 and 2: 26 Jun 2007 (see r. 2(a));</w:t>
            </w:r>
            <w:r>
              <w:br/>
              <w:t>Regulations other than r. 1 and 2: 1 Jul 2007 (see r. 2(b))</w:t>
            </w:r>
          </w:p>
        </w:tc>
      </w:tr>
      <w:tr>
        <w:tc>
          <w:tcPr>
            <w:tcW w:w="2268" w:type="dxa"/>
            <w:tcBorders>
              <w:top w:val="nil"/>
              <w:bottom w:val="single" w:sz="4" w:space="0" w:color="auto"/>
            </w:tcBorders>
          </w:tcPr>
          <w:p>
            <w:pPr>
              <w:pStyle w:val="nTable"/>
              <w:spacing w:after="40"/>
              <w:rPr>
                <w:i/>
              </w:rPr>
            </w:pPr>
            <w:r>
              <w:rPr>
                <w:i/>
                <w:iCs/>
              </w:rPr>
              <w:t>Electricity Industry Amendment (Distributed Energy Resources) Act 2024</w:t>
            </w:r>
            <w:r>
              <w:t xml:space="preserve"> Pt. 2 Div. 4</w:t>
            </w:r>
          </w:p>
        </w:tc>
        <w:tc>
          <w:tcPr>
            <w:tcW w:w="1134" w:type="dxa"/>
            <w:tcBorders>
              <w:top w:val="nil"/>
              <w:bottom w:val="single" w:sz="4" w:space="0" w:color="auto"/>
            </w:tcBorders>
          </w:tcPr>
          <w:p>
            <w:pPr>
              <w:pStyle w:val="nTable"/>
              <w:spacing w:after="40"/>
              <w:rPr>
                <w:i/>
              </w:rPr>
            </w:pPr>
            <w:r>
              <w:t>1 of 2024</w:t>
            </w:r>
          </w:p>
        </w:tc>
        <w:tc>
          <w:tcPr>
            <w:tcW w:w="1134" w:type="dxa"/>
            <w:tcBorders>
              <w:top w:val="nil"/>
              <w:bottom w:val="single" w:sz="4" w:space="0" w:color="auto"/>
            </w:tcBorders>
          </w:tcPr>
          <w:p>
            <w:pPr>
              <w:pStyle w:val="nTable"/>
              <w:spacing w:after="40"/>
              <w:rPr>
                <w:i/>
              </w:rPr>
            </w:pPr>
            <w:r>
              <w:t>7 Mar 2024</w:t>
            </w:r>
          </w:p>
        </w:tc>
        <w:tc>
          <w:tcPr>
            <w:tcW w:w="2552" w:type="dxa"/>
            <w:tcBorders>
              <w:top w:val="nil"/>
              <w:bottom w:val="single" w:sz="4" w:space="0" w:color="auto"/>
            </w:tcBorders>
          </w:tcPr>
          <w:p>
            <w:pPr>
              <w:pStyle w:val="nTable"/>
              <w:spacing w:after="40"/>
            </w:pPr>
            <w:r>
              <w:t>6 Feb 2025 (see s. 2(b) and SL 2025/31 cl. 2)</w:t>
            </w:r>
          </w:p>
        </w:tc>
      </w:tr>
    </w:tbl>
    <w:p>
      <w:pPr>
        <w:pStyle w:val="nHeading3"/>
      </w:pPr>
      <w:bookmarkStart w:id="19" w:name="_Toc189228702"/>
      <w:r>
        <w:t>Uncommenced provisions table</w:t>
      </w:r>
      <w:bookmarkEnd w:id="1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Electricity Industry Amendment (Distributed Energy Resources) Act 2024</w:t>
            </w:r>
            <w:r>
              <w:t xml:space="preserve"> Pt. 3 Div. 3</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20" w:name="_Toc189228703"/>
      <w:r>
        <w:t>Other notes</w:t>
      </w:r>
      <w:bookmarkEnd w:id="20"/>
    </w:p>
    <w:p>
      <w:pPr>
        <w:pStyle w:val="nNote"/>
        <w:spacing w:before="160"/>
      </w:pPr>
      <w:r>
        <w:rPr>
          <w:vertAlign w:val="superscript"/>
        </w:rPr>
        <w:t>1</w:t>
      </w:r>
      <w:r>
        <w:rPr>
          <w:vertAlign w:val="superscript"/>
        </w:rPr>
        <w:tab/>
      </w:r>
      <w:r>
        <w:t>Footnote no longer required.</w:t>
      </w:r>
    </w:p>
    <w:p>
      <w:pPr>
        <w:pStyle w:val="nNote"/>
        <w:keepNext/>
        <w:spacing w:before="160"/>
      </w:pPr>
      <w:r>
        <w:rPr>
          <w:vertAlign w:val="superscript"/>
        </w:rPr>
        <w:lastRenderedPageBreak/>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r>
        <w:rPr>
          <w:rStyle w:val="CharDefText"/>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Part 2 comes into operation;</w:t>
      </w:r>
    </w:p>
    <w:p>
      <w:pPr>
        <w:pStyle w:val="nzDefstart"/>
      </w:pPr>
      <w:r>
        <w:tab/>
      </w:r>
      <w:r>
        <w:rPr>
          <w:rStyle w:val="CharDefText"/>
        </w:rPr>
        <w:t>Commission</w:t>
      </w:r>
      <w:r>
        <w:t xml:space="preserve"> means the Commission under the principal Act as in force before the commencement day;</w:t>
      </w:r>
    </w:p>
    <w:p>
      <w:pPr>
        <w:pStyle w:val="nzDefstart"/>
      </w:pPr>
      <w:r>
        <w:tab/>
      </w:r>
      <w:r>
        <w:rPr>
          <w:rStyle w:val="CharDefText"/>
        </w:rPr>
        <w:t>corporation</w:t>
      </w:r>
      <w:r>
        <w:t xml:space="preserve"> means the Electricity Corporation or the Gas Corporation but in section 47 </w:t>
      </w:r>
      <w:r>
        <w:rPr>
          <w:rStyle w:val="CharDefText"/>
        </w:rPr>
        <w:t>corporations</w:t>
      </w:r>
      <w:r>
        <w:t xml:space="preserve"> means both of those corporations;</w:t>
      </w:r>
    </w:p>
    <w:p>
      <w:pPr>
        <w:pStyle w:val="nzDefstart"/>
      </w:pPr>
      <w:r>
        <w:tab/>
      </w:r>
      <w:r>
        <w:rPr>
          <w:rStyle w:val="CharDefText"/>
        </w:rPr>
        <w:t>Electricity Corporation</w:t>
      </w:r>
      <w:r>
        <w:rPr>
          <w:b/>
        </w:rPr>
        <w:t xml:space="preserve"> </w:t>
      </w:r>
      <w:r>
        <w:t xml:space="preserve">means the body corporate established by section 4 of the </w:t>
      </w:r>
      <w:r>
        <w:rPr>
          <w:i/>
        </w:rPr>
        <w:t>Electricity Corporation Act 1994</w:t>
      </w:r>
      <w:r>
        <w:t>;</w:t>
      </w:r>
    </w:p>
    <w:p>
      <w:pPr>
        <w:pStyle w:val="nzDefstart"/>
      </w:pPr>
      <w:r>
        <w:tab/>
      </w:r>
      <w:r>
        <w:rPr>
          <w:rStyle w:val="CharDefText"/>
        </w:rPr>
        <w:t>Gas Corporation</w:t>
      </w:r>
      <w:r>
        <w:t xml:space="preserve"> means the body corporate established by section 4 of the </w:t>
      </w:r>
      <w:r>
        <w:rPr>
          <w:i/>
        </w:rPr>
        <w:t>Gas Corporation Act 1994</w:t>
      </w:r>
      <w:r>
        <w:t>;</w:t>
      </w:r>
    </w:p>
    <w:p>
      <w:pPr>
        <w:pStyle w:val="nzDefstart"/>
      </w:pPr>
      <w:r>
        <w:tab/>
      </w:r>
      <w:r>
        <w:rPr>
          <w:rStyle w:val="CharDefText"/>
        </w:rPr>
        <w:t>liability</w:t>
      </w:r>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lastRenderedPageBreak/>
        <w:tab/>
      </w:r>
      <w:r>
        <w:rPr>
          <w:rStyle w:val="CharDefText"/>
        </w:rPr>
        <w:t>principal Act</w:t>
      </w:r>
      <w:r>
        <w:t xml:space="preserve"> means the </w:t>
      </w:r>
      <w:r>
        <w:rPr>
          <w:i/>
        </w:rPr>
        <w:t>State Energy Commission Act 1979</w:t>
      </w:r>
      <w:r>
        <w:t>;</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lastRenderedPageBreak/>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 xml:space="preserve">any act, matter or thing done or omitted to be done in relation to the assets, rights and liabilities referred to in paragraphs (a) and (b) before the commencement day by, to or in respect of the Commission (to the extent that that </w:t>
      </w:r>
      <w:r>
        <w:lastRenderedPageBreak/>
        <w:t>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 xml:space="preserve">any act, matter or thing done or omitted to be done in relation to the assets, rights and liabilities referred to in </w:t>
      </w:r>
      <w:r>
        <w:lastRenderedPageBreak/>
        <w:t>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lastRenderedPageBreak/>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 xml:space="preserve">any proceedings or remedy that might have been commenced by or available against or to the Commission in relation to the assets, rights and liabilities referred to in </w:t>
      </w:r>
      <w:r>
        <w:lastRenderedPageBreak/>
        <w:t>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keepNext/>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w:t>
      </w:r>
      <w:r>
        <w:lastRenderedPageBreak/>
        <w:t xml:space="preserve">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rStyle w:val="CharDefText"/>
        </w:rPr>
        <w:t>new corporation</w:t>
      </w:r>
      <w:r>
        <w:rPr>
          <w:b/>
          <w:snapToGrid/>
        </w:rPr>
        <w:t xml:space="preserve"> </w:t>
      </w:r>
      <w:r>
        <w:rPr>
          <w:snapToGrid/>
        </w:rPr>
        <w:t xml:space="preserve">and </w:t>
      </w:r>
      <w:r>
        <w:rPr>
          <w:rStyle w:val="CharDefText"/>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tab/>
      </w:r>
      <w:r>
        <w:rPr>
          <w:i/>
          <w:sz w:val="20"/>
        </w:rPr>
        <w:tab/>
        <w:t>[Section 50 amended: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lastRenderedPageBreak/>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rStyle w:val="CharDefText"/>
          <w:snapToGrid w:val="0"/>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lastRenderedPageBreak/>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rStyle w:val="CharDefText"/>
          <w:snapToGrid w:val="0"/>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lastRenderedPageBreak/>
        <w:t>55.</w:t>
      </w:r>
      <w:r>
        <w:tab/>
        <w:t>Saving</w:t>
      </w:r>
    </w:p>
    <w:p>
      <w:pPr>
        <w:pStyle w:val="nzSubsection"/>
        <w:keepNext/>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lastRenderedPageBreak/>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rStyle w:val="CharDefText"/>
          <w:snapToGrid w:val="0"/>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lastRenderedPageBreak/>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keepNext/>
      </w:pPr>
      <w:r>
        <w:lastRenderedPageBreak/>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p>
      <w:pPr>
        <w:pStyle w:val="nNote"/>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Note"/>
        <w:keepNext/>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 xml:space="preserve">Anything done or omitted to have been done after the FSR commencement time and before this Act receives the Royal </w:t>
      </w:r>
      <w:r>
        <w:rPr>
          <w:snapToGrid w:val="0"/>
        </w:rPr>
        <w:lastRenderedPageBreak/>
        <w:t>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Note"/>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r>
        <w:rPr>
          <w:rStyle w:val="CharDefText"/>
        </w:rPr>
        <w:t>Western Power Corporation</w:t>
      </w:r>
      <w:r>
        <w:t xml:space="preserve"> has the meaning given to that term in section 142(1).</w:t>
      </w:r>
    </w:p>
    <w:p>
      <w:pPr>
        <w:pStyle w:val="MiscClose"/>
      </w:pPr>
      <w:r>
        <w:t>”.</w:t>
      </w:r>
    </w:p>
    <w:p>
      <w:pPr>
        <w:pStyle w:val="nNote"/>
        <w:rPr>
          <w:snapToGrid w:val="0"/>
        </w:rPr>
      </w:pPr>
      <w:r>
        <w:rPr>
          <w:vertAlign w:val="superscript"/>
        </w:rPr>
        <w:t>6</w:t>
      </w:r>
      <w:r>
        <w:tab/>
        <w:t>T</w:t>
      </w:r>
      <w:r>
        <w:rPr>
          <w:snapToGrid w:val="0"/>
        </w:rPr>
        <w:t xml:space="preserve">he </w:t>
      </w:r>
      <w:r>
        <w:rPr>
          <w:i/>
          <w:snapToGrid w:val="0"/>
        </w:rPr>
        <w:t>Electricity Corporations Act 2005</w:t>
      </w:r>
      <w:r>
        <w:rPr>
          <w:snapToGrid w:val="0"/>
        </w:rPr>
        <w:t xml:space="preserve"> Sch. 5 cl. 21(2)(a)(ii) was deleted by the </w:t>
      </w:r>
      <w:r>
        <w:rPr>
          <w:i/>
          <w:iCs/>
          <w:snapToGrid w:val="0"/>
        </w:rPr>
        <w:t>Statutes (Repeals and Miscellaneous Amendments) Act 2009</w:t>
      </w:r>
      <w:r>
        <w:rPr>
          <w:snapToGrid w:val="0"/>
        </w:rPr>
        <w:t xml:space="preserve"> s. 50(3)(b).</w:t>
      </w:r>
    </w:p>
    <w:p>
      <w:pPr>
        <w:pStyle w:val="nNote"/>
        <w:rPr>
          <w:snapToGrid w:val="0"/>
        </w:rPr>
      </w:pPr>
      <w:r>
        <w:rPr>
          <w:snapToGrid w:val="0"/>
          <w:vertAlign w:val="superscript"/>
        </w:rPr>
        <w:lastRenderedPageBreak/>
        <w:t>7</w:t>
      </w:r>
      <w:r>
        <w:rPr>
          <w:snapToGrid w:val="0"/>
        </w:rPr>
        <w:tab/>
        <w:t xml:space="preserve">The </w:t>
      </w:r>
      <w:r>
        <w:rPr>
          <w:i/>
          <w:iCs/>
          <w:snapToGrid w:val="0"/>
        </w:rPr>
        <w:t>Energy Legislation Amendment Act 2003</w:t>
      </w:r>
      <w:r>
        <w:rPr>
          <w:snapToGrid w:val="0"/>
        </w:rPr>
        <w:t xml:space="preserve"> s. 109(4)-(5), 110(4) and 111 </w:t>
      </w:r>
      <w:r>
        <w:t xml:space="preserve">had not come into operation when it was deleted </w:t>
      </w:r>
      <w:r>
        <w:rPr>
          <w:snapToGrid w:val="0"/>
        </w:rPr>
        <w:t xml:space="preserve">by the </w:t>
      </w:r>
      <w:r>
        <w:rPr>
          <w:i/>
          <w:iCs/>
          <w:snapToGrid w:val="0"/>
        </w:rPr>
        <w:t>Statutes (Repeals and Minor Amendments) Act 2009</w:t>
      </w:r>
      <w:r>
        <w:rPr>
          <w:snapToGrid w:val="0"/>
        </w:rPr>
        <w:t xml:space="preserve"> s. 6.</w:t>
      </w:r>
    </w:p>
    <w:p>
      <w:pPr>
        <w:pStyle w:val="nNote"/>
        <w:keepNext/>
      </w:pPr>
      <w:r>
        <w:rPr>
          <w:vertAlign w:val="superscript"/>
        </w:rPr>
        <w:t>8</w:t>
      </w:r>
      <w:r>
        <w:tab/>
        <w:t>The </w:t>
      </w:r>
      <w:r>
        <w:rPr>
          <w:i/>
        </w:rPr>
        <w:t>Electricity Transmission and Distribution Systems (Repeal and Related Provisions) Regulations 2007</w:t>
      </w:r>
      <w:r>
        <w:t xml:space="preserve"> Pt. 4 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Transitional provisions</w:t>
      </w:r>
    </w:p>
    <w:p>
      <w:pPr>
        <w:pStyle w:val="nzHeading5"/>
      </w:pPr>
      <w:r>
        <w:rPr>
          <w:rStyle w:val="CharSectno"/>
        </w:rPr>
        <w:t>10</w:t>
      </w:r>
      <w:r>
        <w:t>.</w:t>
      </w:r>
      <w:r>
        <w:tab/>
        <w:t xml:space="preserve">Continued operation of </w:t>
      </w:r>
      <w:r>
        <w:rPr>
          <w:i/>
          <w:iCs/>
        </w:rPr>
        <w:t>Electricity Transmission and Distribution Systems (Access) Act 1994</w:t>
      </w:r>
      <w:r>
        <w:t xml:space="preserve"> Schedule 5 clause 2(4)</w:t>
      </w:r>
    </w:p>
    <w:p>
      <w:pPr>
        <w:pStyle w:val="nzSubsection"/>
      </w:pPr>
      <w:r>
        <w:tab/>
        <w:t>(1)</w:t>
      </w:r>
      <w:r>
        <w:tab/>
        <w:t xml:space="preserve">Despite the </w:t>
      </w:r>
      <w:r>
        <w:rPr>
          <w:i/>
          <w:iCs/>
        </w:rPr>
        <w:t>Electricity Transmission and Distribution Systems (Access) Declaration 2007</w:t>
      </w:r>
      <w:r>
        <w:t xml:space="preserve"> clause 2 and the repeal effected by 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nzHeading5"/>
      </w:pPr>
      <w:r>
        <w:rPr>
          <w:rStyle w:val="CharSectno"/>
        </w:rPr>
        <w:t>11</w:t>
      </w:r>
      <w:r>
        <w:t>.</w:t>
      </w:r>
      <w:r>
        <w:tab/>
        <w:t xml:space="preserve">Continued operation of </w:t>
      </w:r>
      <w:r>
        <w:rPr>
          <w:i/>
        </w:rPr>
        <w:t>Electricity Transmission and Distribution Systems (Access) Act 1994</w:t>
      </w:r>
      <w:r>
        <w:t xml:space="preserve"> Schedule 6 clause 2(4)</w:t>
      </w:r>
    </w:p>
    <w:p>
      <w:pPr>
        <w:pStyle w:val="nzSubsection"/>
      </w:pPr>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6 clause 2(4) continues to have effect under </w:t>
      </w:r>
      <w:r>
        <w:lastRenderedPageBreak/>
        <w:t xml:space="preserve">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2" w:name="_Toc189227730"/>
      <w:bookmarkStart w:id="23" w:name="_Toc189228235"/>
      <w:bookmarkStart w:id="24" w:name="_Toc189228704"/>
      <w:r>
        <w:rPr>
          <w:sz w:val="28"/>
        </w:rPr>
        <w:lastRenderedPageBreak/>
        <w:t>Defined terms</w:t>
      </w:r>
      <w:bookmarkEnd w:id="22"/>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2</w:t>
      </w:r>
    </w:p>
    <w:p>
      <w:pPr>
        <w:pStyle w:val="DefinedTerms"/>
      </w:pPr>
      <w:r>
        <w:t>declaration</w:t>
      </w:r>
      <w:r>
        <w:tab/>
        <w:t>95A(5)</w:t>
      </w:r>
    </w:p>
    <w:p>
      <w:pPr>
        <w:pStyle w:val="DefinedTerms"/>
      </w:pPr>
      <w:r>
        <w:t>electricity distribution capacity</w:t>
      </w:r>
      <w:r>
        <w:tab/>
        <w:t>89(1)</w:t>
      </w:r>
    </w:p>
    <w:p>
      <w:pPr>
        <w:pStyle w:val="DefinedTerms"/>
      </w:pPr>
      <w:r>
        <w:t>electricity distribution system</w:t>
      </w:r>
      <w:r>
        <w:tab/>
        <w:t>89(1)</w:t>
      </w:r>
    </w:p>
    <w:p>
      <w:pPr>
        <w:pStyle w:val="DefinedTerms"/>
      </w:pPr>
      <w:r>
        <w:t>electricity transmission capacity</w:t>
      </w:r>
      <w:r>
        <w:tab/>
        <w:t>89(1)</w:t>
      </w:r>
    </w:p>
    <w:p>
      <w:pPr>
        <w:pStyle w:val="DefinedTerms"/>
      </w:pPr>
      <w:r>
        <w:t>electricity transmission system</w:t>
      </w:r>
      <w:r>
        <w:tab/>
        <w:t>89(1)</w:t>
      </w:r>
    </w:p>
    <w:p>
      <w:pPr>
        <w:pStyle w:val="DefinedTerms"/>
      </w:pPr>
      <w:r>
        <w:t>existing access agreement</w:t>
      </w:r>
      <w:r>
        <w:tab/>
        <w:t>95(2)</w:t>
      </w:r>
    </w:p>
    <w:p>
      <w:pPr>
        <w:pStyle w:val="DefinedTerms"/>
      </w:pPr>
      <w:r>
        <w:t>isolated system</w:t>
      </w:r>
      <w:r>
        <w:tab/>
        <w:t>2</w:t>
      </w:r>
    </w:p>
    <w:p>
      <w:pPr>
        <w:pStyle w:val="DefinedTerms"/>
      </w:pPr>
      <w:r>
        <w:t>North West interconnected system</w:t>
      </w:r>
      <w:r>
        <w:tab/>
        <w:t>2</w:t>
      </w:r>
    </w:p>
    <w:p>
      <w:pPr>
        <w:pStyle w:val="DefinedTerms"/>
      </w:pPr>
      <w:r>
        <w:t>regulations</w:t>
      </w:r>
      <w:r>
        <w:tab/>
        <w:t>89(1)</w:t>
      </w:r>
    </w:p>
    <w:p>
      <w:pPr>
        <w:pStyle w:val="DefinedTerms"/>
      </w:pPr>
      <w:r>
        <w:t>relevant provision</w:t>
      </w:r>
      <w:r>
        <w:tab/>
        <w:t>95A(5)</w:t>
      </w:r>
    </w:p>
    <w:p>
      <w:pPr>
        <w:pStyle w:val="DefinedTerms"/>
      </w:pPr>
      <w:r>
        <w:t>specified</w:t>
      </w:r>
      <w:r>
        <w:tab/>
        <w:t>95A(5)</w:t>
      </w:r>
    </w:p>
    <w:p>
      <w:pPr>
        <w:pStyle w:val="DefinedTerms"/>
      </w:pPr>
      <w:r>
        <w:t>user</w:t>
      </w:r>
      <w:r>
        <w:tab/>
        <w:t>89(2)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DF8E8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721D68A" w14:textId="10E69881" w:rsidR="00CB6B1D" w:rsidRDefault="003671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4594C">
                        <w:rPr>
                          <w:sz w:val="16"/>
                        </w:rPr>
                        <w:t>2025</w:t>
                      </w:r>
                      <w:r>
                        <w:rPr>
                          <w:sz w:val="16"/>
                        </w:rPr>
                        <w:fldChar w:fldCharType="end"/>
                      </w:r>
                      <w:r>
                        <w:rPr>
                          <w:sz w:val="16"/>
                        </w:rPr>
                        <w:t>.</w:t>
                      </w:r>
                    </w:p>
                    <w:p w14:paraId="483056E8" w14:textId="77777777" w:rsidR="00CB6B1D" w:rsidRDefault="003671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82D5E8" w14:textId="25797584" w:rsidR="00CB6B1D" w:rsidRDefault="003671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4594C">
                        <w:rPr>
                          <w:sz w:val="16"/>
                        </w:rPr>
                        <w:t>2025</w:t>
                      </w:r>
                      <w:r>
                        <w:rPr>
                          <w:sz w:val="16"/>
                        </w:rPr>
                        <w:fldChar w:fldCharType="end"/>
                      </w:r>
                      <w:r>
                        <w:rPr>
                          <w:sz w:val="16"/>
                        </w:rPr>
                        <w:t>.</w:t>
                      </w:r>
                    </w:p>
                    <w:p w14:paraId="1354CDAC" w14:textId="77777777" w:rsidR="00CB6B1D" w:rsidRDefault="0036714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FF079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B22F9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3F661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1A7D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D0857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5A18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8EBF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74A9A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8AB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8E4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2D4109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44341"/>
    <w:docVar w:name="WAFER_20140123090548" w:val="RemoveTocBookmarks,RemoveUnusedBookmarks,RemoveLanguageTags,UsedStyles,ResetPageSize,UpdateArrangement"/>
    <w:docVar w:name="WAFER_20140123090548_GUID" w:val="097a6bc9-b087-48f3-af59-9c1e44a98028"/>
    <w:docVar w:name="WAFER_20140123090955" w:val="RemoveTocBookmarks,RunningHeaders"/>
    <w:docVar w:name="WAFER_20140123090955_GUID" w:val="1f64cda2-61df-46d8-aa47-c7ebb48f39d5"/>
    <w:docVar w:name="WAFER_20150414134947" w:val="ResetPageSize,UpdateArrangement,UpdateNTable"/>
    <w:docVar w:name="WAFER_20150414134947_GUID" w:val="fde2953c-2267-4334-b16f-2ccc2c28028e"/>
    <w:docVar w:name="WAFER_20151105120031" w:val="UpdateStyles,UsedStyles"/>
    <w:docVar w:name="WAFER_20151105120031_GUID" w:val="a41f8ea0-4f35-4e28-9d18-2466a60425b5"/>
    <w:docVar w:name="WAFER_20151201111850" w:val="RemoveTrackChanges"/>
    <w:docVar w:name="WAFER_20151201111850_GUID" w:val="568b8785-ebdc-4d22-ac9a-dad8c3422037"/>
    <w:docVar w:name="WAFER_2024030614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847_GUID" w:val="0dddd182-4e27-45c1-b1df-3ae0c95719f1"/>
    <w:docVar w:name="WAFER_2025013114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44341_GUID" w:val="db126e77-9535-4d3e-98d1-147357253a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A9E93B4E-29B1-4C79-8EE4-E44B669B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7930</Words>
  <Characters>38938</Characters>
  <Application>Microsoft Office Word</Application>
  <DocSecurity>0</DocSecurity>
  <Lines>1112</Lines>
  <Paragraphs>585</Paragraphs>
  <ScaleCrop>false</ScaleCrop>
  <HeadingPairs>
    <vt:vector size="2" baseType="variant">
      <vt:variant>
        <vt:lpstr>Title</vt:lpstr>
      </vt:variant>
      <vt:variant>
        <vt:i4>1</vt:i4>
      </vt:variant>
    </vt:vector>
  </HeadingPairs>
  <TitlesOfParts>
    <vt:vector size="1" baseType="lpstr">
      <vt:lpstr>Electricity Transmission and Distribution Systems (Access) Act 1994</vt:lpstr>
    </vt:vector>
  </TitlesOfParts>
  <Manager/>
  <Company/>
  <LinksUpToDate>false</LinksUpToDate>
  <CharactersWithSpaces>46283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1994 - 03-f0-00</dc:title>
  <dc:subject/>
  <dc:creator/>
  <cp:keywords/>
  <dc:description/>
  <cp:lastModifiedBy>Master Repository Process</cp:lastModifiedBy>
  <cp:revision>4</cp:revision>
  <cp:lastPrinted>2006-08-15T00:11:00Z</cp:lastPrinted>
  <dcterms:created xsi:type="dcterms:W3CDTF">2025-07-21T01:25:00Z</dcterms:created>
  <dcterms:modified xsi:type="dcterms:W3CDTF">2025-07-21T01:25:00Z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DocumentType">
    <vt:lpwstr>Act</vt:lpwstr>
  </property>
  <property fmtid="{D5CDD505-2E9C-101B-9397-08002B2CF9AE}" pid="4" name="OwlsUID">
    <vt:i4>245</vt:i4>
  </property>
  <property fmtid="{D5CDD505-2E9C-101B-9397-08002B2CF9AE}" pid="5" name="ReprintNo">
    <vt:lpwstr>3</vt:lpwstr>
  </property>
  <property fmtid="{D5CDD505-2E9C-101B-9397-08002B2CF9AE}" pid="6" name="AsAtDate">
    <vt:lpwstr>06 Feb 2025</vt:lpwstr>
  </property>
  <property fmtid="{D5CDD505-2E9C-101B-9397-08002B2CF9AE}" pid="7" name="Suffix">
    <vt:lpwstr>03-f0-00</vt:lpwstr>
  </property>
  <property fmtid="{D5CDD505-2E9C-101B-9397-08002B2CF9AE}" pid="8" name="Official">
    <vt:lpwstr/>
  </property>
  <property fmtid="{D5CDD505-2E9C-101B-9397-08002B2CF9AE}" pid="9" name="CommencementDate">
    <vt:lpwstr>20250206</vt:lpwstr>
  </property>
  <property fmtid="{D5CDD505-2E9C-101B-9397-08002B2CF9AE}" pid="10" name="CommencementAsAt">
    <vt:filetime>2025-02-05T16:00:00Z</vt:filetime>
  </property>
  <property fmtid="{D5CDD505-2E9C-101B-9397-08002B2CF9AE}" pid="11" name="CommencementYear">
    <vt:lpwstr>2025</vt:lpwstr>
  </property>
</Properties>
</file>