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_Toc189226208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_Toc189226209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_Toc189226210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_Toc189226213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_Toc189226214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_Toc189226215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_Toc189226217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_Toc189226218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_Toc189226220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_Toc189226221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_Toc189226222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_Toc189226224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_Toc189226225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_Toc189226226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Committees, appointment of etc.</w:t>
      </w:r>
      <w:r>
        <w:tab/>
      </w:r>
      <w:r>
        <w:fldChar w:fldCharType="begin"/>
      </w:r>
      <w:r>
        <w:instrText xml:space="preserve"> PAGEREF _Toc189226227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_Toc189226228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_Toc189226230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_Toc189226232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_Toc189226233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_Toc189226234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_Toc189226236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_Toc189226238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_Toc189226239 \h </w:instrText>
      </w:r>
      <w:r>
        <w:fldChar w:fldCharType="separate"/>
      </w:r>
      <w:r>
        <w:t>35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_Toc189226240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_Toc189226241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_Toc189226242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_Toc189226243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_Toc189226244 \h </w:instrText>
      </w:r>
      <w:r>
        <w:fldChar w:fldCharType="separate"/>
      </w:r>
      <w:r>
        <w:t>40</w:t>
      </w:r>
      <w:r>
        <w:fldChar w:fldCharType="end"/>
      </w:r>
    </w:p>
    <w:p>
      <w:pPr>
        <w:pStyle w:val="TOC8"/>
        <w:rPr>
          <w:rFonts w:asciiTheme="minorHAnsi" w:eastAsiaTheme="minorEastAsia" w:hAnsiTheme="minorHAnsi" w:cstheme="minorBidi"/>
          <w:szCs w:val="22"/>
        </w:rPr>
      </w:pPr>
      <w:r>
        <w:t>27A.</w:t>
      </w:r>
      <w:r>
        <w:tab/>
        <w:t xml:space="preserve">Authorised officers to be public officers for </w:t>
      </w:r>
      <w:r>
        <w:rPr>
          <w:i/>
        </w:rPr>
        <w:t>Criminal Investigation Act 2006</w:t>
      </w:r>
      <w:r>
        <w:tab/>
      </w:r>
      <w:r>
        <w:fldChar w:fldCharType="begin"/>
      </w:r>
      <w:r>
        <w:instrText xml:space="preserve"> PAGEREF _Toc189226245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_Toc189226246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_Toc189226247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_Toc189226248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_Toc189226249 \h </w:instrText>
      </w:r>
      <w:r>
        <w:fldChar w:fldCharType="separate"/>
      </w:r>
      <w:r>
        <w:t>45</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_Toc189226250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_Toc189226251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32A.</w:t>
      </w:r>
      <w:r>
        <w:tab/>
        <w:t>Disposing of seized or forfeited things</w:t>
      </w:r>
      <w:r>
        <w:tab/>
      </w:r>
      <w:r>
        <w:fldChar w:fldCharType="begin"/>
      </w:r>
      <w:r>
        <w:instrText xml:space="preserve"> PAGEREF _Toc189226252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_Toc189226253 \h </w:instrText>
      </w:r>
      <w:r>
        <w:fldChar w:fldCharType="separate"/>
      </w:r>
      <w:r>
        <w:t>46</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_Toc189226254 \h </w:instrText>
      </w:r>
      <w:r>
        <w:fldChar w:fldCharType="separate"/>
      </w:r>
      <w:r>
        <w:t>47</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_Toc189226255 \h </w:instrText>
      </w:r>
      <w:r>
        <w:fldChar w:fldCharType="separate"/>
      </w:r>
      <w:r>
        <w:t>47</w:t>
      </w:r>
      <w:r>
        <w:fldChar w:fldCharType="end"/>
      </w:r>
    </w:p>
    <w:p>
      <w:pPr>
        <w:pStyle w:val="TOC8"/>
        <w:rPr>
          <w:rFonts w:asciiTheme="minorHAnsi" w:eastAsiaTheme="minorEastAsia" w:hAnsiTheme="minorHAnsi" w:cstheme="minorBidi"/>
          <w:szCs w:val="22"/>
        </w:rPr>
      </w:pPr>
      <w:r>
        <w:t>36.</w:t>
      </w:r>
      <w:r>
        <w:tab/>
        <w:t>Infringement notices</w:t>
      </w:r>
      <w:r>
        <w:tab/>
      </w:r>
      <w:r>
        <w:fldChar w:fldCharType="begin"/>
      </w:r>
      <w:r>
        <w:instrText xml:space="preserve"> PAGEREF _Toc189226256 \h </w:instrText>
      </w:r>
      <w:r>
        <w:fldChar w:fldCharType="separate"/>
      </w:r>
      <w:r>
        <w:t>47</w:t>
      </w:r>
      <w:r>
        <w:fldChar w:fldCharType="end"/>
      </w:r>
    </w:p>
    <w:p>
      <w:pPr>
        <w:pStyle w:val="TOC8"/>
        <w:rPr>
          <w:rFonts w:asciiTheme="minorHAnsi" w:eastAsiaTheme="minorEastAsia" w:hAnsiTheme="minorHAnsi" w:cstheme="minorBidi"/>
          <w:szCs w:val="22"/>
        </w:rPr>
      </w:pPr>
      <w:r>
        <w:t>37.</w:t>
      </w:r>
      <w:r>
        <w:tab/>
        <w:t>Liability of officers for offence by body corporate</w:t>
      </w:r>
      <w:r>
        <w:tab/>
      </w:r>
      <w:r>
        <w:fldChar w:fldCharType="begin"/>
      </w:r>
      <w:r>
        <w:instrText xml:space="preserve"> PAGEREF _Toc189226257 \h </w:instrText>
      </w:r>
      <w:r>
        <w:fldChar w:fldCharType="separate"/>
      </w:r>
      <w:r>
        <w:t>49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_Toc189226258 \h </w:instrText>
      </w:r>
      <w:r>
        <w:fldChar w:fldCharType="separate"/>
      </w:r>
      <w:r>
        <w:t>50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_Toc189226259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_Toc189226260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_Toc189226262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_Toc189226263 \h </w:instrText>
      </w:r>
      <w:r>
        <w:fldChar w:fldCharType="separate"/>
      </w:r>
      <w:r>
        <w:t>58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_Toc189226264 \h </w:instrText>
      </w:r>
      <w:r>
        <w:fldChar w:fldCharType="separate"/>
      </w:r>
      <w:r>
        <w:t>60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_Toc189226265 \h </w:instrText>
      </w:r>
      <w:r>
        <w:fldChar w:fldCharType="separate"/>
      </w:r>
      <w:r>
        <w:t>62</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_Toc189226266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_Toc189226267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_Toc189226268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_Toc189226271 \h </w:instrText>
      </w:r>
      <w:r>
        <w:fldChar w:fldCharType="separate"/>
      </w:r>
      <w:r>
        <w:t>67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_Toc189226272 \h </w:instrText>
      </w:r>
      <w:r>
        <w:fldChar w:fldCharType="separate"/>
      </w:r>
      <w:r>
        <w:t>68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_Toc189226273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_Toc189226274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_Toc189226275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_Toc189226276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_Toc189226277 \h </w:instrText>
      </w:r>
      <w:r>
        <w:fldChar w:fldCharType="separate"/>
      </w:r>
      <w:r>
        <w:t>75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_Toc189226278 \h </w:instrText>
      </w:r>
      <w:r>
        <w:fldChar w:fldCharType="separate"/>
      </w:r>
      <w:r>
        <w:t>76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_Toc189226279 \h </w:instrText>
      </w:r>
      <w:r>
        <w:fldChar w:fldCharType="separate"/>
      </w:r>
      <w:r>
        <w:t>77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_Toc189226280 \h </w:instrText>
      </w:r>
      <w:r>
        <w:fldChar w:fldCharType="separate"/>
      </w:r>
      <w:r>
        <w:t>79</w:t>
      </w:r>
      <w:r>
        <w:fldChar w:fldCharType="end"/>
      </w:r>
    </w:p>
    <w:p>
      <w:pPr>
        <w:pStyle w:val="TOC8"/>
        <w:rPr>
          <w:rFonts w:asciiTheme="minorHAnsi" w:eastAsiaTheme="minorEastAsia" w:hAnsiTheme="minorHAnsi" w:cstheme="minorBidi"/>
          <w:szCs w:val="22"/>
        </w:rPr>
      </w:pPr>
      <w:r>
        <w:lastRenderedPageBreak/>
        <w:t>56</w:t>
      </w:r>
      <w:r>
        <w:rPr>
          <w:snapToGrid w:val="0"/>
        </w:rPr>
        <w:t>.</w:t>
      </w:r>
      <w:r>
        <w:rPr>
          <w:snapToGrid w:val="0"/>
        </w:rPr>
        <w:tab/>
        <w:t>Renewing approvals, permits and certificates</w:t>
      </w:r>
      <w:r>
        <w:tab/>
      </w:r>
      <w:r>
        <w:fldChar w:fldCharType="begin"/>
      </w:r>
      <w:r>
        <w:instrText xml:space="preserve"> PAGEREF _Toc189226281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_Toc189226282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_Toc189226283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_Toc189226284 \h </w:instrText>
      </w:r>
      <w:r>
        <w:fldChar w:fldCharType="separate"/>
      </w:r>
      <w:r>
        <w:t>86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_Toc189226285 \h </w:instrText>
      </w:r>
      <w:r>
        <w:fldChar w:fldCharType="separate"/>
      </w:r>
      <w:r>
        <w:t>88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_Toc189226286 \h </w:instrText>
      </w:r>
      <w:r>
        <w:fldChar w:fldCharType="separate"/>
      </w:r>
      <w:r>
        <w:t>90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_Toc189226287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_Toc189226289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_Toc189226291 \h </w:instrText>
      </w:r>
      <w:r>
        <w:fldChar w:fldCharType="separate"/>
      </w:r>
      <w:r>
        <w:t>95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_Toc189226292 \h </w:instrText>
      </w:r>
      <w:r>
        <w:fldChar w:fldCharType="separate"/>
      </w:r>
      <w:r>
        <w:t>96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_Toc189226293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_Toc189226294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_Toc189226296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_Toc189226297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_Toc189226298 \h </w:instrText>
      </w:r>
      <w:r>
        <w:fldChar w:fldCharType="separate"/>
      </w:r>
      <w:r>
        <w:t>104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_Toc189226299 \h </w:instrText>
      </w:r>
      <w:r>
        <w:fldChar w:fldCharType="separate"/>
      </w:r>
      <w:r>
        <w:t>104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_Toc189226300 \h </w:instrText>
      </w:r>
      <w:r>
        <w:fldChar w:fldCharType="separate"/>
      </w:r>
      <w:r>
        <w:t>105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_Toc189226301 \h </w:instrText>
      </w:r>
      <w:r>
        <w:fldChar w:fldCharType="separate"/>
      </w:r>
      <w:r>
        <w:t>108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_Toc189226302 \h </w:instrText>
      </w:r>
      <w:r>
        <w:fldChar w:fldCharType="separate"/>
      </w:r>
      <w:r>
        <w:t>108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_Toc189226303 \h </w:instrText>
      </w:r>
      <w:r>
        <w:fldChar w:fldCharType="separate"/>
      </w:r>
      <w:r>
        <w:t>109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_Toc189226304 \h </w:instrText>
      </w:r>
      <w:r>
        <w:fldChar w:fldCharType="separate"/>
      </w:r>
      <w:r>
        <w:t>111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_Toc189226305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5A — Remote gambling devices</w:t>
      </w:r>
    </w:p>
    <w:p>
      <w:pPr>
        <w:pStyle w:val="TOC8"/>
        <w:rPr>
          <w:rFonts w:asciiTheme="minorHAnsi" w:eastAsiaTheme="minorEastAsia" w:hAnsiTheme="minorHAnsi" w:cstheme="minorBidi"/>
          <w:szCs w:val="22"/>
        </w:rPr>
      </w:pPr>
      <w:r>
        <w:t>93A.</w:t>
      </w:r>
      <w:r>
        <w:tab/>
        <w:t>Terms used</w:t>
      </w:r>
      <w:r>
        <w:tab/>
      </w:r>
      <w:r>
        <w:fldChar w:fldCharType="begin"/>
      </w:r>
      <w:r>
        <w:instrText xml:space="preserve"> PAGEREF _Toc189226307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93B.</w:t>
      </w:r>
      <w:r>
        <w:tab/>
        <w:t>Offences relating to remote gambling devices</w:t>
      </w:r>
      <w:r>
        <w:tab/>
      </w:r>
      <w:r>
        <w:fldChar w:fldCharType="begin"/>
      </w:r>
      <w:r>
        <w:instrText xml:space="preserve"> PAGEREF _Toc189226308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_Toc189226310 \h </w:instrText>
      </w:r>
      <w:r>
        <w:fldChar w:fldCharType="separate"/>
      </w:r>
      <w:r>
        <w:t>113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_Toc189226311 \h </w:instrText>
      </w:r>
      <w:r>
        <w:fldChar w:fldCharType="separate"/>
      </w:r>
      <w:r>
        <w:t>115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_Toc189226312 \h </w:instrText>
      </w:r>
      <w:r>
        <w:fldChar w:fldCharType="separate"/>
      </w:r>
      <w:r>
        <w:t>116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_Toc189226313 \h </w:instrText>
      </w:r>
      <w:r>
        <w:fldChar w:fldCharType="separate"/>
      </w:r>
      <w:r>
        <w:t>118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_Toc189226314 \h </w:instrText>
      </w:r>
      <w:r>
        <w:fldChar w:fldCharType="separate"/>
      </w:r>
      <w:r>
        <w:t>119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_Toc189226315 \h </w:instrText>
      </w:r>
      <w:r>
        <w:fldChar w:fldCharType="separate"/>
      </w:r>
      <w:r>
        <w:t>119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_Toc189226316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_Toc189226318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_Toc189226319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_Toc189226320 \h </w:instrText>
      </w:r>
      <w:r>
        <w:fldChar w:fldCharType="separate"/>
      </w:r>
      <w:r>
        <w:t>125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_Toc189226321 \h </w:instrText>
      </w:r>
      <w:r>
        <w:fldChar w:fldCharType="separate"/>
      </w:r>
      <w:r>
        <w:t>126</w:t>
      </w:r>
      <w:r>
        <w:fldChar w:fldCharType="end"/>
      </w:r>
    </w:p>
    <w:p>
      <w:pPr>
        <w:pStyle w:val="TOC8"/>
        <w:rPr>
          <w:rFonts w:asciiTheme="minorHAnsi" w:eastAsiaTheme="minorEastAsia" w:hAnsiTheme="minorHAnsi" w:cstheme="minorBidi"/>
          <w:szCs w:val="22"/>
        </w:rPr>
      </w:pPr>
      <w:r>
        <w:t>104AA.</w:t>
      </w:r>
      <w:r>
        <w:tab/>
        <w:t>Commission may require bank guarantee for certain standard lotteries</w:t>
      </w:r>
      <w:r>
        <w:tab/>
      </w:r>
      <w:r>
        <w:fldChar w:fldCharType="begin"/>
      </w:r>
      <w:r>
        <w:instrText xml:space="preserve"> PAGEREF _Toc189226322 \h </w:instrText>
      </w:r>
      <w:r>
        <w:fldChar w:fldCharType="separate"/>
      </w:r>
      <w:r>
        <w:t>129</w:t>
      </w:r>
      <w:r>
        <w:fldChar w:fldCharType="end"/>
      </w:r>
    </w:p>
    <w:p>
      <w:pPr>
        <w:pStyle w:val="TOC8"/>
        <w:rPr>
          <w:rFonts w:asciiTheme="minorHAnsi" w:eastAsiaTheme="minorEastAsia" w:hAnsiTheme="minorHAnsi" w:cstheme="minorBidi"/>
          <w:szCs w:val="22"/>
        </w:rPr>
      </w:pPr>
      <w:r>
        <w:t>104AB.</w:t>
      </w:r>
      <w:r>
        <w:tab/>
        <w:t>Commission’s powers if bank guarantee provided</w:t>
      </w:r>
      <w:r>
        <w:tab/>
      </w:r>
      <w:r>
        <w:fldChar w:fldCharType="begin"/>
      </w:r>
      <w:r>
        <w:instrText xml:space="preserve"> PAGEREF _Toc189226323 \h </w:instrText>
      </w:r>
      <w:r>
        <w:fldChar w:fldCharType="separate"/>
      </w:r>
      <w:r>
        <w:t>130</w:t>
      </w:r>
      <w:r>
        <w:fldChar w:fldCharType="end"/>
      </w:r>
    </w:p>
    <w:p>
      <w:pPr>
        <w:pStyle w:val="TOC8"/>
        <w:rPr>
          <w:rFonts w:asciiTheme="minorHAnsi" w:eastAsiaTheme="minorEastAsia" w:hAnsiTheme="minorHAnsi" w:cstheme="minorBidi"/>
          <w:szCs w:val="22"/>
        </w:rPr>
      </w:pPr>
      <w:r>
        <w:t>104AC.</w:t>
      </w:r>
      <w:r>
        <w:tab/>
        <w:t>Commission may demand payment under bank guarantee</w:t>
      </w:r>
      <w:r>
        <w:tab/>
      </w:r>
      <w:r>
        <w:fldChar w:fldCharType="begin"/>
      </w:r>
      <w:r>
        <w:instrText xml:space="preserve"> PAGEREF _Toc189226324 \h </w:instrText>
      </w:r>
      <w:r>
        <w:fldChar w:fldCharType="separate"/>
      </w:r>
      <w:r>
        <w:t>131</w:t>
      </w:r>
      <w:r>
        <w:fldChar w:fldCharType="end"/>
      </w:r>
    </w:p>
    <w:p>
      <w:pPr>
        <w:pStyle w:val="TOC8"/>
        <w:rPr>
          <w:rFonts w:asciiTheme="minorHAnsi" w:eastAsiaTheme="minorEastAsia" w:hAnsiTheme="minorHAnsi" w:cstheme="minorBidi"/>
          <w:szCs w:val="22"/>
        </w:rPr>
      </w:pPr>
      <w:r>
        <w:t>104AD.</w:t>
      </w:r>
      <w:r>
        <w:tab/>
        <w:t>Commission must give notice in relation to bank guarantee</w:t>
      </w:r>
      <w:r>
        <w:tab/>
      </w:r>
      <w:r>
        <w:fldChar w:fldCharType="begin"/>
      </w:r>
      <w:r>
        <w:instrText xml:space="preserve"> PAGEREF _Toc189226325 \h </w:instrText>
      </w:r>
      <w:r>
        <w:fldChar w:fldCharType="separate"/>
      </w:r>
      <w:r>
        <w:t>132</w:t>
      </w:r>
      <w:r>
        <w:fldChar w:fldCharType="end"/>
      </w:r>
    </w:p>
    <w:p>
      <w:pPr>
        <w:pStyle w:val="TOC8"/>
        <w:rPr>
          <w:rFonts w:asciiTheme="minorHAnsi" w:eastAsiaTheme="minorEastAsia" w:hAnsiTheme="minorHAnsi" w:cstheme="minorBidi"/>
          <w:szCs w:val="22"/>
        </w:rPr>
      </w:pPr>
      <w:r>
        <w:t>104AE.</w:t>
      </w:r>
      <w:r>
        <w:tab/>
        <w:t>Commission to deal with money paid under bank guarantee</w:t>
      </w:r>
      <w:r>
        <w:tab/>
      </w:r>
      <w:r>
        <w:fldChar w:fldCharType="begin"/>
      </w:r>
      <w:r>
        <w:instrText xml:space="preserve"> PAGEREF _Toc189226326 \h </w:instrText>
      </w:r>
      <w:r>
        <w:fldChar w:fldCharType="separate"/>
      </w:r>
      <w:r>
        <w:t>133</w:t>
      </w:r>
      <w:r>
        <w:fldChar w:fldCharType="end"/>
      </w:r>
    </w:p>
    <w:p>
      <w:pPr>
        <w:pStyle w:val="TOC8"/>
        <w:rPr>
          <w:rFonts w:asciiTheme="minorHAnsi" w:eastAsiaTheme="minorEastAsia" w:hAnsiTheme="minorHAnsi" w:cstheme="minorBidi"/>
          <w:szCs w:val="22"/>
        </w:rPr>
      </w:pPr>
      <w:r>
        <w:t>104AF.</w:t>
      </w:r>
      <w:r>
        <w:tab/>
        <w:t>Return of bank guarantee</w:t>
      </w:r>
      <w:r>
        <w:tab/>
      </w:r>
      <w:r>
        <w:fldChar w:fldCharType="begin"/>
      </w:r>
      <w:r>
        <w:instrText xml:space="preserve"> PAGEREF _Toc189226327 \h </w:instrText>
      </w:r>
      <w:r>
        <w:fldChar w:fldCharType="separate"/>
      </w:r>
      <w:r>
        <w:t>134</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_Toc189226328 \h </w:instrText>
      </w:r>
      <w:r>
        <w:fldChar w:fldCharType="separate"/>
      </w:r>
      <w:r>
        <w:t>134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_Toc189226329 \h </w:instrText>
      </w:r>
      <w:r>
        <w:fldChar w:fldCharType="separate"/>
      </w:r>
      <w:r>
        <w:t>134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_Toc189226330 \h </w:instrText>
      </w:r>
      <w:r>
        <w:fldChar w:fldCharType="separate"/>
      </w:r>
      <w:r>
        <w:t>136</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_Toc189226331 \h </w:instrText>
      </w:r>
      <w:r>
        <w:fldChar w:fldCharType="separate"/>
      </w:r>
      <w:r>
        <w:t>137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_Toc189226332 \h </w:instrText>
      </w:r>
      <w:r>
        <w:fldChar w:fldCharType="separate"/>
      </w:r>
      <w:r>
        <w:t>138</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_Toc189226333 \h </w:instrText>
      </w:r>
      <w:r>
        <w:fldChar w:fldCharType="separate"/>
      </w:r>
      <w:r>
        <w:t>139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_Toc189226334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104H.</w:t>
      </w:r>
      <w:r>
        <w:tab/>
        <w:t>Exemption from levy</w:t>
      </w:r>
      <w:r>
        <w:tab/>
      </w:r>
      <w:r>
        <w:fldChar w:fldCharType="begin"/>
      </w:r>
      <w:r>
        <w:instrText xml:space="preserve"> PAGEREF _Toc189226335 \h </w:instrText>
      </w:r>
      <w:r>
        <w:fldChar w:fldCharType="separate"/>
      </w:r>
      <w:r>
        <w:t>142</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_Toc189226336 \h </w:instrText>
      </w:r>
      <w:r>
        <w:fldChar w:fldCharType="separate"/>
      </w:r>
      <w:r>
        <w:t>142</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_Toc189226337 \h </w:instrText>
      </w:r>
      <w:r>
        <w:fldChar w:fldCharType="separate"/>
      </w:r>
      <w:r>
        <w:t>142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_Toc189226338 \h </w:instrText>
      </w:r>
      <w:r>
        <w:fldChar w:fldCharType="separate"/>
      </w:r>
      <w:r>
        <w:t>144</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_Toc189226339 \h </w:instrText>
      </w:r>
      <w:r>
        <w:fldChar w:fldCharType="separate"/>
      </w:r>
      <w:r>
        <w:t>144</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_Toc189226340 \h </w:instrText>
      </w:r>
      <w:r>
        <w:fldChar w:fldCharType="separate"/>
      </w:r>
      <w:r>
        <w:t>145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_Toc189226341 \h </w:instrText>
      </w:r>
      <w:r>
        <w:fldChar w:fldCharType="separate"/>
      </w:r>
      <w:r>
        <w:t>146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_Toc189226342 \h </w:instrText>
      </w:r>
      <w:r>
        <w:fldChar w:fldCharType="separate"/>
      </w:r>
      <w:r>
        <w:t>147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_Toc189226343 \h </w:instrText>
      </w:r>
      <w:r>
        <w:fldChar w:fldCharType="separate"/>
      </w:r>
      <w:r>
        <w:t>148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_Toc189226344 \h </w:instrText>
      </w:r>
      <w:r>
        <w:fldChar w:fldCharType="separate"/>
      </w:r>
      <w:r>
        <w:t>150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_Toc189226345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_Toc189226347 \h </w:instrText>
      </w:r>
      <w:r>
        <w:fldChar w:fldCharType="separate"/>
      </w:r>
      <w:r>
        <w:t>152</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_Toc189226348 \h </w:instrText>
      </w:r>
      <w:r>
        <w:fldChar w:fldCharType="separate"/>
      </w:r>
      <w:r>
        <w:t>153</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_Toc189226349 \h </w:instrText>
      </w:r>
      <w:r>
        <w:fldChar w:fldCharType="separate"/>
      </w:r>
      <w:r>
        <w:t>154</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_Toc189226350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_Toc189226352 \h </w:instrText>
      </w:r>
      <w:r>
        <w:fldChar w:fldCharType="separate"/>
      </w:r>
      <w:r>
        <w:t>157</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_Toc189226353 \h </w:instrText>
      </w:r>
      <w:r>
        <w:fldChar w:fldCharType="separate"/>
      </w:r>
      <w:r>
        <w:t>157</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_Toc189226354 \h </w:instrText>
      </w:r>
      <w:r>
        <w:fldChar w:fldCharType="separate"/>
      </w:r>
      <w:r>
        <w:t>158</w:t>
      </w:r>
      <w:r>
        <w:fldChar w:fldCharType="end"/>
      </w:r>
    </w:p>
    <w:p>
      <w:pPr>
        <w:pStyle w:val="TOC8"/>
        <w:rPr>
          <w:rFonts w:asciiTheme="minorHAnsi" w:eastAsiaTheme="minorEastAsia" w:hAnsiTheme="minorHAnsi" w:cstheme="minorBidi"/>
          <w:szCs w:val="22"/>
        </w:rPr>
      </w:pPr>
      <w:r>
        <w:t>109H.</w:t>
      </w:r>
      <w:r>
        <w:tab/>
        <w:t>Contravention of directions</w:t>
      </w:r>
      <w:r>
        <w:tab/>
      </w:r>
      <w:r>
        <w:fldChar w:fldCharType="begin"/>
      </w:r>
      <w:r>
        <w:instrText xml:space="preserve"> PAGEREF _Toc189226355 \h </w:instrText>
      </w:r>
      <w:r>
        <w:fldChar w:fldCharType="separate"/>
      </w:r>
      <w:r>
        <w:t>159</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_Toc189226356 \h </w:instrText>
      </w:r>
      <w:r>
        <w:fldChar w:fldCharType="separate"/>
      </w:r>
      <w:r>
        <w:t>160</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_Toc189226357 \h </w:instrText>
      </w:r>
      <w:r>
        <w:fldChar w:fldCharType="separate"/>
      </w:r>
      <w:r>
        <w:t>160</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_Toc189226358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_Toc189226360 \h </w:instrText>
      </w:r>
      <w:r>
        <w:fldChar w:fldCharType="separate"/>
      </w:r>
      <w:r>
        <w:t>164</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_Toc189226361 \h </w:instrText>
      </w:r>
      <w:r>
        <w:fldChar w:fldCharType="separate"/>
      </w:r>
      <w:r>
        <w:t>165</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_Toc189226362 \h </w:instrText>
      </w:r>
      <w:r>
        <w:fldChar w:fldCharType="separate"/>
      </w:r>
      <w:r>
        <w:t>165</w:t>
      </w:r>
      <w:r>
        <w:fldChar w:fldCharType="end"/>
      </w:r>
    </w:p>
    <w:p>
      <w:pPr>
        <w:pStyle w:val="TOC8"/>
        <w:rPr>
          <w:rFonts w:asciiTheme="minorHAnsi" w:eastAsiaTheme="minorEastAsia" w:hAnsiTheme="minorHAnsi" w:cstheme="minorBidi"/>
          <w:szCs w:val="22"/>
        </w:rPr>
      </w:pPr>
      <w:r>
        <w:t>110C.</w:t>
      </w:r>
      <w:r>
        <w:tab/>
        <w:t>Provision of information to Commission</w:t>
      </w:r>
      <w:r>
        <w:tab/>
      </w:r>
      <w:r>
        <w:fldChar w:fldCharType="begin"/>
      </w:r>
      <w:r>
        <w:instrText xml:space="preserve"> PAGEREF _Toc189226363 \h </w:instrText>
      </w:r>
      <w:r>
        <w:fldChar w:fldCharType="separate"/>
      </w:r>
      <w:r>
        <w:t>167</w:t>
      </w:r>
      <w:r>
        <w:fldChar w:fldCharType="end"/>
      </w:r>
    </w:p>
    <w:p>
      <w:pPr>
        <w:pStyle w:val="TOC8"/>
        <w:rPr>
          <w:rFonts w:asciiTheme="minorHAnsi" w:eastAsiaTheme="minorEastAsia" w:hAnsiTheme="minorHAnsi" w:cstheme="minorBidi"/>
          <w:szCs w:val="22"/>
        </w:rPr>
      </w:pPr>
      <w:r>
        <w:t>110D.</w:t>
      </w:r>
      <w:r>
        <w:tab/>
        <w:t>Delegation by CEO</w:t>
      </w:r>
      <w:r>
        <w:tab/>
      </w:r>
      <w:r>
        <w:fldChar w:fldCharType="begin"/>
      </w:r>
      <w:r>
        <w:instrText xml:space="preserve"> PAGEREF _Toc189226364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Burswood Casino Agreement cl. 22, when Commission may decide questions as to</w:t>
      </w:r>
      <w:r>
        <w:tab/>
      </w:r>
      <w:r>
        <w:fldChar w:fldCharType="begin"/>
      </w:r>
      <w:r>
        <w:instrText xml:space="preserve"> PAGEREF _Toc189226365 \h </w:instrText>
      </w:r>
      <w:r>
        <w:fldChar w:fldCharType="separate"/>
      </w:r>
      <w:r>
        <w:t>168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_Toc189226366 \h </w:instrText>
      </w:r>
      <w:r>
        <w:fldChar w:fldCharType="separate"/>
      </w:r>
      <w:r>
        <w:t>168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_Toc189226367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rPr>
        <w:t>Gambling Legislation Amendment Act 2024</w:t>
      </w:r>
    </w:p>
    <w:p>
      <w:pPr>
        <w:pStyle w:val="TOC8"/>
        <w:rPr>
          <w:rFonts w:asciiTheme="minorHAnsi" w:eastAsiaTheme="minorEastAsia" w:hAnsiTheme="minorHAnsi" w:cstheme="minorBidi"/>
          <w:szCs w:val="22"/>
        </w:rPr>
      </w:pPr>
      <w:r>
        <w:t>118.</w:t>
      </w:r>
      <w:r>
        <w:tab/>
        <w:t>Term used: commencement day</w:t>
      </w:r>
      <w:r>
        <w:tab/>
      </w:r>
      <w:r>
        <w:fldChar w:fldCharType="begin"/>
      </w:r>
      <w:r>
        <w:instrText xml:space="preserve"> PAGEREF _Toc189226369 \h </w:instrText>
      </w:r>
      <w:r>
        <w:fldChar w:fldCharType="separate"/>
      </w:r>
      <w:r>
        <w:t>171</w:t>
      </w:r>
      <w:r>
        <w:fldChar w:fldCharType="end"/>
      </w:r>
    </w:p>
    <w:p>
      <w:pPr>
        <w:pStyle w:val="TOC8"/>
        <w:rPr>
          <w:rFonts w:asciiTheme="minorHAnsi" w:eastAsiaTheme="minorEastAsia" w:hAnsiTheme="minorHAnsi" w:cstheme="minorBidi"/>
          <w:szCs w:val="22"/>
        </w:rPr>
      </w:pPr>
      <w:r>
        <w:t>119.</w:t>
      </w:r>
      <w:r>
        <w:tab/>
        <w:t xml:space="preserve">Application of </w:t>
      </w:r>
      <w:r>
        <w:rPr>
          <w:i/>
        </w:rPr>
        <w:t>Interpretation Act 1984</w:t>
      </w:r>
      <w:r>
        <w:tab/>
      </w:r>
      <w:r>
        <w:fldChar w:fldCharType="begin"/>
      </w:r>
      <w:r>
        <w:instrText xml:space="preserve"> PAGEREF _Toc189226370 \h </w:instrText>
      </w:r>
      <w:r>
        <w:fldChar w:fldCharType="separate"/>
      </w:r>
      <w:r>
        <w:t>171</w:t>
      </w:r>
      <w:r>
        <w:fldChar w:fldCharType="end"/>
      </w:r>
    </w:p>
    <w:p>
      <w:pPr>
        <w:pStyle w:val="TOC8"/>
        <w:rPr>
          <w:rFonts w:asciiTheme="minorHAnsi" w:eastAsiaTheme="minorEastAsia" w:hAnsiTheme="minorHAnsi" w:cstheme="minorBidi"/>
          <w:szCs w:val="22"/>
        </w:rPr>
      </w:pPr>
      <w:r>
        <w:t>120.</w:t>
      </w:r>
      <w:r>
        <w:tab/>
        <w:t>Infringement notices</w:t>
      </w:r>
      <w:r>
        <w:tab/>
      </w:r>
      <w:r>
        <w:fldChar w:fldCharType="begin"/>
      </w:r>
      <w:r>
        <w:instrText xml:space="preserve"> PAGEREF _Toc189226371 \h </w:instrText>
      </w:r>
      <w:r>
        <w:fldChar w:fldCharType="separate"/>
      </w:r>
      <w:r>
        <w:t>171</w:t>
      </w:r>
      <w:r>
        <w:fldChar w:fldCharType="end"/>
      </w:r>
    </w:p>
    <w:p>
      <w:pPr>
        <w:pStyle w:val="TOC8"/>
        <w:rPr>
          <w:rFonts w:asciiTheme="minorHAnsi" w:eastAsiaTheme="minorEastAsia" w:hAnsiTheme="minorHAnsi" w:cstheme="minorBidi"/>
          <w:szCs w:val="22"/>
        </w:rPr>
      </w:pPr>
      <w:r>
        <w:t>121.</w:t>
      </w:r>
      <w:r>
        <w:tab/>
        <w:t>Gaming Community Trust Account and Racing Bets Levy Account</w:t>
      </w:r>
      <w:r>
        <w:tab/>
      </w:r>
      <w:r>
        <w:fldChar w:fldCharType="begin"/>
      </w:r>
      <w:r>
        <w:instrText xml:space="preserve"> PAGEREF _Toc189226372 \h </w:instrText>
      </w:r>
      <w:r>
        <w:fldChar w:fldCharType="separate"/>
      </w:r>
      <w:r>
        <w:t>172</w:t>
      </w:r>
      <w:r>
        <w:fldChar w:fldCharType="end"/>
      </w:r>
    </w:p>
    <w:p>
      <w:pPr>
        <w:pStyle w:val="TOC8"/>
        <w:rPr>
          <w:rFonts w:asciiTheme="minorHAnsi" w:eastAsiaTheme="minorEastAsia" w:hAnsiTheme="minorHAnsi" w:cstheme="minorBidi"/>
          <w:szCs w:val="22"/>
        </w:rPr>
      </w:pPr>
      <w:r>
        <w:t>122.</w:t>
      </w:r>
      <w:r>
        <w:tab/>
        <w:t>Sports Wagering Account</w:t>
      </w:r>
      <w:r>
        <w:tab/>
      </w:r>
      <w:r>
        <w:fldChar w:fldCharType="begin"/>
      </w:r>
      <w:r>
        <w:instrText xml:space="preserve"> PAGEREF _Toc189226373 \h </w:instrText>
      </w:r>
      <w:r>
        <w:fldChar w:fldCharType="separate"/>
      </w:r>
      <w:r>
        <w:t>172</w:t>
      </w:r>
      <w:r>
        <w:fldChar w:fldCharType="end"/>
      </w:r>
    </w:p>
    <w:p>
      <w:pPr>
        <w:pStyle w:val="TOC8"/>
        <w:rPr>
          <w:rFonts w:asciiTheme="minorHAnsi" w:eastAsiaTheme="minorEastAsia" w:hAnsiTheme="minorHAnsi" w:cstheme="minorBidi"/>
          <w:szCs w:val="22"/>
        </w:rPr>
      </w:pPr>
      <w:r>
        <w:t>123.</w:t>
      </w:r>
      <w:r>
        <w:tab/>
        <w:t>Transitional regulations</w:t>
      </w:r>
      <w:r>
        <w:tab/>
      </w:r>
      <w:r>
        <w:fldChar w:fldCharType="begin"/>
      </w:r>
      <w:r>
        <w:instrText xml:space="preserve"> PAGEREF _Toc189226374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_Toc189226376 \h </w:instrText>
      </w:r>
      <w:r>
        <w:fldChar w:fldCharType="separate"/>
      </w:r>
      <w:r>
        <w:t>174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_Toc189226377 \h </w:instrText>
      </w:r>
      <w:r>
        <w:fldChar w:fldCharType="separate"/>
      </w:r>
      <w:r>
        <w:t>178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_Toc189226378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2" w:name="_Toc189221389"/>
      <w:bookmarkStart w:id="3" w:name="_Toc189221807"/>
      <w:bookmarkStart w:id="4" w:name="_Toc18922620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922620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6" w:name="_Toc18922620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18922621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lastRenderedPageBreak/>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lastRenderedPageBreak/>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lastRenderedPageBreak/>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w:t>
      </w:r>
      <w:r>
        <w:lastRenderedPageBreak/>
        <w:t>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rPr>
          <w:iCs/>
        </w:rPr>
      </w:pPr>
      <w:r>
        <w:tab/>
      </w:r>
      <w:r>
        <w:rPr>
          <w:rStyle w:val="CharDefText"/>
        </w:rPr>
        <w:t>Sport and Recreation Department</w:t>
      </w:r>
      <w:r>
        <w:t xml:space="preserve"> means the department of the Public Service assisting the Sport and Recreation Minister in the administration of the </w:t>
      </w:r>
      <w:r>
        <w:rPr>
          <w:i/>
        </w:rPr>
        <w:t>Sports Drug Testing Act 2001</w:t>
      </w:r>
      <w:r>
        <w:rPr>
          <w:iCs/>
        </w:rPr>
        <w:t>;</w:t>
      </w:r>
    </w:p>
    <w:p>
      <w:pPr>
        <w:pStyle w:val="Defstart"/>
        <w:rPr>
          <w:iCs/>
        </w:rPr>
      </w:pPr>
      <w:r>
        <w:tab/>
      </w:r>
      <w:r>
        <w:rPr>
          <w:rStyle w:val="CharDefText"/>
        </w:rPr>
        <w:t>Sport and Recreation Minister</w:t>
      </w:r>
      <w:r>
        <w:t xml:space="preserve"> means the Minister to whom the administration of the </w:t>
      </w:r>
      <w:r>
        <w:rPr>
          <w:i/>
        </w:rPr>
        <w:t>Sports Drug Testing Act 2001</w:t>
      </w:r>
      <w:r>
        <w:t xml:space="preserve"> </w:t>
      </w:r>
      <w:r>
        <w:rPr>
          <w:iCs/>
        </w:rPr>
        <w:t>is for the time being committed;</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lastRenderedPageBreak/>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lastRenderedPageBreak/>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lastRenderedPageBreak/>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 No. 53 of 2024 s. 43.]</w:t>
      </w:r>
    </w:p>
    <w:p>
      <w:pPr>
        <w:pStyle w:val="Heading2"/>
      </w:pPr>
      <w:bookmarkStart w:id="8" w:name="_Toc189221393"/>
      <w:bookmarkStart w:id="9" w:name="_Toc189221811"/>
      <w:bookmarkStart w:id="10" w:name="_Toc189226211"/>
      <w:r>
        <w:rPr>
          <w:rStyle w:val="CharPartNo"/>
        </w:rPr>
        <w:lastRenderedPageBreak/>
        <w:t>Part II</w:t>
      </w:r>
      <w:r>
        <w:t> — </w:t>
      </w:r>
      <w:r>
        <w:rPr>
          <w:rStyle w:val="CharPartText"/>
        </w:rPr>
        <w:t>The Commission</w:t>
      </w:r>
      <w:bookmarkEnd w:id="8"/>
      <w:bookmarkEnd w:id="9"/>
      <w:bookmarkEnd w:id="10"/>
    </w:p>
    <w:p>
      <w:pPr>
        <w:pStyle w:val="Heading3"/>
      </w:pPr>
      <w:bookmarkStart w:id="11" w:name="_Toc189221394"/>
      <w:bookmarkStart w:id="12" w:name="_Toc189221812"/>
      <w:bookmarkStart w:id="13" w:name="_Toc189226212"/>
      <w:r>
        <w:rPr>
          <w:rStyle w:val="CharDivNo"/>
        </w:rPr>
        <w:t>Division 1</w:t>
      </w:r>
      <w:r>
        <w:rPr>
          <w:snapToGrid w:val="0"/>
        </w:rPr>
        <w:t> — </w:t>
      </w:r>
      <w:r>
        <w:rPr>
          <w:rStyle w:val="CharDivText"/>
        </w:rPr>
        <w:t>Administration</w:t>
      </w:r>
      <w:bookmarkEnd w:id="11"/>
      <w:bookmarkEnd w:id="12"/>
      <w:bookmarkEnd w:id="13"/>
    </w:p>
    <w:p>
      <w:pPr>
        <w:pStyle w:val="Heading5"/>
        <w:rPr>
          <w:snapToGrid w:val="0"/>
        </w:rPr>
      </w:pPr>
      <w:bookmarkStart w:id="14" w:name="_Toc189226213"/>
      <w:r>
        <w:rPr>
          <w:rStyle w:val="CharSectno"/>
        </w:rPr>
        <w:t>4</w:t>
      </w:r>
      <w:r>
        <w:rPr>
          <w:snapToGrid w:val="0"/>
        </w:rPr>
        <w:t>.</w:t>
      </w:r>
      <w:r>
        <w:rPr>
          <w:snapToGrid w:val="0"/>
        </w:rPr>
        <w:tab/>
        <w:t>Gaming and Wagering Commission established</w:t>
      </w:r>
      <w:bookmarkEnd w:id="14"/>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15" w:name="_Toc189226214"/>
      <w:r>
        <w:rPr>
          <w:rStyle w:val="CharSectno"/>
        </w:rPr>
        <w:t>5</w:t>
      </w:r>
      <w:r>
        <w:rPr>
          <w:snapToGrid w:val="0"/>
        </w:rPr>
        <w:t>.</w:t>
      </w:r>
      <w:r>
        <w:rPr>
          <w:snapToGrid w:val="0"/>
        </w:rPr>
        <w:tab/>
        <w:t>Trading name or symbol, use of by Commission</w:t>
      </w:r>
      <w:bookmarkEnd w:id="15"/>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 w:name="_Toc189226215"/>
      <w:r>
        <w:rPr>
          <w:rStyle w:val="CharSectno"/>
        </w:rPr>
        <w:lastRenderedPageBreak/>
        <w:t>6</w:t>
      </w:r>
      <w:r>
        <w:rPr>
          <w:snapToGrid w:val="0"/>
        </w:rPr>
        <w:t>.</w:t>
      </w:r>
      <w:r>
        <w:rPr>
          <w:snapToGrid w:val="0"/>
        </w:rPr>
        <w:tab/>
        <w:t>Minister and Commission, relationship between</w:t>
      </w:r>
      <w:bookmarkEnd w:id="16"/>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17" w:name="_Toc189221398"/>
      <w:bookmarkStart w:id="18" w:name="_Toc189221816"/>
      <w:bookmarkStart w:id="19" w:name="_Toc189226216"/>
      <w:r>
        <w:rPr>
          <w:rStyle w:val="CharDivNo"/>
        </w:rPr>
        <w:t>Division 2</w:t>
      </w:r>
      <w:r>
        <w:rPr>
          <w:snapToGrid w:val="0"/>
        </w:rPr>
        <w:t> — </w:t>
      </w:r>
      <w:r>
        <w:rPr>
          <w:rStyle w:val="CharDivText"/>
        </w:rPr>
        <w:t>Duties and powers</w:t>
      </w:r>
      <w:bookmarkEnd w:id="17"/>
      <w:bookmarkEnd w:id="18"/>
      <w:bookmarkEnd w:id="19"/>
    </w:p>
    <w:p>
      <w:pPr>
        <w:pStyle w:val="Heading5"/>
        <w:rPr>
          <w:snapToGrid w:val="0"/>
        </w:rPr>
      </w:pPr>
      <w:bookmarkStart w:id="20" w:name="_Toc189226217"/>
      <w:r>
        <w:rPr>
          <w:rStyle w:val="CharSectno"/>
        </w:rPr>
        <w:t>7</w:t>
      </w:r>
      <w:r>
        <w:rPr>
          <w:snapToGrid w:val="0"/>
        </w:rPr>
        <w:t>.</w:t>
      </w:r>
      <w:r>
        <w:rPr>
          <w:snapToGrid w:val="0"/>
        </w:rPr>
        <w:tab/>
        <w:t>Duties of Commission</w:t>
      </w:r>
      <w:bookmarkEnd w:id="20"/>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lastRenderedPageBreak/>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lastRenderedPageBreak/>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21" w:name="_Toc189226218"/>
      <w:r>
        <w:rPr>
          <w:rStyle w:val="CharSectno"/>
        </w:rPr>
        <w:t>8</w:t>
      </w:r>
      <w:r>
        <w:rPr>
          <w:snapToGrid w:val="0"/>
        </w:rPr>
        <w:t>.</w:t>
      </w:r>
      <w:r>
        <w:rPr>
          <w:snapToGrid w:val="0"/>
        </w:rPr>
        <w:tab/>
        <w:t>Powers of Commission</w:t>
      </w:r>
      <w:bookmarkEnd w:id="21"/>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lastRenderedPageBreak/>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lastRenderedPageBreak/>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22" w:name="_Toc189221401"/>
      <w:bookmarkStart w:id="23" w:name="_Toc189221819"/>
      <w:bookmarkStart w:id="24" w:name="_Toc189226219"/>
      <w:r>
        <w:rPr>
          <w:rStyle w:val="CharDivNo"/>
        </w:rPr>
        <w:t>Division 3</w:t>
      </w:r>
      <w:r>
        <w:rPr>
          <w:snapToGrid w:val="0"/>
        </w:rPr>
        <w:t> — </w:t>
      </w:r>
      <w:r>
        <w:rPr>
          <w:rStyle w:val="CharDivText"/>
        </w:rPr>
        <w:t>Finance</w:t>
      </w:r>
      <w:bookmarkEnd w:id="22"/>
      <w:bookmarkEnd w:id="23"/>
      <w:bookmarkEnd w:id="24"/>
    </w:p>
    <w:p>
      <w:pPr>
        <w:pStyle w:val="Heading5"/>
        <w:rPr>
          <w:snapToGrid w:val="0"/>
        </w:rPr>
      </w:pPr>
      <w:bookmarkStart w:id="25" w:name="_Toc189226220"/>
      <w:r>
        <w:rPr>
          <w:rStyle w:val="CharSectno"/>
        </w:rPr>
        <w:t>9</w:t>
      </w:r>
      <w:r>
        <w:rPr>
          <w:snapToGrid w:val="0"/>
        </w:rPr>
        <w:t>.</w:t>
      </w:r>
      <w:r>
        <w:rPr>
          <w:snapToGrid w:val="0"/>
        </w:rPr>
        <w:tab/>
        <w:t>Funds of Commission; financial provisions</w:t>
      </w:r>
      <w:bookmarkEnd w:id="25"/>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lastRenderedPageBreak/>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lastRenderedPageBreak/>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 No. 53 of 2024 s. 44.]</w:t>
      </w:r>
    </w:p>
    <w:p>
      <w:pPr>
        <w:pStyle w:val="Heading5"/>
        <w:rPr>
          <w:snapToGrid w:val="0"/>
        </w:rPr>
      </w:pPr>
      <w:bookmarkStart w:id="26" w:name="_Toc189226221"/>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2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27" w:name="_Toc189226222"/>
      <w:r>
        <w:rPr>
          <w:rStyle w:val="CharSectno"/>
        </w:rPr>
        <w:lastRenderedPageBreak/>
        <w:t>11</w:t>
      </w:r>
      <w:r>
        <w:rPr>
          <w:snapToGrid w:val="0"/>
        </w:rPr>
        <w:t>.</w:t>
      </w:r>
      <w:r>
        <w:rPr>
          <w:snapToGrid w:val="0"/>
        </w:rPr>
        <w:tab/>
        <w:t>Some dealings by Commission need Treasurer’s approval</w:t>
      </w:r>
      <w:bookmarkEnd w:id="27"/>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28" w:name="_Toc189221405"/>
      <w:bookmarkStart w:id="29" w:name="_Toc189221823"/>
      <w:bookmarkStart w:id="30" w:name="_Toc189226223"/>
      <w:r>
        <w:rPr>
          <w:rStyle w:val="CharDivNo"/>
        </w:rPr>
        <w:t>Division 4</w:t>
      </w:r>
      <w:r>
        <w:rPr>
          <w:snapToGrid w:val="0"/>
        </w:rPr>
        <w:t> — </w:t>
      </w:r>
      <w:r>
        <w:rPr>
          <w:rStyle w:val="CharDivText"/>
        </w:rPr>
        <w:t>Membership, co</w:t>
      </w:r>
      <w:r>
        <w:rPr>
          <w:rStyle w:val="CharDivText"/>
        </w:rPr>
        <w:noBreakHyphen/>
        <w:t>option, consultation and committees</w:t>
      </w:r>
      <w:bookmarkEnd w:id="28"/>
      <w:bookmarkEnd w:id="29"/>
      <w:bookmarkEnd w:id="30"/>
    </w:p>
    <w:p>
      <w:pPr>
        <w:pStyle w:val="Heading5"/>
        <w:rPr>
          <w:snapToGrid w:val="0"/>
        </w:rPr>
      </w:pPr>
      <w:bookmarkStart w:id="31" w:name="_Toc189226224"/>
      <w:r>
        <w:rPr>
          <w:rStyle w:val="CharSectno"/>
        </w:rPr>
        <w:t>12</w:t>
      </w:r>
      <w:r>
        <w:rPr>
          <w:snapToGrid w:val="0"/>
        </w:rPr>
        <w:t>.</w:t>
      </w:r>
      <w:r>
        <w:rPr>
          <w:snapToGrid w:val="0"/>
        </w:rPr>
        <w:tab/>
        <w:t>Members of Commission, attendance at meetings etc.</w:t>
      </w:r>
      <w:bookmarkEnd w:id="31"/>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lastRenderedPageBreak/>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lastRenderedPageBreak/>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lastRenderedPageBreak/>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32" w:name="_Toc189226225"/>
      <w:r>
        <w:rPr>
          <w:rStyle w:val="CharSectno"/>
        </w:rPr>
        <w:t>13</w:t>
      </w:r>
      <w:r>
        <w:rPr>
          <w:snapToGrid w:val="0"/>
        </w:rPr>
        <w:t>.</w:t>
      </w:r>
      <w:r>
        <w:rPr>
          <w:snapToGrid w:val="0"/>
        </w:rPr>
        <w:tab/>
        <w:t>Remuneration of members; effect of service with Commission on public servants</w:t>
      </w:r>
      <w:bookmarkEnd w:id="32"/>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w:t>
      </w:r>
      <w:r>
        <w:rPr>
          <w:snapToGrid w:val="0"/>
        </w:rPr>
        <w:lastRenderedPageBreak/>
        <w:t>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33" w:name="_Toc189226226"/>
      <w:r>
        <w:rPr>
          <w:rStyle w:val="CharSectno"/>
        </w:rPr>
        <w:t>14</w:t>
      </w:r>
      <w:r>
        <w:rPr>
          <w:snapToGrid w:val="0"/>
        </w:rPr>
        <w:t>.</w:t>
      </w:r>
      <w:r>
        <w:rPr>
          <w:snapToGrid w:val="0"/>
        </w:rPr>
        <w:tab/>
        <w:t>Co</w:t>
      </w:r>
      <w:r>
        <w:rPr>
          <w:snapToGrid w:val="0"/>
        </w:rPr>
        <w:noBreakHyphen/>
        <w:t>option, consultation etc., Commission’s powers as to</w:t>
      </w:r>
      <w:bookmarkEnd w:id="33"/>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lastRenderedPageBreak/>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4" w:name="_Toc189226227"/>
      <w:r>
        <w:rPr>
          <w:rStyle w:val="CharSectno"/>
        </w:rPr>
        <w:t>15</w:t>
      </w:r>
      <w:r>
        <w:rPr>
          <w:snapToGrid w:val="0"/>
        </w:rPr>
        <w:t>.</w:t>
      </w:r>
      <w:r>
        <w:rPr>
          <w:snapToGrid w:val="0"/>
        </w:rPr>
        <w:tab/>
        <w:t>Committees, appointment of etc.</w:t>
      </w:r>
      <w:bookmarkEnd w:id="34"/>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35" w:name="_Toc189226228"/>
      <w:r>
        <w:rPr>
          <w:rStyle w:val="CharSectno"/>
        </w:rPr>
        <w:t>16</w:t>
      </w:r>
      <w:r>
        <w:rPr>
          <w:snapToGrid w:val="0"/>
        </w:rPr>
        <w:t>.</w:t>
      </w:r>
      <w:r>
        <w:rPr>
          <w:snapToGrid w:val="0"/>
        </w:rPr>
        <w:tab/>
        <w:t>Delegation powers</w:t>
      </w:r>
      <w:bookmarkEnd w:id="35"/>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lastRenderedPageBreak/>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36" w:name="_Toc189221411"/>
      <w:bookmarkStart w:id="37" w:name="_Toc189221829"/>
      <w:bookmarkStart w:id="38" w:name="_Toc189226229"/>
      <w:r>
        <w:rPr>
          <w:rStyle w:val="CharDivNo"/>
        </w:rPr>
        <w:t>Division 5</w:t>
      </w:r>
      <w:r>
        <w:rPr>
          <w:snapToGrid w:val="0"/>
        </w:rPr>
        <w:t> — </w:t>
      </w:r>
      <w:r>
        <w:rPr>
          <w:rStyle w:val="CharDivText"/>
        </w:rPr>
        <w:t>Proceedings</w:t>
      </w:r>
      <w:bookmarkEnd w:id="36"/>
      <w:bookmarkEnd w:id="37"/>
      <w:bookmarkEnd w:id="38"/>
    </w:p>
    <w:p>
      <w:pPr>
        <w:pStyle w:val="Heading5"/>
        <w:rPr>
          <w:snapToGrid w:val="0"/>
        </w:rPr>
      </w:pPr>
      <w:bookmarkStart w:id="39" w:name="_Toc189226230"/>
      <w:r>
        <w:rPr>
          <w:rStyle w:val="CharSectno"/>
        </w:rPr>
        <w:t>17</w:t>
      </w:r>
      <w:r>
        <w:rPr>
          <w:snapToGrid w:val="0"/>
        </w:rPr>
        <w:t>.</w:t>
      </w:r>
      <w:r>
        <w:rPr>
          <w:snapToGrid w:val="0"/>
        </w:rPr>
        <w:tab/>
        <w:t>Proceedings, meetings, declaring interests etc.</w:t>
      </w:r>
      <w:bookmarkEnd w:id="39"/>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w:t>
      </w:r>
      <w:r>
        <w:rPr>
          <w:snapToGrid w:val="0"/>
        </w:rPr>
        <w:lastRenderedPageBreak/>
        <w:t>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lastRenderedPageBreak/>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40" w:name="_Toc189221413"/>
      <w:bookmarkStart w:id="41" w:name="_Toc189221831"/>
      <w:bookmarkStart w:id="42" w:name="_Toc189226231"/>
      <w:r>
        <w:rPr>
          <w:rStyle w:val="CharDivNo"/>
        </w:rPr>
        <w:t>Division 6</w:t>
      </w:r>
      <w:r>
        <w:rPr>
          <w:snapToGrid w:val="0"/>
        </w:rPr>
        <w:t> — </w:t>
      </w:r>
      <w:r>
        <w:rPr>
          <w:rStyle w:val="CharDivText"/>
        </w:rPr>
        <w:t>Staff, etc.</w:t>
      </w:r>
      <w:bookmarkEnd w:id="40"/>
      <w:bookmarkEnd w:id="41"/>
      <w:bookmarkEnd w:id="42"/>
    </w:p>
    <w:p>
      <w:pPr>
        <w:pStyle w:val="Heading5"/>
        <w:rPr>
          <w:snapToGrid w:val="0"/>
        </w:rPr>
      </w:pPr>
      <w:bookmarkStart w:id="43" w:name="_Toc189226232"/>
      <w:r>
        <w:rPr>
          <w:rStyle w:val="CharSectno"/>
        </w:rPr>
        <w:t>18</w:t>
      </w:r>
      <w:r>
        <w:rPr>
          <w:snapToGrid w:val="0"/>
        </w:rPr>
        <w:t>.</w:t>
      </w:r>
      <w:r>
        <w:rPr>
          <w:snapToGrid w:val="0"/>
        </w:rPr>
        <w:tab/>
        <w:t>Staff, contractors etc.; Commission may ask Commissioner of Police to inquire etc. into various matters</w:t>
      </w:r>
      <w:bookmarkEnd w:id="4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w:t>
      </w:r>
      <w:r>
        <w:lastRenderedPageBreak/>
        <w:t xml:space="preserve">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lastRenderedPageBreak/>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44" w:name="_Toc189226233"/>
      <w:r>
        <w:rPr>
          <w:rStyle w:val="CharSectno"/>
        </w:rPr>
        <w:t>19</w:t>
      </w:r>
      <w:r>
        <w:rPr>
          <w:snapToGrid w:val="0"/>
        </w:rPr>
        <w:t>.</w:t>
      </w:r>
      <w:r>
        <w:rPr>
          <w:snapToGrid w:val="0"/>
        </w:rPr>
        <w:tab/>
        <w:t>Government departments, statutory bodies etc. to assist Commission</w:t>
      </w:r>
      <w:bookmarkEnd w:id="44"/>
    </w:p>
    <w:p>
      <w:pPr>
        <w:pStyle w:val="Subsection"/>
        <w:spacing w:before="100"/>
        <w:rPr>
          <w:snapToGrid w:val="0"/>
        </w:rPr>
      </w:pPr>
      <w:r>
        <w:rPr>
          <w:snapToGrid w:val="0"/>
        </w:rPr>
        <w:tab/>
        <w:t>(1)</w:t>
      </w:r>
      <w:r>
        <w:rPr>
          <w:snapToGrid w:val="0"/>
        </w:rPr>
        <w:tab/>
        <w:t xml:space="preserve">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w:t>
      </w:r>
      <w:r>
        <w:rPr>
          <w:snapToGrid w:val="0"/>
        </w:rPr>
        <w:lastRenderedPageBreak/>
        <w:t>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45" w:name="_Toc189226234"/>
      <w:r>
        <w:rPr>
          <w:rStyle w:val="CharSectno"/>
        </w:rPr>
        <w:t>20</w:t>
      </w:r>
      <w:r>
        <w:rPr>
          <w:snapToGrid w:val="0"/>
        </w:rPr>
        <w:t>.</w:t>
      </w:r>
      <w:r>
        <w:rPr>
          <w:snapToGrid w:val="0"/>
        </w:rPr>
        <w:tab/>
        <w:t>Reports, effect of and privilege attached to; official information, disclosure of etc.</w:t>
      </w:r>
      <w:bookmarkEnd w:id="45"/>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 xml:space="preserve">make a record of, or divulge or communicate to any other person, any information concerning the affairs of another person acquired by him by reason of his office, </w:t>
      </w:r>
      <w:r>
        <w:rPr>
          <w:snapToGrid w:val="0"/>
        </w:rPr>
        <w:lastRenderedPageBreak/>
        <w:t>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$50 000.</w:t>
      </w:r>
    </w:p>
    <w:p>
      <w:pPr>
        <w:pStyle w:val="Footnotesection"/>
        <w:spacing w:before="100"/>
        <w:ind w:left="890" w:hanging="890"/>
      </w:pPr>
      <w:r>
        <w:tab/>
        <w:t>[Section 20 amended: No. 35 of 2003 s. 134 and 166; No. 50 of 2003 s. 66(2); No. 41 of 2018 s. 25(1); No. 53 of 2024 s. 71.]</w:t>
      </w:r>
    </w:p>
    <w:p>
      <w:pPr>
        <w:pStyle w:val="Heading3"/>
      </w:pPr>
      <w:bookmarkStart w:id="46" w:name="_Toc189221417"/>
      <w:bookmarkStart w:id="47" w:name="_Toc189221835"/>
      <w:bookmarkStart w:id="48" w:name="_Toc189226235"/>
      <w:r>
        <w:rPr>
          <w:rStyle w:val="CharDivNo"/>
        </w:rPr>
        <w:t>Division 7</w:t>
      </w:r>
      <w:r>
        <w:t> — </w:t>
      </w:r>
      <w:r>
        <w:rPr>
          <w:rStyle w:val="CharDivText"/>
        </w:rPr>
        <w:t>Confidential police information</w:t>
      </w:r>
      <w:bookmarkEnd w:id="46"/>
      <w:bookmarkEnd w:id="47"/>
      <w:bookmarkEnd w:id="48"/>
    </w:p>
    <w:p>
      <w:pPr>
        <w:pStyle w:val="Footnoteheading"/>
        <w:keepNext/>
      </w:pPr>
      <w:r>
        <w:tab/>
        <w:t>[Heading inserted: No. 73 of 2006 s. 113.]</w:t>
      </w:r>
    </w:p>
    <w:p>
      <w:pPr>
        <w:pStyle w:val="Heading5"/>
      </w:pPr>
      <w:bookmarkStart w:id="49" w:name="_Toc189226236"/>
      <w:r>
        <w:rPr>
          <w:rStyle w:val="CharSectno"/>
        </w:rPr>
        <w:t>20A</w:t>
      </w:r>
      <w:r>
        <w:t>.</w:t>
      </w:r>
      <w:r>
        <w:tab/>
        <w:t>Certain information provided by police to be kept confidential</w:t>
      </w:r>
      <w:bookmarkEnd w:id="49"/>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w:t>
      </w:r>
      <w:r>
        <w:rPr>
          <w:color w:val="000000"/>
          <w:szCs w:val="22"/>
        </w:rPr>
        <w:lastRenderedPageBreak/>
        <w:t xml:space="preserve">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lastRenderedPageBreak/>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50" w:name="_Toc189221419"/>
      <w:bookmarkStart w:id="51" w:name="_Toc189221837"/>
      <w:bookmarkStart w:id="52" w:name="_Toc189226237"/>
      <w:r>
        <w:rPr>
          <w:rStyle w:val="CharPartNo"/>
        </w:rPr>
        <w:lastRenderedPageBreak/>
        <w:t>Part III</w:t>
      </w:r>
      <w:r>
        <w:rPr>
          <w:rStyle w:val="CharDivNo"/>
        </w:rPr>
        <w:t> </w:t>
      </w:r>
      <w:r>
        <w:t>—</w:t>
      </w:r>
      <w:r>
        <w:rPr>
          <w:rStyle w:val="CharDivText"/>
        </w:rPr>
        <w:t> </w:t>
      </w:r>
      <w:r>
        <w:rPr>
          <w:rStyle w:val="CharPartText"/>
        </w:rPr>
        <w:t>Enforcement</w:t>
      </w:r>
      <w:bookmarkEnd w:id="50"/>
      <w:bookmarkEnd w:id="51"/>
      <w:bookmarkEnd w:id="52"/>
    </w:p>
    <w:p>
      <w:pPr>
        <w:pStyle w:val="Heading5"/>
        <w:rPr>
          <w:snapToGrid w:val="0"/>
        </w:rPr>
      </w:pPr>
      <w:bookmarkStart w:id="53" w:name="_Toc189226238"/>
      <w:r>
        <w:rPr>
          <w:rStyle w:val="CharSectno"/>
        </w:rPr>
        <w:t>21</w:t>
      </w:r>
      <w:r>
        <w:rPr>
          <w:snapToGrid w:val="0"/>
        </w:rPr>
        <w:t>.</w:t>
      </w:r>
      <w:r>
        <w:rPr>
          <w:snapToGrid w:val="0"/>
        </w:rPr>
        <w:tab/>
        <w:t>Authorised officers, appointment and duties of and reports by</w:t>
      </w:r>
      <w:bookmarkEnd w:id="53"/>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lastRenderedPageBreak/>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54" w:name="_Toc189226239"/>
      <w:r>
        <w:rPr>
          <w:rStyle w:val="CharSectno"/>
        </w:rPr>
        <w:t>22</w:t>
      </w:r>
      <w:r>
        <w:rPr>
          <w:snapToGrid w:val="0"/>
        </w:rPr>
        <w:t>.</w:t>
      </w:r>
      <w:r>
        <w:rPr>
          <w:snapToGrid w:val="0"/>
        </w:rPr>
        <w:tab/>
        <w:t>Permitted gaming and social gambling, powers to scrutinize etc.</w:t>
      </w:r>
      <w:bookmarkEnd w:id="54"/>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lastRenderedPageBreak/>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pPr>
      <w:r>
        <w:tab/>
        <w:t>Penalty for this subsection: a fine of $20 000.</w:t>
      </w:r>
    </w:p>
    <w:p>
      <w:pPr>
        <w:pStyle w:val="Footnotesection"/>
        <w:spacing w:before="80"/>
        <w:ind w:left="890" w:hanging="890"/>
      </w:pPr>
      <w:r>
        <w:tab/>
        <w:t>[Section 22 amended: No. 24 of 1998 s. 39; No. 35 of 2003 s. 136 and 166; No. 41 of 2018 s. 25(1); No. 53 of 2024 s. 45.]</w:t>
      </w:r>
    </w:p>
    <w:p>
      <w:pPr>
        <w:pStyle w:val="Heading5"/>
        <w:spacing w:before="180"/>
        <w:rPr>
          <w:snapToGrid w:val="0"/>
        </w:rPr>
      </w:pPr>
      <w:bookmarkStart w:id="55" w:name="_Toc189226240"/>
      <w:r>
        <w:rPr>
          <w:rStyle w:val="CharSectno"/>
        </w:rPr>
        <w:t>23</w:t>
      </w:r>
      <w:r>
        <w:rPr>
          <w:snapToGrid w:val="0"/>
        </w:rPr>
        <w:t>.</w:t>
      </w:r>
      <w:r>
        <w:rPr>
          <w:snapToGrid w:val="0"/>
        </w:rPr>
        <w:tab/>
        <w:t>Other police powers not limited by this Act</w:t>
      </w:r>
      <w:bookmarkEnd w:id="55"/>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56" w:name="_Toc189226241"/>
      <w:r>
        <w:rPr>
          <w:rStyle w:val="CharSectno"/>
        </w:rPr>
        <w:lastRenderedPageBreak/>
        <w:t>24</w:t>
      </w:r>
      <w:r>
        <w:rPr>
          <w:snapToGrid w:val="0"/>
        </w:rPr>
        <w:t>.</w:t>
      </w:r>
      <w:r>
        <w:rPr>
          <w:snapToGrid w:val="0"/>
        </w:rPr>
        <w:tab/>
        <w:t>Commissioner of Police, directions by to police officers</w:t>
      </w:r>
      <w:bookmarkEnd w:id="56"/>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57" w:name="_Toc189226242"/>
      <w:r>
        <w:rPr>
          <w:rStyle w:val="CharSectno"/>
        </w:rPr>
        <w:t>25</w:t>
      </w:r>
      <w:r>
        <w:rPr>
          <w:snapToGrid w:val="0"/>
        </w:rPr>
        <w:t>.</w:t>
      </w:r>
      <w:r>
        <w:rPr>
          <w:snapToGrid w:val="0"/>
        </w:rPr>
        <w:tab/>
        <w:t>Entry to premises, arrest etc., warrant authorising</w:t>
      </w:r>
      <w:bookmarkEnd w:id="57"/>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lastRenderedPageBreak/>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58" w:name="_Toc189226243"/>
      <w:r>
        <w:rPr>
          <w:rStyle w:val="CharSectno"/>
        </w:rPr>
        <w:lastRenderedPageBreak/>
        <w:t>26</w:t>
      </w:r>
      <w:r>
        <w:rPr>
          <w:snapToGrid w:val="0"/>
        </w:rPr>
        <w:t>.</w:t>
      </w:r>
      <w:r>
        <w:rPr>
          <w:snapToGrid w:val="0"/>
        </w:rPr>
        <w:tab/>
        <w:t>Evidence, information etc., powers to seize, obtain etc.</w:t>
      </w:r>
      <w:bookmarkEnd w:id="58"/>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59" w:name="_Toc189226244"/>
      <w:r>
        <w:rPr>
          <w:rStyle w:val="CharSectno"/>
        </w:rPr>
        <w:lastRenderedPageBreak/>
        <w:t>27</w:t>
      </w:r>
      <w:r>
        <w:rPr>
          <w:snapToGrid w:val="0"/>
        </w:rPr>
        <w:t>.</w:t>
      </w:r>
      <w:r>
        <w:rPr>
          <w:snapToGrid w:val="0"/>
        </w:rPr>
        <w:tab/>
        <w:t>Information, production of books, accounts etc., powers to require</w:t>
      </w:r>
      <w:bookmarkEnd w:id="59"/>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lastRenderedPageBreak/>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pPr>
      <w:bookmarkStart w:id="60" w:name="_Toc189226245"/>
      <w:r>
        <w:rPr>
          <w:rStyle w:val="CharSectno"/>
        </w:rPr>
        <w:t>27A</w:t>
      </w:r>
      <w:r>
        <w:t>.</w:t>
      </w:r>
      <w:r>
        <w:tab/>
        <w:t xml:space="preserve">Authorised officers to be public officers for </w:t>
      </w:r>
      <w:r>
        <w:rPr>
          <w:i/>
        </w:rPr>
        <w:t>Criminal Investigation Act 2006</w:t>
      </w:r>
      <w:bookmarkEnd w:id="60"/>
    </w:p>
    <w:p>
      <w:pPr>
        <w:pStyle w:val="Subsection"/>
      </w:pPr>
      <w:r>
        <w:tab/>
      </w:r>
      <w:r>
        <w:tab/>
        <w:t xml:space="preserve">For the purposes of the </w:t>
      </w:r>
      <w:r>
        <w:rPr>
          <w:i/>
        </w:rPr>
        <w:t>Criminal Investigation Act 2006</w:t>
      </w:r>
      <w:r>
        <w:t xml:space="preserve"> section 9 — </w:t>
      </w:r>
    </w:p>
    <w:p>
      <w:pPr>
        <w:pStyle w:val="Indenta"/>
      </w:pPr>
      <w:r>
        <w:tab/>
        <w:t>(a)</w:t>
      </w:r>
      <w:r>
        <w:tab/>
        <w:t xml:space="preserve">the office of authorised officer is prescribed for the purposes of this Act, the </w:t>
      </w:r>
      <w:r>
        <w:rPr>
          <w:i/>
        </w:rPr>
        <w:t>Betting Control Act 1954</w:t>
      </w:r>
      <w:r>
        <w:t xml:space="preserve"> and the </w:t>
      </w:r>
      <w:r>
        <w:rPr>
          <w:i/>
        </w:rPr>
        <w:t>Casino Control Act 1984</w:t>
      </w:r>
      <w:r>
        <w:t>; and</w:t>
      </w:r>
    </w:p>
    <w:p>
      <w:pPr>
        <w:pStyle w:val="Indenta"/>
      </w:pPr>
      <w:r>
        <w:lastRenderedPageBreak/>
        <w:tab/>
        <w:t>(b)</w:t>
      </w:r>
      <w:r>
        <w:tab/>
        <w:t xml:space="preserve">the powers in Parts 2, 6, 7 and 12 of that Act are prescribed in respect of the office for the purposes of this Act, the </w:t>
      </w:r>
      <w:r>
        <w:rPr>
          <w:i/>
        </w:rPr>
        <w:t>Betting Control Act 1954</w:t>
      </w:r>
      <w:r>
        <w:t xml:space="preserve"> and the </w:t>
      </w:r>
      <w:r>
        <w:rPr>
          <w:i/>
        </w:rPr>
        <w:t>Casino Control Act 1984</w:t>
      </w:r>
      <w:r>
        <w:t>.</w:t>
      </w:r>
    </w:p>
    <w:p>
      <w:pPr>
        <w:pStyle w:val="Footnotesection"/>
      </w:pPr>
      <w:r>
        <w:tab/>
        <w:t>[Section 27A inserted: No. 53 of 2024 s. 46.]</w:t>
      </w:r>
    </w:p>
    <w:p>
      <w:pPr>
        <w:pStyle w:val="Heading5"/>
        <w:rPr>
          <w:snapToGrid w:val="0"/>
        </w:rPr>
      </w:pPr>
      <w:bookmarkStart w:id="61" w:name="_Toc189226246"/>
      <w:r>
        <w:rPr>
          <w:rStyle w:val="CharSectno"/>
        </w:rPr>
        <w:t>28</w:t>
      </w:r>
      <w:r>
        <w:rPr>
          <w:snapToGrid w:val="0"/>
        </w:rPr>
        <w:t>.</w:t>
      </w:r>
      <w:r>
        <w:rPr>
          <w:snapToGrid w:val="0"/>
        </w:rPr>
        <w:tab/>
        <w:t>Recovering moneys payable to Commission</w:t>
      </w:r>
      <w:bookmarkEnd w:id="6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 xml:space="preserve">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w:t>
      </w:r>
      <w:r>
        <w:rPr>
          <w:snapToGrid w:val="0"/>
        </w:rPr>
        <w:lastRenderedPageBreak/>
        <w:t>the Commission in accordance with this Act and has not been paid.</w:t>
      </w:r>
    </w:p>
    <w:p>
      <w:pPr>
        <w:pStyle w:val="Heading5"/>
        <w:rPr>
          <w:snapToGrid w:val="0"/>
        </w:rPr>
      </w:pPr>
      <w:bookmarkStart w:id="62" w:name="_Toc189226247"/>
      <w:r>
        <w:rPr>
          <w:rStyle w:val="CharSectno"/>
        </w:rPr>
        <w:t>29</w:t>
      </w:r>
      <w:r>
        <w:rPr>
          <w:snapToGrid w:val="0"/>
        </w:rPr>
        <w:t>.</w:t>
      </w:r>
      <w:r>
        <w:rPr>
          <w:snapToGrid w:val="0"/>
        </w:rPr>
        <w:tab/>
        <w:t>Hindering etc. Commission etc. and false etc. answers, offences as to</w:t>
      </w:r>
      <w:bookmarkEnd w:id="6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lastRenderedPageBreak/>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Footnotesection"/>
        <w:ind w:left="890" w:hanging="890"/>
      </w:pPr>
      <w:r>
        <w:tab/>
        <w:t>[Section 29 amended: No. 35 of 2003 s. 166; No. 41 of 2018 s. 25(1); No. 53 of 2024 s. 47.]</w:t>
      </w:r>
    </w:p>
    <w:p>
      <w:pPr>
        <w:pStyle w:val="Heading5"/>
        <w:rPr>
          <w:snapToGrid w:val="0"/>
        </w:rPr>
      </w:pPr>
      <w:bookmarkStart w:id="63" w:name="_Toc189226248"/>
      <w:r>
        <w:rPr>
          <w:rStyle w:val="CharSectno"/>
        </w:rPr>
        <w:t>30</w:t>
      </w:r>
      <w:r>
        <w:rPr>
          <w:snapToGrid w:val="0"/>
        </w:rPr>
        <w:t>.</w:t>
      </w:r>
      <w:r>
        <w:rPr>
          <w:snapToGrid w:val="0"/>
        </w:rPr>
        <w:tab/>
        <w:t>Incriminating information to be provided but is not admissible</w:t>
      </w:r>
      <w:bookmarkEnd w:id="6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w:t>
      </w:r>
      <w:r>
        <w:rPr>
          <w:snapToGrid w:val="0"/>
        </w:rPr>
        <w:lastRenderedPageBreak/>
        <w:t>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64" w:name="_Toc189226249"/>
      <w:r>
        <w:rPr>
          <w:rStyle w:val="CharSectno"/>
        </w:rPr>
        <w:t>31</w:t>
      </w:r>
      <w:r>
        <w:rPr>
          <w:snapToGrid w:val="0"/>
        </w:rPr>
        <w:t>.</w:t>
      </w:r>
      <w:r>
        <w:rPr>
          <w:snapToGrid w:val="0"/>
        </w:rPr>
        <w:tab/>
        <w:t>Seizure without warrant</w:t>
      </w:r>
      <w:bookmarkEnd w:id="6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65" w:name="_Toc189226250"/>
      <w:r>
        <w:rPr>
          <w:rStyle w:val="CharSectno"/>
        </w:rPr>
        <w:t>31A</w:t>
      </w:r>
      <w:r>
        <w:t>.</w:t>
      </w:r>
      <w:r>
        <w:tab/>
        <w:t>Powers to assist seizing things</w:t>
      </w:r>
      <w:bookmarkEnd w:id="6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66" w:name="_Toc189226251"/>
      <w:r>
        <w:rPr>
          <w:rStyle w:val="CharSectno"/>
        </w:rPr>
        <w:t>32</w:t>
      </w:r>
      <w:r>
        <w:rPr>
          <w:snapToGrid w:val="0"/>
        </w:rPr>
        <w:t>.</w:t>
      </w:r>
      <w:r>
        <w:rPr>
          <w:snapToGrid w:val="0"/>
        </w:rPr>
        <w:tab/>
        <w:t>Certain seized things to be forfeited to Crown</w:t>
      </w:r>
      <w:bookmarkEnd w:id="6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67" w:name="_Toc189226252"/>
      <w:r>
        <w:rPr>
          <w:rStyle w:val="CharSectno"/>
        </w:rPr>
        <w:lastRenderedPageBreak/>
        <w:t>32A</w:t>
      </w:r>
      <w:r>
        <w:t>.</w:t>
      </w:r>
      <w:r>
        <w:tab/>
        <w:t>Disposing of seized or forfeited things</w:t>
      </w:r>
      <w:bookmarkEnd w:id="6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w:t>
      </w:r>
      <w:r>
        <w:rPr>
          <w:iCs/>
        </w:rPr>
        <w:t xml:space="preserve">Act, the </w:t>
      </w:r>
      <w:r>
        <w:rPr>
          <w:i/>
        </w:rPr>
        <w:t>Betting Control Act 1954</w:t>
      </w:r>
      <w:r>
        <w:t xml:space="preserve"> or the </w:t>
      </w:r>
      <w:r>
        <w:rPr>
          <w:i/>
        </w:rPr>
        <w:t>Casino Control Act 1984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w:t>
      </w:r>
      <w:r>
        <w:rPr>
          <w:iCs/>
        </w:rPr>
        <w:t xml:space="preserve">Act, the </w:t>
      </w:r>
      <w:r>
        <w:rPr>
          <w:i/>
        </w:rPr>
        <w:t>Betting Control Act 1954</w:t>
      </w:r>
      <w:r>
        <w:t xml:space="preserve"> or the </w:t>
      </w:r>
      <w:r>
        <w:rPr>
          <w:i/>
        </w:rPr>
        <w:t>Casino Control Act 1984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 amended: No. 53 of 2024 s. 48.]</w:t>
      </w:r>
    </w:p>
    <w:p>
      <w:pPr>
        <w:pStyle w:val="Heading5"/>
        <w:spacing w:before="200"/>
        <w:rPr>
          <w:snapToGrid w:val="0"/>
        </w:rPr>
      </w:pPr>
      <w:bookmarkStart w:id="68" w:name="_Toc189226253"/>
      <w:r>
        <w:rPr>
          <w:rStyle w:val="CharSectno"/>
        </w:rPr>
        <w:t>33</w:t>
      </w:r>
      <w:r>
        <w:rPr>
          <w:snapToGrid w:val="0"/>
        </w:rPr>
        <w:t>.</w:t>
      </w:r>
      <w:r>
        <w:rPr>
          <w:snapToGrid w:val="0"/>
        </w:rPr>
        <w:tab/>
        <w:t>Prosecuting offences</w:t>
      </w:r>
      <w:bookmarkEnd w:id="6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w:t>
      </w:r>
      <w:r>
        <w:rPr>
          <w:snapToGrid w:val="0"/>
        </w:rPr>
        <w:lastRenderedPageBreak/>
        <w:t>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69" w:name="_Toc189226254"/>
      <w:r>
        <w:rPr>
          <w:rStyle w:val="CharSectno"/>
        </w:rPr>
        <w:t>34</w:t>
      </w:r>
      <w:r>
        <w:rPr>
          <w:bCs/>
        </w:rPr>
        <w:t>.</w:t>
      </w:r>
      <w:r>
        <w:rPr>
          <w:bCs/>
        </w:rPr>
        <w:tab/>
        <w:t>Offences to be dealt with by magistrate</w:t>
      </w:r>
      <w:bookmarkEnd w:id="6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70" w:name="_Toc189226255"/>
      <w:r>
        <w:rPr>
          <w:rStyle w:val="CharSectno"/>
        </w:rPr>
        <w:t>35</w:t>
      </w:r>
      <w:r>
        <w:t>.</w:t>
      </w:r>
      <w:r>
        <w:tab/>
        <w:t>General penalty</w:t>
      </w:r>
      <w:bookmarkEnd w:id="70"/>
    </w:p>
    <w:p>
      <w:pPr>
        <w:pStyle w:val="Subsection"/>
        <w:keepNext/>
        <w:rPr>
          <w:snapToGrid w:val="0"/>
        </w:rPr>
      </w:pPr>
      <w:r>
        <w:tab/>
      </w:r>
      <w:r>
        <w:tab/>
        <w:t>The penalty for an offence under this Act for which no penalty is specifically provided is a fine of $50 000.</w:t>
      </w:r>
    </w:p>
    <w:p>
      <w:pPr>
        <w:pStyle w:val="Footnotesection"/>
      </w:pPr>
      <w:r>
        <w:tab/>
        <w:t>[Section 35 inserted: No. 50 of 2003 s. 66(3) amended: No. 53 of 2024 s. 71.]</w:t>
      </w:r>
    </w:p>
    <w:p>
      <w:pPr>
        <w:pStyle w:val="Heading5"/>
      </w:pPr>
      <w:bookmarkStart w:id="71" w:name="_Toc184390987"/>
      <w:bookmarkStart w:id="72" w:name="_Toc189226256"/>
      <w:r>
        <w:rPr>
          <w:rStyle w:val="CharSectno"/>
        </w:rPr>
        <w:t>36</w:t>
      </w:r>
      <w:r>
        <w:t>.</w:t>
      </w:r>
      <w:r>
        <w:tab/>
        <w:t>Infringement notices</w:t>
      </w:r>
      <w:bookmarkEnd w:id="71"/>
      <w:bookmarkEnd w:id="72"/>
    </w:p>
    <w:p>
      <w:pPr>
        <w:pStyle w:val="Subsection"/>
      </w:pPr>
      <w:r>
        <w:tab/>
        <w:t>(1)</w:t>
      </w:r>
      <w:r>
        <w:tab/>
        <w:t xml:space="preserve">In this section — </w:t>
      </w:r>
    </w:p>
    <w:p>
      <w:pPr>
        <w:pStyle w:val="Defstart"/>
      </w:pPr>
      <w:r>
        <w:tab/>
      </w:r>
      <w:r>
        <w:rPr>
          <w:rStyle w:val="CharDefText"/>
        </w:rPr>
        <w:t>relevant Act</w:t>
      </w:r>
      <w:r>
        <w:t xml:space="preserve"> means — </w:t>
      </w:r>
    </w:p>
    <w:p>
      <w:pPr>
        <w:pStyle w:val="Defpara"/>
      </w:pPr>
      <w:r>
        <w:tab/>
        <w:t>(a)</w:t>
      </w:r>
      <w:r>
        <w:tab/>
        <w:t>this Act; and</w:t>
      </w:r>
    </w:p>
    <w:p>
      <w:pPr>
        <w:pStyle w:val="Defpara"/>
      </w:pPr>
      <w:r>
        <w:tab/>
        <w:t>(b)</w:t>
      </w:r>
      <w:r>
        <w:tab/>
        <w:t xml:space="preserve">the </w:t>
      </w:r>
      <w:r>
        <w:rPr>
          <w:i/>
        </w:rPr>
        <w:t>Betting Control Act 1954</w:t>
      </w:r>
      <w:r>
        <w:t>; and</w:t>
      </w:r>
    </w:p>
    <w:p>
      <w:pPr>
        <w:pStyle w:val="Defpara"/>
      </w:pPr>
      <w:r>
        <w:tab/>
        <w:t>(c)</w:t>
      </w:r>
      <w:r>
        <w:tab/>
        <w:t xml:space="preserve">the </w:t>
      </w:r>
      <w:r>
        <w:rPr>
          <w:i/>
        </w:rPr>
        <w:t>Casino (Burswood Island) Agreement Act 1985</w:t>
      </w:r>
      <w:r>
        <w:t>; and</w:t>
      </w:r>
    </w:p>
    <w:p>
      <w:pPr>
        <w:pStyle w:val="Defpara"/>
      </w:pPr>
      <w:r>
        <w:tab/>
        <w:t>(d)</w:t>
      </w:r>
      <w:r>
        <w:tab/>
        <w:t xml:space="preserve">the </w:t>
      </w:r>
      <w:r>
        <w:rPr>
          <w:i/>
        </w:rPr>
        <w:t>Casino Control Act 1984</w:t>
      </w:r>
      <w:r>
        <w:t>; and</w:t>
      </w:r>
    </w:p>
    <w:p>
      <w:pPr>
        <w:pStyle w:val="Defpara"/>
      </w:pPr>
      <w:r>
        <w:tab/>
        <w:t>(e)</w:t>
      </w:r>
      <w:r>
        <w:tab/>
        <w:t>an Act relating to the regulation of gambling, including the regulation of casinos, prescribed for the purposes of this definition.</w:t>
      </w:r>
    </w:p>
    <w:p>
      <w:pPr>
        <w:pStyle w:val="Subsection"/>
      </w:pPr>
      <w:r>
        <w:lastRenderedPageBreak/>
        <w:tab/>
        <w:t>(2)</w:t>
      </w:r>
      <w:r>
        <w:tab/>
        <w:t xml:space="preserve">If a relevant Act is a prescribed Act for the purposes of the </w:t>
      </w:r>
      <w:r>
        <w:rPr>
          <w:i/>
        </w:rPr>
        <w:t>Criminal Procedure Act 2004</w:t>
      </w:r>
      <w:r>
        <w:t xml:space="preserve"> Part 2, this section has effect in relation to issuing infringement notices under that Part for alleged offences under the relevant Act and in relation to infringement notices so issued.</w:t>
      </w:r>
    </w:p>
    <w:p>
      <w:pPr>
        <w:pStyle w:val="Subsection"/>
      </w:pPr>
      <w:r>
        <w:tab/>
        <w:t>(3)</w:t>
      </w:r>
      <w:r>
        <w:tab/>
        <w:t xml:space="preserve">For the purposes of the </w:t>
      </w:r>
      <w:r>
        <w:rPr>
          <w:i/>
        </w:rPr>
        <w:t>Criminal Procedure Act 2004</w:t>
      </w:r>
      <w:r>
        <w:t xml:space="preserve"> Part 2 — </w:t>
      </w:r>
    </w:p>
    <w:p>
      <w:pPr>
        <w:pStyle w:val="Indenta"/>
      </w:pPr>
      <w:r>
        <w:tab/>
        <w:t>(a)</w:t>
      </w:r>
      <w:r>
        <w:tab/>
        <w:t xml:space="preserve">the Commission may perform the functions of an approved officer under the </w:t>
      </w:r>
      <w:r>
        <w:rPr>
          <w:i/>
        </w:rPr>
        <w:t>Criminal Procedure Act 2004</w:t>
      </w:r>
      <w:r>
        <w:t xml:space="preserve"> Part 2; and</w:t>
      </w:r>
    </w:p>
    <w:p>
      <w:pPr>
        <w:pStyle w:val="Indenta"/>
      </w:pPr>
      <w:r>
        <w:tab/>
        <w:t>(b)</w:t>
      </w:r>
      <w:r>
        <w:tab/>
        <w:t xml:space="preserve">an authorised officer or a member of the Police Force (a </w:t>
      </w:r>
      <w:r>
        <w:rPr>
          <w:rStyle w:val="CharDefText"/>
        </w:rPr>
        <w:t>police officer</w:t>
      </w:r>
      <w:r>
        <w:t xml:space="preserve">) may perform the functions of an authorised officer under the </w:t>
      </w:r>
      <w:r>
        <w:rPr>
          <w:i/>
        </w:rPr>
        <w:t>Criminal Procedure Act 2004</w:t>
      </w:r>
      <w:r>
        <w:t xml:space="preserve"> Part 2.</w:t>
      </w:r>
    </w:p>
    <w:p>
      <w:pPr>
        <w:pStyle w:val="Subsection"/>
      </w:pPr>
      <w:r>
        <w:tab/>
        <w:t>(4)</w:t>
      </w:r>
      <w:r>
        <w:tab/>
        <w:t xml:space="preserve">An infringement notice must be served within — </w:t>
      </w:r>
    </w:p>
    <w:p>
      <w:pPr>
        <w:pStyle w:val="Indenta"/>
      </w:pPr>
      <w:r>
        <w:tab/>
        <w:t>(a)</w:t>
      </w:r>
      <w:r>
        <w:tab/>
        <w:t>28 days after the day on which an authorised officer or police officer becomes aware that the alleged offence has or may have been committed; and</w:t>
      </w:r>
    </w:p>
    <w:p>
      <w:pPr>
        <w:pStyle w:val="Indenta"/>
      </w:pPr>
      <w:r>
        <w:tab/>
        <w:t>(b)</w:t>
      </w:r>
      <w:r>
        <w:tab/>
        <w:t>6 months after the day on which the alleged offence is believed to have been committed.</w:t>
      </w:r>
    </w:p>
    <w:p>
      <w:pPr>
        <w:pStyle w:val="Subsection"/>
      </w:pPr>
      <w:r>
        <w:tab/>
        <w:t>(5)</w:t>
      </w:r>
      <w:r>
        <w:tab/>
        <w:t xml:space="preserve">For the purposes of the </w:t>
      </w:r>
      <w:r>
        <w:rPr>
          <w:i/>
        </w:rPr>
        <w:t>Criminal Procedure Act 2004</w:t>
      </w:r>
      <w:r>
        <w:t xml:space="preserve"> section 7(2), the means by which an authorised officer or a police officer can show that they are authorised to issue infringement notices is — </w:t>
      </w:r>
    </w:p>
    <w:p>
      <w:pPr>
        <w:pStyle w:val="Indenta"/>
      </w:pPr>
      <w:r>
        <w:tab/>
        <w:t>(a)</w:t>
      </w:r>
      <w:r>
        <w:tab/>
        <w:t>for an authorised officer — their certificate of appointment under section 21(1); and</w:t>
      </w:r>
    </w:p>
    <w:p>
      <w:pPr>
        <w:pStyle w:val="Indenta"/>
      </w:pPr>
      <w:r>
        <w:tab/>
        <w:t>(b)</w:t>
      </w:r>
      <w:r>
        <w:tab/>
        <w:t>for a police officer — evidence that they are a police officer which (where relevant) includes that they are in uniform.</w:t>
      </w:r>
    </w:p>
    <w:p>
      <w:pPr>
        <w:pStyle w:val="Subsection"/>
      </w:pPr>
      <w:r>
        <w:tab/>
        <w:t>(6)</w:t>
      </w:r>
      <w:r>
        <w:tab/>
        <w:t xml:space="preserve">For the purposes of the </w:t>
      </w:r>
      <w:r>
        <w:rPr>
          <w:i/>
        </w:rPr>
        <w:t>Criminal Procedure Act 2004</w:t>
      </w:r>
      <w:r>
        <w:t xml:space="preserve"> section 15(2), the form of the notice that an infringement notice has been withdrawn may be prescribed under this Act for each other relevant Act.</w:t>
      </w:r>
    </w:p>
    <w:p>
      <w:pPr>
        <w:pStyle w:val="Subsection"/>
      </w:pPr>
      <w:r>
        <w:lastRenderedPageBreak/>
        <w:tab/>
        <w:t>(7)</w:t>
      </w:r>
      <w:r>
        <w:tab/>
        <w:t xml:space="preserve">Money paid as a modified penalty is, subject to the </w:t>
      </w:r>
      <w:r>
        <w:rPr>
          <w:i/>
        </w:rPr>
        <w:t>Criminal Procedure Act 2004</w:t>
      </w:r>
      <w:r>
        <w:t xml:space="preserve"> section 15(4), to be dealt with under section 9(2) as money received by the Commission.</w:t>
      </w:r>
    </w:p>
    <w:p>
      <w:pPr>
        <w:pStyle w:val="Subsection"/>
      </w:pPr>
      <w:r>
        <w:tab/>
        <w:t>(8)</w:t>
      </w:r>
      <w:r>
        <w:tab/>
        <w:t xml:space="preserve">The </w:t>
      </w:r>
      <w:r>
        <w:rPr>
          <w:i/>
        </w:rPr>
        <w:t>Criminal Procedure Act 2004</w:t>
      </w:r>
      <w:r>
        <w:t xml:space="preserve"> Part 2 is modified to the extent necessary to give effect to this section.</w:t>
      </w:r>
    </w:p>
    <w:p>
      <w:pPr>
        <w:pStyle w:val="Footnotesection"/>
      </w:pPr>
      <w:r>
        <w:tab/>
        <w:t>[Section 36 inserted: No. 53 of 2024 s. 49.]</w:t>
      </w:r>
    </w:p>
    <w:p>
      <w:pPr>
        <w:pStyle w:val="Heading5"/>
      </w:pPr>
      <w:bookmarkStart w:id="73" w:name="_Toc189226257"/>
      <w:r>
        <w:rPr>
          <w:rStyle w:val="CharSectno"/>
        </w:rPr>
        <w:t>37</w:t>
      </w:r>
      <w:r>
        <w:t>.</w:t>
      </w:r>
      <w:r>
        <w:tab/>
        <w:t>Liability of officers for offence by body corporate</w:t>
      </w:r>
      <w:bookmarkEnd w:id="7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95"/>
        <w:gridCol w:w="2495"/>
      </w:tblGrid>
      <w:tr>
        <w:tc>
          <w:tcPr>
            <w:tcW w:w="2495" w:type="dxa"/>
            <w:noWrap/>
          </w:tcPr>
          <w:p>
            <w:pPr>
              <w:pStyle w:val="TableNAm"/>
            </w:pPr>
            <w:r>
              <w:t>s. 22(5)</w:t>
            </w:r>
          </w:p>
        </w:tc>
        <w:tc>
          <w:tcPr>
            <w:tcW w:w="2495" w:type="dxa"/>
            <w:noWrap/>
          </w:tcPr>
          <w:p>
            <w:pPr>
              <w:pStyle w:val="TableNAm"/>
            </w:pPr>
            <w:r>
              <w:t>s. 29(1) and (2)</w:t>
            </w:r>
          </w:p>
        </w:tc>
      </w:tr>
      <w:tr>
        <w:tc>
          <w:tcPr>
            <w:tcW w:w="2495" w:type="dxa"/>
            <w:noWrap/>
          </w:tcPr>
          <w:p>
            <w:pPr>
              <w:pStyle w:val="TableNAm"/>
            </w:pPr>
            <w:r>
              <w:t>s. 41(3)</w:t>
            </w:r>
          </w:p>
        </w:tc>
        <w:tc>
          <w:tcPr>
            <w:tcW w:w="2495" w:type="dxa"/>
            <w:noWrap/>
          </w:tcPr>
          <w:p>
            <w:pPr>
              <w:pStyle w:val="TableNAm"/>
            </w:pPr>
            <w:r>
              <w:t>s. 43A(2)</w:t>
            </w:r>
          </w:p>
        </w:tc>
      </w:tr>
      <w:tr>
        <w:tc>
          <w:tcPr>
            <w:tcW w:w="2495" w:type="dxa"/>
            <w:noWrap/>
          </w:tcPr>
          <w:p>
            <w:pPr>
              <w:pStyle w:val="TableNAm"/>
            </w:pPr>
            <w:r>
              <w:t>s. 44(1)</w:t>
            </w:r>
          </w:p>
        </w:tc>
        <w:tc>
          <w:tcPr>
            <w:tcW w:w="2495" w:type="dxa"/>
            <w:noWrap/>
          </w:tcPr>
          <w:p>
            <w:pPr>
              <w:pStyle w:val="TableNAm"/>
            </w:pPr>
            <w:r>
              <w:t>s. 45(1) and (2)</w:t>
            </w:r>
          </w:p>
        </w:tc>
      </w:tr>
      <w:tr>
        <w:tc>
          <w:tcPr>
            <w:tcW w:w="2495" w:type="dxa"/>
            <w:noWrap/>
          </w:tcPr>
          <w:p>
            <w:pPr>
              <w:pStyle w:val="TableNAm"/>
            </w:pPr>
            <w:r>
              <w:t>s. 57(3)</w:t>
            </w:r>
          </w:p>
        </w:tc>
        <w:tc>
          <w:tcPr>
            <w:tcW w:w="2495" w:type="dxa"/>
            <w:noWrap/>
          </w:tcPr>
          <w:p>
            <w:pPr>
              <w:pStyle w:val="TableNAm"/>
            </w:pPr>
            <w:r>
              <w:t>s. 85(4)</w:t>
            </w:r>
          </w:p>
        </w:tc>
      </w:tr>
      <w:tr>
        <w:tc>
          <w:tcPr>
            <w:tcW w:w="2495" w:type="dxa"/>
            <w:noWrap/>
          </w:tcPr>
          <w:p>
            <w:pPr>
              <w:pStyle w:val="TableNAm"/>
            </w:pPr>
            <w:r>
              <w:t>s. 89(2)</w:t>
            </w:r>
          </w:p>
        </w:tc>
        <w:tc>
          <w:tcPr>
            <w:tcW w:w="2495" w:type="dxa"/>
            <w:noWrap/>
          </w:tcPr>
          <w:p>
            <w:pPr>
              <w:pStyle w:val="TableNAm"/>
            </w:pPr>
            <w:r>
              <w:t>s. 93B(3)</w:t>
            </w:r>
          </w:p>
        </w:tc>
      </w:tr>
      <w:tr>
        <w:tc>
          <w:tcPr>
            <w:tcW w:w="2495" w:type="dxa"/>
            <w:noWrap/>
          </w:tcPr>
          <w:p>
            <w:pPr>
              <w:pStyle w:val="TableNAm"/>
            </w:pPr>
            <w:r>
              <w:t>s. 104C(4)</w:t>
            </w:r>
          </w:p>
        </w:tc>
        <w:tc>
          <w:tcPr>
            <w:tcW w:w="2495" w:type="dxa"/>
            <w:noWrap/>
          </w:tcPr>
          <w:p>
            <w:pPr>
              <w:pStyle w:val="TableNAm"/>
            </w:pPr>
            <w:r>
              <w:t>s. 104E(1), (2) and (3)</w:t>
            </w:r>
          </w:p>
        </w:tc>
      </w:tr>
      <w:tr>
        <w:tc>
          <w:tcPr>
            <w:tcW w:w="2495" w:type="dxa"/>
            <w:noWrap/>
          </w:tcPr>
          <w:p>
            <w:pPr>
              <w:pStyle w:val="TableNAm"/>
            </w:pPr>
            <w:r>
              <w:t>s. 104F(1) and (4)</w:t>
            </w:r>
          </w:p>
        </w:tc>
        <w:tc>
          <w:tcPr>
            <w:tcW w:w="2495" w:type="dxa"/>
            <w:noWrap/>
          </w:tcPr>
          <w:p>
            <w:pPr>
              <w:pStyle w:val="TableNAm"/>
            </w:pPr>
            <w:r>
              <w:t>s. 104L(1), (2) and (3)</w:t>
            </w:r>
          </w:p>
        </w:tc>
      </w:tr>
      <w:tr>
        <w:tc>
          <w:tcPr>
            <w:tcW w:w="2495" w:type="dxa"/>
            <w:noWrap/>
          </w:tcPr>
          <w:p>
            <w:pPr>
              <w:pStyle w:val="TableNAm"/>
            </w:pPr>
            <w:r>
              <w:t>s. 104M(1), (2) and (3)</w:t>
            </w:r>
          </w:p>
        </w:tc>
        <w:tc>
          <w:tcPr>
            <w:tcW w:w="2495" w:type="dxa"/>
            <w:noWrap/>
          </w:tcPr>
          <w:p>
            <w:pPr>
              <w:pStyle w:val="TableNAm"/>
            </w:pPr>
            <w:r>
              <w:t>s. 106(1)</w:t>
            </w:r>
          </w:p>
        </w:tc>
      </w:tr>
      <w:tr>
        <w:tc>
          <w:tcPr>
            <w:tcW w:w="2495" w:type="dxa"/>
            <w:noWrap/>
          </w:tcPr>
          <w:p>
            <w:pPr>
              <w:pStyle w:val="TableNAm"/>
            </w:pPr>
            <w:r>
              <w:t>s. 109H(1), (2), (3) and (4)</w:t>
            </w:r>
          </w:p>
        </w:tc>
        <w:tc>
          <w:tcPr>
            <w:tcW w:w="2495" w:type="dxa"/>
            <w:noWrap/>
          </w:tcPr>
          <w:p>
            <w:pPr>
              <w:pStyle w:val="TableNAm"/>
            </w:pPr>
          </w:p>
        </w:tc>
      </w:tr>
    </w:tbl>
    <w:p>
      <w:pPr>
        <w:pStyle w:val="Footnotesection"/>
        <w:ind w:left="890" w:hanging="890"/>
      </w:pPr>
      <w:r>
        <w:tab/>
        <w:t>[Section 37 inserted: No. 9 of 2023 s. 79; amended: No. 53 of 2024 s. 50.]</w:t>
      </w:r>
    </w:p>
    <w:p>
      <w:pPr>
        <w:pStyle w:val="Heading5"/>
        <w:rPr>
          <w:snapToGrid w:val="0"/>
        </w:rPr>
      </w:pPr>
      <w:bookmarkStart w:id="74" w:name="_Toc189226258"/>
      <w:r>
        <w:rPr>
          <w:rStyle w:val="CharSectno"/>
        </w:rPr>
        <w:lastRenderedPageBreak/>
        <w:t>38</w:t>
      </w:r>
      <w:r>
        <w:rPr>
          <w:snapToGrid w:val="0"/>
        </w:rPr>
        <w:t>.</w:t>
      </w:r>
      <w:r>
        <w:rPr>
          <w:snapToGrid w:val="0"/>
        </w:rPr>
        <w:tab/>
        <w:t>Service of notices</w:t>
      </w:r>
      <w:bookmarkEnd w:id="7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75" w:name="_Toc189226259"/>
      <w:r>
        <w:rPr>
          <w:rStyle w:val="CharSectno"/>
        </w:rPr>
        <w:t>39</w:t>
      </w:r>
      <w:r>
        <w:rPr>
          <w:snapToGrid w:val="0"/>
        </w:rPr>
        <w:t>.</w:t>
      </w:r>
      <w:r>
        <w:rPr>
          <w:snapToGrid w:val="0"/>
        </w:rPr>
        <w:tab/>
        <w:t>Evidentiary provisions for charges of offences</w:t>
      </w:r>
      <w:bookmarkEnd w:id="75"/>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keepNext/>
        <w:rPr>
          <w:snapToGrid w:val="0"/>
        </w:rPr>
      </w:pPr>
      <w:r>
        <w:rPr>
          <w:snapToGrid w:val="0"/>
        </w:rPr>
        <w:lastRenderedPageBreak/>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Australia or </w:t>
      </w:r>
      <w:r>
        <w:rPr>
          <w:snapToGrid w:val="0"/>
        </w:rPr>
        <w:lastRenderedPageBreak/>
        <w:t>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 xml:space="preserve">where an element of an offence is an act or omission on the part of the permit holder a prosecution for such an offence may be commenced against an individual </w:t>
      </w:r>
      <w:r>
        <w:rPr>
          <w:snapToGrid w:val="0"/>
        </w:rPr>
        <w:lastRenderedPageBreak/>
        <w:t>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lastRenderedPageBreak/>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 xml:space="preserve">Where a person is found to have been present at any unlawful game or game of chance it shall be presumed that he was </w:t>
      </w:r>
      <w:r>
        <w:rPr>
          <w:snapToGrid w:val="0"/>
        </w:rPr>
        <w:lastRenderedPageBreak/>
        <w:t>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76" w:name="_Toc189226260"/>
      <w:r>
        <w:rPr>
          <w:rStyle w:val="CharSectno"/>
        </w:rPr>
        <w:t>40</w:t>
      </w:r>
      <w:r>
        <w:rPr>
          <w:snapToGrid w:val="0"/>
        </w:rPr>
        <w:t>.</w:t>
      </w:r>
      <w:r>
        <w:rPr>
          <w:snapToGrid w:val="0"/>
        </w:rPr>
        <w:tab/>
        <w:t>Evidentiary provisions for charges involving common gaming houses</w:t>
      </w:r>
      <w:bookmarkEnd w:id="76"/>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keepNext/>
        <w:spacing w:before="70"/>
        <w:rPr>
          <w:snapToGrid w:val="0"/>
        </w:rPr>
      </w:pPr>
      <w:r>
        <w:rPr>
          <w:snapToGrid w:val="0"/>
        </w:rPr>
        <w:tab/>
        <w:t>(c)</w:t>
      </w:r>
      <w:r>
        <w:rPr>
          <w:snapToGrid w:val="0"/>
        </w:rPr>
        <w:tab/>
        <w:t xml:space="preserve">it shall be sufficient evidence to support the allegation that any premises were, or were opened, kept or used as, </w:t>
      </w:r>
      <w:r>
        <w:rPr>
          <w:snapToGrid w:val="0"/>
        </w:rPr>
        <w:lastRenderedPageBreak/>
        <w:t>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lastRenderedPageBreak/>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77" w:name="_Toc189221443"/>
      <w:bookmarkStart w:id="78" w:name="_Toc189221861"/>
      <w:bookmarkStart w:id="79" w:name="_Toc189226261"/>
      <w:r>
        <w:rPr>
          <w:rStyle w:val="CharPartNo"/>
        </w:rPr>
        <w:lastRenderedPageBreak/>
        <w:t>Part IV</w:t>
      </w:r>
      <w:r>
        <w:rPr>
          <w:rStyle w:val="CharDivNo"/>
        </w:rPr>
        <w:t> </w:t>
      </w:r>
      <w:r>
        <w:t>—</w:t>
      </w:r>
      <w:r>
        <w:rPr>
          <w:rStyle w:val="CharDivText"/>
        </w:rPr>
        <w:t> </w:t>
      </w:r>
      <w:r>
        <w:rPr>
          <w:rStyle w:val="CharPartText"/>
        </w:rPr>
        <w:t>Common gaming houses, unlawful gaming, cheating etc.</w:t>
      </w:r>
      <w:bookmarkEnd w:id="77"/>
      <w:bookmarkEnd w:id="78"/>
      <w:bookmarkEnd w:id="79"/>
    </w:p>
    <w:p>
      <w:pPr>
        <w:pStyle w:val="Heading5"/>
      </w:pPr>
      <w:bookmarkStart w:id="80" w:name="_Toc189226262"/>
      <w:r>
        <w:rPr>
          <w:rStyle w:val="CharSectno"/>
        </w:rPr>
        <w:t>40A</w:t>
      </w:r>
      <w:r>
        <w:t>.</w:t>
      </w:r>
      <w:r>
        <w:tab/>
        <w:t>Part does not apply to gambling under other written laws</w:t>
      </w:r>
      <w:bookmarkEnd w:id="80"/>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81" w:name="_Toc189226263"/>
      <w:r>
        <w:rPr>
          <w:rStyle w:val="CharSectno"/>
        </w:rPr>
        <w:t>41</w:t>
      </w:r>
      <w:r>
        <w:rPr>
          <w:snapToGrid w:val="0"/>
        </w:rPr>
        <w:t>.</w:t>
      </w:r>
      <w:r>
        <w:rPr>
          <w:snapToGrid w:val="0"/>
        </w:rPr>
        <w:tab/>
        <w:t>Common gaming house, meaning of and offences as to</w:t>
      </w:r>
      <w:bookmarkEnd w:id="81"/>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w:t>
      </w:r>
      <w:r>
        <w:rPr>
          <w:snapToGrid w:val="0"/>
        </w:rPr>
        <w:lastRenderedPageBreak/>
        <w:t xml:space="preserve">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lastRenderedPageBreak/>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 No. 53 of 2024 s. 51 and 71.]</w:t>
      </w:r>
    </w:p>
    <w:p>
      <w:pPr>
        <w:pStyle w:val="Heading5"/>
        <w:rPr>
          <w:snapToGrid w:val="0"/>
        </w:rPr>
      </w:pPr>
      <w:bookmarkStart w:id="82" w:name="_Toc189226264"/>
      <w:r>
        <w:rPr>
          <w:rStyle w:val="CharSectno"/>
        </w:rPr>
        <w:t>42</w:t>
      </w:r>
      <w:r>
        <w:rPr>
          <w:snapToGrid w:val="0"/>
        </w:rPr>
        <w:t>.</w:t>
      </w:r>
      <w:r>
        <w:rPr>
          <w:snapToGrid w:val="0"/>
        </w:rPr>
        <w:tab/>
        <w:t>Prohibited gaming and unlawful games defined and offences as to</w:t>
      </w:r>
      <w:bookmarkEnd w:id="82"/>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lastRenderedPageBreak/>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lastRenderedPageBreak/>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$50 000.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$5 000.</w:t>
      </w:r>
    </w:p>
    <w:p>
      <w:pPr>
        <w:pStyle w:val="Footnotesection"/>
      </w:pPr>
      <w:r>
        <w:tab/>
        <w:t>[Section 42 amended: No. 35 of 2003 s. 144; No. 50 of 2003 s. 66(4); No. 41 of 2018 s. 25(1); No. 53 of 2024 s. 71.]</w:t>
      </w:r>
    </w:p>
    <w:p>
      <w:pPr>
        <w:pStyle w:val="Heading5"/>
        <w:spacing w:before="200"/>
        <w:rPr>
          <w:snapToGrid w:val="0"/>
        </w:rPr>
      </w:pPr>
      <w:bookmarkStart w:id="83" w:name="_Toc189226265"/>
      <w:r>
        <w:rPr>
          <w:rStyle w:val="CharSectno"/>
        </w:rPr>
        <w:t>43</w:t>
      </w:r>
      <w:r>
        <w:rPr>
          <w:snapToGrid w:val="0"/>
        </w:rPr>
        <w:t>.</w:t>
      </w:r>
      <w:r>
        <w:rPr>
          <w:snapToGrid w:val="0"/>
        </w:rPr>
        <w:tab/>
        <w:t>Defence of restricted access not available to charge of s. 41 or 42 offence</w:t>
      </w:r>
      <w:bookmarkEnd w:id="8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84" w:name="_Toc189226266"/>
      <w:r>
        <w:rPr>
          <w:rStyle w:val="CharSectno"/>
        </w:rPr>
        <w:lastRenderedPageBreak/>
        <w:t>43A</w:t>
      </w:r>
      <w:r>
        <w:t>.</w:t>
      </w:r>
      <w:r>
        <w:tab/>
        <w:t xml:space="preserve">Advertising </w:t>
      </w:r>
      <w:r>
        <w:rPr>
          <w:snapToGrid w:val="0"/>
        </w:rPr>
        <w:t>unlawful</w:t>
      </w:r>
      <w:r>
        <w:t xml:space="preserve"> gambling</w:t>
      </w:r>
      <w:bookmarkEnd w:id="84"/>
    </w:p>
    <w:p>
      <w:pPr>
        <w:pStyle w:val="Subsection"/>
        <w:keepNext/>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$50 000.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lastRenderedPageBreak/>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$50 000.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 No. 53 of 2024 s. 71.]</w:t>
      </w:r>
    </w:p>
    <w:p>
      <w:pPr>
        <w:pStyle w:val="Heading5"/>
        <w:rPr>
          <w:snapToGrid w:val="0"/>
        </w:rPr>
      </w:pPr>
      <w:bookmarkStart w:id="85" w:name="_Toc189226267"/>
      <w:r>
        <w:rPr>
          <w:rStyle w:val="CharSectno"/>
        </w:rPr>
        <w:t>44</w:t>
      </w:r>
      <w:r>
        <w:rPr>
          <w:snapToGrid w:val="0"/>
        </w:rPr>
        <w:t>.</w:t>
      </w:r>
      <w:r>
        <w:rPr>
          <w:snapToGrid w:val="0"/>
        </w:rPr>
        <w:tab/>
        <w:t>Cheating in games etc. to obtain prize etc., offence</w:t>
      </w:r>
      <w:bookmarkEnd w:id="85"/>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lastRenderedPageBreak/>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 No. 53 of 2024 s. 52.]</w:t>
      </w:r>
    </w:p>
    <w:p>
      <w:pPr>
        <w:pStyle w:val="Heading5"/>
        <w:rPr>
          <w:snapToGrid w:val="0"/>
        </w:rPr>
      </w:pPr>
      <w:bookmarkStart w:id="86" w:name="_Toc189226268"/>
      <w:r>
        <w:rPr>
          <w:rStyle w:val="CharSectno"/>
        </w:rPr>
        <w:t>45</w:t>
      </w:r>
      <w:r>
        <w:rPr>
          <w:snapToGrid w:val="0"/>
        </w:rPr>
        <w:t>.</w:t>
      </w:r>
      <w:r>
        <w:rPr>
          <w:snapToGrid w:val="0"/>
        </w:rPr>
        <w:tab/>
        <w:t>Permitted gaming, offences as to</w:t>
      </w:r>
      <w:bookmarkEnd w:id="86"/>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pPr>
      <w:r>
        <w:tab/>
        <w:t>Penalty for this subsection: a fine of $50 000.</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w:t>
      </w:r>
      <w:r>
        <w:rPr>
          <w:snapToGrid w:val="0"/>
        </w:rPr>
        <w:lastRenderedPageBreak/>
        <w:t>each participant has not an equal chance of winning, commits an offence.</w:t>
      </w:r>
    </w:p>
    <w:p>
      <w:pPr>
        <w:pStyle w:val="Penstart"/>
      </w:pPr>
      <w:r>
        <w:tab/>
        <w:t>Penalty for this subsection: a fine of $50 000.</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$50 000.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$10 000.</w:t>
      </w:r>
    </w:p>
    <w:p>
      <w:pPr>
        <w:pStyle w:val="Footnotesection"/>
      </w:pPr>
      <w:r>
        <w:tab/>
        <w:t>[Section 45 amended: No. 16 of 1990 s. 33; No. 24 of 1998 s. 49; No. 35 of 2003 s. 147; No. 50 of 2003 s. 66(4) ; No. 41 of 2018 s. 25(1); No. 53 of 2024 s. 53 and 71.]</w:t>
      </w:r>
    </w:p>
    <w:p>
      <w:pPr>
        <w:pStyle w:val="Heading2"/>
      </w:pPr>
      <w:bookmarkStart w:id="87" w:name="_Toc189221451"/>
      <w:bookmarkStart w:id="88" w:name="_Toc189221869"/>
      <w:bookmarkStart w:id="89" w:name="_Toc189226269"/>
      <w:r>
        <w:rPr>
          <w:rStyle w:val="CharPartNo"/>
        </w:rPr>
        <w:lastRenderedPageBreak/>
        <w:t>Part V</w:t>
      </w:r>
      <w:r>
        <w:t> — </w:t>
      </w:r>
      <w:r>
        <w:rPr>
          <w:rStyle w:val="CharPartText"/>
        </w:rPr>
        <w:t>Permitted gambling</w:t>
      </w:r>
      <w:bookmarkEnd w:id="87"/>
      <w:bookmarkEnd w:id="88"/>
      <w:bookmarkEnd w:id="89"/>
    </w:p>
    <w:p>
      <w:pPr>
        <w:pStyle w:val="Footnoteheading"/>
        <w:tabs>
          <w:tab w:val="left" w:pos="910"/>
        </w:tabs>
        <w:spacing w:before="80"/>
      </w:pPr>
      <w:r>
        <w:tab/>
        <w:t>[Heading amended: No. 35 of 2003 s. 148(1).]</w:t>
      </w:r>
    </w:p>
    <w:p>
      <w:pPr>
        <w:pStyle w:val="Heading3"/>
        <w:spacing w:before="220"/>
        <w:rPr>
          <w:snapToGrid w:val="0"/>
        </w:rPr>
      </w:pPr>
      <w:bookmarkStart w:id="90" w:name="_Toc189221452"/>
      <w:bookmarkStart w:id="91" w:name="_Toc189221870"/>
      <w:bookmarkStart w:id="92" w:name="_Toc189226270"/>
      <w:r>
        <w:rPr>
          <w:rStyle w:val="CharDivNo"/>
        </w:rPr>
        <w:t>Division 1</w:t>
      </w:r>
      <w:r>
        <w:rPr>
          <w:snapToGrid w:val="0"/>
        </w:rPr>
        <w:t> — </w:t>
      </w:r>
      <w:r>
        <w:rPr>
          <w:rStyle w:val="CharDivText"/>
        </w:rPr>
        <w:t>Gaming generally</w:t>
      </w:r>
      <w:bookmarkEnd w:id="90"/>
      <w:bookmarkEnd w:id="91"/>
      <w:bookmarkEnd w:id="92"/>
    </w:p>
    <w:p>
      <w:pPr>
        <w:pStyle w:val="Footnoteheading"/>
        <w:tabs>
          <w:tab w:val="left" w:pos="910"/>
        </w:tabs>
        <w:spacing w:before="80"/>
      </w:pPr>
      <w:r>
        <w:tab/>
        <w:t>[Heading amended: No. 35 of 2003 s. 148(2).]</w:t>
      </w:r>
    </w:p>
    <w:p>
      <w:pPr>
        <w:pStyle w:val="Heading5"/>
        <w:rPr>
          <w:snapToGrid w:val="0"/>
        </w:rPr>
      </w:pPr>
      <w:bookmarkStart w:id="93" w:name="_Toc189226271"/>
      <w:r>
        <w:rPr>
          <w:rStyle w:val="CharSectno"/>
        </w:rPr>
        <w:t>46</w:t>
      </w:r>
      <w:r>
        <w:rPr>
          <w:snapToGrid w:val="0"/>
        </w:rPr>
        <w:t>.</w:t>
      </w:r>
      <w:r>
        <w:rPr>
          <w:snapToGrid w:val="0"/>
        </w:rPr>
        <w:tab/>
        <w:t>Permitted gaming defined</w:t>
      </w:r>
      <w:bookmarkEnd w:id="93"/>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w:t>
      </w:r>
      <w:r>
        <w:rPr>
          <w:snapToGrid w:val="0"/>
        </w:rPr>
        <w:lastRenderedPageBreak/>
        <w:t xml:space="preserve">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94" w:name="_Toc189226272"/>
      <w:r>
        <w:rPr>
          <w:rStyle w:val="CharSectno"/>
        </w:rPr>
        <w:t>47</w:t>
      </w:r>
      <w:r>
        <w:rPr>
          <w:snapToGrid w:val="0"/>
        </w:rPr>
        <w:t>.</w:t>
      </w:r>
      <w:r>
        <w:rPr>
          <w:snapToGrid w:val="0"/>
        </w:rPr>
        <w:tab/>
        <w:t>Gaming permits, types, issue and effect of</w:t>
      </w:r>
      <w:bookmarkEnd w:id="94"/>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lastRenderedPageBreak/>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95" w:name="_Toc189226273"/>
      <w:r>
        <w:rPr>
          <w:rStyle w:val="CharSectno"/>
        </w:rPr>
        <w:t>48</w:t>
      </w:r>
      <w:r>
        <w:rPr>
          <w:snapToGrid w:val="0"/>
        </w:rPr>
        <w:t>.</w:t>
      </w:r>
      <w:r>
        <w:rPr>
          <w:snapToGrid w:val="0"/>
        </w:rPr>
        <w:tab/>
        <w:t>Issue of permit on direction by Minister</w:t>
      </w:r>
      <w:bookmarkEnd w:id="95"/>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 xml:space="preserve">to issue a permit to a specified person in relation to a specified kind of gaming on specified premises, whether </w:t>
      </w:r>
      <w:r>
        <w:rPr>
          <w:snapToGrid w:val="0"/>
        </w:rPr>
        <w:lastRenderedPageBreak/>
        <w:t>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96" w:name="_Toc189226274"/>
      <w:r>
        <w:rPr>
          <w:rStyle w:val="CharSectno"/>
        </w:rPr>
        <w:t>49</w:t>
      </w:r>
      <w:r>
        <w:rPr>
          <w:snapToGrid w:val="0"/>
        </w:rPr>
        <w:t>.</w:t>
      </w:r>
      <w:r>
        <w:rPr>
          <w:snapToGrid w:val="0"/>
        </w:rPr>
        <w:tab/>
        <w:t>Applications for issue or renewal of permit, matters that may be considered when deciding</w:t>
      </w:r>
      <w:bookmarkEnd w:id="96"/>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lastRenderedPageBreak/>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keepNext/>
        <w:rPr>
          <w:snapToGrid w:val="0"/>
        </w:rPr>
      </w:pPr>
      <w:r>
        <w:rPr>
          <w:snapToGrid w:val="0"/>
        </w:rPr>
        <w:lastRenderedPageBreak/>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97" w:name="_Toc189226275"/>
      <w:r>
        <w:rPr>
          <w:rStyle w:val="CharSectno"/>
        </w:rPr>
        <w:t>50</w:t>
      </w:r>
      <w:r>
        <w:rPr>
          <w:snapToGrid w:val="0"/>
        </w:rPr>
        <w:t>.</w:t>
      </w:r>
      <w:r>
        <w:rPr>
          <w:snapToGrid w:val="0"/>
        </w:rPr>
        <w:tab/>
        <w:t>Register of approvals, permit holders etc., Commission to keep and allow inspection of etc.</w:t>
      </w:r>
      <w:bookmarkEnd w:id="97"/>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lastRenderedPageBreak/>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98" w:name="_Toc189226276"/>
      <w:r>
        <w:rPr>
          <w:rStyle w:val="CharSectno"/>
        </w:rPr>
        <w:t>51</w:t>
      </w:r>
      <w:r>
        <w:rPr>
          <w:snapToGrid w:val="0"/>
        </w:rPr>
        <w:t>.</w:t>
      </w:r>
      <w:r>
        <w:rPr>
          <w:snapToGrid w:val="0"/>
        </w:rPr>
        <w:tab/>
        <w:t>Persons eligible to hold gaming permits, approval of</w:t>
      </w:r>
      <w:bookmarkEnd w:id="98"/>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 xml:space="preserve">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w:t>
      </w:r>
      <w:r>
        <w:rPr>
          <w:snapToGrid w:val="0"/>
        </w:rPr>
        <w:lastRenderedPageBreak/>
        <w:t>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lastRenderedPageBreak/>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99" w:name="_Toc189226277"/>
      <w:r>
        <w:rPr>
          <w:rStyle w:val="CharSectno"/>
        </w:rPr>
        <w:t>52</w:t>
      </w:r>
      <w:r>
        <w:rPr>
          <w:snapToGrid w:val="0"/>
        </w:rPr>
        <w:t>.</w:t>
      </w:r>
      <w:r>
        <w:rPr>
          <w:snapToGrid w:val="0"/>
        </w:rPr>
        <w:tab/>
        <w:t>Applications for gaming permits</w:t>
      </w:r>
      <w:bookmarkEnd w:id="99"/>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lastRenderedPageBreak/>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100" w:name="_Toc189226278"/>
      <w:r>
        <w:rPr>
          <w:rStyle w:val="CharSectno"/>
        </w:rPr>
        <w:t>53</w:t>
      </w:r>
      <w:r>
        <w:rPr>
          <w:snapToGrid w:val="0"/>
        </w:rPr>
        <w:t>.</w:t>
      </w:r>
      <w:r>
        <w:rPr>
          <w:snapToGrid w:val="0"/>
        </w:rPr>
        <w:tab/>
        <w:t>Fees and charges for gaming permits</w:t>
      </w:r>
      <w:bookmarkEnd w:id="100"/>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 xml:space="preserve">for such payments to be made through the permit holder providing, at the place where gaming occurs, facilities </w:t>
      </w:r>
      <w:r>
        <w:rPr>
          <w:snapToGrid w:val="0"/>
        </w:rPr>
        <w:lastRenderedPageBreak/>
        <w:t>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01" w:name="_Toc189226279"/>
      <w:r>
        <w:rPr>
          <w:rStyle w:val="CharSectno"/>
        </w:rPr>
        <w:t>54</w:t>
      </w:r>
      <w:r>
        <w:rPr>
          <w:snapToGrid w:val="0"/>
        </w:rPr>
        <w:t>.</w:t>
      </w:r>
      <w:r>
        <w:rPr>
          <w:snapToGrid w:val="0"/>
        </w:rPr>
        <w:tab/>
        <w:t>Charging people to take part in permitted gaming</w:t>
      </w:r>
      <w:bookmarkEnd w:id="10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lastRenderedPageBreak/>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lastRenderedPageBreak/>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02" w:name="_Toc189226280"/>
      <w:r>
        <w:rPr>
          <w:rStyle w:val="CharSectno"/>
        </w:rPr>
        <w:t>55</w:t>
      </w:r>
      <w:r>
        <w:rPr>
          <w:snapToGrid w:val="0"/>
        </w:rPr>
        <w:t>.</w:t>
      </w:r>
      <w:r>
        <w:rPr>
          <w:snapToGrid w:val="0"/>
        </w:rPr>
        <w:tab/>
        <w:t>Approving premises for gaming</w:t>
      </w:r>
      <w:bookmarkEnd w:id="102"/>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lastRenderedPageBreak/>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 xml:space="preserve">where a proposed use will not contravene such a written law only if a specified consent be given, </w:t>
      </w:r>
      <w:r>
        <w:rPr>
          <w:snapToGrid w:val="0"/>
        </w:rPr>
        <w:lastRenderedPageBreak/>
        <w:t>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lastRenderedPageBreak/>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03" w:name="_Toc189226281"/>
      <w:r>
        <w:rPr>
          <w:rStyle w:val="CharSectno"/>
        </w:rPr>
        <w:t>56</w:t>
      </w:r>
      <w:r>
        <w:rPr>
          <w:snapToGrid w:val="0"/>
        </w:rPr>
        <w:t>.</w:t>
      </w:r>
      <w:r>
        <w:rPr>
          <w:snapToGrid w:val="0"/>
        </w:rPr>
        <w:tab/>
        <w:t>Renewing approvals, permits and certificates</w:t>
      </w:r>
      <w:bookmarkEnd w:id="103"/>
    </w:p>
    <w:p>
      <w:pPr>
        <w:pStyle w:val="Subsection"/>
        <w:rPr>
          <w:snapToGrid w:val="0"/>
        </w:rPr>
      </w:pPr>
      <w:r>
        <w:rPr>
          <w:snapToGrid w:val="0"/>
        </w:rPr>
        <w:tab/>
        <w:t>(1)</w:t>
      </w:r>
      <w:r>
        <w:rPr>
          <w:snapToGrid w:val="0"/>
        </w:rPr>
        <w:tab/>
        <w:t>An application for the renewal, or where its operation is suspended the re</w:t>
      </w:r>
      <w:r>
        <w:rPr>
          <w:snapToGrid w:val="0"/>
        </w:rPr>
        <w:noBreakHyphen/>
        <w:t xml:space="preserve">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w:t>
      </w:r>
      <w:r>
        <w:rPr>
          <w:snapToGrid w:val="0"/>
        </w:rPr>
        <w:lastRenderedPageBreak/>
        <w:t>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04" w:name="_Toc189226282"/>
      <w:r>
        <w:rPr>
          <w:rStyle w:val="CharSectno"/>
        </w:rPr>
        <w:t>57</w:t>
      </w:r>
      <w:r>
        <w:rPr>
          <w:snapToGrid w:val="0"/>
        </w:rPr>
        <w:t>.</w:t>
      </w:r>
      <w:r>
        <w:rPr>
          <w:snapToGrid w:val="0"/>
        </w:rPr>
        <w:tab/>
        <w:t>Reports by permit holders, when required, content of etc.</w:t>
      </w:r>
      <w:bookmarkEnd w:id="104"/>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lastRenderedPageBreak/>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 xml:space="preserve">A person who or which furnishes in or in relation to </w:t>
      </w:r>
      <w:r>
        <w:t>a report required under subsection (1)</w:t>
      </w:r>
      <w:r>
        <w:rPr>
          <w:snapToGrid w:val="0"/>
        </w:rPr>
        <w:t xml:space="preserve"> information which is false or misleading in a material particular, or who verifies any such report knowing it to contain such information, commits an offence.</w:t>
      </w:r>
    </w:p>
    <w:p>
      <w:pPr>
        <w:pStyle w:val="Penstart"/>
      </w:pPr>
      <w:r>
        <w:tab/>
        <w:t>Penalty for this subsection: a fine of $100 000.</w:t>
      </w:r>
    </w:p>
    <w:p>
      <w:pPr>
        <w:pStyle w:val="Subsection"/>
      </w:pPr>
      <w:r>
        <w:tab/>
        <w:t>(4)</w:t>
      </w:r>
      <w:r>
        <w:tab/>
        <w:t>A person who or which fails to give a report or information required under subsection (1) commits an offence.</w:t>
      </w:r>
    </w:p>
    <w:p>
      <w:pPr>
        <w:pStyle w:val="Penstart"/>
      </w:pPr>
      <w:r>
        <w:tab/>
        <w:t>Penalty for this subsection: a fine of $50 000.</w:t>
      </w:r>
    </w:p>
    <w:p>
      <w:pPr>
        <w:pStyle w:val="Footnotesection"/>
        <w:ind w:left="890" w:hanging="890"/>
      </w:pPr>
      <w:r>
        <w:tab/>
        <w:t>[Section 57 amended: No. 35 of 2003 s. 167; No. 41 of 2018 s. 25(1); No. 53 of 2024 s. 54.]</w:t>
      </w:r>
    </w:p>
    <w:p>
      <w:pPr>
        <w:pStyle w:val="Heading5"/>
        <w:rPr>
          <w:snapToGrid w:val="0"/>
        </w:rPr>
      </w:pPr>
      <w:bookmarkStart w:id="105" w:name="_Toc189226283"/>
      <w:r>
        <w:rPr>
          <w:rStyle w:val="CharSectno"/>
        </w:rPr>
        <w:lastRenderedPageBreak/>
        <w:t>58</w:t>
      </w:r>
      <w:r>
        <w:rPr>
          <w:snapToGrid w:val="0"/>
        </w:rPr>
        <w:t>.</w:t>
      </w:r>
      <w:r>
        <w:rPr>
          <w:snapToGrid w:val="0"/>
        </w:rPr>
        <w:tab/>
        <w:t>Gaming permit may regulate use of proceeds from permitted gaming etc.</w:t>
      </w:r>
      <w:bookmarkEnd w:id="105"/>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lastRenderedPageBreak/>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$50 000.</w:t>
      </w:r>
    </w:p>
    <w:p>
      <w:pPr>
        <w:pStyle w:val="Footnotesection"/>
      </w:pPr>
      <w:r>
        <w:tab/>
        <w:t>[Section 58 amended: No. 50 of 2003 s. 66(4); No. 41 of 2018 s. 25(1); No. 53 of 2024 s. 71.]</w:t>
      </w:r>
    </w:p>
    <w:p>
      <w:pPr>
        <w:pStyle w:val="Heading5"/>
        <w:spacing w:before="240"/>
        <w:rPr>
          <w:snapToGrid w:val="0"/>
        </w:rPr>
      </w:pPr>
      <w:bookmarkStart w:id="106" w:name="_Toc189226284"/>
      <w:r>
        <w:rPr>
          <w:rStyle w:val="CharSectno"/>
        </w:rPr>
        <w:t>59</w:t>
      </w:r>
      <w:r>
        <w:rPr>
          <w:snapToGrid w:val="0"/>
        </w:rPr>
        <w:t>.</w:t>
      </w:r>
      <w:r>
        <w:rPr>
          <w:snapToGrid w:val="0"/>
        </w:rPr>
        <w:tab/>
        <w:t>Approvals etc. may require security to be given</w:t>
      </w:r>
      <w:bookmarkEnd w:id="106"/>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 xml:space="preserve">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w:t>
      </w:r>
      <w:r>
        <w:rPr>
          <w:snapToGrid w:val="0"/>
        </w:rPr>
        <w:lastRenderedPageBreak/>
        <w:t>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lastRenderedPageBreak/>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07" w:name="_Toc189226285"/>
      <w:r>
        <w:rPr>
          <w:rStyle w:val="CharSectno"/>
        </w:rPr>
        <w:t>60</w:t>
      </w:r>
      <w:r>
        <w:rPr>
          <w:snapToGrid w:val="0"/>
        </w:rPr>
        <w:t>.</w:t>
      </w:r>
      <w:r>
        <w:rPr>
          <w:snapToGrid w:val="0"/>
        </w:rPr>
        <w:tab/>
        <w:t>Revoking and amending permits and certain approvals</w:t>
      </w:r>
      <w:bookmarkEnd w:id="107"/>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lastRenderedPageBreak/>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lastRenderedPageBreak/>
        <w:t>[</w:t>
      </w:r>
      <w:r>
        <w:rPr>
          <w:b/>
        </w:rPr>
        <w:t>61.</w:t>
      </w:r>
      <w:r>
        <w:tab/>
        <w:t>Deleted: No. 16 of 1990 s. 33.]</w:t>
      </w:r>
    </w:p>
    <w:p>
      <w:pPr>
        <w:pStyle w:val="Heading5"/>
        <w:rPr>
          <w:snapToGrid w:val="0"/>
        </w:rPr>
      </w:pPr>
      <w:bookmarkStart w:id="108" w:name="_Toc189226286"/>
      <w:r>
        <w:rPr>
          <w:rStyle w:val="CharSectno"/>
        </w:rPr>
        <w:t>62</w:t>
      </w:r>
      <w:r>
        <w:rPr>
          <w:snapToGrid w:val="0"/>
        </w:rPr>
        <w:t>.</w:t>
      </w:r>
      <w:r>
        <w:rPr>
          <w:snapToGrid w:val="0"/>
        </w:rPr>
        <w:tab/>
        <w:t>Revocation or amendment of current approval etc., Commission to report to Minister; appeals to Minister</w:t>
      </w:r>
      <w:bookmarkEnd w:id="108"/>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 xml:space="preserve">Subsection (5) does not apply in the case of an appeal against a determination of the Commission stated to have been made by reason of the conviction of the holder of the permit, approval or </w:t>
      </w:r>
      <w:r>
        <w:rPr>
          <w:snapToGrid w:val="0"/>
        </w:rPr>
        <w:lastRenderedPageBreak/>
        <w:t>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09" w:name="_Toc189226287"/>
      <w:r>
        <w:rPr>
          <w:rStyle w:val="CharSectno"/>
        </w:rPr>
        <w:t>63</w:t>
      </w:r>
      <w:r>
        <w:rPr>
          <w:snapToGrid w:val="0"/>
        </w:rPr>
        <w:t>.</w:t>
      </w:r>
      <w:r>
        <w:rPr>
          <w:snapToGrid w:val="0"/>
        </w:rPr>
        <w:tab/>
        <w:t>No credit to be given to person for permitted gaming; cheques for permitted gaming</w:t>
      </w:r>
      <w:bookmarkEnd w:id="109"/>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 xml:space="preserve">Where the permit holder, or a person acting on behalf of or under any arrangement with him, accepts a cheque in exchange for cash or tokens to be used by a player in permitted gaming, </w:t>
      </w:r>
      <w:r>
        <w:rPr>
          <w:snapToGrid w:val="0"/>
        </w:rPr>
        <w:lastRenderedPageBreak/>
        <w:t>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10" w:name="_Toc189221470"/>
      <w:bookmarkStart w:id="111" w:name="_Toc189221888"/>
      <w:bookmarkStart w:id="112" w:name="_Toc189226288"/>
      <w:r>
        <w:rPr>
          <w:rStyle w:val="CharDivNo"/>
        </w:rPr>
        <w:t>Division 2</w:t>
      </w:r>
      <w:r>
        <w:rPr>
          <w:snapToGrid w:val="0"/>
        </w:rPr>
        <w:t> — </w:t>
      </w:r>
      <w:r>
        <w:rPr>
          <w:rStyle w:val="CharDivText"/>
        </w:rPr>
        <w:t>Social gambling</w:t>
      </w:r>
      <w:bookmarkEnd w:id="110"/>
      <w:bookmarkEnd w:id="111"/>
      <w:bookmarkEnd w:id="112"/>
    </w:p>
    <w:p>
      <w:pPr>
        <w:pStyle w:val="Heading5"/>
        <w:rPr>
          <w:snapToGrid w:val="0"/>
        </w:rPr>
      </w:pPr>
      <w:bookmarkStart w:id="113" w:name="_Toc189226289"/>
      <w:r>
        <w:rPr>
          <w:rStyle w:val="CharSectno"/>
        </w:rPr>
        <w:t>64</w:t>
      </w:r>
      <w:r>
        <w:rPr>
          <w:snapToGrid w:val="0"/>
        </w:rPr>
        <w:t>.</w:t>
      </w:r>
      <w:r>
        <w:rPr>
          <w:snapToGrid w:val="0"/>
        </w:rPr>
        <w:tab/>
        <w:t>Social gambling defined</w:t>
      </w:r>
      <w:bookmarkEnd w:id="113"/>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 xml:space="preserve">no money or money’s worth which any of the players puts down as stakes, or pays by way of losses, or exchanges for tokens used in playing </w:t>
      </w:r>
      <w:r>
        <w:rPr>
          <w:snapToGrid w:val="0"/>
        </w:rPr>
        <w:lastRenderedPageBreak/>
        <w:t>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lastRenderedPageBreak/>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pPr>
      <w:bookmarkStart w:id="114" w:name="_Toc189221472"/>
      <w:bookmarkStart w:id="115" w:name="_Toc189221890"/>
      <w:bookmarkStart w:id="116" w:name="_Toc189226290"/>
      <w:r>
        <w:rPr>
          <w:rStyle w:val="CharDivNo"/>
        </w:rPr>
        <w:lastRenderedPageBreak/>
        <w:t>Division 4</w:t>
      </w:r>
      <w:r>
        <w:rPr>
          <w:snapToGrid w:val="0"/>
        </w:rPr>
        <w:t> — </w:t>
      </w:r>
      <w:r>
        <w:rPr>
          <w:rStyle w:val="CharDivText"/>
        </w:rPr>
        <w:t>Permitted two</w:t>
      </w:r>
      <w:r>
        <w:rPr>
          <w:rStyle w:val="CharDivText"/>
        </w:rPr>
        <w:noBreakHyphen/>
        <w:t>up</w:t>
      </w:r>
      <w:bookmarkEnd w:id="114"/>
      <w:bookmarkEnd w:id="115"/>
      <w:bookmarkEnd w:id="116"/>
    </w:p>
    <w:p>
      <w:pPr>
        <w:pStyle w:val="Heading5"/>
        <w:keepNext w:val="0"/>
        <w:keepLines w:val="0"/>
        <w:rPr>
          <w:snapToGrid w:val="0"/>
        </w:rPr>
      </w:pPr>
      <w:bookmarkStart w:id="117" w:name="_Toc189226291"/>
      <w:r>
        <w:rPr>
          <w:rStyle w:val="CharSectno"/>
        </w:rPr>
        <w:t>80</w:t>
      </w:r>
      <w:r>
        <w:rPr>
          <w:snapToGrid w:val="0"/>
        </w:rPr>
        <w:t>.</w:t>
      </w:r>
      <w:r>
        <w:rPr>
          <w:snapToGrid w:val="0"/>
        </w:rPr>
        <w:tab/>
        <w:t>Two</w:t>
      </w:r>
      <w:r>
        <w:rPr>
          <w:snapToGrid w:val="0"/>
        </w:rPr>
        <w:noBreakHyphen/>
        <w:t>up at country race meetings</w:t>
      </w:r>
      <w:bookmarkEnd w:id="117"/>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lastRenderedPageBreak/>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118" w:name="_Toc189226292"/>
      <w:r>
        <w:rPr>
          <w:rStyle w:val="CharSectno"/>
        </w:rPr>
        <w:t>81</w:t>
      </w:r>
      <w:r>
        <w:rPr>
          <w:snapToGrid w:val="0"/>
        </w:rPr>
        <w:t>.</w:t>
      </w:r>
      <w:r>
        <w:rPr>
          <w:snapToGrid w:val="0"/>
        </w:rPr>
        <w:tab/>
        <w:t>Two</w:t>
      </w:r>
      <w:r>
        <w:rPr>
          <w:snapToGrid w:val="0"/>
        </w:rPr>
        <w:noBreakHyphen/>
        <w:t>up at other places</w:t>
      </w:r>
      <w:bookmarkEnd w:id="118"/>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lastRenderedPageBreak/>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keepNext/>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keepNext/>
        <w:rPr>
          <w:snapToGrid w:val="0"/>
        </w:rPr>
      </w:pPr>
      <w:r>
        <w:rPr>
          <w:snapToGrid w:val="0"/>
        </w:rPr>
        <w:tab/>
        <w:t>(b)</w:t>
      </w:r>
      <w:r>
        <w:rPr>
          <w:snapToGrid w:val="0"/>
        </w:rPr>
        <w:tab/>
        <w:t xml:space="preserve">the gaming shall not be taken to be conducted for the purposes of private gain by reason only that the </w:t>
      </w:r>
      <w:r>
        <w:rPr>
          <w:snapToGrid w:val="0"/>
        </w:rPr>
        <w:lastRenderedPageBreak/>
        <w:t>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119" w:name="_Toc189226293"/>
      <w:r>
        <w:rPr>
          <w:rStyle w:val="CharSectno"/>
        </w:rPr>
        <w:t>82</w:t>
      </w:r>
      <w:r>
        <w:rPr>
          <w:snapToGrid w:val="0"/>
        </w:rPr>
        <w:t>.</w:t>
      </w:r>
      <w:r>
        <w:rPr>
          <w:snapToGrid w:val="0"/>
        </w:rPr>
        <w:tab/>
        <w:t>Conditions deemed in certain permits</w:t>
      </w:r>
      <w:bookmarkEnd w:id="11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120" w:name="_Toc189226294"/>
      <w:r>
        <w:rPr>
          <w:rStyle w:val="CharSectno"/>
        </w:rPr>
        <w:lastRenderedPageBreak/>
        <w:t>83</w:t>
      </w:r>
      <w:r>
        <w:rPr>
          <w:snapToGrid w:val="0"/>
        </w:rPr>
        <w:t>.</w:t>
      </w:r>
      <w:r>
        <w:rPr>
          <w:snapToGrid w:val="0"/>
        </w:rPr>
        <w:tab/>
        <w:t>Regulations for this Division</w:t>
      </w:r>
      <w:bookmarkEnd w:id="12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121" w:name="_Toc189221477"/>
      <w:bookmarkStart w:id="122" w:name="_Toc189221895"/>
      <w:bookmarkStart w:id="123" w:name="_Toc189226295"/>
      <w:r>
        <w:rPr>
          <w:rStyle w:val="CharDivNo"/>
        </w:rPr>
        <w:t>Division 5</w:t>
      </w:r>
      <w:r>
        <w:rPr>
          <w:snapToGrid w:val="0"/>
        </w:rPr>
        <w:t> — </w:t>
      </w:r>
      <w:r>
        <w:rPr>
          <w:rStyle w:val="CharDivText"/>
        </w:rPr>
        <w:t>Gaming machines and other gaming equipment and its operation</w:t>
      </w:r>
      <w:bookmarkEnd w:id="121"/>
      <w:bookmarkEnd w:id="122"/>
      <w:bookmarkEnd w:id="123"/>
    </w:p>
    <w:p>
      <w:pPr>
        <w:pStyle w:val="Heading5"/>
        <w:rPr>
          <w:snapToGrid w:val="0"/>
        </w:rPr>
      </w:pPr>
      <w:bookmarkStart w:id="124" w:name="_Toc189226296"/>
      <w:r>
        <w:rPr>
          <w:rStyle w:val="CharSectno"/>
        </w:rPr>
        <w:t>84</w:t>
      </w:r>
      <w:r>
        <w:rPr>
          <w:snapToGrid w:val="0"/>
        </w:rPr>
        <w:t>.</w:t>
      </w:r>
      <w:r>
        <w:rPr>
          <w:snapToGrid w:val="0"/>
        </w:rPr>
        <w:tab/>
        <w:t>Terms used</w:t>
      </w:r>
      <w:bookmarkEnd w:id="124"/>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lastRenderedPageBreak/>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keepNex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lastRenderedPageBreak/>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125" w:name="_Toc189226297"/>
      <w:r>
        <w:rPr>
          <w:rStyle w:val="CharSectno"/>
        </w:rPr>
        <w:t>85</w:t>
      </w:r>
      <w:r>
        <w:rPr>
          <w:snapToGrid w:val="0"/>
        </w:rPr>
        <w:t>.</w:t>
      </w:r>
      <w:r>
        <w:rPr>
          <w:snapToGrid w:val="0"/>
        </w:rPr>
        <w:tab/>
        <w:t>Unlawful gaming machines etc., use and possession of prohibited</w:t>
      </w:r>
      <w:bookmarkEnd w:id="125"/>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lastRenderedPageBreak/>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w:t>
      </w:r>
      <w:r>
        <w:rPr>
          <w:snapToGrid w:val="0"/>
        </w:rPr>
        <w:lastRenderedPageBreak/>
        <w:t>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pPr>
      <w:r>
        <w:tab/>
        <w:t>Penalty for this subsection: a fine of $100 000.</w:t>
      </w:r>
    </w:p>
    <w:p>
      <w:pPr>
        <w:pStyle w:val="Subsection"/>
        <w:keepNext/>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 No. 53 of 2024 s. 55.]</w:t>
      </w:r>
    </w:p>
    <w:p>
      <w:pPr>
        <w:pStyle w:val="Heading5"/>
        <w:keepLines w:val="0"/>
        <w:rPr>
          <w:snapToGrid w:val="0"/>
        </w:rPr>
      </w:pPr>
      <w:bookmarkStart w:id="126" w:name="_Toc189226298"/>
      <w:r>
        <w:rPr>
          <w:rStyle w:val="CharSectno"/>
        </w:rPr>
        <w:lastRenderedPageBreak/>
        <w:t>86</w:t>
      </w:r>
      <w:r>
        <w:rPr>
          <w:snapToGrid w:val="0"/>
        </w:rPr>
        <w:t>.</w:t>
      </w:r>
      <w:r>
        <w:rPr>
          <w:snapToGrid w:val="0"/>
        </w:rPr>
        <w:tab/>
        <w:t>Use of unlawful cash or tokens in gaming machines</w:t>
      </w:r>
      <w:bookmarkEnd w:id="126"/>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$2 500.</w:t>
      </w:r>
    </w:p>
    <w:p>
      <w:pPr>
        <w:pStyle w:val="Footnotesection"/>
      </w:pPr>
      <w:r>
        <w:tab/>
        <w:t>[Section 86 amended: No. 41 of 2018 s. 25(2); No. 53 of 2024 s. 71.]</w:t>
      </w:r>
    </w:p>
    <w:p>
      <w:pPr>
        <w:pStyle w:val="Heading5"/>
        <w:rPr>
          <w:snapToGrid w:val="0"/>
        </w:rPr>
      </w:pPr>
      <w:bookmarkStart w:id="127" w:name="_Toc189226299"/>
      <w:r>
        <w:rPr>
          <w:rStyle w:val="CharSectno"/>
        </w:rPr>
        <w:t>87</w:t>
      </w:r>
      <w:r>
        <w:rPr>
          <w:snapToGrid w:val="0"/>
        </w:rPr>
        <w:t>.</w:t>
      </w:r>
      <w:r>
        <w:rPr>
          <w:snapToGrid w:val="0"/>
        </w:rPr>
        <w:tab/>
        <w:t>Records about gaming equipment, powers to require keeping of</w:t>
      </w:r>
      <w:bookmarkEnd w:id="127"/>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lastRenderedPageBreak/>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28" w:name="_Toc189226300"/>
      <w:r>
        <w:rPr>
          <w:rStyle w:val="CharSectno"/>
        </w:rPr>
        <w:t>88</w:t>
      </w:r>
      <w:r>
        <w:rPr>
          <w:snapToGrid w:val="0"/>
        </w:rPr>
        <w:t>.</w:t>
      </w:r>
      <w:r>
        <w:rPr>
          <w:snapToGrid w:val="0"/>
        </w:rPr>
        <w:tab/>
        <w:t>Prescribed gaming equipment, regulations about, certificates for sellers etc. of</w:t>
      </w:r>
      <w:bookmarkEnd w:id="128"/>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 xml:space="preserve">that no person who is not approved by the Commission for the purpose shall remove from any gaming machine any money, other than any money delivered by the </w:t>
      </w:r>
      <w:r>
        <w:rPr>
          <w:snapToGrid w:val="0"/>
        </w:rPr>
        <w:lastRenderedPageBreak/>
        <w:t>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$100 000.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lastRenderedPageBreak/>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 xml:space="preserve">In determining whether a person is competent and a fit and proper person to perform relevant operations regard shall be had </w:t>
      </w:r>
      <w:r>
        <w:rPr>
          <w:snapToGrid w:val="0"/>
        </w:rPr>
        <w:lastRenderedPageBreak/>
        <w:t>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 No. 53 of 2024 s. 71.]</w:t>
      </w:r>
    </w:p>
    <w:p>
      <w:pPr>
        <w:pStyle w:val="Heading5"/>
        <w:rPr>
          <w:snapToGrid w:val="0"/>
        </w:rPr>
      </w:pPr>
      <w:bookmarkStart w:id="129" w:name="_Toc189226301"/>
      <w:r>
        <w:rPr>
          <w:rStyle w:val="CharSectno"/>
        </w:rPr>
        <w:t>89</w:t>
      </w:r>
      <w:r>
        <w:rPr>
          <w:snapToGrid w:val="0"/>
        </w:rPr>
        <w:t>.</w:t>
      </w:r>
      <w:r>
        <w:rPr>
          <w:snapToGrid w:val="0"/>
        </w:rPr>
        <w:tab/>
        <w:t>Prescribed gaming equipment, sale etc. of</w:t>
      </w:r>
      <w:bookmarkEnd w:id="129"/>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keepNext/>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$100 000.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 No. 53 of 2024 s. 71.]</w:t>
      </w:r>
    </w:p>
    <w:p>
      <w:pPr>
        <w:pStyle w:val="Heading5"/>
        <w:rPr>
          <w:snapToGrid w:val="0"/>
        </w:rPr>
      </w:pPr>
      <w:bookmarkStart w:id="130" w:name="_Toc189226302"/>
      <w:r>
        <w:rPr>
          <w:rStyle w:val="CharSectno"/>
        </w:rPr>
        <w:t>90</w:t>
      </w:r>
      <w:r>
        <w:rPr>
          <w:snapToGrid w:val="0"/>
        </w:rPr>
        <w:t>.</w:t>
      </w:r>
      <w:r>
        <w:rPr>
          <w:snapToGrid w:val="0"/>
        </w:rPr>
        <w:tab/>
        <w:t>Application of s. 88 and 89 to concessionaires</w:t>
      </w:r>
      <w:bookmarkEnd w:id="130"/>
    </w:p>
    <w:p>
      <w:pPr>
        <w:pStyle w:val="Subsection"/>
        <w:spacing w:before="120"/>
        <w:rPr>
          <w:snapToGrid w:val="0"/>
        </w:rPr>
      </w:pPr>
      <w:r>
        <w:rPr>
          <w:snapToGrid w:val="0"/>
        </w:rPr>
        <w:tab/>
      </w:r>
      <w:r>
        <w:rPr>
          <w:snapToGrid w:val="0"/>
        </w:rPr>
        <w:tab/>
        <w:t xml:space="preserve">For the purposes of sections 88 and 89 a person who, in pursuance of any concession, licence or other right granted to him, places gaming equipment, or causes gaming equipment to </w:t>
      </w:r>
      <w:r>
        <w:rPr>
          <w:snapToGrid w:val="0"/>
        </w:rPr>
        <w:lastRenderedPageBreak/>
        <w:t>be placed, on premises which are not in his occupation shall be treated as supplying the gaming equipment at the time when it is placed on those premises.</w:t>
      </w:r>
    </w:p>
    <w:p>
      <w:pPr>
        <w:pStyle w:val="Heading5"/>
        <w:keepNext w:val="0"/>
        <w:keepLines w:val="0"/>
        <w:rPr>
          <w:snapToGrid w:val="0"/>
        </w:rPr>
      </w:pPr>
      <w:bookmarkStart w:id="131" w:name="_Toc189226303"/>
      <w:r>
        <w:rPr>
          <w:rStyle w:val="CharSectno"/>
        </w:rPr>
        <w:t>91</w:t>
      </w:r>
      <w:r>
        <w:rPr>
          <w:snapToGrid w:val="0"/>
        </w:rPr>
        <w:t>.</w:t>
      </w:r>
      <w:r>
        <w:rPr>
          <w:snapToGrid w:val="0"/>
        </w:rPr>
        <w:tab/>
        <w:t>Permitted gaming, restrictions on certain people in relation to</w:t>
      </w:r>
      <w:bookmarkEnd w:id="131"/>
    </w:p>
    <w:p>
      <w:pPr>
        <w:pStyle w:val="Subsection"/>
        <w:keepNext/>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$20 000.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lastRenderedPageBreak/>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$20 000.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 xml:space="preserve">In determining whether to issue a certificate for the purposes of subsection (6) the Commission shall have regard only to the </w:t>
      </w:r>
      <w:r>
        <w:rPr>
          <w:snapToGrid w:val="0"/>
        </w:rPr>
        <w:lastRenderedPageBreak/>
        <w:t>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 No. 53 of 2024 s. 71.]</w:t>
      </w:r>
    </w:p>
    <w:p>
      <w:pPr>
        <w:pStyle w:val="Heading5"/>
        <w:keepLines w:val="0"/>
        <w:rPr>
          <w:snapToGrid w:val="0"/>
        </w:rPr>
      </w:pPr>
      <w:bookmarkStart w:id="132" w:name="_Toc189226304"/>
      <w:r>
        <w:rPr>
          <w:rStyle w:val="CharSectno"/>
        </w:rPr>
        <w:t>92</w:t>
      </w:r>
      <w:r>
        <w:rPr>
          <w:snapToGrid w:val="0"/>
        </w:rPr>
        <w:t>.</w:t>
      </w:r>
      <w:r>
        <w:rPr>
          <w:snapToGrid w:val="0"/>
        </w:rPr>
        <w:tab/>
        <w:t>Certificates for s. 91</w:t>
      </w:r>
      <w:bookmarkEnd w:id="132"/>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lastRenderedPageBreak/>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133" w:name="_Toc189226305"/>
      <w:r>
        <w:rPr>
          <w:rStyle w:val="CharSectno"/>
        </w:rPr>
        <w:t>93</w:t>
      </w:r>
      <w:r>
        <w:rPr>
          <w:snapToGrid w:val="0"/>
        </w:rPr>
        <w:t>.</w:t>
      </w:r>
      <w:r>
        <w:rPr>
          <w:snapToGrid w:val="0"/>
        </w:rPr>
        <w:tab/>
        <w:t>Offences in relation to s. 91</w:t>
      </w:r>
      <w:bookmarkEnd w:id="133"/>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$20 000.</w:t>
      </w:r>
    </w:p>
    <w:p>
      <w:pPr>
        <w:pStyle w:val="Footnotesection"/>
      </w:pPr>
      <w:r>
        <w:tab/>
        <w:t>[Section 93 amended: No. 35 of 2003 s. 167; No. 41 of 2018 s. 25(2); No. 53 of 2024 s. 71.]</w:t>
      </w:r>
    </w:p>
    <w:p>
      <w:pPr>
        <w:pStyle w:val="Heading3"/>
      </w:pPr>
      <w:bookmarkStart w:id="134" w:name="_Toc189221488"/>
      <w:bookmarkStart w:id="135" w:name="_Toc189221906"/>
      <w:bookmarkStart w:id="136" w:name="_Toc189226306"/>
      <w:r>
        <w:rPr>
          <w:rStyle w:val="CharDivNo"/>
        </w:rPr>
        <w:t>Division 5A</w:t>
      </w:r>
      <w:r>
        <w:t> — </w:t>
      </w:r>
      <w:r>
        <w:rPr>
          <w:rStyle w:val="CharDivText"/>
        </w:rPr>
        <w:t>Remote gambling devices</w:t>
      </w:r>
      <w:bookmarkEnd w:id="134"/>
      <w:bookmarkEnd w:id="135"/>
      <w:bookmarkEnd w:id="136"/>
    </w:p>
    <w:p>
      <w:pPr>
        <w:pStyle w:val="Footnoteheading"/>
      </w:pPr>
      <w:r>
        <w:tab/>
        <w:t>[Heading inserted: No. 41 of 2018 s. 21.]</w:t>
      </w:r>
    </w:p>
    <w:p>
      <w:pPr>
        <w:pStyle w:val="Heading5"/>
      </w:pPr>
      <w:bookmarkStart w:id="137" w:name="_Toc189226307"/>
      <w:r>
        <w:rPr>
          <w:rStyle w:val="CharSectno"/>
        </w:rPr>
        <w:t>93A</w:t>
      </w:r>
      <w:r>
        <w:t>.</w:t>
      </w:r>
      <w:r>
        <w:tab/>
        <w:t>Terms used</w:t>
      </w:r>
      <w:bookmarkEnd w:id="137"/>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lastRenderedPageBreak/>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138" w:name="_Toc189226308"/>
      <w:r>
        <w:rPr>
          <w:rStyle w:val="CharSectno"/>
        </w:rPr>
        <w:t>93B</w:t>
      </w:r>
      <w:r>
        <w:t>.</w:t>
      </w:r>
      <w:r>
        <w:tab/>
        <w:t>Offences relating to remote gambling devices</w:t>
      </w:r>
      <w:bookmarkEnd w:id="138"/>
    </w:p>
    <w:p>
      <w:pPr>
        <w:pStyle w:val="Subsection"/>
      </w:pPr>
      <w:r>
        <w:tab/>
        <w:t>(1)</w:t>
      </w:r>
      <w:r>
        <w:tab/>
        <w:t>A person who places a remote gambling device on public premises commits an offence.</w:t>
      </w:r>
    </w:p>
    <w:p>
      <w:pPr>
        <w:pStyle w:val="Penstart"/>
      </w:pPr>
      <w:r>
        <w:tab/>
        <w:t>Penalty for this subsection: a fine of $100 000.</w:t>
      </w:r>
    </w:p>
    <w:p>
      <w:pPr>
        <w:pStyle w:val="Subsection"/>
      </w:pPr>
      <w:r>
        <w:tab/>
        <w:t>(2)</w:t>
      </w:r>
      <w:r>
        <w:tab/>
        <w:t>A person who uses a remote gambling device on public premises commits an offence.</w:t>
      </w:r>
    </w:p>
    <w:p>
      <w:pPr>
        <w:pStyle w:val="Penstart"/>
      </w:pPr>
      <w:r>
        <w:tab/>
        <w:t>Penalty for this subsection: a fine of $5 000.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$100 000.</w:t>
      </w:r>
    </w:p>
    <w:p>
      <w:pPr>
        <w:pStyle w:val="Footnotesection"/>
      </w:pPr>
      <w:r>
        <w:tab/>
        <w:t>[Section 93B inserted: No. 41 of 2018 s. 21; amended: No. 53 of 2024 s. 71.]</w:t>
      </w:r>
    </w:p>
    <w:p>
      <w:pPr>
        <w:pStyle w:val="Heading3"/>
      </w:pPr>
      <w:bookmarkStart w:id="139" w:name="_Toc189221491"/>
      <w:bookmarkStart w:id="140" w:name="_Toc189221909"/>
      <w:bookmarkStart w:id="141" w:name="_Toc189226309"/>
      <w:r>
        <w:rPr>
          <w:rStyle w:val="CharDivNo"/>
        </w:rPr>
        <w:t>Division 6</w:t>
      </w:r>
      <w:r>
        <w:rPr>
          <w:snapToGrid w:val="0"/>
        </w:rPr>
        <w:t> — </w:t>
      </w:r>
      <w:r>
        <w:rPr>
          <w:rStyle w:val="CharDivText"/>
        </w:rPr>
        <w:t>Permitted bingo</w:t>
      </w:r>
      <w:bookmarkEnd w:id="139"/>
      <w:bookmarkEnd w:id="140"/>
      <w:bookmarkEnd w:id="141"/>
    </w:p>
    <w:p>
      <w:pPr>
        <w:pStyle w:val="Heading5"/>
        <w:rPr>
          <w:snapToGrid w:val="0"/>
        </w:rPr>
      </w:pPr>
      <w:bookmarkStart w:id="142" w:name="_Toc189226310"/>
      <w:r>
        <w:rPr>
          <w:rStyle w:val="CharSectno"/>
        </w:rPr>
        <w:t>94</w:t>
      </w:r>
      <w:r>
        <w:rPr>
          <w:snapToGrid w:val="0"/>
        </w:rPr>
        <w:t>.</w:t>
      </w:r>
      <w:r>
        <w:rPr>
          <w:snapToGrid w:val="0"/>
        </w:rPr>
        <w:tab/>
        <w:t>Terms used</w:t>
      </w:r>
      <w:bookmarkEnd w:id="142"/>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lastRenderedPageBreak/>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43" w:name="_Toc189226311"/>
      <w:r>
        <w:rPr>
          <w:rStyle w:val="CharSectno"/>
        </w:rPr>
        <w:lastRenderedPageBreak/>
        <w:t>95</w:t>
      </w:r>
      <w:r>
        <w:rPr>
          <w:snapToGrid w:val="0"/>
        </w:rPr>
        <w:t>.</w:t>
      </w:r>
      <w:r>
        <w:rPr>
          <w:snapToGrid w:val="0"/>
        </w:rPr>
        <w:tab/>
        <w:t>Permits to conduct bingo; who may play permitted bingo</w:t>
      </w:r>
      <w:bookmarkEnd w:id="143"/>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w:t>
      </w:r>
      <w:r>
        <w:rPr>
          <w:snapToGrid w:val="0"/>
        </w:rPr>
        <w:lastRenderedPageBreak/>
        <w:t>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95 amended: No. 24 of 1998 s. 59; No. 41 of 2018 s. 25(1); No. 53 of 2024 s. 71.]</w:t>
      </w:r>
    </w:p>
    <w:p>
      <w:pPr>
        <w:pStyle w:val="Heading5"/>
        <w:rPr>
          <w:snapToGrid w:val="0"/>
        </w:rPr>
      </w:pPr>
      <w:bookmarkStart w:id="144" w:name="_Toc189226312"/>
      <w:r>
        <w:rPr>
          <w:rStyle w:val="CharSectno"/>
        </w:rPr>
        <w:t>96</w:t>
      </w:r>
      <w:r>
        <w:rPr>
          <w:snapToGrid w:val="0"/>
        </w:rPr>
        <w:t>.</w:t>
      </w:r>
      <w:r>
        <w:rPr>
          <w:snapToGrid w:val="0"/>
        </w:rPr>
        <w:tab/>
        <w:t>Multiple bingo</w:t>
      </w:r>
      <w:bookmarkEnd w:id="144"/>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lastRenderedPageBreak/>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$20 000.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lastRenderedPageBreak/>
        <w:tab/>
        <w:t>[Section 96 amended: No. 41 of 2018 s. 25(1); No. 53 of 2024 s. 71.]</w:t>
      </w:r>
    </w:p>
    <w:p>
      <w:pPr>
        <w:pStyle w:val="Heading5"/>
        <w:rPr>
          <w:snapToGrid w:val="0"/>
        </w:rPr>
      </w:pPr>
      <w:bookmarkStart w:id="145" w:name="_Toc189226313"/>
      <w:r>
        <w:rPr>
          <w:rStyle w:val="CharSectno"/>
        </w:rPr>
        <w:t>97</w:t>
      </w:r>
      <w:r>
        <w:rPr>
          <w:snapToGrid w:val="0"/>
        </w:rPr>
        <w:t>.</w:t>
      </w:r>
      <w:r>
        <w:rPr>
          <w:snapToGrid w:val="0"/>
        </w:rPr>
        <w:tab/>
        <w:t>Simultaneous bingo</w:t>
      </w:r>
      <w:bookmarkEnd w:id="145"/>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performs any operation as an organiser of a game purporting to be simultaneous bingo, not being the </w:t>
      </w:r>
      <w:r>
        <w:rPr>
          <w:snapToGrid w:val="0"/>
        </w:rPr>
        <w:lastRenderedPageBreak/>
        <w:t>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$20 000.</w:t>
      </w:r>
    </w:p>
    <w:p>
      <w:pPr>
        <w:pStyle w:val="Footnotesection"/>
      </w:pPr>
      <w:r>
        <w:tab/>
        <w:t>[Section 97 amended: No. 41 of 2018 s. 25(1); No. 53 of 2024 s. 71.]</w:t>
      </w:r>
    </w:p>
    <w:p>
      <w:pPr>
        <w:pStyle w:val="Heading5"/>
        <w:rPr>
          <w:snapToGrid w:val="0"/>
        </w:rPr>
      </w:pPr>
      <w:bookmarkStart w:id="146" w:name="_Toc189226314"/>
      <w:r>
        <w:rPr>
          <w:rStyle w:val="CharSectno"/>
        </w:rPr>
        <w:t>98</w:t>
      </w:r>
      <w:r>
        <w:rPr>
          <w:snapToGrid w:val="0"/>
        </w:rPr>
        <w:t>.</w:t>
      </w:r>
      <w:r>
        <w:rPr>
          <w:snapToGrid w:val="0"/>
        </w:rPr>
        <w:tab/>
        <w:t>Conduct of bingo</w:t>
      </w:r>
      <w:bookmarkEnd w:id="14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$20 000.</w:t>
      </w:r>
    </w:p>
    <w:p>
      <w:pPr>
        <w:pStyle w:val="Footnotesection"/>
      </w:pPr>
      <w:r>
        <w:tab/>
        <w:t>[Section 98 amended: No. 41 of 2018 s. 25(2); No. 53 of 2024 s. 71.]</w:t>
      </w:r>
    </w:p>
    <w:p>
      <w:pPr>
        <w:pStyle w:val="Heading5"/>
        <w:rPr>
          <w:snapToGrid w:val="0"/>
        </w:rPr>
      </w:pPr>
      <w:bookmarkStart w:id="147" w:name="_Toc189226315"/>
      <w:r>
        <w:rPr>
          <w:rStyle w:val="CharSectno"/>
        </w:rPr>
        <w:t>99</w:t>
      </w:r>
      <w:r>
        <w:rPr>
          <w:snapToGrid w:val="0"/>
        </w:rPr>
        <w:t>.</w:t>
      </w:r>
      <w:r>
        <w:rPr>
          <w:snapToGrid w:val="0"/>
        </w:rPr>
        <w:tab/>
        <w:t>Recovering moneys payable to Commission for bingo</w:t>
      </w:r>
      <w:bookmarkEnd w:id="147"/>
    </w:p>
    <w:p>
      <w:pPr>
        <w:pStyle w:val="Subsection"/>
        <w:keepNext/>
        <w:rPr>
          <w:snapToGrid w:val="0"/>
        </w:rPr>
      </w:pPr>
      <w:r>
        <w:rPr>
          <w:snapToGrid w:val="0"/>
        </w:rPr>
        <w:tab/>
      </w:r>
      <w:r>
        <w:rPr>
          <w:snapToGrid w:val="0"/>
        </w:rPr>
        <w:tab/>
        <w:t xml:space="preserve">Where any moneys are payable to the Commission in relation to a permit authorising the playing of a game of bingo, those </w:t>
      </w:r>
      <w:r>
        <w:rPr>
          <w:snapToGrid w:val="0"/>
        </w:rPr>
        <w:lastRenderedPageBreak/>
        <w:t>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 xml:space="preserve">where a body of persons would be liable, any person </w:t>
      </w:r>
      <w:r>
        <w:t>who, if that body committed an offence of failing to pay those moneys on demand, would be criminally liable in accordance with section 37 of this Act.</w:t>
      </w:r>
    </w:p>
    <w:p>
      <w:pPr>
        <w:pStyle w:val="Footnotesection"/>
      </w:pPr>
      <w:r>
        <w:tab/>
        <w:t>[Section 99 amended: No. 9 of 2023 s. 81.]</w:t>
      </w:r>
    </w:p>
    <w:p>
      <w:pPr>
        <w:pStyle w:val="Heading5"/>
        <w:rPr>
          <w:snapToGrid w:val="0"/>
        </w:rPr>
      </w:pPr>
      <w:bookmarkStart w:id="148" w:name="_Toc189226316"/>
      <w:r>
        <w:rPr>
          <w:rStyle w:val="CharSectno"/>
        </w:rPr>
        <w:t>100</w:t>
      </w:r>
      <w:r>
        <w:rPr>
          <w:snapToGrid w:val="0"/>
        </w:rPr>
        <w:t>.</w:t>
      </w:r>
      <w:r>
        <w:rPr>
          <w:snapToGrid w:val="0"/>
        </w:rPr>
        <w:tab/>
        <w:t>Regulations as to bingo</w:t>
      </w:r>
      <w:bookmarkEnd w:id="148"/>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 xml:space="preserve">requiring the display, in such manner and in such positions on the premises as may be prescribed, of the </w:t>
      </w:r>
      <w:r>
        <w:rPr>
          <w:snapToGrid w:val="0"/>
        </w:rPr>
        <w:lastRenderedPageBreak/>
        <w:t>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149" w:name="_Toc189221499"/>
      <w:bookmarkStart w:id="150" w:name="_Toc189221917"/>
      <w:bookmarkStart w:id="151" w:name="_Toc189226317"/>
      <w:r>
        <w:rPr>
          <w:rStyle w:val="CharDivNo"/>
        </w:rPr>
        <w:t>Division 7</w:t>
      </w:r>
      <w:r>
        <w:rPr>
          <w:snapToGrid w:val="0"/>
        </w:rPr>
        <w:t> — </w:t>
      </w:r>
      <w:r>
        <w:rPr>
          <w:rStyle w:val="CharDivText"/>
        </w:rPr>
        <w:t>Lotteries, and amusements with prizes etc.</w:t>
      </w:r>
      <w:bookmarkEnd w:id="149"/>
      <w:bookmarkEnd w:id="150"/>
      <w:bookmarkEnd w:id="151"/>
    </w:p>
    <w:p>
      <w:pPr>
        <w:pStyle w:val="Heading5"/>
        <w:rPr>
          <w:snapToGrid w:val="0"/>
        </w:rPr>
      </w:pPr>
      <w:bookmarkStart w:id="152" w:name="_Toc189226318"/>
      <w:r>
        <w:rPr>
          <w:rStyle w:val="CharSectno"/>
        </w:rPr>
        <w:t>101</w:t>
      </w:r>
      <w:r>
        <w:rPr>
          <w:snapToGrid w:val="0"/>
        </w:rPr>
        <w:t>.</w:t>
      </w:r>
      <w:r>
        <w:rPr>
          <w:snapToGrid w:val="0"/>
        </w:rPr>
        <w:tab/>
        <w:t>Terms used</w:t>
      </w:r>
      <w:bookmarkEnd w:id="152"/>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tab/>
      </w:r>
      <w:r>
        <w:rPr>
          <w:rStyle w:val="CharDefText"/>
        </w:rPr>
        <w:t>compliant guarantee</w:t>
      </w:r>
      <w:r>
        <w:t xml:space="preserve"> means a guarantee that is —</w:t>
      </w:r>
    </w:p>
    <w:p>
      <w:pPr>
        <w:pStyle w:val="Defpara"/>
      </w:pPr>
      <w:r>
        <w:tab/>
        <w:t>(a)</w:t>
      </w:r>
      <w:r>
        <w:tab/>
        <w:t>in a form acceptable to the Commission; and</w:t>
      </w:r>
    </w:p>
    <w:p>
      <w:pPr>
        <w:pStyle w:val="Defpara"/>
      </w:pPr>
      <w:r>
        <w:tab/>
        <w:t>(b)</w:t>
      </w:r>
      <w:r>
        <w:tab/>
        <w:t>issued by an authorised deposit</w:t>
      </w:r>
      <w:r>
        <w:noBreakHyphen/>
        <w:t xml:space="preserve">taking institution as defined in the </w:t>
      </w:r>
      <w:r>
        <w:rPr>
          <w:i/>
        </w:rPr>
        <w:t xml:space="preserve">Banking Act 1959 </w:t>
      </w:r>
      <w:r>
        <w:t>(Commonwealth) section 5(1);</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lastRenderedPageBreak/>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tab/>
      </w:r>
      <w:r>
        <w:rPr>
          <w:rStyle w:val="CharDefText"/>
        </w:rPr>
        <w:t>prize winner</w:t>
      </w:r>
      <w:r>
        <w:t>, in relation to a standard lottery, means a person who wins a prize in the lottery;</w:t>
      </w:r>
    </w:p>
    <w:p>
      <w:pPr>
        <w:pStyle w:val="Defstart"/>
        <w:spacing w:before="100"/>
      </w:pPr>
      <w:r>
        <w:rPr>
          <w:b/>
        </w:rPr>
        <w:tab/>
      </w:r>
      <w:r>
        <w:rPr>
          <w:rStyle w:val="CharDefText"/>
        </w:rPr>
        <w:t>quarter</w:t>
      </w:r>
      <w:r>
        <w:t xml:space="preserve"> means a period of 3 months commencing on 1 July, 1 October, 1 January or 1 April;</w:t>
      </w:r>
    </w:p>
    <w:p>
      <w:pPr>
        <w:pStyle w:val="Defstart"/>
      </w:pPr>
      <w:r>
        <w:tab/>
      </w:r>
      <w:r>
        <w:rPr>
          <w:rStyle w:val="CharDefText"/>
        </w:rPr>
        <w:t>relevant body</w:t>
      </w:r>
      <w:r>
        <w:t>, in relation to a permit holder, has the meaning given in section 104AB(2);</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tab/>
      </w:r>
      <w:r>
        <w:rPr>
          <w:rStyle w:val="CharDefText"/>
        </w:rPr>
        <w:t>ticket holder</w:t>
      </w:r>
      <w:r>
        <w:t>, in relation to a standard lottery, means a person who has paid the whole price of a ticket, chance or subscription in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 xml:space="preserve">A continuing lottery is a lottery in which the holders of tickets expose certain amounts or pictures or figures, letters, or other symbols that were printed on the tickets and were concealed at </w:t>
      </w:r>
      <w:r>
        <w:rPr>
          <w:snapToGrid w:val="0"/>
        </w:rPr>
        <w:lastRenderedPageBreak/>
        <w:t>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 No. 53 of 2024 s. 56.]</w:t>
      </w:r>
    </w:p>
    <w:p>
      <w:pPr>
        <w:pStyle w:val="Heading5"/>
        <w:rPr>
          <w:snapToGrid w:val="0"/>
        </w:rPr>
      </w:pPr>
      <w:bookmarkStart w:id="153" w:name="_Toc189226319"/>
      <w:r>
        <w:rPr>
          <w:rStyle w:val="CharSectno"/>
        </w:rPr>
        <w:t>102</w:t>
      </w:r>
      <w:r>
        <w:rPr>
          <w:snapToGrid w:val="0"/>
        </w:rPr>
        <w:t>.</w:t>
      </w:r>
      <w:r>
        <w:rPr>
          <w:snapToGrid w:val="0"/>
        </w:rPr>
        <w:tab/>
        <w:t>Certain lotteries unlawful</w:t>
      </w:r>
      <w:bookmarkEnd w:id="153"/>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154" w:name="_Toc189226320"/>
      <w:r>
        <w:rPr>
          <w:rStyle w:val="CharSectno"/>
        </w:rPr>
        <w:lastRenderedPageBreak/>
        <w:t>103</w:t>
      </w:r>
      <w:r>
        <w:rPr>
          <w:snapToGrid w:val="0"/>
        </w:rPr>
        <w:t>.</w:t>
      </w:r>
      <w:r>
        <w:rPr>
          <w:snapToGrid w:val="0"/>
        </w:rPr>
        <w:tab/>
        <w:t>Permitted lotteries (deemed)</w:t>
      </w:r>
      <w:bookmarkEnd w:id="154"/>
    </w:p>
    <w:p>
      <w:pPr>
        <w:pStyle w:val="Subsection"/>
        <w:keepNext/>
        <w:rPr>
          <w:snapToGrid w:val="0"/>
        </w:rPr>
      </w:pPr>
      <w:r>
        <w:rPr>
          <w:snapToGrid w:val="0"/>
        </w:rPr>
        <w:tab/>
        <w:t>(1)</w:t>
      </w:r>
      <w:r>
        <w:rPr>
          <w:snapToGrid w:val="0"/>
        </w:rPr>
        <w:tab/>
        <w:t>A lottery in which —</w:t>
      </w:r>
    </w:p>
    <w:p>
      <w:pPr>
        <w:pStyle w:val="Indenta"/>
        <w:keepNext/>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lastRenderedPageBreak/>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155" w:name="_Toc189226321"/>
      <w:r>
        <w:rPr>
          <w:rStyle w:val="CharSectno"/>
        </w:rPr>
        <w:t>104</w:t>
      </w:r>
      <w:r>
        <w:rPr>
          <w:snapToGrid w:val="0"/>
        </w:rPr>
        <w:t>.</w:t>
      </w:r>
      <w:r>
        <w:rPr>
          <w:snapToGrid w:val="0"/>
        </w:rPr>
        <w:tab/>
        <w:t>Permits for lotteries; duties of holders of permit for standard lottery</w:t>
      </w:r>
      <w:bookmarkEnd w:id="155"/>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 xml:space="preserve">A permit may be issued for a continuing lottery, in support of religious or charitable purposes or the promotion or advancement of social welfare including sports or games and </w:t>
      </w:r>
      <w:r>
        <w:rPr>
          <w:snapToGrid w:val="0"/>
        </w:rPr>
        <w:lastRenderedPageBreak/>
        <w:t>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pPr>
      <w:r>
        <w:tab/>
        <w:t>(1D)</w:t>
      </w:r>
      <w:r>
        <w:tab/>
        <w:t>A permit for a standard lottery must not be issued under subsection (1)(a) if —</w:t>
      </w:r>
    </w:p>
    <w:p>
      <w:pPr>
        <w:pStyle w:val="Indenta"/>
      </w:pPr>
      <w:r>
        <w:tab/>
        <w:t>(a)</w:t>
      </w:r>
      <w:r>
        <w:tab/>
        <w:t>the Commission has under section 104AA(1) required the applicant to provide to the Commission security by way of a compliant guarantee; and</w:t>
      </w:r>
    </w:p>
    <w:p>
      <w:pPr>
        <w:pStyle w:val="Indenta"/>
      </w:pPr>
      <w:r>
        <w:tab/>
        <w:t>(b)</w:t>
      </w:r>
      <w:r>
        <w:tab/>
        <w:t>the applicant has not complied with that requirement.</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lastRenderedPageBreak/>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lastRenderedPageBreak/>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$10 000.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$10 000.</w:t>
      </w:r>
    </w:p>
    <w:p>
      <w:pPr>
        <w:pStyle w:val="Footnotesection"/>
      </w:pPr>
      <w:r>
        <w:tab/>
        <w:t>[Section 104 amended: No. 24 of 1998 s. 62; No. 6 of 2000 s. 14; No. 41 of 2018 s. 25(1); No. 53 of 2024 s. 57 and 71.]</w:t>
      </w:r>
    </w:p>
    <w:p>
      <w:pPr>
        <w:pStyle w:val="Heading5"/>
      </w:pPr>
      <w:bookmarkStart w:id="156" w:name="_Toc189226322"/>
      <w:r>
        <w:rPr>
          <w:rStyle w:val="CharSectno"/>
        </w:rPr>
        <w:t>104AA</w:t>
      </w:r>
      <w:r>
        <w:t>.</w:t>
      </w:r>
      <w:r>
        <w:tab/>
        <w:t>Commission may require bank guarantee for certain standard lotteries</w:t>
      </w:r>
      <w:bookmarkEnd w:id="156"/>
    </w:p>
    <w:p>
      <w:pPr>
        <w:pStyle w:val="Subsection"/>
      </w:pPr>
      <w:r>
        <w:tab/>
        <w:t>(1)</w:t>
      </w:r>
      <w:r>
        <w:tab/>
        <w:t>If a person applies for a permit to be issued under section 104(1)(a) authorising a standard lottery, the Commission may by written notice require the person to provide to the Commission security by way of a compliant guarantee for an amount specified in the notice.</w:t>
      </w:r>
    </w:p>
    <w:p>
      <w:pPr>
        <w:pStyle w:val="Subsection"/>
      </w:pPr>
      <w:r>
        <w:lastRenderedPageBreak/>
        <w:tab/>
        <w:t>(2)</w:t>
      </w:r>
      <w:r>
        <w:tab/>
        <w:t>A condition imposed in relation to a standard lottery permit issued under section 104(1)(a) may require the permit holder to provide to the Commission, within the time specified in the instrument imposing the condition or as otherwise allowed by the Commission under subsection (3), security by way of a compliant guarantee for an amount specified in the condition.</w:t>
      </w:r>
    </w:p>
    <w:p>
      <w:pPr>
        <w:pStyle w:val="Subsection"/>
      </w:pPr>
      <w:r>
        <w:tab/>
        <w:t>(3)</w:t>
      </w:r>
      <w:r>
        <w:tab/>
        <w:t>For the purposes of subsection (2), the Commission may by written notice to the permit holder allow the guarantee to be provided within a later time specified in the notice.</w:t>
      </w:r>
    </w:p>
    <w:p>
      <w:pPr>
        <w:pStyle w:val="Subsection"/>
      </w:pPr>
      <w:r>
        <w:tab/>
        <w:t>(4)</w:t>
      </w:r>
      <w:r>
        <w:tab/>
        <w:t>The amount of the compliant guarantee specified in a notice under subsection (1) or a condition under subsection (2) must not exceed the total value of the prizes proposed to be distributed or offered in the standard lottery.</w:t>
      </w:r>
    </w:p>
    <w:p>
      <w:pPr>
        <w:pStyle w:val="Footnotesection"/>
      </w:pPr>
      <w:r>
        <w:tab/>
        <w:t>[Section 104AA inserted: No. 53 of 2024 s. 58.]</w:t>
      </w:r>
    </w:p>
    <w:p>
      <w:pPr>
        <w:pStyle w:val="Heading5"/>
      </w:pPr>
      <w:bookmarkStart w:id="157" w:name="_Toc189226323"/>
      <w:r>
        <w:rPr>
          <w:rStyle w:val="CharSectno"/>
        </w:rPr>
        <w:t>104AB</w:t>
      </w:r>
      <w:r>
        <w:t>.</w:t>
      </w:r>
      <w:r>
        <w:tab/>
        <w:t>Commission’s powers if bank guarantee provided</w:t>
      </w:r>
      <w:bookmarkEnd w:id="157"/>
    </w:p>
    <w:p>
      <w:pPr>
        <w:pStyle w:val="Subsection"/>
      </w:pPr>
      <w:r>
        <w:tab/>
        <w:t>(1)</w:t>
      </w:r>
      <w:r>
        <w:tab/>
        <w:t>This section applies if —</w:t>
      </w:r>
    </w:p>
    <w:p>
      <w:pPr>
        <w:pStyle w:val="Indenta"/>
      </w:pPr>
      <w:r>
        <w:tab/>
        <w:t>(a)</w:t>
      </w:r>
      <w:r>
        <w:tab/>
        <w:t>a compliant guarantee is provided to the Commission in relation to a standard lottery; and</w:t>
      </w:r>
    </w:p>
    <w:p>
      <w:pPr>
        <w:pStyle w:val="Indenta"/>
      </w:pPr>
      <w:r>
        <w:tab/>
        <w:t>(b)</w:t>
      </w:r>
      <w:r>
        <w:tab/>
        <w:t>the Commission is satisfied that the lottery has failed or is likely to fail.</w:t>
      </w:r>
    </w:p>
    <w:p>
      <w:pPr>
        <w:pStyle w:val="Subsection"/>
      </w:pPr>
      <w:r>
        <w:tab/>
        <w:t>(2)</w:t>
      </w:r>
      <w:r>
        <w:tab/>
        <w:t>The Commission may, by written notice, require the permit holder or, if the permit holder is the nominee permit holder for a body of persons (</w:t>
      </w:r>
      <w:r>
        <w:rPr>
          <w:rStyle w:val="CharDefText"/>
        </w:rPr>
        <w:t>relevant body</w:t>
      </w:r>
      <w:r>
        <w:t>) in relation to the lottery, the relevant body to do 1 or more of the following —</w:t>
      </w:r>
    </w:p>
    <w:p>
      <w:pPr>
        <w:pStyle w:val="Indenta"/>
      </w:pPr>
      <w:r>
        <w:tab/>
        <w:t>(a)</w:t>
      </w:r>
      <w:r>
        <w:tab/>
        <w:t>conduct and draw the lottery, including under the supervision of an authorised officer;</w:t>
      </w:r>
    </w:p>
    <w:p>
      <w:pPr>
        <w:pStyle w:val="Indenta"/>
      </w:pPr>
      <w:r>
        <w:tab/>
        <w:t>(b)</w:t>
      </w:r>
      <w:r>
        <w:tab/>
        <w:t>inform persons, or a class of persons, specified in the notice that the Commission intends to distribute, from money paid to the Commission under the compliant guarantee, a refund to each ticket holder who is not otherwise refunded;</w:t>
      </w:r>
    </w:p>
    <w:p>
      <w:pPr>
        <w:pStyle w:val="Indenta"/>
      </w:pPr>
      <w:r>
        <w:lastRenderedPageBreak/>
        <w:tab/>
        <w:t>(c)</w:t>
      </w:r>
      <w:r>
        <w:tab/>
        <w:t>provide to persons, or a class of persons, specified in the notice information specified in the notice regarding the process for ticket holders to claim a refund;</w:t>
      </w:r>
    </w:p>
    <w:p>
      <w:pPr>
        <w:pStyle w:val="Indenta"/>
      </w:pPr>
      <w:r>
        <w:tab/>
        <w:t>(d)</w:t>
      </w:r>
      <w:r>
        <w:tab/>
        <w:t>inform persons, or a class of persons, specified in the notice that the Commission intends to distribute, from money paid to the Commission under the compliant guarantee, the equivalent cash value of the prize to each prize winner who has not received their prize.</w:t>
      </w:r>
    </w:p>
    <w:p>
      <w:pPr>
        <w:pStyle w:val="Subsection"/>
      </w:pPr>
      <w:r>
        <w:tab/>
        <w:t>(3)</w:t>
      </w:r>
      <w:r>
        <w:tab/>
        <w:t>The Commission may by written notice require the relevant body to nominate an individual to carry out the relevant body’s obligations in relation to any requirement made under subsection (2).</w:t>
      </w:r>
    </w:p>
    <w:p>
      <w:pPr>
        <w:pStyle w:val="Subsection"/>
      </w:pPr>
      <w:r>
        <w:tab/>
        <w:t>(4)</w:t>
      </w:r>
      <w:r>
        <w:tab/>
        <w:t>The Commission may make a requirement under subsection (2) or (3) regardless of whether the standard lottery permit has expired.</w:t>
      </w:r>
    </w:p>
    <w:p>
      <w:pPr>
        <w:pStyle w:val="Subsection"/>
      </w:pPr>
      <w:r>
        <w:tab/>
        <w:t>(5)</w:t>
      </w:r>
      <w:r>
        <w:tab/>
        <w:t>The Commission may do either or both of the following —</w:t>
      </w:r>
    </w:p>
    <w:p>
      <w:pPr>
        <w:pStyle w:val="Indenta"/>
      </w:pPr>
      <w:r>
        <w:tab/>
        <w:t>(a)</w:t>
      </w:r>
      <w:r>
        <w:tab/>
        <w:t>advertise for, and call for claims from, ticket holders or prize winners in relation to the standard lottery;</w:t>
      </w:r>
    </w:p>
    <w:p>
      <w:pPr>
        <w:pStyle w:val="Indenta"/>
      </w:pPr>
      <w:r>
        <w:tab/>
        <w:t>(b)</w:t>
      </w:r>
      <w:r>
        <w:tab/>
        <w:t>subject to section 104AC, take any other action that the Commission reasonably considers necessary to prevent or remedy the failure of the lottery.</w:t>
      </w:r>
    </w:p>
    <w:p>
      <w:pPr>
        <w:pStyle w:val="Footnotesection"/>
      </w:pPr>
      <w:r>
        <w:tab/>
        <w:t>[Section 104AB inserted: No. 53 of 2024 s. 58.]</w:t>
      </w:r>
    </w:p>
    <w:p>
      <w:pPr>
        <w:pStyle w:val="Heading5"/>
      </w:pPr>
      <w:bookmarkStart w:id="158" w:name="_Toc189226324"/>
      <w:r>
        <w:rPr>
          <w:rStyle w:val="CharSectno"/>
        </w:rPr>
        <w:t>104AC</w:t>
      </w:r>
      <w:r>
        <w:t>.</w:t>
      </w:r>
      <w:r>
        <w:tab/>
        <w:t>Commission may demand payment under bank guarantee</w:t>
      </w:r>
      <w:bookmarkEnd w:id="158"/>
    </w:p>
    <w:p>
      <w:pPr>
        <w:pStyle w:val="Subsection"/>
      </w:pPr>
      <w:r>
        <w:tab/>
        <w:t>(1)</w:t>
      </w:r>
      <w:r>
        <w:tab/>
        <w:t>This section applies if —</w:t>
      </w:r>
    </w:p>
    <w:p>
      <w:pPr>
        <w:pStyle w:val="Indenta"/>
      </w:pPr>
      <w:r>
        <w:tab/>
        <w:t>(a)</w:t>
      </w:r>
      <w:r>
        <w:tab/>
        <w:t>a compliant guarantee is provided to the Commission in relation to a standard lottery; and</w:t>
      </w:r>
    </w:p>
    <w:p>
      <w:pPr>
        <w:pStyle w:val="Indenta"/>
      </w:pPr>
      <w:r>
        <w:tab/>
        <w:t>(b)</w:t>
      </w:r>
      <w:r>
        <w:tab/>
        <w:t>the Commission is satisfied that the lottery has failed or is likely to fail.</w:t>
      </w:r>
    </w:p>
    <w:p>
      <w:pPr>
        <w:pStyle w:val="Subsection"/>
      </w:pPr>
      <w:r>
        <w:tab/>
        <w:t>(2)</w:t>
      </w:r>
      <w:r>
        <w:tab/>
        <w:t>Subject to section 104AD, the Commission may demand payment under the compliant guarantee if the requirements of subsection (3) or (4) are met.</w:t>
      </w:r>
    </w:p>
    <w:p>
      <w:pPr>
        <w:pStyle w:val="Subsection"/>
      </w:pPr>
      <w:r>
        <w:lastRenderedPageBreak/>
        <w:tab/>
        <w:t>(3)</w:t>
      </w:r>
      <w:r>
        <w:tab/>
        <w:t>For the purposes of subsection (2), the requirements of this subsection are met if the Commission is satisfied that —</w:t>
      </w:r>
    </w:p>
    <w:p>
      <w:pPr>
        <w:pStyle w:val="Indenta"/>
      </w:pPr>
      <w:r>
        <w:tab/>
        <w:t>(a)</w:t>
      </w:r>
      <w:r>
        <w:tab/>
        <w:t>all money received for or on account of a ticket, chance or subscription in the standard lottery should be refunded to ticket holders; and</w:t>
      </w:r>
    </w:p>
    <w:p>
      <w:pPr>
        <w:pStyle w:val="Indenta"/>
      </w:pPr>
      <w:r>
        <w:tab/>
        <w:t>(b)</w:t>
      </w:r>
      <w:r>
        <w:tab/>
        <w:t>the amount of money available to be refunded to ticket holders is less than the total amount of all money received for or on account of a ticket, chance or subscription in the standard lottery.</w:t>
      </w:r>
    </w:p>
    <w:p>
      <w:pPr>
        <w:pStyle w:val="Subsection"/>
      </w:pPr>
      <w:r>
        <w:tab/>
        <w:t>(4)</w:t>
      </w:r>
      <w:r>
        <w:tab/>
        <w:t>For the purposes of subsection (2), the requirements of this subsection are met if the Commission is satisfied that —</w:t>
      </w:r>
    </w:p>
    <w:p>
      <w:pPr>
        <w:pStyle w:val="Indenta"/>
      </w:pPr>
      <w:r>
        <w:tab/>
        <w:t>(a)</w:t>
      </w:r>
      <w:r>
        <w:tab/>
        <w:t>the total value of the prizes proposed to be distributed or offered in the standard lottery should be distributed to prize winners; and</w:t>
      </w:r>
    </w:p>
    <w:p>
      <w:pPr>
        <w:pStyle w:val="Indenta"/>
      </w:pPr>
      <w:r>
        <w:tab/>
        <w:t>(b)</w:t>
      </w:r>
      <w:r>
        <w:tab/>
        <w:t>1 or more of the prizes proposed to be distributed or offered in the standard lottery is not available to be distributed to prize winners.</w:t>
      </w:r>
    </w:p>
    <w:p>
      <w:pPr>
        <w:pStyle w:val="Footnotesection"/>
      </w:pPr>
      <w:r>
        <w:tab/>
        <w:t>[Section 104AC inserted: No. 53 of 2024 s. 58.]</w:t>
      </w:r>
    </w:p>
    <w:p>
      <w:pPr>
        <w:pStyle w:val="Heading5"/>
      </w:pPr>
      <w:bookmarkStart w:id="159" w:name="_Toc189226325"/>
      <w:r>
        <w:rPr>
          <w:rStyle w:val="CharSectno"/>
        </w:rPr>
        <w:t>104AD</w:t>
      </w:r>
      <w:r>
        <w:t>.</w:t>
      </w:r>
      <w:r>
        <w:tab/>
        <w:t>Commission must give notice in relation to bank guarantee</w:t>
      </w:r>
      <w:bookmarkEnd w:id="159"/>
    </w:p>
    <w:p>
      <w:pPr>
        <w:pStyle w:val="Subsection"/>
      </w:pPr>
      <w:r>
        <w:tab/>
        <w:t>(1)</w:t>
      </w:r>
      <w:r>
        <w:tab/>
        <w:t>Before demanding payment under a compliant guarantee provided in relation to a standard lottery, the Commission must give the permit holder and any relevant body written notice under this section.</w:t>
      </w:r>
    </w:p>
    <w:p>
      <w:pPr>
        <w:pStyle w:val="Subsection"/>
      </w:pPr>
      <w:r>
        <w:tab/>
        <w:t>(2)</w:t>
      </w:r>
      <w:r>
        <w:tab/>
        <w:t>The written notice must —</w:t>
      </w:r>
    </w:p>
    <w:p>
      <w:pPr>
        <w:pStyle w:val="Indenta"/>
      </w:pPr>
      <w:r>
        <w:tab/>
        <w:t>(a)</w:t>
      </w:r>
      <w:r>
        <w:tab/>
        <w:t>state the Commission’s intention to demand payment under the guarantee and the amount of money that the Commission intends to demand; and</w:t>
      </w:r>
    </w:p>
    <w:p>
      <w:pPr>
        <w:pStyle w:val="Indenta"/>
      </w:pPr>
      <w:r>
        <w:tab/>
        <w:t>(b)</w:t>
      </w:r>
      <w:r>
        <w:tab/>
        <w:t>invite the permit holder and any relevant body to make representations in writing to the Commission as to why the Commission should not demand payment as proposed; and</w:t>
      </w:r>
    </w:p>
    <w:p>
      <w:pPr>
        <w:pStyle w:val="Indenta"/>
      </w:pPr>
      <w:r>
        <w:lastRenderedPageBreak/>
        <w:tab/>
        <w:t>(c)</w:t>
      </w:r>
      <w:r>
        <w:tab/>
        <w:t>state the period (which must be at least 7 days after the day on which the notice is given) within which representations may be made.</w:t>
      </w:r>
    </w:p>
    <w:p>
      <w:pPr>
        <w:pStyle w:val="Subsection"/>
      </w:pPr>
      <w:r>
        <w:tab/>
        <w:t>(3)</w:t>
      </w:r>
      <w:r>
        <w:tab/>
        <w:t>After the end of the period stated in the notice the Commission must consider any representations in writing made by the permit holder or any relevant body.</w:t>
      </w:r>
    </w:p>
    <w:p>
      <w:pPr>
        <w:pStyle w:val="Subsection"/>
      </w:pPr>
      <w:r>
        <w:tab/>
        <w:t>(4)</w:t>
      </w:r>
      <w:r>
        <w:tab/>
        <w:t>If the Commission decides to demand payment under the guarantee, the Commission must give the permit holder and any relevant body written notice of the decision and reasons for the decision.</w:t>
      </w:r>
    </w:p>
    <w:p>
      <w:pPr>
        <w:pStyle w:val="Footnotesection"/>
      </w:pPr>
      <w:r>
        <w:tab/>
        <w:t>[Section 104AD inserted: No. 53 of 2024 s. 58.]</w:t>
      </w:r>
    </w:p>
    <w:p>
      <w:pPr>
        <w:pStyle w:val="Heading5"/>
      </w:pPr>
      <w:bookmarkStart w:id="160" w:name="_Toc189226326"/>
      <w:r>
        <w:rPr>
          <w:rStyle w:val="CharSectno"/>
        </w:rPr>
        <w:t>104AE</w:t>
      </w:r>
      <w:r>
        <w:t>.</w:t>
      </w:r>
      <w:r>
        <w:tab/>
        <w:t>Commission to deal with money paid under bank guarantee</w:t>
      </w:r>
      <w:bookmarkEnd w:id="160"/>
    </w:p>
    <w:p>
      <w:pPr>
        <w:pStyle w:val="Subsection"/>
      </w:pPr>
      <w:r>
        <w:tab/>
        <w:t>(1)</w:t>
      </w:r>
      <w:r>
        <w:tab/>
        <w:t>If the Commission demands payment under a compliant guarantee —</w:t>
      </w:r>
    </w:p>
    <w:p>
      <w:pPr>
        <w:pStyle w:val="Indenta"/>
      </w:pPr>
      <w:r>
        <w:tab/>
        <w:t>(a)</w:t>
      </w:r>
      <w:r>
        <w:tab/>
        <w:t>any money paid to the Commission under the guarantee must be paid into the Gaming and Wagering Commission Account; and</w:t>
      </w:r>
    </w:p>
    <w:p>
      <w:pPr>
        <w:pStyle w:val="Indenta"/>
      </w:pPr>
      <w:r>
        <w:tab/>
        <w:t>(b)</w:t>
      </w:r>
      <w:r>
        <w:tab/>
        <w:t>the Commission holds that money on trust for all persons interested.</w:t>
      </w:r>
    </w:p>
    <w:p>
      <w:pPr>
        <w:pStyle w:val="Subsection"/>
      </w:pPr>
      <w:r>
        <w:tab/>
        <w:t>(2)</w:t>
      </w:r>
      <w:r>
        <w:tab/>
        <w:t>Subsections (3) and (4) apply if —</w:t>
      </w:r>
    </w:p>
    <w:p>
      <w:pPr>
        <w:pStyle w:val="Indenta"/>
      </w:pPr>
      <w:r>
        <w:tab/>
        <w:t>(a)</w:t>
      </w:r>
      <w:r>
        <w:tab/>
        <w:t>money is paid to the Commission under a compliant guarantee provided in relation to a standard lottery; and</w:t>
      </w:r>
    </w:p>
    <w:p>
      <w:pPr>
        <w:pStyle w:val="Indenta"/>
      </w:pPr>
      <w:r>
        <w:tab/>
        <w:t>(b)</w:t>
      </w:r>
      <w:r>
        <w:tab/>
        <w:t>the period of 12 months beginning on the day on which the money is paid to the Commission has ended; and</w:t>
      </w:r>
    </w:p>
    <w:p>
      <w:pPr>
        <w:pStyle w:val="Indenta"/>
      </w:pPr>
      <w:r>
        <w:tab/>
        <w:t>(c)</w:t>
      </w:r>
      <w:r>
        <w:tab/>
        <w:t xml:space="preserve">some or all of the money (the </w:t>
      </w:r>
      <w:r>
        <w:rPr>
          <w:rStyle w:val="CharDefText"/>
        </w:rPr>
        <w:t>unclaimed amount</w:t>
      </w:r>
      <w:r>
        <w:t>) has not been distributed to ticket holders or prize winners.</w:t>
      </w:r>
    </w:p>
    <w:p>
      <w:pPr>
        <w:pStyle w:val="Subsection"/>
      </w:pPr>
      <w:r>
        <w:tab/>
        <w:t>(3)</w:t>
      </w:r>
      <w:r>
        <w:tab/>
        <w:t>If this subsection applies —</w:t>
      </w:r>
    </w:p>
    <w:p>
      <w:pPr>
        <w:pStyle w:val="Indenta"/>
      </w:pPr>
      <w:r>
        <w:tab/>
        <w:t>(a)</w:t>
      </w:r>
      <w:r>
        <w:tab/>
        <w:t>any right of a ticket holder or prize winner in relation to the unclaimed amount is extinguished; and</w:t>
      </w:r>
    </w:p>
    <w:p>
      <w:pPr>
        <w:pStyle w:val="Indenta"/>
      </w:pPr>
      <w:r>
        <w:lastRenderedPageBreak/>
        <w:tab/>
        <w:t>(b)</w:t>
      </w:r>
      <w:r>
        <w:tab/>
        <w:t>subject to subsection (4), the Commission must return the unclaimed amount to the permit holder or relevant body.</w:t>
      </w:r>
    </w:p>
    <w:p>
      <w:pPr>
        <w:pStyle w:val="Subsection"/>
      </w:pPr>
      <w:r>
        <w:tab/>
        <w:t>(4)</w:t>
      </w:r>
      <w:r>
        <w:tab/>
        <w:t>If the Commission is satisfied that the unclaimed amount cannot be returned to the permit holder or relevant body, the unclaimed amount must be dealt with under section 109C as if it were unclaimed winnings to which section 109B(3) applies.</w:t>
      </w:r>
    </w:p>
    <w:p>
      <w:pPr>
        <w:pStyle w:val="Footnotesection"/>
      </w:pPr>
      <w:r>
        <w:tab/>
        <w:t>[Section 104AE inserted: No. 53 of 2024 s. 58.]</w:t>
      </w:r>
    </w:p>
    <w:p>
      <w:pPr>
        <w:pStyle w:val="Heading5"/>
      </w:pPr>
      <w:bookmarkStart w:id="161" w:name="_Toc189226327"/>
      <w:r>
        <w:rPr>
          <w:rStyle w:val="CharSectno"/>
        </w:rPr>
        <w:t>104AF</w:t>
      </w:r>
      <w:r>
        <w:t>.</w:t>
      </w:r>
      <w:r>
        <w:tab/>
        <w:t>Return of bank guarantee</w:t>
      </w:r>
      <w:bookmarkEnd w:id="161"/>
    </w:p>
    <w:p>
      <w:pPr>
        <w:pStyle w:val="Subsection"/>
      </w:pPr>
      <w:r>
        <w:tab/>
      </w:r>
      <w:r>
        <w:tab/>
        <w:t>If the Commission is satisfied that a compliant guarantee provided to the Commission by a person in relation to a standard lottery is no longer required, the Commission may return the guarantee to the person.</w:t>
      </w:r>
    </w:p>
    <w:p>
      <w:pPr>
        <w:pStyle w:val="Footnotesection"/>
      </w:pPr>
      <w:r>
        <w:tab/>
        <w:t>[Section 104AF inserted: No. 53 of 2024 s. 58.]</w:t>
      </w:r>
    </w:p>
    <w:p>
      <w:pPr>
        <w:pStyle w:val="Heading5"/>
      </w:pPr>
      <w:bookmarkStart w:id="162" w:name="_Toc189226328"/>
      <w:r>
        <w:rPr>
          <w:rStyle w:val="CharSectno"/>
        </w:rPr>
        <w:t>104A</w:t>
      </w:r>
      <w:r>
        <w:t>.</w:t>
      </w:r>
      <w:r>
        <w:tab/>
        <w:t>Commission not liable for unpaid lottery prizes</w:t>
      </w:r>
      <w:bookmarkEnd w:id="162"/>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163" w:name="_Toc189226329"/>
      <w:r>
        <w:rPr>
          <w:rStyle w:val="CharSectno"/>
        </w:rPr>
        <w:t>104B</w:t>
      </w:r>
      <w:r>
        <w:t>.</w:t>
      </w:r>
      <w:r>
        <w:tab/>
        <w:t>Licensing of suppliers of lottery tickets</w:t>
      </w:r>
      <w:bookmarkEnd w:id="16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lastRenderedPageBreak/>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keepNext/>
      </w:pPr>
      <w:r>
        <w:lastRenderedPageBreak/>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164" w:name="_Toc189226330"/>
      <w:r>
        <w:rPr>
          <w:rStyle w:val="CharSectno"/>
        </w:rPr>
        <w:t>104C</w:t>
      </w:r>
      <w:r>
        <w:t>.</w:t>
      </w:r>
      <w:r>
        <w:tab/>
        <w:t>Licences of licensed suppliers, cancelling etc.</w:t>
      </w:r>
      <w:bookmarkEnd w:id="16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 xml:space="preserve">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w:t>
      </w:r>
      <w:r>
        <w:lastRenderedPageBreak/>
        <w:t>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$10 000.</w:t>
      </w:r>
    </w:p>
    <w:p>
      <w:pPr>
        <w:pStyle w:val="Footnotesection"/>
      </w:pPr>
      <w:r>
        <w:tab/>
        <w:t>[Section 104C inserted: No. 6 of 2000 s. 15; amended: No. 41 of 2018 s. 25(1); No. 53 of 2024 s. 71.]</w:t>
      </w:r>
    </w:p>
    <w:p>
      <w:pPr>
        <w:pStyle w:val="Heading5"/>
      </w:pPr>
      <w:bookmarkStart w:id="165" w:name="_Toc189226331"/>
      <w:r>
        <w:rPr>
          <w:rStyle w:val="CharSectno"/>
        </w:rPr>
        <w:t>104D</w:t>
      </w:r>
      <w:r>
        <w:t>.</w:t>
      </w:r>
      <w:r>
        <w:tab/>
        <w:t>Refusal or cancellation of supplier’s licence, Commission to report to Minister; appeals to Minister</w:t>
      </w:r>
      <w:bookmarkEnd w:id="165"/>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 xml:space="preserve">the Commission, after having given an opportunity to the person to make submissions in relation to the matter and considered </w:t>
      </w:r>
      <w:r>
        <w:lastRenderedPageBreak/>
        <w:t>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166" w:name="_Toc189226332"/>
      <w:r>
        <w:rPr>
          <w:rStyle w:val="CharSectno"/>
        </w:rPr>
        <w:t>104E</w:t>
      </w:r>
      <w:r>
        <w:t>.</w:t>
      </w:r>
      <w:r>
        <w:tab/>
        <w:t>Suppliers to give Commission tickets if licence cancelled etc.</w:t>
      </w:r>
      <w:bookmarkEnd w:id="166"/>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$10 000.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lastRenderedPageBreak/>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$10 000.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$10 000.</w:t>
      </w:r>
    </w:p>
    <w:p>
      <w:pPr>
        <w:pStyle w:val="Footnotesection"/>
        <w:ind w:left="890" w:hanging="890"/>
      </w:pPr>
      <w:r>
        <w:tab/>
        <w:t>[Section 104E inserted: No. 6 of 2000 s. 15; amended: No. 41 of 2018 s. 25(1); No. 53 of 2024 s. 71.]</w:t>
      </w:r>
    </w:p>
    <w:p>
      <w:pPr>
        <w:pStyle w:val="Heading5"/>
      </w:pPr>
      <w:bookmarkStart w:id="167" w:name="_Toc189226333"/>
      <w:r>
        <w:rPr>
          <w:rStyle w:val="CharSectno"/>
        </w:rPr>
        <w:t>104F</w:t>
      </w:r>
      <w:r>
        <w:t>.</w:t>
      </w:r>
      <w:r>
        <w:tab/>
        <w:t>Licensed suppliers to lodge returns and pay continuing lotteries levy</w:t>
      </w:r>
      <w:bookmarkEnd w:id="167"/>
    </w:p>
    <w:p>
      <w:pPr>
        <w:pStyle w:val="Subsection"/>
        <w:keepNext/>
        <w:keepLines/>
      </w:pPr>
      <w:r>
        <w:tab/>
        <w:t>(1)</w:t>
      </w:r>
      <w:r>
        <w:tab/>
        <w:t>A licensed supplier shall —</w:t>
      </w:r>
    </w:p>
    <w:p>
      <w:pPr>
        <w:pStyle w:val="Indenta"/>
      </w:pPr>
      <w:r>
        <w:tab/>
        <w:t>(a)</w:t>
      </w:r>
      <w:r>
        <w:tab/>
        <w:t xml:space="preserve">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w:t>
      </w:r>
      <w:r>
        <w:lastRenderedPageBreak/>
        <w:t>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$10 000.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$10 000.</w:t>
      </w:r>
    </w:p>
    <w:p>
      <w:pPr>
        <w:pStyle w:val="Subsection"/>
      </w:pPr>
      <w:r>
        <w:lastRenderedPageBreak/>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 No. 53 of 2024 s. 71.]</w:t>
      </w:r>
    </w:p>
    <w:p>
      <w:pPr>
        <w:pStyle w:val="Heading5"/>
      </w:pPr>
      <w:bookmarkStart w:id="168" w:name="_Toc189226334"/>
      <w:r>
        <w:rPr>
          <w:rStyle w:val="CharSectno"/>
        </w:rPr>
        <w:t>104G</w:t>
      </w:r>
      <w:r>
        <w:t>.</w:t>
      </w:r>
      <w:r>
        <w:tab/>
        <w:t>Continuing lotteries levy, application of</w:t>
      </w:r>
      <w:bookmarkEnd w:id="16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169" w:name="_Toc189226335"/>
      <w:r>
        <w:rPr>
          <w:rStyle w:val="CharSectno"/>
        </w:rPr>
        <w:lastRenderedPageBreak/>
        <w:t>104H</w:t>
      </w:r>
      <w:r>
        <w:t>.</w:t>
      </w:r>
      <w:r>
        <w:tab/>
        <w:t>Exemption from levy</w:t>
      </w:r>
      <w:bookmarkEnd w:id="16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170" w:name="_Toc189226336"/>
      <w:r>
        <w:rPr>
          <w:rStyle w:val="CharSectno"/>
        </w:rPr>
        <w:t>104I</w:t>
      </w:r>
      <w:r>
        <w:t>.</w:t>
      </w:r>
      <w:r>
        <w:tab/>
        <w:t>Refund of levy</w:t>
      </w:r>
      <w:bookmarkEnd w:id="17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171" w:name="_Toc189226337"/>
      <w:r>
        <w:rPr>
          <w:rStyle w:val="CharSectno"/>
        </w:rPr>
        <w:t>104J</w:t>
      </w:r>
      <w:r>
        <w:t>.</w:t>
      </w:r>
      <w:r>
        <w:tab/>
        <w:t>Tickets, protecting and accounting for; estimating levy for lost etc. tickets</w:t>
      </w:r>
      <w:bookmarkEnd w:id="17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 xml:space="preserve">A licensed supplier shall take reasonable precautions to prevent the theft or loss, or the destruction without the approval of the </w:t>
      </w:r>
      <w:r>
        <w:lastRenderedPageBreak/>
        <w:t>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keepNext/>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lastRenderedPageBreak/>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172" w:name="_Toc189226338"/>
      <w:r>
        <w:rPr>
          <w:rStyle w:val="CharSectno"/>
        </w:rPr>
        <w:t>104K</w:t>
      </w:r>
      <w:r>
        <w:t>.</w:t>
      </w:r>
      <w:r>
        <w:tab/>
        <w:t>Tickets may be given to Commission for destruction</w:t>
      </w:r>
      <w:bookmarkEnd w:id="172"/>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173" w:name="_Toc189226339"/>
      <w:r>
        <w:rPr>
          <w:rStyle w:val="CharSectno"/>
        </w:rPr>
        <w:t>104L</w:t>
      </w:r>
      <w:r>
        <w:t>.</w:t>
      </w:r>
      <w:r>
        <w:tab/>
        <w:t>Offences by licensed suppliers</w:t>
      </w:r>
      <w:bookmarkEnd w:id="17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$50 000.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lastRenderedPageBreak/>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$50 000.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$50 000.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 No. 53 of 2024 s. 71.]</w:t>
      </w:r>
    </w:p>
    <w:p>
      <w:pPr>
        <w:pStyle w:val="Heading5"/>
        <w:keepLines w:val="0"/>
      </w:pPr>
      <w:bookmarkStart w:id="174" w:name="_Toc189226340"/>
      <w:r>
        <w:rPr>
          <w:rStyle w:val="CharSectno"/>
        </w:rPr>
        <w:t>104M</w:t>
      </w:r>
      <w:r>
        <w:t>.</w:t>
      </w:r>
      <w:r>
        <w:tab/>
        <w:t>Offences involving continuing lottery tickets</w:t>
      </w:r>
      <w:bookmarkEnd w:id="174"/>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lastRenderedPageBreak/>
        <w:tab/>
        <w:t>Penalty for this subsection: a fine of $50 000.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$50 000.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$50 000.</w:t>
      </w:r>
    </w:p>
    <w:p>
      <w:pPr>
        <w:pStyle w:val="Footnotesection"/>
      </w:pPr>
      <w:r>
        <w:tab/>
        <w:t>[Section 104M inserted: No. 6 of 2000 s. 15; amended: No. 41 of 2018 s. 25(1); No. 53 of 2024 s. 71.]</w:t>
      </w:r>
    </w:p>
    <w:p>
      <w:pPr>
        <w:pStyle w:val="Heading5"/>
        <w:rPr>
          <w:snapToGrid w:val="0"/>
        </w:rPr>
      </w:pPr>
      <w:bookmarkStart w:id="175" w:name="_Toc189226341"/>
      <w:r>
        <w:rPr>
          <w:rStyle w:val="CharSectno"/>
        </w:rPr>
        <w:t>105</w:t>
      </w:r>
      <w:r>
        <w:rPr>
          <w:snapToGrid w:val="0"/>
        </w:rPr>
        <w:t>.</w:t>
      </w:r>
      <w:r>
        <w:rPr>
          <w:snapToGrid w:val="0"/>
        </w:rPr>
        <w:tab/>
        <w:t>Continuing lotteries, use of vending machines to sell tickets for</w:t>
      </w:r>
      <w:bookmarkEnd w:id="175"/>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176" w:name="_Toc189226342"/>
      <w:r>
        <w:rPr>
          <w:rStyle w:val="CharSectno"/>
        </w:rPr>
        <w:lastRenderedPageBreak/>
        <w:t>106</w:t>
      </w:r>
      <w:r>
        <w:rPr>
          <w:snapToGrid w:val="0"/>
        </w:rPr>
        <w:t>.</w:t>
      </w:r>
      <w:r>
        <w:rPr>
          <w:snapToGrid w:val="0"/>
        </w:rPr>
        <w:tab/>
        <w:t>Offences involving lotteries</w:t>
      </w:r>
      <w:bookmarkEnd w:id="176"/>
    </w:p>
    <w:p>
      <w:pPr>
        <w:pStyle w:val="Subsection"/>
        <w:keepNext/>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$100 000.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 No. 53 of 2024 s. 59 and 71.]</w:t>
      </w:r>
    </w:p>
    <w:p>
      <w:pPr>
        <w:pStyle w:val="Heading5"/>
        <w:rPr>
          <w:snapToGrid w:val="0"/>
        </w:rPr>
      </w:pPr>
      <w:bookmarkStart w:id="177" w:name="_Toc189226343"/>
      <w:r>
        <w:rPr>
          <w:rStyle w:val="CharSectno"/>
        </w:rPr>
        <w:t>107</w:t>
      </w:r>
      <w:r>
        <w:rPr>
          <w:snapToGrid w:val="0"/>
        </w:rPr>
        <w:t>.</w:t>
      </w:r>
      <w:r>
        <w:rPr>
          <w:snapToGrid w:val="0"/>
        </w:rPr>
        <w:tab/>
        <w:t>Amusements with prizes, which are permitted</w:t>
      </w:r>
      <w:bookmarkEnd w:id="177"/>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lastRenderedPageBreak/>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 xml:space="preserve">in relation to any amusement which is a lottery, the sale of chances and the declaration of the result take place on </w:t>
      </w:r>
      <w:r>
        <w:rPr>
          <w:snapToGrid w:val="0"/>
        </w:rPr>
        <w:lastRenderedPageBreak/>
        <w:t>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178" w:name="_Toc189226344"/>
      <w:r>
        <w:rPr>
          <w:rStyle w:val="CharSectno"/>
        </w:rPr>
        <w:t>108</w:t>
      </w:r>
      <w:r>
        <w:rPr>
          <w:snapToGrid w:val="0"/>
        </w:rPr>
        <w:t>.</w:t>
      </w:r>
      <w:r>
        <w:rPr>
          <w:snapToGrid w:val="0"/>
        </w:rPr>
        <w:tab/>
        <w:t>Some fund raising activities deemed permitted amusement with prizes</w:t>
      </w:r>
      <w:bookmarkEnd w:id="17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lastRenderedPageBreak/>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$5 000.</w:t>
      </w:r>
    </w:p>
    <w:p>
      <w:pPr>
        <w:pStyle w:val="Footnotesection"/>
      </w:pPr>
      <w:r>
        <w:tab/>
        <w:t>[Section 108 amended: No. 24 of 1998 s. 66; No. 35 of 2003 s. 160 and 166; No. 41 of 2018 s. 25(1); No. 53 of 2024 s. 71.]</w:t>
      </w:r>
    </w:p>
    <w:p>
      <w:pPr>
        <w:pStyle w:val="Heading5"/>
        <w:rPr>
          <w:snapToGrid w:val="0"/>
        </w:rPr>
      </w:pPr>
      <w:bookmarkStart w:id="179" w:name="_Toc189226345"/>
      <w:r>
        <w:rPr>
          <w:rStyle w:val="CharSectno"/>
        </w:rPr>
        <w:t>109</w:t>
      </w:r>
      <w:r>
        <w:rPr>
          <w:snapToGrid w:val="0"/>
        </w:rPr>
        <w:t>.</w:t>
      </w:r>
      <w:r>
        <w:rPr>
          <w:snapToGrid w:val="0"/>
        </w:rPr>
        <w:tab/>
        <w:t>Regulations for this Division</w:t>
      </w:r>
      <w:bookmarkEnd w:id="17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lastRenderedPageBreak/>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180" w:name="_Toc189221528"/>
      <w:bookmarkStart w:id="181" w:name="_Toc189221946"/>
      <w:bookmarkStart w:id="182" w:name="_Toc189226346"/>
      <w:r>
        <w:rPr>
          <w:rStyle w:val="CharDivNo"/>
        </w:rPr>
        <w:t>Division 8</w:t>
      </w:r>
      <w:r>
        <w:rPr>
          <w:snapToGrid w:val="0"/>
        </w:rPr>
        <w:t> — </w:t>
      </w:r>
      <w:r>
        <w:rPr>
          <w:rStyle w:val="CharDivText"/>
        </w:rPr>
        <w:t>Unclaimed winnings</w:t>
      </w:r>
      <w:bookmarkEnd w:id="180"/>
      <w:bookmarkEnd w:id="181"/>
      <w:bookmarkEnd w:id="182"/>
    </w:p>
    <w:p>
      <w:pPr>
        <w:pStyle w:val="Footnoteheading"/>
        <w:tabs>
          <w:tab w:val="left" w:pos="910"/>
        </w:tabs>
      </w:pPr>
      <w:r>
        <w:tab/>
        <w:t>[Heading inserted: No. 24 of 1998 s. 68(1).]</w:t>
      </w:r>
    </w:p>
    <w:p>
      <w:pPr>
        <w:pStyle w:val="Heading5"/>
      </w:pPr>
      <w:bookmarkStart w:id="183" w:name="_Toc189226347"/>
      <w:r>
        <w:rPr>
          <w:rStyle w:val="CharSectno"/>
        </w:rPr>
        <w:t>109A</w:t>
      </w:r>
      <w:r>
        <w:t>.</w:t>
      </w:r>
      <w:r>
        <w:tab/>
        <w:t>Terms used</w:t>
      </w:r>
      <w:bookmarkEnd w:id="183"/>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184" w:name="_Toc189226348"/>
      <w:r>
        <w:rPr>
          <w:rStyle w:val="CharSectno"/>
        </w:rPr>
        <w:lastRenderedPageBreak/>
        <w:t>109B</w:t>
      </w:r>
      <w:r>
        <w:t>.</w:t>
      </w:r>
      <w:r>
        <w:tab/>
        <w:t>Unclaimed winnings, Commission to be notified of etc.</w:t>
      </w:r>
      <w:bookmarkEnd w:id="184"/>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lastRenderedPageBreak/>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185" w:name="_Toc189226349"/>
      <w:r>
        <w:rPr>
          <w:rStyle w:val="CharSectno"/>
        </w:rPr>
        <w:t>109C</w:t>
      </w:r>
      <w:r>
        <w:t>.</w:t>
      </w:r>
      <w:r>
        <w:tab/>
        <w:t>Gaming Community Trust Account</w:t>
      </w:r>
      <w:bookmarkEnd w:id="185"/>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Department for the purposes of section 52 of the </w:t>
      </w:r>
      <w:r>
        <w:rPr>
          <w:i/>
        </w:rPr>
        <w:t>Financial Management Act 2006</w:t>
      </w:r>
      <w:r>
        <w:rPr>
          <w:iCs/>
        </w:rPr>
        <w:t xml:space="preserve">; </w:t>
      </w:r>
      <w:r>
        <w:t>and</w:t>
      </w:r>
    </w:p>
    <w:p>
      <w:pPr>
        <w:pStyle w:val="Indenta"/>
        <w:keepNext/>
      </w:pPr>
      <w:r>
        <w:lastRenderedPageBreak/>
        <w:tab/>
        <w:t>(b)</w:t>
      </w:r>
      <w:r>
        <w:tab/>
        <w:t>part of the operations of the Department for the purposes of Part 5 of that Act.</w:t>
      </w:r>
    </w:p>
    <w:p>
      <w:pPr>
        <w:pStyle w:val="Footnotesection"/>
      </w:pPr>
      <w:r>
        <w:tab/>
        <w:t>[Section 109C inserted: No. 24 of 1998 s. 68(1); amended: No. 77 of 2006 Sch. 1 cl. 71(4)-(6); No. 53 of 2024 s. 60.]</w:t>
      </w:r>
    </w:p>
    <w:p>
      <w:pPr>
        <w:pStyle w:val="Heading5"/>
      </w:pPr>
      <w:bookmarkStart w:id="186" w:name="_Toc189226350"/>
      <w:r>
        <w:rPr>
          <w:rStyle w:val="CharSectno"/>
        </w:rPr>
        <w:t>109D</w:t>
      </w:r>
      <w:r>
        <w:t>.</w:t>
      </w:r>
      <w:r>
        <w:tab/>
        <w:t>Gaming Community Trust</w:t>
      </w:r>
      <w:bookmarkEnd w:id="186"/>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CEO, who is the chairperson of the Trust;</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Ednotesubsection"/>
      </w:pPr>
      <w:r>
        <w:tab/>
        <w:t>[(4)</w:t>
      </w:r>
      <w:r>
        <w:tab/>
        <w:t>deleted]</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lastRenderedPageBreak/>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 No. 53 of 2024 s. 61.]</w:t>
      </w:r>
    </w:p>
    <w:p>
      <w:pPr>
        <w:pStyle w:val="Heading2"/>
      </w:pPr>
      <w:bookmarkStart w:id="187" w:name="_Toc189221533"/>
      <w:bookmarkStart w:id="188" w:name="_Toc189221951"/>
      <w:bookmarkStart w:id="189" w:name="_Toc189226351"/>
      <w:r>
        <w:rPr>
          <w:rStyle w:val="CharPartNo"/>
        </w:rPr>
        <w:lastRenderedPageBreak/>
        <w:t>Part VA</w:t>
      </w:r>
      <w:r>
        <w:rPr>
          <w:rStyle w:val="CharDivNo"/>
        </w:rPr>
        <w:t> </w:t>
      </w:r>
      <w:r>
        <w:t>—</w:t>
      </w:r>
      <w:r>
        <w:rPr>
          <w:rStyle w:val="CharDivText"/>
        </w:rPr>
        <w:t> </w:t>
      </w:r>
      <w:r>
        <w:rPr>
          <w:rStyle w:val="CharPartText"/>
        </w:rPr>
        <w:t>Supervision of RWWA</w:t>
      </w:r>
      <w:bookmarkEnd w:id="187"/>
      <w:bookmarkEnd w:id="188"/>
      <w:bookmarkEnd w:id="189"/>
    </w:p>
    <w:p>
      <w:pPr>
        <w:pStyle w:val="Footnoteheading"/>
        <w:tabs>
          <w:tab w:val="left" w:pos="910"/>
        </w:tabs>
      </w:pPr>
      <w:r>
        <w:tab/>
        <w:t>[Heading inserted: No. 35 of 2003 s. 161.]</w:t>
      </w:r>
    </w:p>
    <w:p>
      <w:pPr>
        <w:pStyle w:val="Heading5"/>
      </w:pPr>
      <w:bookmarkStart w:id="190" w:name="_Toc189226352"/>
      <w:r>
        <w:rPr>
          <w:rStyle w:val="CharSectno"/>
        </w:rPr>
        <w:t>109E</w:t>
      </w:r>
      <w:r>
        <w:t>.</w:t>
      </w:r>
      <w:r>
        <w:tab/>
        <w:t>Gambling operations of RWWA, meaning of</w:t>
      </w:r>
      <w:bookmarkEnd w:id="190"/>
    </w:p>
    <w:p>
      <w:pPr>
        <w:pStyle w:val="Subsection"/>
      </w:pPr>
      <w:r>
        <w:tab/>
      </w:r>
      <w:r>
        <w:tab/>
        <w:t>A reference in this Part to the gambling operations of RWWA is a reference to the business of RWWA referred to in section 50(1)(b) of the RWWA Act.</w:t>
      </w:r>
    </w:p>
    <w:p>
      <w:pPr>
        <w:pStyle w:val="Footnotesection"/>
      </w:pPr>
      <w:r>
        <w:tab/>
        <w:t>[Section 109E inserted: No. 35 of 2003 s. 161; amended: No. 53 of 2024 s. 62.]</w:t>
      </w:r>
    </w:p>
    <w:p>
      <w:pPr>
        <w:pStyle w:val="Heading5"/>
      </w:pPr>
      <w:bookmarkStart w:id="191" w:name="_Toc189226353"/>
      <w:r>
        <w:rPr>
          <w:rStyle w:val="CharSectno"/>
        </w:rPr>
        <w:t>109F</w:t>
      </w:r>
      <w:r>
        <w:t>.</w:t>
      </w:r>
      <w:r>
        <w:tab/>
        <w:t>Supervision of RWWA by Commission etc.</w:t>
      </w:r>
      <w:bookmarkEnd w:id="191"/>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lastRenderedPageBreak/>
        <w:tab/>
        <w:t>[Section 109F inserted: No. 35 of 2003 s. 161.]</w:t>
      </w:r>
    </w:p>
    <w:p>
      <w:pPr>
        <w:pStyle w:val="Heading5"/>
      </w:pPr>
      <w:bookmarkStart w:id="192" w:name="_Toc189226354"/>
      <w:r>
        <w:rPr>
          <w:rStyle w:val="CharSectno"/>
        </w:rPr>
        <w:t>109G</w:t>
      </w:r>
      <w:r>
        <w:t>.</w:t>
      </w:r>
      <w:r>
        <w:tab/>
        <w:t>Directions to RWWA, Commission may give</w:t>
      </w:r>
      <w:bookmarkEnd w:id="192"/>
    </w:p>
    <w:p>
      <w:pPr>
        <w:pStyle w:val="Subsection"/>
      </w:pPr>
      <w:r>
        <w:tab/>
        <w:t>(1A)</w:t>
      </w:r>
      <w:r>
        <w:tab/>
        <w:t>In this section and in section 109H —</w:t>
      </w:r>
    </w:p>
    <w:p>
      <w:pPr>
        <w:pStyle w:val="Defstart"/>
      </w:pPr>
      <w:r>
        <w:tab/>
      </w:r>
      <w:r>
        <w:rPr>
          <w:rStyle w:val="CharDefText"/>
        </w:rPr>
        <w:t>organisation, management and control</w:t>
      </w:r>
      <w:r>
        <w:t>, of the gambling operations of RWWA —</w:t>
      </w:r>
    </w:p>
    <w:p>
      <w:pPr>
        <w:pStyle w:val="Defpara"/>
      </w:pPr>
      <w:r>
        <w:tab/>
        <w:t>(a)</w:t>
      </w:r>
      <w:r>
        <w:tab/>
        <w:t>means the organisation, management and control of the gambling operations of RWWA; and</w:t>
      </w:r>
    </w:p>
    <w:p>
      <w:pPr>
        <w:pStyle w:val="Defpara"/>
      </w:pPr>
      <w:r>
        <w:tab/>
        <w:t>(b)</w:t>
      </w:r>
      <w:r>
        <w:tab/>
        <w:t>includes the organisation, management and control of operations (whether of RWWA or not) that relate to the gambling operations of RWWA.</w:t>
      </w:r>
    </w:p>
    <w:p>
      <w:pPr>
        <w:pStyle w:val="Subsection"/>
      </w:pPr>
      <w:r>
        <w:tab/>
        <w:t>(1)</w:t>
      </w:r>
      <w:r>
        <w:tab/>
        <w:t>The Commission may give directions to RWWA about the organisation, management and control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Controls and procedures referred to in directions, or in amendments of directions, may be described in words or represented diagrammatically, or by a combination of both methods.</w:t>
      </w:r>
    </w:p>
    <w:p>
      <w:pPr>
        <w:pStyle w:val="Subsection"/>
      </w:pPr>
      <w:r>
        <w:tab/>
        <w:t>(4A)</w:t>
      </w:r>
      <w:r>
        <w:tab/>
        <w:t>Without limiting subsection (1), the Commission may give a direction to RWWA, or to a person responsible for the organisation, management and control of the gambling operations of RWWA, to adopt, vary, cease or refrain from any practice in respect of the gambling operations of RWWA.</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lastRenderedPageBreak/>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 amended: No. 53 of 2024 s. 63.]</w:t>
      </w:r>
    </w:p>
    <w:p>
      <w:pPr>
        <w:pStyle w:val="Heading5"/>
      </w:pPr>
      <w:bookmarkStart w:id="193" w:name="_Toc189226355"/>
      <w:r>
        <w:rPr>
          <w:rStyle w:val="CharSectno"/>
        </w:rPr>
        <w:t>109H</w:t>
      </w:r>
      <w:r>
        <w:t>.</w:t>
      </w:r>
      <w:r>
        <w:tab/>
        <w:t>Contravention of directions</w:t>
      </w:r>
      <w:bookmarkEnd w:id="193"/>
    </w:p>
    <w:p>
      <w:pPr>
        <w:pStyle w:val="Subsection"/>
      </w:pPr>
      <w:r>
        <w:tab/>
        <w:t>(1)</w:t>
      </w:r>
      <w:r>
        <w:tab/>
        <w:t>RWWA must take all reasonable steps to ensure that any direction given to it under section 109G, or section 52 of the RWWA Act, is brought to the notice of, and is not contravened by, the following persons —</w:t>
      </w:r>
    </w:p>
    <w:p>
      <w:pPr>
        <w:pStyle w:val="Indenta"/>
      </w:pPr>
      <w:r>
        <w:tab/>
        <w:t>(a)</w:t>
      </w:r>
      <w:r>
        <w:tab/>
        <w:t>a person responsible for the organisation, management and control of the gambling operations of RWWA;</w:t>
      </w:r>
    </w:p>
    <w:p>
      <w:pPr>
        <w:pStyle w:val="Indenta"/>
      </w:pPr>
      <w:r>
        <w:tab/>
        <w:t>(b)</w:t>
      </w:r>
      <w:r>
        <w:tab/>
        <w:t>any other person acting in relation to the organisation, management and control of the gambling operations of RWWA as an employee, agent or otherwise on behalf of, or subject to the control of, RWWA.</w:t>
      </w:r>
    </w:p>
    <w:p>
      <w:pPr>
        <w:pStyle w:val="Penstart"/>
      </w:pPr>
      <w:r>
        <w:tab/>
        <w:t>Penalty for this subsection: a fine of $250 000.</w:t>
      </w:r>
    </w:p>
    <w:p>
      <w:pPr>
        <w:pStyle w:val="Subsection"/>
      </w:pPr>
      <w:r>
        <w:tab/>
        <w:t>(2)</w:t>
      </w:r>
      <w:r>
        <w:tab/>
        <w:t>RWWA must comply with a direction given to it under section 109G or section 52 of the RWWA Act.</w:t>
      </w:r>
    </w:p>
    <w:p>
      <w:pPr>
        <w:pStyle w:val="Penstart"/>
      </w:pPr>
      <w:r>
        <w:tab/>
        <w:t>Penalty for this subsection: a fine of $250,000.</w:t>
      </w:r>
    </w:p>
    <w:p>
      <w:pPr>
        <w:pStyle w:val="Subsection"/>
      </w:pPr>
      <w:r>
        <w:tab/>
        <w:t>(3)</w:t>
      </w:r>
      <w:r>
        <w:tab/>
        <w:t>A person other than RWWA given a direction under section 109G(4A)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(4)</w:t>
      </w:r>
      <w:r>
        <w:tab/>
        <w:t xml:space="preserve">If a direction is given to RWWA under section 109G or section 52 of the RWWA Act, a person to whom or which </w:t>
      </w:r>
      <w:r>
        <w:lastRenderedPageBreak/>
        <w:t>subsection (1)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(5)</w:t>
      </w:r>
      <w:r>
        <w:tab/>
        <w:t>It is a defence to a charge of an offence under subsection (2), (3) or (4) for the person charged to prove that they had a reasonable excuse for failing to comply with the direction.</w:t>
      </w:r>
    </w:p>
    <w:p>
      <w:pPr>
        <w:pStyle w:val="Footnotesection"/>
        <w:rPr>
          <w:rStyle w:val="CharSectno"/>
          <w:b/>
        </w:rPr>
      </w:pPr>
      <w:r>
        <w:rPr>
          <w:rStyle w:val="CharSectno"/>
        </w:rPr>
        <w:tab/>
        <w:t>[Section 109H inserted: No. 53 of 2024 s. 64.]</w:t>
      </w:r>
    </w:p>
    <w:p>
      <w:pPr>
        <w:pStyle w:val="Heading5"/>
      </w:pPr>
      <w:bookmarkStart w:id="194" w:name="_Toc189226356"/>
      <w:r>
        <w:rPr>
          <w:rStyle w:val="CharSectno"/>
        </w:rPr>
        <w:t>109I</w:t>
      </w:r>
      <w:r>
        <w:t>.</w:t>
      </w:r>
      <w:r>
        <w:tab/>
        <w:t>Complaints about RWWA, Commission’s functions as to</w:t>
      </w:r>
      <w:bookmarkEnd w:id="194"/>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195" w:name="_Toc189226357"/>
      <w:r>
        <w:rPr>
          <w:rStyle w:val="CharSectno"/>
        </w:rPr>
        <w:t>109J</w:t>
      </w:r>
      <w:r>
        <w:t>.</w:t>
      </w:r>
      <w:r>
        <w:tab/>
        <w:t>Reports on and inquiries into RWWA</w:t>
      </w:r>
      <w:bookmarkEnd w:id="19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lastRenderedPageBreak/>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196" w:name="_Toc189226358"/>
      <w:r>
        <w:rPr>
          <w:rStyle w:val="CharSectno"/>
        </w:rPr>
        <w:lastRenderedPageBreak/>
        <w:t>109K</w:t>
      </w:r>
      <w:r>
        <w:t>.</w:t>
      </w:r>
      <w:r>
        <w:tab/>
        <w:t>Report or inquiry under s. 109J, Minister’s powers following</w:t>
      </w:r>
      <w:bookmarkEnd w:id="196"/>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$1 000 000.</w:t>
      </w:r>
    </w:p>
    <w:p>
      <w:pPr>
        <w:pStyle w:val="Subsection"/>
      </w:pPr>
      <w:r>
        <w:tab/>
        <w:t>(4)</w:t>
      </w:r>
      <w:r>
        <w:tab/>
        <w:t>The Minister must not exercise a power conferred under subsection (3) unless that power was specified in the relevant notice served under subsection (1).</w:t>
      </w:r>
    </w:p>
    <w:p>
      <w:pPr>
        <w:pStyle w:val="Subsection"/>
      </w:pPr>
      <w:r>
        <w:lastRenderedPageBreak/>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 amended: No. 53 of 2024 s. 65.]</w:t>
      </w:r>
    </w:p>
    <w:p>
      <w:pPr>
        <w:pStyle w:val="Heading2"/>
      </w:pPr>
      <w:bookmarkStart w:id="197" w:name="_Toc189221541"/>
      <w:bookmarkStart w:id="198" w:name="_Toc189221959"/>
      <w:bookmarkStart w:id="199" w:name="_Toc189226359"/>
      <w:r>
        <w:rPr>
          <w:rStyle w:val="CharPartNo"/>
        </w:rPr>
        <w:lastRenderedPageBreak/>
        <w:t>Part VI</w:t>
      </w:r>
      <w:r>
        <w:rPr>
          <w:rStyle w:val="CharDivNo"/>
        </w:rPr>
        <w:t> </w:t>
      </w:r>
      <w:r>
        <w:t>—</w:t>
      </w:r>
      <w:r>
        <w:rPr>
          <w:rStyle w:val="CharDivText"/>
        </w:rPr>
        <w:t> </w:t>
      </w:r>
      <w:r>
        <w:rPr>
          <w:rStyle w:val="CharPartText"/>
        </w:rPr>
        <w:t>Ancillary</w:t>
      </w:r>
      <w:bookmarkEnd w:id="197"/>
      <w:bookmarkEnd w:id="198"/>
      <w:bookmarkEnd w:id="199"/>
    </w:p>
    <w:p>
      <w:pPr>
        <w:pStyle w:val="Heading5"/>
        <w:rPr>
          <w:snapToGrid w:val="0"/>
        </w:rPr>
      </w:pPr>
      <w:bookmarkStart w:id="200" w:name="_Toc189226360"/>
      <w:r>
        <w:rPr>
          <w:rStyle w:val="CharSectno"/>
        </w:rPr>
        <w:t>110</w:t>
      </w:r>
      <w:r>
        <w:rPr>
          <w:snapToGrid w:val="0"/>
        </w:rPr>
        <w:t>.</w:t>
      </w:r>
      <w:r>
        <w:rPr>
          <w:snapToGrid w:val="0"/>
        </w:rPr>
        <w:tab/>
        <w:t>Gambling on premises licensed for retail sale of liquor</w:t>
      </w:r>
      <w:bookmarkEnd w:id="200"/>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201" w:name="_Toc189226361"/>
      <w:r>
        <w:rPr>
          <w:rStyle w:val="CharSectno"/>
        </w:rPr>
        <w:lastRenderedPageBreak/>
        <w:t>110A</w:t>
      </w:r>
      <w:r>
        <w:t>.</w:t>
      </w:r>
      <w:r>
        <w:tab/>
        <w:t>Sports Wagering Account</w:t>
      </w:r>
      <w:bookmarkEnd w:id="201"/>
    </w:p>
    <w:p>
      <w:pPr>
        <w:pStyle w:val="Subsection"/>
      </w:pPr>
      <w:r>
        <w:tab/>
        <w:t>(1)</w:t>
      </w:r>
      <w:r>
        <w:tab/>
        <w:t xml:space="preserve">An account called the Sports Wagering Account must be established as an agency special purpose account under the </w:t>
      </w:r>
      <w:r>
        <w:rPr>
          <w:i/>
          <w:iCs/>
        </w:rPr>
        <w:t>Financial Management Act 2006</w:t>
      </w:r>
      <w:r>
        <w:t xml:space="preserve"> section 16, to which money paid by RWWA under section 104 of the RWWA Act is to be credited.</w:t>
      </w:r>
    </w:p>
    <w:p>
      <w:pPr>
        <w:pStyle w:val="Ednotesubsection"/>
      </w:pPr>
      <w:r>
        <w:tab/>
        <w:t>[(2)</w:t>
      </w:r>
      <w:r>
        <w:tab/>
        <w:t>deleted]</w:t>
      </w:r>
    </w:p>
    <w:p>
      <w:pPr>
        <w:pStyle w:val="Subsection"/>
      </w:pPr>
      <w:r>
        <w:tab/>
        <w:t>(3)</w:t>
      </w:r>
      <w:r>
        <w:tab/>
        <w:t>The Sports Wagering Account shall —</w:t>
      </w:r>
    </w:p>
    <w:p>
      <w:pPr>
        <w:pStyle w:val="Indenta"/>
      </w:pPr>
      <w:r>
        <w:tab/>
        <w:t>(a)</w:t>
      </w:r>
      <w:r>
        <w:tab/>
        <w:t>be administered by the Sport and Recreation Department; and</w:t>
      </w:r>
    </w:p>
    <w:p>
      <w:pPr>
        <w:pStyle w:val="Indenta"/>
        <w:spacing w:before="120"/>
      </w:pPr>
      <w:r>
        <w:tab/>
        <w:t>(b)</w:t>
      </w:r>
      <w:r>
        <w:tab/>
        <w:t>be applied for the purpose of the payment of outgoings referred to in subsection (5).</w:t>
      </w:r>
    </w:p>
    <w:p>
      <w:pPr>
        <w:pStyle w:val="Ednotesubsection"/>
      </w:pPr>
      <w:r>
        <w:tab/>
        <w:t>[(4)</w:t>
      </w:r>
      <w:r>
        <w:tab/>
        <w:t>deleted]</w:t>
      </w:r>
    </w:p>
    <w:p>
      <w:pPr>
        <w:pStyle w:val="Subsection"/>
      </w:pPr>
      <w:r>
        <w:tab/>
        <w:t>(5)</w:t>
      </w:r>
      <w:r>
        <w:tab/>
        <w:t>The chief executive officer of the Sport and Recreation Department must, as directed by the Sport and Recreation Minister,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 No. 53 of 2024 s. 66.]</w:t>
      </w:r>
    </w:p>
    <w:p>
      <w:pPr>
        <w:pStyle w:val="Heading5"/>
      </w:pPr>
      <w:bookmarkStart w:id="202" w:name="_Toc189226362"/>
      <w:r>
        <w:rPr>
          <w:rStyle w:val="CharSectno"/>
        </w:rPr>
        <w:t>110B</w:t>
      </w:r>
      <w:r>
        <w:t>.</w:t>
      </w:r>
      <w:r>
        <w:tab/>
        <w:t>Racing Bets Levy Account</w:t>
      </w:r>
      <w:bookmarkEnd w:id="202"/>
    </w:p>
    <w:p>
      <w:pPr>
        <w:pStyle w:val="Subsection"/>
      </w:pPr>
      <w:r>
        <w:tab/>
        <w:t>(1)</w:t>
      </w:r>
      <w:r>
        <w:tab/>
        <w:t xml:space="preserve">An account called the Racing Bets Levy Account must be established as an agency special purpose account under the </w:t>
      </w:r>
      <w:r>
        <w:rPr>
          <w:i/>
          <w:iCs/>
        </w:rPr>
        <w:t>Financial Management Act 2006</w:t>
      </w:r>
      <w:r>
        <w:t xml:space="preserve"> section 16, to which the CEO </w:t>
      </w:r>
      <w:r>
        <w:lastRenderedPageBreak/>
        <w:t xml:space="preserve">must credit money paid to or recovered by the CEO under the </w:t>
      </w:r>
      <w:r>
        <w:rPr>
          <w:i/>
          <w:iCs/>
        </w:rPr>
        <w:t>Betting Control Act 1954</w:t>
      </w:r>
      <w:r>
        <w:t xml:space="preserve"> sections 14A to 14D.</w:t>
      </w:r>
    </w:p>
    <w:p>
      <w:pPr>
        <w:pStyle w:val="Subsection"/>
      </w:pPr>
      <w:r>
        <w:tab/>
        <w:t>(2)</w:t>
      </w:r>
      <w:r>
        <w:tab/>
        <w:t>The Racing Bets Levy Account must be administered by the Department.</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CEO must —</w:t>
      </w:r>
    </w:p>
    <w:p>
      <w:pPr>
        <w:pStyle w:val="Indenta"/>
      </w:pPr>
      <w:r>
        <w:tab/>
        <w:t>(a)</w:t>
      </w:r>
      <w:r>
        <w:tab/>
        <w:t>withdraw from the Racing Bets Levy Account, at monthly intervals, a sum approved by the Minister for outgoings and expenses incurred by the Department in administering the Account; and</w:t>
      </w:r>
    </w:p>
    <w:p>
      <w:pPr>
        <w:pStyle w:val="Indenta"/>
      </w:pPr>
      <w:r>
        <w:tab/>
        <w:t>(b)</w:t>
      </w:r>
      <w:r>
        <w:tab/>
        <w:t>pay or credit, at prescribed intervals, the balance of that Account in accordance with subsection (5).</w:t>
      </w:r>
    </w:p>
    <w:p>
      <w:pPr>
        <w:pStyle w:val="Subsection"/>
      </w:pPr>
      <w:r>
        <w:tab/>
        <w:t>(5)</w:t>
      </w:r>
      <w:r>
        <w:tab/>
        <w:t xml:space="preserve">The Department must pay or credit the balance of the Racing Bets Levy Account to — </w:t>
      </w:r>
    </w:p>
    <w:p>
      <w:pPr>
        <w:pStyle w:val="Indenta"/>
      </w:pPr>
      <w:r>
        <w:tab/>
        <w:t>(a)</w:t>
      </w:r>
      <w:r>
        <w:tab/>
        <w:t>RWWA; or</w:t>
      </w:r>
    </w:p>
    <w:p>
      <w:pPr>
        <w:pStyle w:val="Indenta"/>
      </w:pPr>
      <w:r>
        <w:tab/>
        <w:t>(b)</w:t>
      </w:r>
      <w:r>
        <w:tab/>
        <w:t xml:space="preserve">the following clubs, in the amounts determined by the Minister — </w:t>
      </w:r>
    </w:p>
    <w:p>
      <w:pPr>
        <w:pStyle w:val="Indenti"/>
      </w:pPr>
      <w:r>
        <w:tab/>
        <w:t>(i)</w:t>
      </w:r>
      <w:r>
        <w:tab/>
        <w:t>thoroughbred racing clubs registered with RWWA;</w:t>
      </w:r>
    </w:p>
    <w:p>
      <w:pPr>
        <w:pStyle w:val="Indenti"/>
      </w:pPr>
      <w:r>
        <w:tab/>
        <w:t>(ii)</w:t>
      </w:r>
      <w:r>
        <w:tab/>
        <w:t>harness racing clubs registered with RWWA;</w:t>
      </w:r>
    </w:p>
    <w:p>
      <w:pPr>
        <w:pStyle w:val="Indenti"/>
      </w:pPr>
      <w:r>
        <w:tab/>
        <w:t>(iii)</w:t>
      </w:r>
      <w:r>
        <w:tab/>
        <w:t>greyhound racing clubs registered with RWWA.</w:t>
      </w:r>
    </w:p>
    <w:p>
      <w:pPr>
        <w:pStyle w:val="Footnotesection"/>
      </w:pPr>
      <w:r>
        <w:tab/>
        <w:t>[Section 110B inserted: No. 29 of 2009 s. 20; amended: No. 53 of 2024 s. 67.]</w:t>
      </w:r>
    </w:p>
    <w:p>
      <w:pPr>
        <w:pStyle w:val="Heading5"/>
      </w:pPr>
      <w:bookmarkStart w:id="203" w:name="_Toc189226363"/>
      <w:r>
        <w:rPr>
          <w:rStyle w:val="CharSectno"/>
        </w:rPr>
        <w:lastRenderedPageBreak/>
        <w:t>110C</w:t>
      </w:r>
      <w:r>
        <w:t>.</w:t>
      </w:r>
      <w:r>
        <w:tab/>
        <w:t>Provision of information to Commission</w:t>
      </w:r>
      <w:bookmarkEnd w:id="203"/>
    </w:p>
    <w:p>
      <w:pPr>
        <w:pStyle w:val="Subsection"/>
        <w:keepNext/>
      </w:pPr>
      <w:r>
        <w:tab/>
        <w:t>(1)</w:t>
      </w:r>
      <w:r>
        <w:tab/>
        <w:t xml:space="preserve">In this section — </w:t>
      </w:r>
    </w:p>
    <w:p>
      <w:pPr>
        <w:pStyle w:val="Defstart"/>
        <w:keepNext/>
      </w:pPr>
      <w:r>
        <w:tab/>
      </w:r>
      <w:r>
        <w:rPr>
          <w:rStyle w:val="CharDefText"/>
        </w:rPr>
        <w:t>relevant information</w:t>
      </w:r>
      <w:r>
        <w:t xml:space="preserve"> means information relating to the performance of the following functions — </w:t>
      </w:r>
    </w:p>
    <w:p>
      <w:pPr>
        <w:pStyle w:val="Defpara"/>
      </w:pPr>
      <w:r>
        <w:tab/>
        <w:t>(a)</w:t>
      </w:r>
      <w:r>
        <w:tab/>
        <w:t>the administration of the Gaming Community Trust Account under section 109C;</w:t>
      </w:r>
    </w:p>
    <w:p>
      <w:pPr>
        <w:pStyle w:val="Defpara"/>
      </w:pPr>
      <w:r>
        <w:tab/>
        <w:t>(b)</w:t>
      </w:r>
      <w:r>
        <w:tab/>
        <w:t>the functions of the Gaming Community Trust under section 109D;</w:t>
      </w:r>
    </w:p>
    <w:p>
      <w:pPr>
        <w:pStyle w:val="Defpara"/>
      </w:pPr>
      <w:r>
        <w:tab/>
        <w:t>(c)</w:t>
      </w:r>
      <w:r>
        <w:tab/>
        <w:t>the administration of the Sports Wagering Account under section 110A;</w:t>
      </w:r>
    </w:p>
    <w:p>
      <w:pPr>
        <w:pStyle w:val="Defpara"/>
      </w:pPr>
      <w:r>
        <w:tab/>
        <w:t>(d)</w:t>
      </w:r>
      <w:r>
        <w:tab/>
        <w:t>the administration of the Racing Bets Levy Account under section 110B.</w:t>
      </w:r>
    </w:p>
    <w:p>
      <w:pPr>
        <w:pStyle w:val="Subsection"/>
      </w:pPr>
      <w:r>
        <w:tab/>
        <w:t>(2)</w:t>
      </w:r>
      <w:r>
        <w:tab/>
        <w:t xml:space="preserve">This section applies to — </w:t>
      </w:r>
    </w:p>
    <w:p>
      <w:pPr>
        <w:pStyle w:val="Indenta"/>
      </w:pPr>
      <w:r>
        <w:tab/>
        <w:t>(a)</w:t>
      </w:r>
      <w:r>
        <w:tab/>
        <w:t>the Department; and</w:t>
      </w:r>
    </w:p>
    <w:p>
      <w:pPr>
        <w:pStyle w:val="Indenta"/>
      </w:pPr>
      <w:r>
        <w:tab/>
        <w:t>(b)</w:t>
      </w:r>
      <w:r>
        <w:tab/>
        <w:t>the Sport and Recreation Department.</w:t>
      </w:r>
    </w:p>
    <w:p>
      <w:pPr>
        <w:pStyle w:val="Subsection"/>
      </w:pPr>
      <w:r>
        <w:tab/>
        <w:t>(3)</w:t>
      </w:r>
      <w:r>
        <w:tab/>
        <w:t xml:space="preserve">The chief executive officer of a department to which this section applies may provide relevant information to the Commission if satisfied it is reasonably necessary for the purposes of enabling or assisting the Commission or the department in the performance of its functions under this Act or the </w:t>
      </w:r>
      <w:r>
        <w:rPr>
          <w:i/>
        </w:rPr>
        <w:t>Betting Control Act 1954</w:t>
      </w:r>
      <w:r>
        <w:t>.</w:t>
      </w:r>
    </w:p>
    <w:p>
      <w:pPr>
        <w:pStyle w:val="Footnotesection"/>
      </w:pPr>
      <w:r>
        <w:tab/>
        <w:t>[Section 110C inserted: No. 53 of 2024 s. 68.]</w:t>
      </w:r>
    </w:p>
    <w:p>
      <w:pPr>
        <w:pStyle w:val="Heading5"/>
      </w:pPr>
      <w:bookmarkStart w:id="204" w:name="_Toc189226364"/>
      <w:r>
        <w:rPr>
          <w:rStyle w:val="CharSectno"/>
        </w:rPr>
        <w:t>110D</w:t>
      </w:r>
      <w:r>
        <w:t>.</w:t>
      </w:r>
      <w:r>
        <w:tab/>
        <w:t>Delegation by CEO</w:t>
      </w:r>
      <w:bookmarkEnd w:id="204"/>
    </w:p>
    <w:p>
      <w:pPr>
        <w:pStyle w:val="Subsection"/>
      </w:pPr>
      <w:r>
        <w:tab/>
        <w:t>(1)</w:t>
      </w:r>
      <w:r>
        <w:tab/>
        <w:t xml:space="preserve">The CEO may delegate a power or duty of the CEO under another provision of this Act to — </w:t>
      </w:r>
    </w:p>
    <w:p>
      <w:pPr>
        <w:pStyle w:val="Indenta"/>
      </w:pPr>
      <w:r>
        <w:tab/>
        <w:t>(a)</w:t>
      </w:r>
      <w:r>
        <w:tab/>
        <w:t>an officer of the Department; or</w:t>
      </w:r>
    </w:p>
    <w:p>
      <w:pPr>
        <w:pStyle w:val="Indenta"/>
      </w:pPr>
      <w:r>
        <w:tab/>
        <w:t>(b)</w:t>
      </w:r>
      <w:r>
        <w:tab/>
        <w:t>a person or class of persons authorised for the purposes of this section by the regulations.</w:t>
      </w:r>
    </w:p>
    <w:p>
      <w:pPr>
        <w:pStyle w:val="Subsection"/>
      </w:pPr>
      <w:r>
        <w:tab/>
        <w:t>(2)</w:t>
      </w:r>
      <w:r>
        <w:tab/>
        <w:t>The delegation must be in writing signed by the CEO.</w:t>
      </w:r>
    </w:p>
    <w:p>
      <w:pPr>
        <w:pStyle w:val="Subsection"/>
      </w:pPr>
      <w:r>
        <w:lastRenderedPageBreak/>
        <w:tab/>
        <w:t>(3)</w:t>
      </w:r>
      <w:r>
        <w:tab/>
        <w:t>A person exercising or performing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CEO to perform a function through an officer or agent.</w:t>
      </w:r>
    </w:p>
    <w:p>
      <w:pPr>
        <w:pStyle w:val="Footnotesection"/>
      </w:pPr>
      <w:r>
        <w:tab/>
        <w:t>[Section 110D inserted: No. 53 of 2024 s. 68.]</w:t>
      </w:r>
    </w:p>
    <w:p>
      <w:pPr>
        <w:pStyle w:val="Heading5"/>
        <w:spacing w:before="200"/>
        <w:rPr>
          <w:snapToGrid w:val="0"/>
        </w:rPr>
      </w:pPr>
      <w:bookmarkStart w:id="205" w:name="_Toc189226365"/>
      <w:r>
        <w:rPr>
          <w:rStyle w:val="CharSectno"/>
        </w:rPr>
        <w:t>111</w:t>
      </w:r>
      <w:r>
        <w:rPr>
          <w:snapToGrid w:val="0"/>
        </w:rPr>
        <w:t>.</w:t>
      </w:r>
      <w:r>
        <w:rPr>
          <w:snapToGrid w:val="0"/>
        </w:rPr>
        <w:tab/>
        <w:t>Burswood Casino Agreement cl. 22, when Commission may decide questions as to</w:t>
      </w:r>
      <w:bookmarkEnd w:id="205"/>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206" w:name="_Toc189226366"/>
      <w:r>
        <w:rPr>
          <w:rStyle w:val="CharSectno"/>
        </w:rPr>
        <w:t>112</w:t>
      </w:r>
      <w:r>
        <w:rPr>
          <w:snapToGrid w:val="0"/>
        </w:rPr>
        <w:t>.</w:t>
      </w:r>
      <w:r>
        <w:rPr>
          <w:snapToGrid w:val="0"/>
        </w:rPr>
        <w:tab/>
        <w:t xml:space="preserve">Transitional provisions as to </w:t>
      </w:r>
      <w:r>
        <w:rPr>
          <w:i/>
          <w:snapToGrid w:val="0"/>
        </w:rPr>
        <w:t>Casino Control Act 1984</w:t>
      </w:r>
      <w:bookmarkEnd w:id="206"/>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lastRenderedPageBreak/>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207" w:name="_Toc189226367"/>
      <w:r>
        <w:rPr>
          <w:rStyle w:val="CharSectno"/>
        </w:rPr>
        <w:t>117</w:t>
      </w:r>
      <w:r>
        <w:rPr>
          <w:snapToGrid w:val="0"/>
        </w:rPr>
        <w:t>.</w:t>
      </w:r>
      <w:r>
        <w:rPr>
          <w:snapToGrid w:val="0"/>
        </w:rPr>
        <w:tab/>
        <w:t>Regulations</w:t>
      </w:r>
      <w:bookmarkEnd w:id="207"/>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keepNext/>
      </w:pPr>
      <w:r>
        <w:tab/>
        <w:t>(e)</w:t>
      </w:r>
      <w:r>
        <w:tab/>
        <w:t xml:space="preserve">for regulating (including prohibiting advertisements of a type that are not in the public interest) the content of advertisements that convey, or are likely to be </w:t>
      </w:r>
      <w:r>
        <w:lastRenderedPageBreak/>
        <w:t>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Indenta"/>
      </w:pPr>
      <w:r>
        <w:tab/>
      </w:r>
      <w:r>
        <w:tab/>
        <w:t>and</w:t>
      </w:r>
    </w:p>
    <w:p>
      <w:pPr>
        <w:pStyle w:val="Indenta"/>
      </w:pPr>
      <w:r>
        <w:tab/>
        <w:t>(f)</w:t>
      </w:r>
      <w:r>
        <w:tab/>
        <w:t>for making provision for giving effect to specified national policies (that is, policies or agreements to which the State and at least 1 other Australian jurisdiction are parties), to the extent to which the policies relate to the purposes of this Act.</w:t>
      </w:r>
    </w:p>
    <w:p>
      <w:pPr>
        <w:pStyle w:val="Footnotesection"/>
      </w:pPr>
      <w:r>
        <w:tab/>
        <w:t>[Section 117 amended: No. 35 of 2003 s. 165; No. 29 of 2009 s. 21; No. 53 of 2024 s. 69.]</w:t>
      </w:r>
    </w:p>
    <w:p>
      <w:pPr>
        <w:pStyle w:val="Heading2"/>
      </w:pPr>
      <w:bookmarkStart w:id="208" w:name="_Toc189221550"/>
      <w:bookmarkStart w:id="209" w:name="_Toc189221968"/>
      <w:bookmarkStart w:id="210" w:name="_Toc189226368"/>
      <w:r>
        <w:rPr>
          <w:rStyle w:val="CharPartNo"/>
        </w:rPr>
        <w:lastRenderedPageBreak/>
        <w:t>Part 7</w:t>
      </w:r>
      <w:r>
        <w:t> —</w:t>
      </w:r>
      <w:r>
        <w:rPr>
          <w:rStyle w:val="CharPartText"/>
        </w:rPr>
        <w:t xml:space="preserve"> Transitional provisions for </w:t>
      </w:r>
      <w:r>
        <w:rPr>
          <w:rStyle w:val="CharPartText"/>
          <w:i/>
        </w:rPr>
        <w:t>Gambling Legislation Amendment Act 2024</w:t>
      </w:r>
      <w:bookmarkEnd w:id="208"/>
      <w:bookmarkEnd w:id="209"/>
      <w:bookmarkEnd w:id="210"/>
    </w:p>
    <w:p>
      <w:pPr>
        <w:pStyle w:val="Footnoteheading"/>
        <w:tabs>
          <w:tab w:val="left" w:pos="910"/>
        </w:tabs>
      </w:pPr>
      <w:r>
        <w:tab/>
        <w:t>[Heading inserted: No. 53 of 2024 s. 70.]</w:t>
      </w:r>
    </w:p>
    <w:p>
      <w:pPr>
        <w:pStyle w:val="Heading5"/>
      </w:pPr>
      <w:bookmarkStart w:id="211" w:name="_Toc189226369"/>
      <w:r>
        <w:rPr>
          <w:rStyle w:val="CharSectno"/>
        </w:rPr>
        <w:t>118</w:t>
      </w:r>
      <w:r>
        <w:t>.</w:t>
      </w:r>
      <w:r>
        <w:tab/>
        <w:t>Term used: commencement day</w:t>
      </w:r>
      <w:bookmarkEnd w:id="21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rPr>
          <w:iCs/>
        </w:rPr>
        <w:t xml:space="preserve"> </w:t>
      </w:r>
      <w:r>
        <w:t xml:space="preserve">section 70 </w:t>
      </w:r>
      <w:r>
        <w:rPr>
          <w:iCs/>
        </w:rPr>
        <w:t xml:space="preserve">comes </w:t>
      </w:r>
      <w:r>
        <w:t>into operation.</w:t>
      </w:r>
    </w:p>
    <w:p>
      <w:pPr>
        <w:pStyle w:val="Footnotesection"/>
      </w:pPr>
      <w:r>
        <w:tab/>
        <w:t>[Section 118 inserted: No. 53 of 2024 s. 70.]</w:t>
      </w:r>
    </w:p>
    <w:p>
      <w:pPr>
        <w:pStyle w:val="Heading5"/>
      </w:pPr>
      <w:bookmarkStart w:id="212" w:name="_Toc189226370"/>
      <w:r>
        <w:rPr>
          <w:rStyle w:val="CharSectno"/>
        </w:rPr>
        <w:t>119</w:t>
      </w:r>
      <w:r>
        <w:t>.</w:t>
      </w:r>
      <w:r>
        <w:tab/>
        <w:t xml:space="preserve">Application of </w:t>
      </w:r>
      <w:r>
        <w:rPr>
          <w:i/>
        </w:rPr>
        <w:t>Interpretation Act 1984</w:t>
      </w:r>
      <w:bookmarkEnd w:id="212"/>
    </w:p>
    <w:p>
      <w:pPr>
        <w:pStyle w:val="Subsection"/>
      </w:pPr>
      <w:r>
        <w:tab/>
      </w:r>
      <w:r>
        <w:tab/>
        <w:t xml:space="preserve">This Part does not limit the operation of the </w:t>
      </w:r>
      <w:r>
        <w:rPr>
          <w:i/>
        </w:rPr>
        <w:t>Interpretation Act 1984</w:t>
      </w:r>
      <w:r>
        <w:t>.</w:t>
      </w:r>
    </w:p>
    <w:p>
      <w:pPr>
        <w:pStyle w:val="Footnotesection"/>
      </w:pPr>
      <w:r>
        <w:tab/>
        <w:t>[Section 119 inserted: No. 53 of 2024 s. 70.]</w:t>
      </w:r>
    </w:p>
    <w:p>
      <w:pPr>
        <w:pStyle w:val="Heading5"/>
      </w:pPr>
      <w:bookmarkStart w:id="213" w:name="_Toc189226371"/>
      <w:r>
        <w:rPr>
          <w:rStyle w:val="CharSectno"/>
        </w:rPr>
        <w:t>120</w:t>
      </w:r>
      <w:r>
        <w:t>.</w:t>
      </w:r>
      <w:r>
        <w:tab/>
        <w:t>Infringement notices</w:t>
      </w:r>
      <w:bookmarkEnd w:id="213"/>
    </w:p>
    <w:p>
      <w:pPr>
        <w:pStyle w:val="Subsection"/>
      </w:pPr>
      <w:r>
        <w:tab/>
        <w:t>(1)</w:t>
      </w:r>
      <w:r>
        <w:tab/>
        <w:t xml:space="preserve">A certificate issued to an authorised person under the </w:t>
      </w:r>
      <w:r>
        <w:rPr>
          <w:i/>
        </w:rPr>
        <w:t>Casino Control Act 1984</w:t>
      </w:r>
      <w:r>
        <w:t xml:space="preserve"> section 29G(2) that was in effect immediately before commencement day is, for the period of 3 months commencing on commencement day, taken to state that the person is an authorised officer.</w:t>
      </w:r>
    </w:p>
    <w:p>
      <w:pPr>
        <w:pStyle w:val="Subsection"/>
      </w:pPr>
      <w:r>
        <w:tab/>
        <w:t>(2)</w:t>
      </w:r>
      <w:r>
        <w:tab/>
        <w:t xml:space="preserve">Subsection (3) applies to an infringement notice served under section 36 of this Act or under the </w:t>
      </w:r>
      <w:r>
        <w:rPr>
          <w:i/>
        </w:rPr>
        <w:t>Casino Control Act 1984</w:t>
      </w:r>
      <w:r>
        <w:t xml:space="preserve"> Part VB that, immediately before commencement day, had not been withdrawn.</w:t>
      </w:r>
    </w:p>
    <w:p>
      <w:pPr>
        <w:pStyle w:val="Subsection"/>
      </w:pPr>
      <w:r>
        <w:tab/>
        <w:t>(3)</w:t>
      </w:r>
      <w:r>
        <w:tab/>
        <w:t xml:space="preserve">The </w:t>
      </w:r>
      <w:r>
        <w:rPr>
          <w:i/>
        </w:rPr>
        <w:t>Criminal Procedure Act 2004</w:t>
      </w:r>
      <w:r>
        <w:t xml:space="preserve"> Part 2, as modified by section 36 of this Act (as in force after commencement day), applies to and in relation to the infringement notice as if it had been served under that Part.</w:t>
      </w:r>
    </w:p>
    <w:p>
      <w:pPr>
        <w:pStyle w:val="Footnotesection"/>
      </w:pPr>
      <w:r>
        <w:tab/>
        <w:t>[Section 120 inserted: No. 53 of 2024 s. 70.]</w:t>
      </w:r>
    </w:p>
    <w:p>
      <w:pPr>
        <w:pStyle w:val="Heading5"/>
      </w:pPr>
      <w:bookmarkStart w:id="214" w:name="_Toc189226372"/>
      <w:r>
        <w:rPr>
          <w:rStyle w:val="CharSectno"/>
        </w:rPr>
        <w:lastRenderedPageBreak/>
        <w:t>121</w:t>
      </w:r>
      <w:r>
        <w:t>.</w:t>
      </w:r>
      <w:r>
        <w:tab/>
        <w:t>Gaming Community Trust Account and Racing Bets Levy Account</w:t>
      </w:r>
      <w:bookmarkEnd w:id="214"/>
    </w:p>
    <w:p>
      <w:pPr>
        <w:pStyle w:val="Subsection"/>
      </w:pPr>
      <w:r>
        <w:tab/>
        <w:t>(1)</w:t>
      </w:r>
      <w:r>
        <w:tab/>
        <w:t>The amount in the Gaming Community Trust Account administered by the Commission under section 109C immediately before commencement day is, on commencement day, transferred to the Gaming Community Trust Account administered by the Department under section 109C.</w:t>
      </w:r>
    </w:p>
    <w:p>
      <w:pPr>
        <w:pStyle w:val="Subsection"/>
      </w:pPr>
      <w:r>
        <w:tab/>
        <w:t>(2)</w:t>
      </w:r>
      <w:r>
        <w:tab/>
        <w:t>The amount in the Racing Bets Levy Account administered by the Commission under section 110B immediately before commencement day is, on commencement day, transferred to the Racing Bets Levy Account administered by the Department under section 110B.</w:t>
      </w:r>
    </w:p>
    <w:p>
      <w:pPr>
        <w:pStyle w:val="Subsection"/>
      </w:pPr>
      <w:r>
        <w:tab/>
        <w:t>(3)</w:t>
      </w:r>
      <w:r>
        <w:tab/>
        <w:t>An approval of the Minister under section 109C(2) before commencement day to apply an amount for a purpose from the Gaming Community Trust Account must, if the amount is not paid before commencement day, be given effect by the Department under section 109C.</w:t>
      </w:r>
    </w:p>
    <w:p>
      <w:pPr>
        <w:pStyle w:val="Subsection"/>
      </w:pPr>
      <w:r>
        <w:tab/>
        <w:t>(4)</w:t>
      </w:r>
      <w:r>
        <w:tab/>
        <w:t>A determination of the Commission under section 110B(5) before commencement day to pay or credit an amount from the Racing Bets Levy Account must, if the amount is not paid before commencement day, be given effect by the Department under section 110B.</w:t>
      </w:r>
    </w:p>
    <w:p>
      <w:pPr>
        <w:pStyle w:val="Footnotesection"/>
      </w:pPr>
      <w:r>
        <w:tab/>
        <w:t>[Section 121 inserted: No. 53 of 2024 s. 70.]</w:t>
      </w:r>
    </w:p>
    <w:p>
      <w:pPr>
        <w:pStyle w:val="Heading5"/>
      </w:pPr>
      <w:bookmarkStart w:id="215" w:name="_Toc189226373"/>
      <w:r>
        <w:rPr>
          <w:rStyle w:val="CharSectno"/>
        </w:rPr>
        <w:t>122</w:t>
      </w:r>
      <w:r>
        <w:t>.</w:t>
      </w:r>
      <w:r>
        <w:tab/>
        <w:t>Sports Wagering Account</w:t>
      </w:r>
      <w:bookmarkEnd w:id="215"/>
    </w:p>
    <w:p>
      <w:pPr>
        <w:pStyle w:val="Subsection"/>
      </w:pPr>
      <w:r>
        <w:tab/>
        <w:t>(1)</w:t>
      </w:r>
      <w:r>
        <w:tab/>
        <w:t>The amount in the Sports Wagering Account administered by the Commission under section 110A immediately before commencement day is, on commencement day, transferred to the Sports Wagering Account administered by the Sport and Recreation Department under section 110A.</w:t>
      </w:r>
    </w:p>
    <w:p>
      <w:pPr>
        <w:pStyle w:val="Subsection"/>
      </w:pPr>
      <w:r>
        <w:tab/>
        <w:t>(2)</w:t>
      </w:r>
      <w:r>
        <w:tab/>
        <w:t xml:space="preserve">A direction of the Minister under section 110A(5) before commencement day to apply an amount for a purpose from the Sports Wagering Account must, if the amount is not paid before </w:t>
      </w:r>
      <w:r>
        <w:lastRenderedPageBreak/>
        <w:t>commencement day, be given effect by the Sport and Recreation Department under section 110A.</w:t>
      </w:r>
    </w:p>
    <w:p>
      <w:pPr>
        <w:pStyle w:val="Footnotesection"/>
      </w:pPr>
      <w:r>
        <w:tab/>
        <w:t>[Section 122 inserted: No. 53 of 2024 s. 70.]</w:t>
      </w:r>
    </w:p>
    <w:p>
      <w:pPr>
        <w:pStyle w:val="Heading5"/>
      </w:pPr>
      <w:bookmarkStart w:id="216" w:name="_Toc189226374"/>
      <w:r>
        <w:rPr>
          <w:rStyle w:val="CharSectno"/>
        </w:rPr>
        <w:t>123</w:t>
      </w:r>
      <w:r>
        <w:t>.</w:t>
      </w:r>
      <w:r>
        <w:tab/>
        <w:t>Transitional regulations</w:t>
      </w:r>
      <w:bookmarkEnd w:id="216"/>
    </w:p>
    <w:p>
      <w:pPr>
        <w:pStyle w:val="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5.</w:t>
      </w:r>
    </w:p>
    <w:p>
      <w:pPr>
        <w:pStyle w:val="Subsection"/>
      </w:pPr>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Subsection"/>
      </w:pPr>
      <w:r>
        <w:tab/>
        <w:t>(3)</w:t>
      </w:r>
      <w:r>
        <w:tab/>
        <w:t xml:space="preserve">If the regulations contain a provision referred to in subsection (2), the provision does not operate so as to — </w:t>
      </w:r>
    </w:p>
    <w:p>
      <w:pPr>
        <w:pStyle w:val="Indenta"/>
      </w:pPr>
      <w:r>
        <w:tab/>
        <w:t>(a)</w:t>
      </w:r>
      <w:r>
        <w:tab/>
        <w:t>affect in a manner prejudicial to any person (other than the State or a public authority) the rights of that person existing before the day of publication of those regulations; or</w:t>
      </w:r>
    </w:p>
    <w:p>
      <w:pPr>
        <w:pStyle w:val="Indenta"/>
      </w:pPr>
      <w:r>
        <w:tab/>
        <w:t>(b)</w:t>
      </w:r>
      <w:r>
        <w:tab/>
        <w:t>impose liabilities on any person (other than the State or a public authority) in respect of anything done or omitted to be done before the day of publication of those regulations.</w:t>
      </w:r>
    </w:p>
    <w:p>
      <w:pPr>
        <w:pStyle w:val="Subsection"/>
      </w:pPr>
      <w:r>
        <w:tab/>
        <w:t>(4)</w:t>
      </w:r>
      <w:r>
        <w:tab/>
        <w:t>Regulations made for the purposes of this section must be made within the period that is reasonably necessary to deal with the transitional, savings or application matters dealt with.</w:t>
      </w:r>
    </w:p>
    <w:p>
      <w:pPr>
        <w:pStyle w:val="Footnotesection"/>
      </w:pPr>
      <w:r>
        <w:tab/>
        <w:t>[Section 123 inserted: No. 53 of 2024 s. 70.]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17" w:name="_Toc189221557"/>
      <w:bookmarkStart w:id="218" w:name="_Toc189221975"/>
      <w:bookmarkStart w:id="219" w:name="_Toc189226375"/>
      <w:r>
        <w:lastRenderedPageBreak/>
        <w:t>Notes</w:t>
      </w:r>
      <w:bookmarkEnd w:id="217"/>
      <w:bookmarkEnd w:id="218"/>
      <w:bookmarkEnd w:id="219"/>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0" w:name="_Toc189226376"/>
      <w:r>
        <w:t>Compilation table</w:t>
      </w:r>
      <w:bookmarkEnd w:id="22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lastRenderedPageBreak/>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lastRenderedPageBreak/>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lastRenderedPageBreak/>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rPr>
          <w:cantSplit/>
        </w:trPr>
        <w:tc>
          <w:tcPr>
            <w:tcW w:w="2296" w:type="dxa"/>
            <w:gridSpan w:val="2"/>
            <w:tcBorders>
              <w:top w:val="nil"/>
              <w:bottom w:val="nil"/>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top w:val="nil"/>
              <w:bottom w:val="nil"/>
            </w:tcBorders>
            <w:shd w:val="clear" w:color="auto" w:fill="auto"/>
          </w:tcPr>
          <w:p>
            <w:pPr>
              <w:pStyle w:val="nTable"/>
              <w:spacing w:after="40"/>
            </w:pPr>
            <w:r>
              <w:t>32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pPr>
            <w:r>
              <w:t>29 Sep 2022 (see s. 2(b))</w:t>
            </w:r>
          </w:p>
        </w:tc>
      </w:tr>
      <w:tr>
        <w:trPr>
          <w:cantSplit/>
        </w:trPr>
        <w:tc>
          <w:tcPr>
            <w:tcW w:w="2296" w:type="dxa"/>
            <w:gridSpan w:val="2"/>
            <w:tcBorders>
              <w:bottom w:val="nil"/>
            </w:tcBorders>
            <w:shd w:val="clear" w:color="auto" w:fill="auto"/>
          </w:tcPr>
          <w:p>
            <w:pPr>
              <w:pStyle w:val="nTable"/>
              <w:spacing w:after="40"/>
              <w:ind w:right="113"/>
              <w:rPr>
                <w:i/>
              </w:rPr>
            </w:pPr>
            <w:r>
              <w:rPr>
                <w:i/>
              </w:rPr>
              <w:lastRenderedPageBreak/>
              <w:t>Directors’ Liability Reform Act 2023</w:t>
            </w:r>
            <w:r>
              <w:t xml:space="preserve"> Pt. 3 Div. 30 (other than s. 80)</w:t>
            </w:r>
          </w:p>
        </w:tc>
        <w:tc>
          <w:tcPr>
            <w:tcW w:w="1106" w:type="dxa"/>
            <w:tcBorders>
              <w:bottom w:val="nil"/>
            </w:tcBorders>
            <w:shd w:val="clear" w:color="auto" w:fill="auto"/>
          </w:tcPr>
          <w:p>
            <w:pPr>
              <w:pStyle w:val="nTable"/>
              <w:spacing w:after="40"/>
            </w:pPr>
            <w:r>
              <w:t>9 of 2023</w:t>
            </w:r>
          </w:p>
        </w:tc>
        <w:tc>
          <w:tcPr>
            <w:tcW w:w="1134" w:type="dxa"/>
            <w:tcBorders>
              <w:bottom w:val="nil"/>
            </w:tcBorders>
            <w:shd w:val="clear" w:color="auto" w:fill="auto"/>
          </w:tcPr>
          <w:p>
            <w:pPr>
              <w:pStyle w:val="nTable"/>
              <w:spacing w:after="40"/>
            </w:pPr>
            <w:r>
              <w:t>4 Apr 2023</w:t>
            </w:r>
          </w:p>
        </w:tc>
        <w:tc>
          <w:tcPr>
            <w:tcW w:w="2552" w:type="dxa"/>
            <w:tcBorders>
              <w:bottom w:val="nil"/>
            </w:tcBorders>
            <w:shd w:val="clear" w:color="auto" w:fill="auto"/>
          </w:tcPr>
          <w:p>
            <w:pPr>
              <w:pStyle w:val="nTable"/>
              <w:spacing w:after="40"/>
            </w:pPr>
            <w:r>
              <w:t>5 Apr 2023 (see s. 2(h)(ii) and (j))</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rPr>
                <w:i/>
              </w:rPr>
            </w:pPr>
            <w:r>
              <w:rPr>
                <w:i/>
              </w:rPr>
              <w:t>Gambling Legislation Amendment Act 2024</w:t>
            </w:r>
            <w:r>
              <w:rPr>
                <w:iCs/>
              </w:rPr>
              <w:t xml:space="preserve"> Pt. 5</w:t>
            </w:r>
          </w:p>
        </w:tc>
        <w:tc>
          <w:tcPr>
            <w:tcW w:w="1106" w:type="dxa"/>
            <w:tcBorders>
              <w:bottom w:val="single" w:sz="4" w:space="0" w:color="auto"/>
            </w:tcBorders>
            <w:shd w:val="clear" w:color="auto" w:fill="auto"/>
          </w:tcPr>
          <w:p>
            <w:pPr>
              <w:pStyle w:val="nTable"/>
              <w:spacing w:after="40"/>
            </w:pPr>
            <w:r>
              <w:t>53 of 2024</w:t>
            </w:r>
          </w:p>
        </w:tc>
        <w:tc>
          <w:tcPr>
            <w:tcW w:w="1134" w:type="dxa"/>
            <w:tcBorders>
              <w:bottom w:val="single" w:sz="4" w:space="0" w:color="auto"/>
            </w:tcBorders>
            <w:shd w:val="clear" w:color="auto" w:fill="auto"/>
          </w:tcPr>
          <w:p>
            <w:pPr>
              <w:pStyle w:val="nTable"/>
              <w:spacing w:after="40"/>
            </w:pPr>
            <w:r>
              <w:t>6 Dec 2024</w:t>
            </w:r>
          </w:p>
        </w:tc>
        <w:tc>
          <w:tcPr>
            <w:tcW w:w="2552" w:type="dxa"/>
            <w:tcBorders>
              <w:bottom w:val="single" w:sz="4" w:space="0" w:color="auto"/>
            </w:tcBorders>
            <w:shd w:val="clear" w:color="auto" w:fill="auto"/>
          </w:tcPr>
          <w:p>
            <w:pPr>
              <w:pStyle w:val="nTable"/>
              <w:spacing w:after="40"/>
              <w:rPr>
                <w:snapToGrid w:val="0"/>
              </w:rPr>
            </w:pPr>
            <w:r>
              <w:t>Pt. 5 (other than s. 49): 7 Dec 2024 (see</w:t>
            </w:r>
            <w:r>
              <w:rPr>
                <w:snapToGrid w:val="0"/>
              </w:rPr>
              <w:t> s. 2(d));</w:t>
            </w:r>
            <w:r>
              <w:rPr>
                <w:snapToGrid w:val="0"/>
              </w:rPr>
              <w:br/>
              <w:t>s. 49: 6 Feb 2025 (see s. 2(c) and SL 2025/27 cl. 2)</w:t>
            </w:r>
          </w:p>
        </w:tc>
      </w:tr>
    </w:tbl>
    <w:p>
      <w:pPr>
        <w:pStyle w:val="nHeading3"/>
      </w:pPr>
      <w:bookmarkStart w:id="221" w:name="_Toc189226377"/>
      <w:r>
        <w:t>Uncommenced provisions table</w:t>
      </w:r>
      <w:bookmarkEnd w:id="221"/>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Directors’ Liability Reform Act 2023</w:t>
            </w:r>
            <w:r>
              <w:t xml:space="preserve"> s. 80</w:t>
            </w:r>
          </w:p>
        </w:tc>
        <w:tc>
          <w:tcPr>
            <w:tcW w:w="1139" w:type="dxa"/>
            <w:tcBorders>
              <w:top w:val="nil"/>
              <w:bottom w:val="single" w:sz="4" w:space="0" w:color="auto"/>
            </w:tcBorders>
          </w:tcPr>
          <w:p>
            <w:pPr>
              <w:pStyle w:val="nTable"/>
              <w:spacing w:after="40"/>
            </w:pPr>
            <w:r>
              <w:t>9 of 2023</w:t>
            </w:r>
          </w:p>
        </w:tc>
        <w:tc>
          <w:tcPr>
            <w:tcW w:w="1143" w:type="dxa"/>
            <w:gridSpan w:val="2"/>
            <w:tcBorders>
              <w:top w:val="nil"/>
              <w:bottom w:val="single" w:sz="4" w:space="0" w:color="auto"/>
            </w:tcBorders>
          </w:tcPr>
          <w:p>
            <w:pPr>
              <w:pStyle w:val="nTable"/>
              <w:spacing w:after="40"/>
            </w:pPr>
            <w:r>
              <w:t>4 Apr 2023</w:t>
            </w:r>
          </w:p>
        </w:tc>
        <w:tc>
          <w:tcPr>
            <w:tcW w:w="2543" w:type="dxa"/>
            <w:tcBorders>
              <w:top w:val="nil"/>
              <w:bottom w:val="single" w:sz="4" w:space="0" w:color="auto"/>
            </w:tcBorders>
          </w:tcPr>
          <w:p>
            <w:pPr>
              <w:pStyle w:val="nTable"/>
              <w:spacing w:after="40"/>
              <w:rPr>
                <w:snapToGrid w:val="0"/>
              </w:rPr>
            </w:pPr>
            <w:r>
              <w:t xml:space="preserve">When the </w:t>
            </w:r>
            <w:r>
              <w:rPr>
                <w:i/>
              </w:rPr>
              <w:t>TAB (Disposal) Act 2019</w:t>
            </w:r>
            <w:r>
              <w:t xml:space="preserve"> s. 99 comes into operation (see s. 2(h)(ii))</w:t>
            </w:r>
          </w:p>
        </w:tc>
      </w:tr>
    </w:tbl>
    <w:p>
      <w:pPr>
        <w:pStyle w:val="nHeading3"/>
      </w:pPr>
      <w:bookmarkStart w:id="222" w:name="_Toc189226378"/>
      <w:r>
        <w:t>Other notes</w:t>
      </w:r>
      <w:bookmarkEnd w:id="222"/>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lastRenderedPageBreak/>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24" w:name="_Toc189226379"/>
      <w:r>
        <w:rPr>
          <w:sz w:val="28"/>
        </w:rPr>
        <w:lastRenderedPageBreak/>
        <w:t>Defined terms</w:t>
      </w:r>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CEO</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commencement day</w:t>
      </w:r>
      <w:r>
        <w:tab/>
        <w:t>118</w:t>
      </w:r>
    </w:p>
    <w:p>
      <w:pPr>
        <w:pStyle w:val="DefinedTerms"/>
      </w:pPr>
      <w:r>
        <w:t>Commission</w:t>
      </w:r>
      <w:r>
        <w:tab/>
        <w:t>3(1)</w:t>
      </w:r>
    </w:p>
    <w:p>
      <w:pPr>
        <w:pStyle w:val="DefinedTerms"/>
      </w:pPr>
      <w:r>
        <w:t>compliant guarantee</w:t>
      </w:r>
      <w:r>
        <w:tab/>
        <w:t>101(1)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event</w:t>
      </w:r>
      <w:r>
        <w:tab/>
        <w:t>3(1)</w:t>
      </w:r>
    </w:p>
    <w:p>
      <w:pPr>
        <w:pStyle w:val="DefinedTerms"/>
      </w:pPr>
      <w:r>
        <w:t>face value</w:t>
      </w:r>
      <w:r>
        <w:tab/>
        <w:t>101(1)</w:t>
      </w:r>
    </w:p>
    <w:p>
      <w:pPr>
        <w:pStyle w:val="DefinedTerms"/>
      </w:pPr>
      <w:r>
        <w:t>foreign lottery</w:t>
      </w:r>
      <w:r>
        <w:tab/>
        <w:t>101(1)</w:t>
      </w:r>
    </w:p>
    <w:p>
      <w:pPr>
        <w:pStyle w:val="DefinedTerms"/>
      </w:pPr>
      <w:r>
        <w:t>gambling</w:t>
      </w:r>
      <w:r>
        <w:tab/>
        <w:t>2(1), 40A</w:t>
      </w:r>
    </w:p>
    <w:p>
      <w:pPr>
        <w:pStyle w:val="DefinedTerms"/>
      </w:pPr>
      <w:r>
        <w:t>game of chance</w:t>
      </w:r>
      <w:r>
        <w:tab/>
        <w:t>3(1)</w:t>
      </w:r>
    </w:p>
    <w:p>
      <w:pPr>
        <w:pStyle w:val="DefinedTerms"/>
      </w:pPr>
      <w:r>
        <w:lastRenderedPageBreak/>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organisation, management and control</w:t>
      </w:r>
      <w:r>
        <w:tab/>
        <w:t>109G(1A)</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two-up</w:t>
      </w:r>
      <w:r>
        <w:tab/>
        <w:t>3(1)</w:t>
      </w:r>
    </w:p>
    <w:p>
      <w:pPr>
        <w:pStyle w:val="DefinedTerms"/>
      </w:pPr>
      <w:r>
        <w:t>player</w:t>
      </w:r>
      <w:r>
        <w:tab/>
        <w:t>3(1)</w:t>
      </w:r>
    </w:p>
    <w:p>
      <w:pPr>
        <w:pStyle w:val="DefinedTerms"/>
      </w:pPr>
      <w:r>
        <w:t>playing</w:t>
      </w:r>
      <w:r>
        <w:tab/>
        <w:t>3(1)</w:t>
      </w:r>
    </w:p>
    <w:p>
      <w:pPr>
        <w:pStyle w:val="DefinedTerms"/>
      </w:pPr>
      <w:r>
        <w:t>police officer</w:t>
      </w:r>
      <w:r>
        <w:tab/>
        <w:t>36(3)</w:t>
      </w:r>
    </w:p>
    <w:p>
      <w:pPr>
        <w:pStyle w:val="DefinedTerms"/>
      </w:pPr>
      <w:r>
        <w:t>possession</w:t>
      </w:r>
      <w:r>
        <w:tab/>
        <w:t>3(1)</w:t>
      </w:r>
    </w:p>
    <w:p>
      <w:pPr>
        <w:pStyle w:val="DefinedTerms"/>
      </w:pPr>
      <w:r>
        <w:t>premises</w:t>
      </w:r>
      <w:r>
        <w:tab/>
        <w:t>2(1)</w:t>
      </w:r>
    </w:p>
    <w:p>
      <w:pPr>
        <w:pStyle w:val="DefinedTerms"/>
      </w:pPr>
      <w:r>
        <w:t>prescribed gaming equipment</w:t>
      </w:r>
      <w:r>
        <w:tab/>
        <w:t>84(1)</w:t>
      </w:r>
    </w:p>
    <w:p>
      <w:pPr>
        <w:pStyle w:val="DefinedTerms"/>
      </w:pPr>
      <w:r>
        <w:t>prize</w:t>
      </w:r>
      <w:r>
        <w:tab/>
        <w:t>94(1)</w:t>
      </w:r>
    </w:p>
    <w:p>
      <w:pPr>
        <w:pStyle w:val="DefinedTerms"/>
      </w:pPr>
      <w:r>
        <w:t>prize winner</w:t>
      </w:r>
      <w:r>
        <w:tab/>
        <w:t>101(1)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premises</w:t>
      </w:r>
      <w:r>
        <w:tab/>
        <w:t>93A</w:t>
      </w:r>
    </w:p>
    <w:p>
      <w:pPr>
        <w:pStyle w:val="DefinedTerms"/>
      </w:pPr>
      <w:r>
        <w:t>Public Service</w:t>
      </w:r>
      <w:r>
        <w:tab/>
        <w:t>18(2a)</w:t>
      </w:r>
    </w:p>
    <w:p>
      <w:pPr>
        <w:pStyle w:val="DefinedTerms"/>
      </w:pPr>
      <w:r>
        <w:t>quarter</w:t>
      </w:r>
      <w:r>
        <w:tab/>
        <w:t>101(1)</w:t>
      </w:r>
    </w:p>
    <w:p>
      <w:pPr>
        <w:pStyle w:val="DefinedTerms"/>
      </w:pPr>
      <w:r>
        <w:lastRenderedPageBreak/>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 36(1)</w:t>
      </w:r>
    </w:p>
    <w:p>
      <w:pPr>
        <w:pStyle w:val="DefinedTerms"/>
      </w:pPr>
      <w:r>
        <w:t>relevant body</w:t>
      </w:r>
      <w:r>
        <w:tab/>
        <w:t>101(1), 104AB(2)</w:t>
      </w:r>
    </w:p>
    <w:p>
      <w:pPr>
        <w:pStyle w:val="DefinedTerms"/>
      </w:pPr>
      <w:r>
        <w:t>relevant information</w:t>
      </w:r>
      <w:r>
        <w:tab/>
        <w:t>110C(1)</w:t>
      </w:r>
    </w:p>
    <w:p>
      <w:pPr>
        <w:pStyle w:val="DefinedTerms"/>
      </w:pPr>
      <w:r>
        <w:t>remote gambling device</w:t>
      </w:r>
      <w:r>
        <w:tab/>
        <w:t>93A</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Sport and Recreation Department</w:t>
      </w:r>
      <w:r>
        <w:tab/>
        <w:t>3(1)</w:t>
      </w:r>
    </w:p>
    <w:p>
      <w:pPr>
        <w:pStyle w:val="DefinedTerms"/>
      </w:pPr>
      <w:r>
        <w:t>Sport and Recreation Minister</w:t>
      </w:r>
      <w:r>
        <w:tab/>
        <w:t>3(1)</w:t>
      </w:r>
    </w:p>
    <w:p>
      <w:pPr>
        <w:pStyle w:val="DefinedTerms"/>
      </w:pPr>
      <w:r>
        <w:t>standard lottery</w:t>
      </w:r>
      <w:r>
        <w:tab/>
        <w:t>101(1)</w:t>
      </w:r>
    </w:p>
    <w:p>
      <w:pPr>
        <w:pStyle w:val="DefinedTerms"/>
      </w:pPr>
      <w:r>
        <w:t>telecommunication device</w:t>
      </w:r>
      <w:r>
        <w:tab/>
        <w:t>3(1)</w:t>
      </w:r>
    </w:p>
    <w:p>
      <w:pPr>
        <w:pStyle w:val="DefinedTerms"/>
      </w:pPr>
      <w:r>
        <w:t>terms</w:t>
      </w:r>
      <w:r>
        <w:tab/>
        <w:t>89(3)</w:t>
      </w:r>
    </w:p>
    <w:p>
      <w:pPr>
        <w:pStyle w:val="DefinedTerms"/>
      </w:pPr>
      <w:r>
        <w:t>ticket</w:t>
      </w:r>
      <w:r>
        <w:tab/>
        <w:t>101(1), 101(1)</w:t>
      </w:r>
    </w:p>
    <w:p>
      <w:pPr>
        <w:pStyle w:val="DefinedTerms"/>
      </w:pPr>
      <w:r>
        <w:t>ticket holder</w:t>
      </w:r>
      <w:r>
        <w:tab/>
        <w:t>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two-up</w:t>
      </w:r>
      <w:r>
        <w:tab/>
        <w:t>3(1)</w:t>
      </w:r>
    </w:p>
    <w:p>
      <w:pPr>
        <w:pStyle w:val="DefinedTerms"/>
      </w:pPr>
      <w:r>
        <w:t>unclaimed amount</w:t>
      </w:r>
      <w:r>
        <w:tab/>
        <w:t>104AE(2)</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rPr>
          <w:sz w:val="20"/>
        </w:rPr>
      </w:pPr>
      <w:r>
        <w:br w:type="page"/>
      </w:r>
    </w:p>
    <w:p>
      <w:pPr>
        <w:pStyle w:val="DefinedTerms"/>
      </w:pPr>
      <w:r>
        <w:lastRenderedPageBreak/>
        <w:t>winnings</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F92E7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848431" w14:textId="480711EB" w:rsidR="00EF645B" w:rsidRDefault="000F27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10F4">
                        <w:rPr>
                          <w:sz w:val="16"/>
                        </w:rPr>
                        <w:t>2025</w:t>
                      </w:r>
                      <w:r>
                        <w:rPr>
                          <w:sz w:val="16"/>
                        </w:rPr>
                        <w:fldChar w:fldCharType="end"/>
                      </w:r>
                      <w:r>
                        <w:rPr>
                          <w:sz w:val="16"/>
                        </w:rPr>
                        <w:t>.</w:t>
                      </w:r>
                    </w:p>
                    <w:p w14:paraId="44D01588" w14:textId="77777777" w:rsidR="00EF645B" w:rsidRDefault="000F27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D6D20D" w14:textId="5C9138F4" w:rsidR="00EF645B" w:rsidRDefault="000F27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10F4">
                        <w:rPr>
                          <w:sz w:val="16"/>
                        </w:rPr>
                        <w:t>2025</w:t>
                      </w:r>
                      <w:r>
                        <w:rPr>
                          <w:sz w:val="16"/>
                        </w:rPr>
                        <w:fldChar w:fldCharType="end"/>
                      </w:r>
                      <w:r>
                        <w:rPr>
                          <w:sz w:val="16"/>
                        </w:rPr>
                        <w:t>.</w:t>
                      </w:r>
                    </w:p>
                    <w:p w14:paraId="35454026" w14:textId="77777777" w:rsidR="00EF645B" w:rsidRDefault="000F277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30448"/>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 w:name="WAFER_2024112915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5925_GUID" w:val="7baa74ac-8121-45a7-93a7-86b6ec4c135a"/>
    <w:docVar w:name="WAFER_20250131130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30448_GUID" w:val="82c22005-6212-4e17-9ceb-5291bbcab9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48873</Words>
  <Characters>230195</Characters>
  <Application>Microsoft Office Word</Application>
  <DocSecurity>0</DocSecurity>
  <Lines>6221</Lines>
  <Paragraphs>3135</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275933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1987 - 06-q0-00</dc:title>
  <dc:subject/>
  <dc:creator/>
  <cp:keywords/>
  <dc:description/>
  <cp:lastModifiedBy>Master Repository Process</cp:lastModifiedBy>
  <cp:revision>4</cp:revision>
  <cp:lastPrinted>2019-01-30T08:13:00Z</cp:lastPrinted>
  <dcterms:created xsi:type="dcterms:W3CDTF">2025-07-21T01:29:00Z</dcterms:created>
  <dcterms:modified xsi:type="dcterms:W3CDTF">2025-07-21T01:29:00Z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06 Feb 2025</vt:lpwstr>
  </property>
  <property fmtid="{D5CDD505-2E9C-101B-9397-08002B2CF9AE}" pid="8" name="Suffix">
    <vt:lpwstr>06-q0-00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