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_Toc189232107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_Toc189232108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_Toc189232109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_Toc189232110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_Toc189232111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_Toc189232113 \h </w:instrText>
      </w:r>
      <w:r>
        <w:fldChar w:fldCharType="separate"/>
      </w:r>
      <w:r>
        <w:t>3</w:t>
      </w:r>
      <w:r>
        <w:fldChar w:fldCharType="end"/>
      </w:r>
    </w:p>
    <w:p>
      <w:pPr>
        <w:pStyle w:val="TOC8"/>
        <w:rPr>
          <w:rFonts w:asciiTheme="minorHAnsi" w:eastAsiaTheme="minorEastAsia" w:hAnsiTheme="minorHAnsi" w:cstheme="minorBidi"/>
          <w:szCs w:val="22"/>
        </w:rPr>
      </w:pPr>
      <w:r>
        <w:t>5A.</w:t>
      </w:r>
      <w:r>
        <w:tab/>
        <w:t>Prescribed offences and modified penalties</w:t>
      </w:r>
      <w:r>
        <w:tab/>
      </w:r>
      <w:r>
        <w:fldChar w:fldCharType="begin"/>
      </w:r>
      <w:r>
        <w:instrText xml:space="preserve"> PAGEREF _Toc189232114 \h </w:instrText>
      </w:r>
      <w:r>
        <w:fldChar w:fldCharType="separate"/>
      </w:r>
      <w:r>
        <w:t>3</w:t>
      </w:r>
      <w:r>
        <w:fldChar w:fldCharType="end"/>
      </w:r>
    </w:p>
    <w:p>
      <w:pPr>
        <w:pStyle w:val="TOC8"/>
        <w:rPr>
          <w:rFonts w:asciiTheme="minorHAnsi" w:eastAsiaTheme="minorEastAsia" w:hAnsiTheme="minorHAnsi" w:cstheme="minorBidi"/>
          <w:szCs w:val="22"/>
        </w:rPr>
      </w:pPr>
      <w:r>
        <w:t>6.</w:t>
      </w:r>
      <w:r>
        <w:tab/>
        <w:t>Forms for infringement notice and withdrawal notice</w:t>
      </w:r>
      <w:r>
        <w:tab/>
      </w:r>
      <w:r>
        <w:fldChar w:fldCharType="begin"/>
      </w:r>
      <w:r>
        <w:instrText xml:space="preserve"> PAGEREF _Toc189232115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_Toc189232116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_Toc189232118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_Toc189232121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_Toc189232122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_Toc189232123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_Toc189232124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Renewals etc., applications for (Act s. 56)</w:t>
      </w:r>
      <w:r>
        <w:tab/>
      </w:r>
      <w:r>
        <w:fldChar w:fldCharType="begin"/>
      </w:r>
      <w:r>
        <w:instrText xml:space="preserve"> PAGEREF _Toc189232125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_Toc189232126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_Toc189232127 \h </w:instrText>
      </w:r>
      <w:r>
        <w:fldChar w:fldCharType="separate"/>
      </w:r>
      <w:r>
        <w:t>12</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_Toc189232128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_Toc189232130 \h </w:instrText>
      </w:r>
      <w:r>
        <w:fldChar w:fldCharType="separate"/>
      </w:r>
      <w:r>
        <w:t>13</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_Toc189232131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_Toc189232133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_Toc189232134 \h </w:instrText>
      </w:r>
      <w:r>
        <w:fldChar w:fldCharType="separate"/>
      </w:r>
      <w:r>
        <w:t>16</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_Toc189232135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_Toc189232137 \h </w:instrText>
      </w:r>
      <w:r>
        <w:fldChar w:fldCharType="separate"/>
      </w:r>
      <w:r>
        <w:t>17</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_Toc189232138 \h </w:instrText>
      </w:r>
      <w:r>
        <w:fldChar w:fldCharType="separate"/>
      </w:r>
      <w:r>
        <w:t>18</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_Toc189232139 \h </w:instrText>
      </w:r>
      <w:r>
        <w:fldChar w:fldCharType="separate"/>
      </w:r>
      <w:r>
        <w:t>19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_Toc189232140 \h </w:instrText>
      </w:r>
      <w:r>
        <w:fldChar w:fldCharType="separate"/>
      </w:r>
      <w:r>
        <w:t>20</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_Toc189232141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_Toc189232143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_Toc189232144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_Toc189232145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_Toc189232146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_Toc189232147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_Toc189232148 \h </w:instrText>
      </w:r>
      <w:r>
        <w:fldChar w:fldCharType="separate"/>
      </w:r>
      <w:r>
        <w:t>24</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_Toc189232149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_Toc189232150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_Toc189232151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_Toc189232152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_Toc189232155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_Toc189232156 \h </w:instrText>
      </w:r>
      <w:r>
        <w:fldChar w:fldCharType="separate"/>
      </w:r>
      <w:r>
        <w:t>28</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_Toc189232157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_Toc189232158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_Toc189232159 \h </w:instrText>
      </w:r>
      <w:r>
        <w:fldChar w:fldCharType="separate"/>
      </w:r>
      <w:r>
        <w:t>30</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_Toc189232160 \h </w:instrText>
      </w:r>
      <w:r>
        <w:fldChar w:fldCharType="separate"/>
      </w:r>
      <w:r>
        <w:t>30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_Toc189232161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_Toc189232162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_Toc189232164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_Toc189232165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_Toc189232166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_Toc189232167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_Toc189232168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_Toc189232170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_Toc189232172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_Toc189232173 \h </w:instrText>
      </w:r>
      <w:r>
        <w:fldChar w:fldCharType="separate"/>
      </w:r>
      <w:r>
        <w:t>35</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_Toc189232174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_Toc189232176 \h </w:instrText>
      </w:r>
      <w:r>
        <w:fldChar w:fldCharType="separate"/>
      </w:r>
      <w:r>
        <w:t>36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_Toc189232177 \h </w:instrText>
      </w:r>
      <w:r>
        <w:fldChar w:fldCharType="separate"/>
      </w:r>
      <w:r>
        <w:t>36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_Toc189232178 \h </w:instrText>
      </w:r>
      <w:r>
        <w:fldChar w:fldCharType="separate"/>
      </w:r>
      <w:r>
        <w:t>37</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_Toc189232179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4A — Consumer protection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40B.</w:t>
      </w:r>
      <w:r>
        <w:tab/>
        <w:t>Purpose of Part</w:t>
      </w:r>
      <w:r>
        <w:tab/>
      </w:r>
      <w:r>
        <w:fldChar w:fldCharType="begin"/>
      </w:r>
      <w:r>
        <w:instrText xml:space="preserve"> PAGEREF _Toc189232182 \h </w:instrText>
      </w:r>
      <w:r>
        <w:fldChar w:fldCharType="separate"/>
      </w:r>
      <w:r>
        <w:t>38</w:t>
      </w:r>
      <w:r>
        <w:fldChar w:fldCharType="end"/>
      </w:r>
    </w:p>
    <w:p>
      <w:pPr>
        <w:pStyle w:val="TOC8"/>
        <w:rPr>
          <w:rFonts w:asciiTheme="minorHAnsi" w:eastAsiaTheme="minorEastAsia" w:hAnsiTheme="minorHAnsi" w:cstheme="minorBidi"/>
          <w:szCs w:val="22"/>
        </w:rPr>
      </w:pPr>
      <w:r>
        <w:t>40C.</w:t>
      </w:r>
      <w:r>
        <w:tab/>
        <w:t>Application of Part</w:t>
      </w:r>
      <w:r>
        <w:tab/>
      </w:r>
      <w:r>
        <w:fldChar w:fldCharType="begin"/>
      </w:r>
      <w:r>
        <w:instrText xml:space="preserve"> PAGEREF _Toc189232183 \h </w:instrText>
      </w:r>
      <w:r>
        <w:fldChar w:fldCharType="separate"/>
      </w:r>
      <w:r>
        <w:t>38</w:t>
      </w:r>
      <w:r>
        <w:fldChar w:fldCharType="end"/>
      </w:r>
    </w:p>
    <w:p>
      <w:pPr>
        <w:pStyle w:val="TOC8"/>
        <w:rPr>
          <w:rFonts w:asciiTheme="minorHAnsi" w:eastAsiaTheme="minorEastAsia" w:hAnsiTheme="minorHAnsi" w:cstheme="minorBidi"/>
          <w:szCs w:val="22"/>
        </w:rPr>
      </w:pPr>
      <w:r>
        <w:t>40D.</w:t>
      </w:r>
      <w:r>
        <w:tab/>
        <w:t>Terms used</w:t>
      </w:r>
      <w:r>
        <w:tab/>
      </w:r>
      <w:r>
        <w:fldChar w:fldCharType="begin"/>
      </w:r>
      <w:r>
        <w:instrText xml:space="preserve"> PAGEREF _Toc189232184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40E.</w:t>
      </w:r>
      <w:r>
        <w:tab/>
        <w:t>Liability of RWWA</w:t>
      </w:r>
      <w:r>
        <w:tab/>
      </w:r>
      <w:r>
        <w:fldChar w:fldCharType="begin"/>
      </w:r>
      <w:r>
        <w:instrText xml:space="preserve"> PAGEREF _Toc189232185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Inducements and direct marketing</w:t>
      </w:r>
    </w:p>
    <w:p>
      <w:pPr>
        <w:pStyle w:val="TOC8"/>
        <w:rPr>
          <w:rFonts w:asciiTheme="minorHAnsi" w:eastAsiaTheme="minorEastAsia" w:hAnsiTheme="minorHAnsi" w:cstheme="minorBidi"/>
          <w:szCs w:val="22"/>
        </w:rPr>
      </w:pPr>
      <w:r>
        <w:t>40F.</w:t>
      </w:r>
      <w:r>
        <w:tab/>
        <w:t>Inducements prohibited in relation to establishing accounts</w:t>
      </w:r>
      <w:r>
        <w:tab/>
      </w:r>
      <w:r>
        <w:fldChar w:fldCharType="begin"/>
      </w:r>
      <w:r>
        <w:instrText xml:space="preserve"> PAGEREF _Toc189232187 \h </w:instrText>
      </w:r>
      <w:r>
        <w:fldChar w:fldCharType="separate"/>
      </w:r>
      <w:r>
        <w:t>40</w:t>
      </w:r>
      <w:r>
        <w:fldChar w:fldCharType="end"/>
      </w:r>
    </w:p>
    <w:p>
      <w:pPr>
        <w:pStyle w:val="TOC8"/>
        <w:rPr>
          <w:rFonts w:asciiTheme="minorHAnsi" w:eastAsiaTheme="minorEastAsia" w:hAnsiTheme="minorHAnsi" w:cstheme="minorBidi"/>
          <w:szCs w:val="22"/>
        </w:rPr>
      </w:pPr>
      <w:r>
        <w:t>40G.</w:t>
      </w:r>
      <w:r>
        <w:tab/>
        <w:t>Complimentary betting credits and tokens</w:t>
      </w:r>
      <w:r>
        <w:tab/>
      </w:r>
      <w:r>
        <w:fldChar w:fldCharType="begin"/>
      </w:r>
      <w:r>
        <w:instrText xml:space="preserve"> PAGEREF _Toc189232188 \h </w:instrText>
      </w:r>
      <w:r>
        <w:fldChar w:fldCharType="separate"/>
      </w:r>
      <w:r>
        <w:t>40</w:t>
      </w:r>
      <w:r>
        <w:fldChar w:fldCharType="end"/>
      </w:r>
    </w:p>
    <w:p>
      <w:pPr>
        <w:pStyle w:val="TOC8"/>
        <w:rPr>
          <w:rFonts w:asciiTheme="minorHAnsi" w:eastAsiaTheme="minorEastAsia" w:hAnsiTheme="minorHAnsi" w:cstheme="minorBidi"/>
          <w:szCs w:val="22"/>
        </w:rPr>
      </w:pPr>
      <w:r>
        <w:t>40H.</w:t>
      </w:r>
      <w:r>
        <w:tab/>
        <w:t>Direct marketing</w:t>
      </w:r>
      <w:r>
        <w:tab/>
      </w:r>
      <w:r>
        <w:fldChar w:fldCharType="begin"/>
      </w:r>
      <w:r>
        <w:instrText xml:space="preserve"> PAGEREF _Toc189232189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Closing accounts</w:t>
      </w:r>
    </w:p>
    <w:p>
      <w:pPr>
        <w:pStyle w:val="TOC8"/>
        <w:rPr>
          <w:rFonts w:asciiTheme="minorHAnsi" w:eastAsiaTheme="minorEastAsia" w:hAnsiTheme="minorHAnsi" w:cstheme="minorBidi"/>
          <w:szCs w:val="22"/>
        </w:rPr>
      </w:pPr>
      <w:r>
        <w:t>40I.</w:t>
      </w:r>
      <w:r>
        <w:tab/>
        <w:t>Process for closing accounts</w:t>
      </w:r>
      <w:r>
        <w:tab/>
      </w:r>
      <w:r>
        <w:fldChar w:fldCharType="begin"/>
      </w:r>
      <w:r>
        <w:instrText xml:space="preserve"> PAGEREF _Toc189232191 \h </w:instrText>
      </w:r>
      <w:r>
        <w:fldChar w:fldCharType="separate"/>
      </w:r>
      <w:r>
        <w:t>42</w:t>
      </w:r>
      <w:r>
        <w:fldChar w:fldCharType="end"/>
      </w:r>
    </w:p>
    <w:p>
      <w:pPr>
        <w:pStyle w:val="TOC8"/>
        <w:rPr>
          <w:rFonts w:asciiTheme="minorHAnsi" w:eastAsiaTheme="minorEastAsia" w:hAnsiTheme="minorHAnsi" w:cstheme="minorBidi"/>
          <w:szCs w:val="22"/>
        </w:rPr>
      </w:pPr>
      <w:r>
        <w:t>40J.</w:t>
      </w:r>
      <w:r>
        <w:tab/>
        <w:t>Account closure</w:t>
      </w:r>
      <w:r>
        <w:tab/>
      </w:r>
      <w:r>
        <w:fldChar w:fldCharType="begin"/>
      </w:r>
      <w:r>
        <w:instrText xml:space="preserve"> PAGEREF _Toc189232192 \h </w:instrText>
      </w:r>
      <w:r>
        <w:fldChar w:fldCharType="separate"/>
      </w:r>
      <w:r>
        <w:t>43</w:t>
      </w:r>
      <w:r>
        <w:fldChar w:fldCharType="end"/>
      </w:r>
    </w:p>
    <w:p>
      <w:pPr>
        <w:pStyle w:val="TOC8"/>
        <w:rPr>
          <w:rFonts w:asciiTheme="minorHAnsi" w:eastAsiaTheme="minorEastAsia" w:hAnsiTheme="minorHAnsi" w:cstheme="minorBidi"/>
          <w:szCs w:val="22"/>
        </w:rPr>
      </w:pPr>
      <w:r>
        <w:t>40K.</w:t>
      </w:r>
      <w:r>
        <w:tab/>
        <w:t>Inducements and encouragement prohibited in relation to closing accounts</w:t>
      </w:r>
      <w:r>
        <w:tab/>
      </w:r>
      <w:r>
        <w:fldChar w:fldCharType="begin"/>
      </w:r>
      <w:r>
        <w:instrText xml:space="preserve"> PAGEREF _Toc189232193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Deposit limits</w:t>
      </w:r>
    </w:p>
    <w:p>
      <w:pPr>
        <w:pStyle w:val="TOC8"/>
        <w:rPr>
          <w:rFonts w:asciiTheme="minorHAnsi" w:eastAsiaTheme="minorEastAsia" w:hAnsiTheme="minorHAnsi" w:cstheme="minorBidi"/>
          <w:szCs w:val="22"/>
        </w:rPr>
      </w:pPr>
      <w:r>
        <w:t>40L.</w:t>
      </w:r>
      <w:r>
        <w:tab/>
        <w:t>Deposit limits</w:t>
      </w:r>
      <w:r>
        <w:tab/>
      </w:r>
      <w:r>
        <w:fldChar w:fldCharType="begin"/>
      </w:r>
      <w:r>
        <w:instrText xml:space="preserve"> PAGEREF _Toc189232195 \h </w:instrText>
      </w:r>
      <w:r>
        <w:fldChar w:fldCharType="separate"/>
      </w:r>
      <w:r>
        <w:t>44</w:t>
      </w:r>
      <w:r>
        <w:fldChar w:fldCharType="end"/>
      </w:r>
    </w:p>
    <w:p>
      <w:pPr>
        <w:pStyle w:val="TOC8"/>
        <w:rPr>
          <w:rFonts w:asciiTheme="minorHAnsi" w:eastAsiaTheme="minorEastAsia" w:hAnsiTheme="minorHAnsi" w:cstheme="minorBidi"/>
          <w:szCs w:val="22"/>
        </w:rPr>
      </w:pPr>
      <w:r>
        <w:t>40M.</w:t>
      </w:r>
      <w:r>
        <w:tab/>
        <w:t>Review of deposit limits</w:t>
      </w:r>
      <w:r>
        <w:tab/>
      </w:r>
      <w:r>
        <w:fldChar w:fldCharType="begin"/>
      </w:r>
      <w:r>
        <w:instrText xml:space="preserve"> PAGEREF _Toc189232196 \h </w:instrText>
      </w:r>
      <w:r>
        <w:fldChar w:fldCharType="separate"/>
      </w:r>
      <w:r>
        <w:t>45</w:t>
      </w:r>
      <w:r>
        <w:fldChar w:fldCharType="end"/>
      </w:r>
    </w:p>
    <w:p>
      <w:pPr>
        <w:pStyle w:val="TOC8"/>
        <w:rPr>
          <w:rFonts w:asciiTheme="minorHAnsi" w:eastAsiaTheme="minorEastAsia" w:hAnsiTheme="minorHAnsi" w:cstheme="minorBidi"/>
          <w:szCs w:val="22"/>
        </w:rPr>
      </w:pPr>
      <w:r>
        <w:t>40N.</w:t>
      </w:r>
      <w:r>
        <w:tab/>
        <w:t>Process for account holder to set or change deposit limit</w:t>
      </w:r>
      <w:r>
        <w:tab/>
      </w:r>
      <w:r>
        <w:fldChar w:fldCharType="begin"/>
      </w:r>
      <w:r>
        <w:instrText xml:space="preserve"> PAGEREF _Toc189232197 \h </w:instrText>
      </w:r>
      <w:r>
        <w:fldChar w:fldCharType="separate"/>
      </w:r>
      <w:r>
        <w:t>46</w:t>
      </w:r>
      <w:r>
        <w:fldChar w:fldCharType="end"/>
      </w:r>
    </w:p>
    <w:p>
      <w:pPr>
        <w:pStyle w:val="TOC8"/>
        <w:rPr>
          <w:rFonts w:asciiTheme="minorHAnsi" w:eastAsiaTheme="minorEastAsia" w:hAnsiTheme="minorHAnsi" w:cstheme="minorBidi"/>
          <w:szCs w:val="22"/>
        </w:rPr>
      </w:pPr>
      <w:r>
        <w:t>40O.</w:t>
      </w:r>
      <w:r>
        <w:tab/>
        <w:t>RWWA must give effect to changed deposit limit</w:t>
      </w:r>
      <w:r>
        <w:tab/>
      </w:r>
      <w:r>
        <w:fldChar w:fldCharType="begin"/>
      </w:r>
      <w:r>
        <w:instrText xml:space="preserve"> PAGEREF _Toc189232198 \h </w:instrText>
      </w:r>
      <w:r>
        <w:fldChar w:fldCharType="separate"/>
      </w:r>
      <w:r>
        <w:t>47</w:t>
      </w:r>
      <w:r>
        <w:fldChar w:fldCharType="end"/>
      </w:r>
    </w:p>
    <w:p>
      <w:pPr>
        <w:pStyle w:val="TOC8"/>
        <w:rPr>
          <w:rFonts w:asciiTheme="minorHAnsi" w:eastAsiaTheme="minorEastAsia" w:hAnsiTheme="minorHAnsi" w:cstheme="minorBidi"/>
          <w:szCs w:val="22"/>
        </w:rPr>
      </w:pPr>
      <w:r>
        <w:t>40P.</w:t>
      </w:r>
      <w:r>
        <w:tab/>
        <w:t>RWWA must promote availability of deposit limits</w:t>
      </w:r>
      <w:r>
        <w:tab/>
      </w:r>
      <w:r>
        <w:fldChar w:fldCharType="begin"/>
      </w:r>
      <w:r>
        <w:instrText xml:space="preserve"> PAGEREF _Toc189232199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Activity statements</w:t>
      </w:r>
    </w:p>
    <w:p>
      <w:pPr>
        <w:pStyle w:val="TOC8"/>
        <w:rPr>
          <w:rFonts w:asciiTheme="minorHAnsi" w:eastAsiaTheme="minorEastAsia" w:hAnsiTheme="minorHAnsi" w:cstheme="minorBidi"/>
          <w:szCs w:val="22"/>
        </w:rPr>
      </w:pPr>
      <w:r>
        <w:t>40Q.</w:t>
      </w:r>
      <w:r>
        <w:tab/>
        <w:t>Term used: activity statement</w:t>
      </w:r>
      <w:r>
        <w:tab/>
      </w:r>
      <w:r>
        <w:fldChar w:fldCharType="begin"/>
      </w:r>
      <w:r>
        <w:instrText xml:space="preserve"> PAGEREF _Toc189232201 \h </w:instrText>
      </w:r>
      <w:r>
        <w:fldChar w:fldCharType="separate"/>
      </w:r>
      <w:r>
        <w:t>48</w:t>
      </w:r>
      <w:r>
        <w:fldChar w:fldCharType="end"/>
      </w:r>
    </w:p>
    <w:p>
      <w:pPr>
        <w:pStyle w:val="TOC8"/>
        <w:rPr>
          <w:rFonts w:asciiTheme="minorHAnsi" w:eastAsiaTheme="minorEastAsia" w:hAnsiTheme="minorHAnsi" w:cstheme="minorBidi"/>
          <w:szCs w:val="22"/>
        </w:rPr>
      </w:pPr>
      <w:r>
        <w:t>40R.</w:t>
      </w:r>
      <w:r>
        <w:tab/>
        <w:t>RWWA must give activity statements</w:t>
      </w:r>
      <w:r>
        <w:tab/>
      </w:r>
      <w:r>
        <w:fldChar w:fldCharType="begin"/>
      </w:r>
      <w:r>
        <w:instrText xml:space="preserve"> PAGEREF _Toc189232202 \h </w:instrText>
      </w:r>
      <w:r>
        <w:fldChar w:fldCharType="separate"/>
      </w:r>
      <w:r>
        <w:t>49</w:t>
      </w:r>
      <w:r>
        <w:fldChar w:fldCharType="end"/>
      </w:r>
    </w:p>
    <w:p>
      <w:pPr>
        <w:pStyle w:val="TOC8"/>
        <w:rPr>
          <w:rFonts w:asciiTheme="minorHAnsi" w:eastAsiaTheme="minorEastAsia" w:hAnsiTheme="minorHAnsi" w:cstheme="minorBidi"/>
          <w:szCs w:val="22"/>
        </w:rPr>
      </w:pPr>
      <w:r>
        <w:t>40S.</w:t>
      </w:r>
      <w:r>
        <w:tab/>
        <w:t>RWWA must make available and give copies of activity statements</w:t>
      </w:r>
      <w:r>
        <w:tab/>
      </w:r>
      <w:r>
        <w:fldChar w:fldCharType="begin"/>
      </w:r>
      <w:r>
        <w:instrText xml:space="preserve"> PAGEREF _Toc189232203 \h </w:instrText>
      </w:r>
      <w:r>
        <w:fldChar w:fldCharType="separate"/>
      </w:r>
      <w:r>
        <w:t>50</w:t>
      </w:r>
      <w:r>
        <w:fldChar w:fldCharType="end"/>
      </w:r>
    </w:p>
    <w:p>
      <w:pPr>
        <w:pStyle w:val="TOC8"/>
        <w:rPr>
          <w:rFonts w:asciiTheme="minorHAnsi" w:eastAsiaTheme="minorEastAsia" w:hAnsiTheme="minorHAnsi" w:cstheme="minorBidi"/>
          <w:szCs w:val="22"/>
        </w:rPr>
      </w:pPr>
      <w:r>
        <w:t>40T.</w:t>
      </w:r>
      <w:r>
        <w:tab/>
        <w:t>Form of activity statements</w:t>
      </w:r>
      <w:r>
        <w:tab/>
      </w:r>
      <w:r>
        <w:fldChar w:fldCharType="begin"/>
      </w:r>
      <w:r>
        <w:instrText xml:space="preserve"> PAGEREF _Toc189232204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Transaction histories</w:t>
      </w:r>
    </w:p>
    <w:p>
      <w:pPr>
        <w:pStyle w:val="TOC8"/>
        <w:rPr>
          <w:rFonts w:asciiTheme="minorHAnsi" w:eastAsiaTheme="minorEastAsia" w:hAnsiTheme="minorHAnsi" w:cstheme="minorBidi"/>
          <w:szCs w:val="22"/>
        </w:rPr>
      </w:pPr>
      <w:r>
        <w:t>40U.</w:t>
      </w:r>
      <w:r>
        <w:tab/>
        <w:t>RWWA must make transaction histories available to account holders who use Internet</w:t>
      </w:r>
      <w:r>
        <w:tab/>
      </w:r>
      <w:r>
        <w:fldChar w:fldCharType="begin"/>
      </w:r>
      <w:r>
        <w:instrText xml:space="preserve"> PAGEREF _Toc189232206 \h </w:instrText>
      </w:r>
      <w:r>
        <w:fldChar w:fldCharType="separate"/>
      </w:r>
      <w:r>
        <w:t>51</w:t>
      </w:r>
      <w:r>
        <w:fldChar w:fldCharType="end"/>
      </w:r>
    </w:p>
    <w:p>
      <w:pPr>
        <w:pStyle w:val="TOC8"/>
        <w:rPr>
          <w:rFonts w:asciiTheme="minorHAnsi" w:eastAsiaTheme="minorEastAsia" w:hAnsiTheme="minorHAnsi" w:cstheme="minorBidi"/>
          <w:szCs w:val="22"/>
        </w:rPr>
      </w:pPr>
      <w:r>
        <w:t>40V.</w:t>
      </w:r>
      <w:r>
        <w:tab/>
        <w:t>RWWA must give transaction histories on request to relevant persons</w:t>
      </w:r>
      <w:r>
        <w:tab/>
      </w:r>
      <w:r>
        <w:fldChar w:fldCharType="begin"/>
      </w:r>
      <w:r>
        <w:instrText xml:space="preserve"> PAGEREF _Toc189232207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Consistent gambling messaging</w:t>
      </w:r>
    </w:p>
    <w:p>
      <w:pPr>
        <w:pStyle w:val="TOC8"/>
        <w:rPr>
          <w:rFonts w:asciiTheme="minorHAnsi" w:eastAsiaTheme="minorEastAsia" w:hAnsiTheme="minorHAnsi" w:cstheme="minorBidi"/>
          <w:szCs w:val="22"/>
        </w:rPr>
      </w:pPr>
      <w:r>
        <w:t>40W.</w:t>
      </w:r>
      <w:r>
        <w:tab/>
        <w:t>Commission may set out and require use of consistent gambling messaging</w:t>
      </w:r>
      <w:r>
        <w:tab/>
      </w:r>
      <w:r>
        <w:fldChar w:fldCharType="begin"/>
      </w:r>
      <w:r>
        <w:instrText xml:space="preserve"> PAGEREF _Toc189232209 \h </w:instrText>
      </w:r>
      <w:r>
        <w:fldChar w:fldCharType="separate"/>
      </w:r>
      <w:r>
        <w:t>53</w:t>
      </w:r>
      <w:r>
        <w:fldChar w:fldCharType="end"/>
      </w:r>
    </w:p>
    <w:p>
      <w:pPr>
        <w:pStyle w:val="TOC8"/>
        <w:rPr>
          <w:rFonts w:asciiTheme="minorHAnsi" w:eastAsiaTheme="minorEastAsia" w:hAnsiTheme="minorHAnsi" w:cstheme="minorBidi"/>
          <w:szCs w:val="22"/>
        </w:rPr>
      </w:pPr>
      <w:r>
        <w:t>40X.</w:t>
      </w:r>
      <w:r>
        <w:tab/>
        <w:t>RWWA must comply with notice published under r. 40W</w:t>
      </w:r>
      <w:r>
        <w:tab/>
      </w:r>
      <w:r>
        <w:fldChar w:fldCharType="begin"/>
      </w:r>
      <w:r>
        <w:instrText xml:space="preserve"> PAGEREF _Toc189232210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Staff training</w:t>
      </w:r>
    </w:p>
    <w:p>
      <w:pPr>
        <w:pStyle w:val="TOC8"/>
        <w:rPr>
          <w:rFonts w:asciiTheme="minorHAnsi" w:eastAsiaTheme="minorEastAsia" w:hAnsiTheme="minorHAnsi" w:cstheme="minorBidi"/>
          <w:szCs w:val="22"/>
        </w:rPr>
      </w:pPr>
      <w:r>
        <w:t>40Y.</w:t>
      </w:r>
      <w:r>
        <w:tab/>
        <w:t>Term used: relevant individual</w:t>
      </w:r>
      <w:r>
        <w:tab/>
      </w:r>
      <w:r>
        <w:fldChar w:fldCharType="begin"/>
      </w:r>
      <w:r>
        <w:instrText xml:space="preserve"> PAGEREF _Toc189232212 \h </w:instrText>
      </w:r>
      <w:r>
        <w:fldChar w:fldCharType="separate"/>
      </w:r>
      <w:r>
        <w:t>54</w:t>
      </w:r>
      <w:r>
        <w:fldChar w:fldCharType="end"/>
      </w:r>
    </w:p>
    <w:p>
      <w:pPr>
        <w:pStyle w:val="TOC8"/>
        <w:rPr>
          <w:rFonts w:asciiTheme="minorHAnsi" w:eastAsiaTheme="minorEastAsia" w:hAnsiTheme="minorHAnsi" w:cstheme="minorBidi"/>
          <w:szCs w:val="22"/>
        </w:rPr>
      </w:pPr>
      <w:r>
        <w:t>40Z.</w:t>
      </w:r>
      <w:r>
        <w:tab/>
        <w:t>RWWA must ensure relevant individuals receive training</w:t>
      </w:r>
      <w:r>
        <w:tab/>
      </w:r>
      <w:r>
        <w:fldChar w:fldCharType="begin"/>
      </w:r>
      <w:r>
        <w:instrText xml:space="preserve"> PAGEREF _Toc189232213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40ZA.</w:t>
      </w:r>
      <w:r>
        <w:tab/>
        <w:t>RWWA must make and keep records of training</w:t>
      </w:r>
      <w:r>
        <w:tab/>
      </w:r>
      <w:r>
        <w:fldChar w:fldCharType="begin"/>
      </w:r>
      <w:r>
        <w:instrText xml:space="preserve"> PAGEREF _Toc189232214 \h </w:instrText>
      </w:r>
      <w:r>
        <w:fldChar w:fldCharType="separate"/>
      </w:r>
      <w:r>
        <w:t>55</w:t>
      </w:r>
      <w:r>
        <w:fldChar w:fldCharType="end"/>
      </w:r>
    </w:p>
    <w:p>
      <w:pPr>
        <w:pStyle w:val="TOC8"/>
        <w:rPr>
          <w:rFonts w:asciiTheme="minorHAnsi" w:eastAsiaTheme="minorEastAsia" w:hAnsiTheme="minorHAnsi" w:cstheme="minorBidi"/>
          <w:szCs w:val="22"/>
        </w:rPr>
      </w:pPr>
      <w:r>
        <w:t>40ZB.</w:t>
      </w:r>
      <w:r>
        <w:tab/>
        <w:t>RWWA must produce records to authorised officers</w:t>
      </w:r>
      <w:r>
        <w:tab/>
      </w:r>
      <w:r>
        <w:fldChar w:fldCharType="begin"/>
      </w:r>
      <w:r>
        <w:instrText xml:space="preserve"> PAGEREF _Toc189232215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Consumer protection plan</w:t>
      </w:r>
    </w:p>
    <w:p>
      <w:pPr>
        <w:pStyle w:val="TOC8"/>
        <w:rPr>
          <w:rFonts w:asciiTheme="minorHAnsi" w:eastAsiaTheme="minorEastAsia" w:hAnsiTheme="minorHAnsi" w:cstheme="minorBidi"/>
          <w:szCs w:val="22"/>
        </w:rPr>
      </w:pPr>
      <w:r>
        <w:t>40ZC.</w:t>
      </w:r>
      <w:r>
        <w:tab/>
        <w:t>RWWA must have consumer protection plan</w:t>
      </w:r>
      <w:r>
        <w:tab/>
      </w:r>
      <w:r>
        <w:fldChar w:fldCharType="begin"/>
      </w:r>
      <w:r>
        <w:instrText xml:space="preserve"> PAGEREF _Toc189232217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_Toc189232219 \h </w:instrText>
      </w:r>
      <w:r>
        <w:fldChar w:fldCharType="separate"/>
      </w:r>
      <w:r>
        <w:t>57</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_Toc189232220 \h </w:instrText>
      </w:r>
      <w:r>
        <w:fldChar w:fldCharType="separate"/>
      </w:r>
      <w:r>
        <w:t>57</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_Toc189232221 \h </w:instrText>
      </w:r>
      <w:r>
        <w:fldChar w:fldCharType="separate"/>
      </w:r>
      <w:r>
        <w:t>57</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_Toc189232222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_Toc189232232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_Toc189232233 \h </w:instrText>
      </w:r>
      <w:r>
        <w:fldChar w:fldCharType="separate"/>
      </w:r>
      <w:r>
        <w:t>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_Toc189232234 \h </w:instrText>
      </w:r>
      <w:r>
        <w:fldChar w:fldCharType="separate"/>
      </w:r>
      <w:r>
        <w:t>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_Toc189232235 \h </w:instrText>
      </w:r>
      <w:r>
        <w:fldChar w:fldCharType="separate"/>
      </w:r>
      <w:r>
        <w:t>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_Toc189232236 \h </w:instrText>
      </w:r>
      <w:r>
        <w:fldChar w:fldCharType="separate"/>
      </w:r>
      <w:r>
        <w:t>78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_Toc189232237 \h </w:instrText>
      </w:r>
      <w:r>
        <w:fldChar w:fldCharType="separate"/>
      </w:r>
      <w:r>
        <w:t>79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_Toc189232238 \h </w:instrText>
      </w:r>
      <w:r>
        <w:fldChar w:fldCharType="separate"/>
      </w:r>
      <w:r>
        <w:t>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_Toc189232239 \h </w:instrText>
      </w:r>
      <w:r>
        <w:fldChar w:fldCharType="separate"/>
      </w:r>
      <w:r>
        <w:t>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_Toc189232240 \h </w:instrText>
      </w:r>
      <w:r>
        <w:fldChar w:fldCharType="separate"/>
      </w:r>
      <w:r>
        <w:t>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_Toc189232241 \h </w:instrText>
      </w:r>
      <w:r>
        <w:fldChar w:fldCharType="separate"/>
      </w:r>
      <w:r>
        <w:t>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_Toc189232242 \h </w:instrText>
      </w:r>
      <w:r>
        <w:fldChar w:fldCharType="separate"/>
      </w:r>
      <w:r>
        <w:t>81</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Player who makes incorrect call allowed to continue play</w:t>
      </w:r>
      <w:r>
        <w:tab/>
      </w:r>
      <w:r>
        <w:fldChar w:fldCharType="begin"/>
      </w:r>
      <w:r>
        <w:instrText xml:space="preserve"> PAGEREF _Toc189232243 \h </w:instrText>
      </w:r>
      <w:r>
        <w:fldChar w:fldCharType="separate"/>
      </w:r>
      <w:r>
        <w:t>81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_Toc189232244 \h </w:instrText>
      </w:r>
      <w:r>
        <w:fldChar w:fldCharType="separate"/>
      </w:r>
      <w:r>
        <w:t>81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_Toc189232245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_Toc189232248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_Toc189232249 \h </w:instrText>
      </w:r>
      <w:r>
        <w:fldChar w:fldCharType="separate"/>
      </w:r>
      <w:r>
        <w:t>82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_Toc189232250 \h </w:instrText>
      </w:r>
      <w:r>
        <w:fldChar w:fldCharType="separate"/>
      </w:r>
      <w:r>
        <w:t>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_Toc189232251 \h </w:instrText>
      </w:r>
      <w:r>
        <w:fldChar w:fldCharType="separate"/>
      </w:r>
      <w:r>
        <w:t>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_Toc189232252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_Toc189232254 \h </w:instrText>
      </w:r>
      <w:r>
        <w:fldChar w:fldCharType="separate"/>
      </w:r>
      <w:r>
        <w:t>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_Toc189232255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_Toc189232258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_Toc189232259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2" w:name="_Toc189223619"/>
      <w:bookmarkStart w:id="3" w:name="_Toc189225712"/>
      <w:bookmarkStart w:id="4" w:name="_Toc189229044"/>
      <w:bookmarkStart w:id="5" w:name="_Toc1892321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89232107"/>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7" w:name="_Toc18923210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 w:name="_Toc189232109"/>
      <w:r>
        <w:rPr>
          <w:rStyle w:val="CharSectno"/>
        </w:rPr>
        <w:t>3</w:t>
      </w:r>
      <w:r>
        <w:rPr>
          <w:snapToGrid w:val="0"/>
        </w:rPr>
        <w:t>.</w:t>
      </w:r>
      <w:r>
        <w:rPr>
          <w:snapToGrid w:val="0"/>
        </w:rPr>
        <w:tab/>
        <w:t>Interpretation; compliance with forms</w:t>
      </w:r>
      <w:bookmarkEnd w:id="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Ednotesubsection"/>
      </w:pPr>
      <w:r>
        <w:tab/>
        <w:t>[(2), (3)</w:t>
      </w:r>
      <w:r>
        <w:tab/>
        <w:t>deleted]</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lastRenderedPageBreak/>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 SL 2025/35 r. 25.]</w:t>
      </w:r>
    </w:p>
    <w:p>
      <w:pPr>
        <w:pStyle w:val="Heading5"/>
      </w:pPr>
      <w:bookmarkStart w:id="9" w:name="_Toc189232110"/>
      <w:r>
        <w:rPr>
          <w:rStyle w:val="CharSectno"/>
        </w:rPr>
        <w:t>4A</w:t>
      </w:r>
      <w:r>
        <w:t>.</w:t>
      </w:r>
      <w:r>
        <w:tab/>
        <w:t>Notes in the text</w:t>
      </w:r>
      <w:bookmarkEnd w:id="9"/>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0" w:name="_Toc189232111"/>
      <w:r>
        <w:rPr>
          <w:rStyle w:val="CharSectno"/>
        </w:rPr>
        <w:t>4</w:t>
      </w:r>
      <w:r>
        <w:rPr>
          <w:snapToGrid w:val="0"/>
        </w:rPr>
        <w:t>.</w:t>
      </w:r>
      <w:r>
        <w:rPr>
          <w:snapToGrid w:val="0"/>
        </w:rPr>
        <w:tab/>
        <w:t>Prescribed fees</w:t>
      </w:r>
      <w:bookmarkEnd w:id="1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1" w:name="_Toc189223625"/>
      <w:bookmarkStart w:id="12" w:name="_Toc189225718"/>
      <w:bookmarkStart w:id="13" w:name="_Toc189229050"/>
      <w:bookmarkStart w:id="14" w:name="_Toc189232112"/>
      <w:r>
        <w:rPr>
          <w:rStyle w:val="CharPartNo"/>
        </w:rPr>
        <w:lastRenderedPageBreak/>
        <w:t>Part 2</w:t>
      </w:r>
      <w:r>
        <w:rPr>
          <w:rStyle w:val="CharDivNo"/>
        </w:rPr>
        <w:t> </w:t>
      </w:r>
      <w:r>
        <w:t>—</w:t>
      </w:r>
      <w:r>
        <w:rPr>
          <w:rStyle w:val="CharDivText"/>
        </w:rPr>
        <w:t> </w:t>
      </w:r>
      <w:r>
        <w:rPr>
          <w:rStyle w:val="CharPartText"/>
        </w:rPr>
        <w:t>Enforcement</w:t>
      </w:r>
      <w:bookmarkEnd w:id="11"/>
      <w:bookmarkEnd w:id="12"/>
      <w:bookmarkEnd w:id="13"/>
      <w:bookmarkEnd w:id="14"/>
    </w:p>
    <w:p>
      <w:pPr>
        <w:pStyle w:val="Heading5"/>
        <w:rPr>
          <w:snapToGrid w:val="0"/>
        </w:rPr>
      </w:pPr>
      <w:bookmarkStart w:id="15" w:name="_Toc189232113"/>
      <w:r>
        <w:rPr>
          <w:rStyle w:val="CharSectno"/>
        </w:rPr>
        <w:t>5</w:t>
      </w:r>
      <w:r>
        <w:rPr>
          <w:snapToGrid w:val="0"/>
        </w:rPr>
        <w:t>.</w:t>
      </w:r>
      <w:r>
        <w:rPr>
          <w:snapToGrid w:val="0"/>
        </w:rPr>
        <w:tab/>
        <w:t>Forfeiture, offences prescribed (Act s. 32(2))</w:t>
      </w:r>
      <w:bookmarkEnd w:id="1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pPr>
      <w:bookmarkStart w:id="16" w:name="_Toc189141580"/>
      <w:bookmarkStart w:id="17" w:name="_Toc189142365"/>
      <w:bookmarkStart w:id="18" w:name="_Toc189232114"/>
      <w:r>
        <w:rPr>
          <w:rStyle w:val="CharSectno"/>
        </w:rPr>
        <w:t>5A</w:t>
      </w:r>
      <w:r>
        <w:t>.</w:t>
      </w:r>
      <w:r>
        <w:tab/>
        <w:t>Prescribed offences and modified penalties</w:t>
      </w:r>
      <w:bookmarkEnd w:id="16"/>
      <w:bookmarkEnd w:id="17"/>
      <w:bookmarkEnd w:id="18"/>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Part 2 as modified by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4 to 35 is not applicable in a case where regulation 40E(2) is relied on in relation to a person described in paragraph (b) of the definition of </w:t>
      </w:r>
      <w:r>
        <w:rPr>
          <w:b/>
          <w:i/>
          <w:szCs w:val="24"/>
        </w:rPr>
        <w:t>responsible person</w:t>
      </w:r>
      <w:r>
        <w:rPr>
          <w:szCs w:val="24"/>
        </w:rPr>
        <w:t xml:space="preserve"> in regulation 40E(1).</w:t>
      </w:r>
    </w:p>
    <w:p>
      <w:pPr>
        <w:pStyle w:val="Footnotesection"/>
      </w:pPr>
      <w:bookmarkStart w:id="19" w:name="_Toc189141581"/>
      <w:bookmarkStart w:id="20" w:name="_Toc189142366"/>
      <w:r>
        <w:tab/>
        <w:t>[Regulation 5A inserted: SL 2025/35 r. 26.]</w:t>
      </w:r>
    </w:p>
    <w:p>
      <w:pPr>
        <w:pStyle w:val="Heading5"/>
      </w:pPr>
      <w:bookmarkStart w:id="21" w:name="_Toc189232115"/>
      <w:r>
        <w:rPr>
          <w:rStyle w:val="CharSectno"/>
        </w:rPr>
        <w:t>6</w:t>
      </w:r>
      <w:r>
        <w:t>.</w:t>
      </w:r>
      <w:r>
        <w:tab/>
        <w:t>Forms for infringement notice and withdrawal notice</w:t>
      </w:r>
      <w:bookmarkEnd w:id="19"/>
      <w:bookmarkEnd w:id="20"/>
      <w:bookmarkEnd w:id="21"/>
    </w:p>
    <w:p>
      <w:pPr>
        <w:pStyle w:val="Subsection"/>
      </w:pPr>
      <w:r>
        <w:tab/>
        <w:t>(1)</w:t>
      </w:r>
      <w:r>
        <w:tab/>
        <w:t xml:space="preserve">For the purposes of the </w:t>
      </w:r>
      <w:r>
        <w:rPr>
          <w:i/>
        </w:rPr>
        <w:t>Criminal Procedure Act </w:t>
      </w:r>
      <w:r>
        <w:rPr>
          <w:i/>
          <w:iCs/>
        </w:rPr>
        <w:t>2004</w:t>
      </w:r>
      <w:r>
        <w:t xml:space="preserve"> section 6(d), the form of an infringement notice is Schedule 3 Form 1.</w:t>
      </w:r>
    </w:p>
    <w:p>
      <w:pPr>
        <w:pStyle w:val="Subsection"/>
      </w:pPr>
      <w:r>
        <w:lastRenderedPageBreak/>
        <w:tab/>
        <w:t>(2)</w:t>
      </w:r>
      <w:r>
        <w:tab/>
        <w:t xml:space="preserve">For the purposes of the </w:t>
      </w:r>
      <w:r>
        <w:rPr>
          <w:i/>
          <w:iCs/>
        </w:rPr>
        <w:t>Criminal Procedure Act 2004</w:t>
      </w:r>
      <w:r>
        <w:t xml:space="preserve"> section 15(2), the form stating that an infringement notice has been withdrawn is Schedule 3 Form 2.</w:t>
      </w:r>
    </w:p>
    <w:p>
      <w:pPr>
        <w:pStyle w:val="Footnotesection"/>
      </w:pPr>
      <w:r>
        <w:tab/>
        <w:t>[Regulation 6 inserted: SL 2025/35 r. 26.]</w:t>
      </w:r>
    </w:p>
    <w:p>
      <w:pPr>
        <w:pStyle w:val="Heading5"/>
        <w:rPr>
          <w:snapToGrid w:val="0"/>
        </w:rPr>
      </w:pPr>
      <w:bookmarkStart w:id="22" w:name="_Toc189232116"/>
      <w:r>
        <w:rPr>
          <w:rStyle w:val="CharSectno"/>
        </w:rPr>
        <w:t>6A</w:t>
      </w:r>
      <w:r>
        <w:rPr>
          <w:snapToGrid w:val="0"/>
        </w:rPr>
        <w:t>.</w:t>
      </w:r>
      <w:r>
        <w:rPr>
          <w:snapToGrid w:val="0"/>
        </w:rPr>
        <w:tab/>
        <w:t>Warrant, form of (Act s. 25)</w:t>
      </w:r>
      <w:bookmarkEnd w:id="2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3" w:name="_Toc189223629"/>
      <w:bookmarkStart w:id="24" w:name="_Toc189225722"/>
      <w:bookmarkStart w:id="25" w:name="_Toc189229055"/>
      <w:bookmarkStart w:id="26" w:name="_Toc189232117"/>
      <w:r>
        <w:rPr>
          <w:rStyle w:val="CharPartNo"/>
        </w:rPr>
        <w:lastRenderedPageBreak/>
        <w:t>Part 3</w:t>
      </w:r>
      <w:r>
        <w:rPr>
          <w:rStyle w:val="CharDivNo"/>
        </w:rPr>
        <w:t> </w:t>
      </w:r>
      <w:r>
        <w:t>—</w:t>
      </w:r>
      <w:r>
        <w:rPr>
          <w:rStyle w:val="CharDivText"/>
        </w:rPr>
        <w:t> </w:t>
      </w:r>
      <w:r>
        <w:rPr>
          <w:rStyle w:val="CharPartText"/>
        </w:rPr>
        <w:t>The register</w:t>
      </w:r>
      <w:bookmarkEnd w:id="23"/>
      <w:bookmarkEnd w:id="24"/>
      <w:bookmarkEnd w:id="25"/>
      <w:bookmarkEnd w:id="26"/>
    </w:p>
    <w:p>
      <w:pPr>
        <w:pStyle w:val="Heading5"/>
        <w:rPr>
          <w:snapToGrid w:val="0"/>
        </w:rPr>
      </w:pPr>
      <w:bookmarkStart w:id="27" w:name="_Toc189232118"/>
      <w:r>
        <w:rPr>
          <w:rStyle w:val="CharSectno"/>
        </w:rPr>
        <w:t>7</w:t>
      </w:r>
      <w:r>
        <w:rPr>
          <w:snapToGrid w:val="0"/>
        </w:rPr>
        <w:t>.</w:t>
      </w:r>
      <w:r>
        <w:rPr>
          <w:snapToGrid w:val="0"/>
        </w:rPr>
        <w:tab/>
        <w:t>Manner of recording and search fees prescribed (Act s. 50)</w:t>
      </w:r>
      <w:bookmarkEnd w:id="2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8" w:name="_Toc189223631"/>
      <w:bookmarkStart w:id="29" w:name="_Toc189225724"/>
      <w:bookmarkStart w:id="30" w:name="_Toc189229057"/>
      <w:bookmarkStart w:id="31" w:name="_Toc189232119"/>
      <w:r>
        <w:rPr>
          <w:rStyle w:val="CharPartNo"/>
        </w:rPr>
        <w:lastRenderedPageBreak/>
        <w:t>Part 4</w:t>
      </w:r>
      <w:r>
        <w:t> — </w:t>
      </w:r>
      <w:r>
        <w:rPr>
          <w:rStyle w:val="CharPartText"/>
        </w:rPr>
        <w:t>Permitted gaming</w:t>
      </w:r>
      <w:bookmarkEnd w:id="28"/>
      <w:bookmarkEnd w:id="29"/>
      <w:bookmarkEnd w:id="30"/>
      <w:bookmarkEnd w:id="31"/>
    </w:p>
    <w:p>
      <w:pPr>
        <w:pStyle w:val="Heading3"/>
        <w:spacing w:before="220"/>
      </w:pPr>
      <w:bookmarkStart w:id="32" w:name="_Toc189223632"/>
      <w:bookmarkStart w:id="33" w:name="_Toc189225725"/>
      <w:bookmarkStart w:id="34" w:name="_Toc189229058"/>
      <w:bookmarkStart w:id="35" w:name="_Toc189232120"/>
      <w:r>
        <w:rPr>
          <w:rStyle w:val="CharDivNo"/>
        </w:rPr>
        <w:t>Division 1</w:t>
      </w:r>
      <w:r>
        <w:rPr>
          <w:snapToGrid w:val="0"/>
        </w:rPr>
        <w:t> — </w:t>
      </w:r>
      <w:r>
        <w:rPr>
          <w:rStyle w:val="CharDivText"/>
        </w:rPr>
        <w:t>Gaming generally</w:t>
      </w:r>
      <w:bookmarkEnd w:id="32"/>
      <w:bookmarkEnd w:id="33"/>
      <w:bookmarkEnd w:id="34"/>
      <w:bookmarkEnd w:id="35"/>
    </w:p>
    <w:p>
      <w:pPr>
        <w:pStyle w:val="Heading5"/>
      </w:pPr>
      <w:bookmarkStart w:id="36" w:name="_Toc189232121"/>
      <w:r>
        <w:rPr>
          <w:rStyle w:val="CharSectno"/>
        </w:rPr>
        <w:t>8A</w:t>
      </w:r>
      <w:r>
        <w:t>.</w:t>
      </w:r>
      <w:r>
        <w:tab/>
        <w:t>Gaming on cruise ships</w:t>
      </w:r>
      <w:bookmarkEnd w:id="36"/>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37" w:name="_Toc189232122"/>
      <w:r>
        <w:rPr>
          <w:rStyle w:val="CharSectno"/>
        </w:rPr>
        <w:t>8</w:t>
      </w:r>
      <w:r>
        <w:rPr>
          <w:snapToGrid w:val="0"/>
        </w:rPr>
        <w:t>.</w:t>
      </w:r>
      <w:r>
        <w:rPr>
          <w:snapToGrid w:val="0"/>
        </w:rPr>
        <w:tab/>
        <w:t>Gaming permits, form and conditions of (Act s. 47(1)(a) or (b))</w:t>
      </w:r>
      <w:bookmarkEnd w:id="37"/>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8" w:name="_Toc189232123"/>
      <w:r>
        <w:rPr>
          <w:rStyle w:val="CharSectno"/>
        </w:rPr>
        <w:t>9</w:t>
      </w:r>
      <w:r>
        <w:rPr>
          <w:snapToGrid w:val="0"/>
        </w:rPr>
        <w:t>.</w:t>
      </w:r>
      <w:r>
        <w:rPr>
          <w:snapToGrid w:val="0"/>
        </w:rPr>
        <w:tab/>
        <w:t>Gaming permits, application for</w:t>
      </w:r>
      <w:bookmarkEnd w:id="38"/>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lastRenderedPageBreak/>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w:t>
      </w:r>
      <w:r>
        <w:rPr>
          <w:snapToGrid w:val="0"/>
        </w:rPr>
        <w:lastRenderedPageBreak/>
        <w:t>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39" w:name="_Toc189232124"/>
      <w:r>
        <w:rPr>
          <w:rStyle w:val="CharSectno"/>
        </w:rPr>
        <w:t>10</w:t>
      </w:r>
      <w:r>
        <w:rPr>
          <w:snapToGrid w:val="0"/>
        </w:rPr>
        <w:t>.</w:t>
      </w:r>
      <w:r>
        <w:rPr>
          <w:snapToGrid w:val="0"/>
        </w:rPr>
        <w:tab/>
        <w:t>Approval to use premises, application for (Act s. 55)</w:t>
      </w:r>
      <w:bookmarkEnd w:id="39"/>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 xml:space="preserve">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w:t>
      </w:r>
      <w:r>
        <w:rPr>
          <w:snapToGrid w:val="0"/>
        </w:rPr>
        <w:lastRenderedPageBreak/>
        <w:t>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40" w:name="_Toc189232125"/>
      <w:r>
        <w:rPr>
          <w:rStyle w:val="CharSectno"/>
        </w:rPr>
        <w:t>11</w:t>
      </w:r>
      <w:r>
        <w:rPr>
          <w:snapToGrid w:val="0"/>
        </w:rPr>
        <w:t>.</w:t>
      </w:r>
      <w:r>
        <w:rPr>
          <w:snapToGrid w:val="0"/>
        </w:rPr>
        <w:tab/>
        <w:t>Renewals etc., applications for (Act s. 56)</w:t>
      </w:r>
      <w:bookmarkEnd w:id="4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1" w:name="_Toc189232126"/>
      <w:r>
        <w:rPr>
          <w:rStyle w:val="CharSectno"/>
        </w:rPr>
        <w:t>12</w:t>
      </w:r>
      <w:r>
        <w:rPr>
          <w:snapToGrid w:val="0"/>
        </w:rPr>
        <w:t>.</w:t>
      </w:r>
      <w:r>
        <w:rPr>
          <w:snapToGrid w:val="0"/>
        </w:rPr>
        <w:tab/>
        <w:t>Financial statements, permit holders to provide etc.</w:t>
      </w:r>
      <w:bookmarkEnd w:id="4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 xml:space="preserve">is issued subject to the condition that the permit holder is, whether or not required to furnish a report under section 57, </w:t>
      </w:r>
      <w:r>
        <w:rPr>
          <w:snapToGrid w:val="0"/>
        </w:rPr>
        <w:lastRenderedPageBreak/>
        <w:t>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42" w:name="_Toc189232127"/>
      <w:r>
        <w:rPr>
          <w:rStyle w:val="CharSectno"/>
        </w:rPr>
        <w:t>13</w:t>
      </w:r>
      <w:r>
        <w:rPr>
          <w:snapToGrid w:val="0"/>
        </w:rPr>
        <w:t>.</w:t>
      </w:r>
      <w:r>
        <w:rPr>
          <w:snapToGrid w:val="0"/>
        </w:rPr>
        <w:tab/>
        <w:t>No permit required if gaming etc. deemed permitted</w:t>
      </w:r>
      <w:bookmarkEnd w:id="4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43" w:name="_Toc189232128"/>
      <w:r>
        <w:rPr>
          <w:rStyle w:val="CharSectno"/>
        </w:rPr>
        <w:t>13A</w:t>
      </w:r>
      <w:r>
        <w:t>.</w:t>
      </w:r>
      <w:r>
        <w:tab/>
        <w:t>Conviction of license holder etc., holders to notify Commission</w:t>
      </w:r>
      <w:bookmarkEnd w:id="43"/>
    </w:p>
    <w:p>
      <w:pPr>
        <w:pStyle w:val="Subsection"/>
        <w:spacing w:before="120"/>
      </w:pPr>
      <w:r>
        <w:tab/>
      </w:r>
      <w:r>
        <w:tab/>
        <w:t xml:space="preserve">Every certificate and licence is issued subject to the condition that, if the holder of the certificate or licence is convicted of an </w:t>
      </w:r>
      <w:r>
        <w:lastRenderedPageBreak/>
        <w:t>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44" w:name="_Toc189223641"/>
      <w:bookmarkStart w:id="45" w:name="_Toc189225734"/>
      <w:bookmarkStart w:id="46" w:name="_Toc189229067"/>
      <w:bookmarkStart w:id="47" w:name="_Toc189232129"/>
      <w:r>
        <w:rPr>
          <w:rStyle w:val="CharDivNo"/>
        </w:rPr>
        <w:t>Division 2</w:t>
      </w:r>
      <w:r>
        <w:t> — </w:t>
      </w:r>
      <w:r>
        <w:rPr>
          <w:rStyle w:val="CharDivText"/>
        </w:rPr>
        <w:t>Continuing lotteries</w:t>
      </w:r>
      <w:bookmarkEnd w:id="44"/>
      <w:bookmarkEnd w:id="45"/>
      <w:bookmarkEnd w:id="46"/>
      <w:bookmarkEnd w:id="47"/>
    </w:p>
    <w:p>
      <w:pPr>
        <w:pStyle w:val="Footnoteheading"/>
        <w:keepNext/>
      </w:pPr>
      <w:r>
        <w:tab/>
        <w:t>[Heading inserted: Gazette 23 Jun 2000 p. 3206]</w:t>
      </w:r>
    </w:p>
    <w:p>
      <w:pPr>
        <w:pStyle w:val="Heading5"/>
        <w:keepLines w:val="0"/>
        <w:spacing w:before="240"/>
      </w:pPr>
      <w:bookmarkStart w:id="48" w:name="_Toc189232130"/>
      <w:r>
        <w:rPr>
          <w:rStyle w:val="CharSectno"/>
        </w:rPr>
        <w:t>14</w:t>
      </w:r>
      <w:r>
        <w:t>.</w:t>
      </w:r>
      <w:r>
        <w:tab/>
        <w:t>Maximum number of tickets prescribed (Act s. 104L(1))</w:t>
      </w:r>
      <w:bookmarkEnd w:id="48"/>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49" w:name="_Toc189232131"/>
      <w:r>
        <w:rPr>
          <w:rStyle w:val="CharSectno"/>
        </w:rPr>
        <w:t>15</w:t>
      </w:r>
      <w:r>
        <w:t>.</w:t>
      </w:r>
      <w:r>
        <w:tab/>
        <w:t>Records to be kept by licensed suppliers for Act Part V Div. 7</w:t>
      </w:r>
      <w:bookmarkEnd w:id="4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lastRenderedPageBreak/>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50" w:name="_Toc189223644"/>
      <w:bookmarkStart w:id="51" w:name="_Toc189225737"/>
      <w:bookmarkStart w:id="52" w:name="_Toc189229070"/>
      <w:bookmarkStart w:id="53" w:name="_Toc189232132"/>
      <w:r>
        <w:rPr>
          <w:rStyle w:val="CharDivNo"/>
        </w:rPr>
        <w:lastRenderedPageBreak/>
        <w:t>Division 3</w:t>
      </w:r>
      <w:r>
        <w:rPr>
          <w:snapToGrid w:val="0"/>
        </w:rPr>
        <w:t> — </w:t>
      </w:r>
      <w:r>
        <w:rPr>
          <w:rStyle w:val="CharDivText"/>
        </w:rPr>
        <w:t>Permitted two</w:t>
      </w:r>
      <w:r>
        <w:rPr>
          <w:rStyle w:val="CharDivText"/>
        </w:rPr>
        <w:noBreakHyphen/>
        <w:t>up</w:t>
      </w:r>
      <w:bookmarkEnd w:id="50"/>
      <w:bookmarkEnd w:id="51"/>
      <w:bookmarkEnd w:id="52"/>
      <w:bookmarkEnd w:id="53"/>
    </w:p>
    <w:p>
      <w:pPr>
        <w:pStyle w:val="Heading5"/>
        <w:spacing w:before="240"/>
        <w:rPr>
          <w:snapToGrid w:val="0"/>
        </w:rPr>
      </w:pPr>
      <w:bookmarkStart w:id="54" w:name="_Toc189232133"/>
      <w:r>
        <w:rPr>
          <w:rStyle w:val="CharSectno"/>
        </w:rPr>
        <w:t>16</w:t>
      </w:r>
      <w:r>
        <w:rPr>
          <w:snapToGrid w:val="0"/>
        </w:rPr>
        <w:t>.</w:t>
      </w:r>
      <w:r>
        <w:rPr>
          <w:snapToGrid w:val="0"/>
        </w:rPr>
        <w:tab/>
        <w:t>Financial information to be provided about games</w:t>
      </w:r>
      <w:bookmarkEnd w:id="5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keepLines/>
        <w:spacing w:before="180"/>
        <w:rPr>
          <w:snapToGrid w:val="0"/>
        </w:rPr>
      </w:pPr>
      <w:r>
        <w:rPr>
          <w:snapToGrid w:val="0"/>
        </w:rPr>
        <w:lastRenderedPageBreak/>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55" w:name="_Toc189232134"/>
      <w:r>
        <w:rPr>
          <w:rStyle w:val="CharSectno"/>
        </w:rPr>
        <w:t>17</w:t>
      </w:r>
      <w:r>
        <w:rPr>
          <w:snapToGrid w:val="0"/>
        </w:rPr>
        <w:t>.</w:t>
      </w:r>
      <w:r>
        <w:rPr>
          <w:snapToGrid w:val="0"/>
        </w:rPr>
        <w:tab/>
        <w:t>Suspending permit for game</w:t>
      </w:r>
      <w:bookmarkEnd w:id="5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6" w:name="_Toc189232135"/>
      <w:r>
        <w:rPr>
          <w:rStyle w:val="CharSectno"/>
        </w:rPr>
        <w:t>17A</w:t>
      </w:r>
      <w:r>
        <w:t>.</w:t>
      </w:r>
      <w:r>
        <w:tab/>
        <w:t>Prescribed gaming equipment (Act s. 84(1))</w:t>
      </w:r>
      <w:bookmarkEnd w:id="5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57" w:name="_Toc189223648"/>
      <w:bookmarkStart w:id="58" w:name="_Toc189225741"/>
      <w:bookmarkStart w:id="59" w:name="_Toc189229074"/>
      <w:bookmarkStart w:id="60" w:name="_Toc189232136"/>
      <w:r>
        <w:rPr>
          <w:rStyle w:val="CharDivNo"/>
        </w:rPr>
        <w:lastRenderedPageBreak/>
        <w:t>Division 4</w:t>
      </w:r>
      <w:r>
        <w:rPr>
          <w:snapToGrid w:val="0"/>
        </w:rPr>
        <w:t> — </w:t>
      </w:r>
      <w:r>
        <w:rPr>
          <w:rStyle w:val="CharDivText"/>
        </w:rPr>
        <w:t>Gaming machines and other equipment</w:t>
      </w:r>
      <w:bookmarkEnd w:id="57"/>
      <w:bookmarkEnd w:id="58"/>
      <w:bookmarkEnd w:id="59"/>
      <w:bookmarkEnd w:id="60"/>
    </w:p>
    <w:p>
      <w:pPr>
        <w:pStyle w:val="Heading5"/>
        <w:rPr>
          <w:snapToGrid w:val="0"/>
        </w:rPr>
      </w:pPr>
      <w:bookmarkStart w:id="61" w:name="_Toc189232137"/>
      <w:r>
        <w:rPr>
          <w:rStyle w:val="CharSectno"/>
        </w:rPr>
        <w:t>18</w:t>
      </w:r>
      <w:r>
        <w:rPr>
          <w:snapToGrid w:val="0"/>
        </w:rPr>
        <w:t>.</w:t>
      </w:r>
      <w:r>
        <w:rPr>
          <w:snapToGrid w:val="0"/>
        </w:rPr>
        <w:tab/>
        <w:t>Records etc. to be kept etc. by persons renting equipment from others</w:t>
      </w:r>
      <w:bookmarkEnd w:id="6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lastRenderedPageBreak/>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2" w:name="_Toc189232138"/>
      <w:r>
        <w:rPr>
          <w:rStyle w:val="CharSectno"/>
        </w:rPr>
        <w:t>18A</w:t>
      </w:r>
      <w:r>
        <w:rPr>
          <w:snapToGrid w:val="0"/>
        </w:rPr>
        <w:t>.</w:t>
      </w:r>
      <w:r>
        <w:rPr>
          <w:snapToGrid w:val="0"/>
        </w:rPr>
        <w:tab/>
        <w:t>Skilltester, Merchandiser and similar machines, possession etc. of</w:t>
      </w:r>
      <w:bookmarkEnd w:id="62"/>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lastRenderedPageBreak/>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63" w:name="_Toc189232139"/>
      <w:r>
        <w:rPr>
          <w:rStyle w:val="CharSectno"/>
        </w:rPr>
        <w:t>18AA</w:t>
      </w:r>
      <w:r>
        <w:rPr>
          <w:snapToGrid w:val="0"/>
        </w:rPr>
        <w:t>.</w:t>
      </w:r>
      <w:r>
        <w:rPr>
          <w:snapToGrid w:val="0"/>
        </w:rPr>
        <w:tab/>
        <w:t>Video lottery terminals, possession etc. of</w:t>
      </w:r>
      <w:bookmarkEnd w:id="6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lastRenderedPageBreak/>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64" w:name="_Toc189232140"/>
      <w:r>
        <w:rPr>
          <w:rStyle w:val="CharSectno"/>
        </w:rPr>
        <w:t>18B</w:t>
      </w:r>
      <w:r>
        <w:rPr>
          <w:snapToGrid w:val="0"/>
        </w:rPr>
        <w:t>.</w:t>
      </w:r>
      <w:r>
        <w:rPr>
          <w:snapToGrid w:val="0"/>
        </w:rPr>
        <w:tab/>
        <w:t>Machines that dispense vouchers, possession etc. of</w:t>
      </w:r>
      <w:bookmarkEnd w:id="64"/>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 xml:space="preserve">In the case of amusement parlours, the maximum value of the voucher or vouchers which may be dispensed per sequence of </w:t>
      </w:r>
      <w:r>
        <w:rPr>
          <w:snapToGrid w:val="0"/>
        </w:rPr>
        <w:lastRenderedPageBreak/>
        <w:t>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65" w:name="_Toc189232141"/>
      <w:r>
        <w:rPr>
          <w:rStyle w:val="CharSectno"/>
        </w:rPr>
        <w:t>18C</w:t>
      </w:r>
      <w:r>
        <w:t>.</w:t>
      </w:r>
      <w:r>
        <w:tab/>
        <w:t>Possession of certain gaming machines on cruise ships</w:t>
      </w:r>
      <w:bookmarkEnd w:id="65"/>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lastRenderedPageBreak/>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66" w:name="_Toc189223654"/>
      <w:bookmarkStart w:id="67" w:name="_Toc189225747"/>
      <w:bookmarkStart w:id="68" w:name="_Toc189229080"/>
      <w:bookmarkStart w:id="69" w:name="_Toc189232142"/>
      <w:r>
        <w:rPr>
          <w:rStyle w:val="CharDivNo"/>
        </w:rPr>
        <w:t>Division 5</w:t>
      </w:r>
      <w:r>
        <w:rPr>
          <w:snapToGrid w:val="0"/>
        </w:rPr>
        <w:t> — </w:t>
      </w:r>
      <w:r>
        <w:rPr>
          <w:rStyle w:val="CharDivText"/>
        </w:rPr>
        <w:t>Permitted bingo</w:t>
      </w:r>
      <w:bookmarkEnd w:id="66"/>
      <w:bookmarkEnd w:id="67"/>
      <w:bookmarkEnd w:id="68"/>
      <w:bookmarkEnd w:id="69"/>
    </w:p>
    <w:p>
      <w:pPr>
        <w:pStyle w:val="Heading5"/>
        <w:rPr>
          <w:snapToGrid w:val="0"/>
        </w:rPr>
      </w:pPr>
      <w:bookmarkStart w:id="70" w:name="_Toc189232143"/>
      <w:r>
        <w:rPr>
          <w:rStyle w:val="CharSectno"/>
        </w:rPr>
        <w:t>19</w:t>
      </w:r>
      <w:r>
        <w:rPr>
          <w:snapToGrid w:val="0"/>
        </w:rPr>
        <w:t>.</w:t>
      </w:r>
      <w:r>
        <w:rPr>
          <w:snapToGrid w:val="0"/>
        </w:rPr>
        <w:tab/>
        <w:t>Rules for conducting bingo; rules to be displayed</w:t>
      </w:r>
      <w:bookmarkEnd w:id="7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1" w:name="_Toc189232144"/>
      <w:r>
        <w:rPr>
          <w:rStyle w:val="CharSectno"/>
        </w:rPr>
        <w:t>20</w:t>
      </w:r>
      <w:r>
        <w:rPr>
          <w:snapToGrid w:val="0"/>
        </w:rPr>
        <w:t>.</w:t>
      </w:r>
      <w:r>
        <w:rPr>
          <w:snapToGrid w:val="0"/>
        </w:rPr>
        <w:tab/>
        <w:t>Bingo for senior citizens’ clubs, no fees payable for</w:t>
      </w:r>
      <w:bookmarkEnd w:id="71"/>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2" w:name="_Toc189232145"/>
      <w:r>
        <w:rPr>
          <w:rStyle w:val="CharSectno"/>
        </w:rPr>
        <w:t>21</w:t>
      </w:r>
      <w:r>
        <w:rPr>
          <w:snapToGrid w:val="0"/>
        </w:rPr>
        <w:t>.</w:t>
      </w:r>
      <w:r>
        <w:rPr>
          <w:snapToGrid w:val="0"/>
        </w:rPr>
        <w:tab/>
        <w:t>Percentage of receipts to be paid to Commission</w:t>
      </w:r>
      <w:bookmarkEnd w:id="72"/>
    </w:p>
    <w:p>
      <w:pPr>
        <w:pStyle w:val="Subsection"/>
        <w:rPr>
          <w:snapToGrid w:val="0"/>
        </w:rPr>
      </w:pPr>
      <w:r>
        <w:rPr>
          <w:snapToGrid w:val="0"/>
        </w:rPr>
        <w:tab/>
      </w:r>
      <w:r>
        <w:rPr>
          <w:snapToGrid w:val="0"/>
        </w:rPr>
        <w:tab/>
        <w:t xml:space="preserve">Subject to regulation 20, the holder of a permit authorising the playing of the game of bingo is to pay to the Commission, within 7 days of the conclusion of a session of bingo (or such </w:t>
      </w:r>
      <w:r>
        <w:rPr>
          <w:snapToGrid w:val="0"/>
        </w:rPr>
        <w:lastRenderedPageBreak/>
        <w:t>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73" w:name="_Toc189232146"/>
      <w:r>
        <w:rPr>
          <w:rStyle w:val="CharSectno"/>
        </w:rPr>
        <w:t>21A</w:t>
      </w:r>
      <w:r>
        <w:rPr>
          <w:snapToGrid w:val="0"/>
        </w:rPr>
        <w:t>.</w:t>
      </w:r>
      <w:r>
        <w:rPr>
          <w:snapToGrid w:val="0"/>
        </w:rPr>
        <w:tab/>
        <w:t>Times and number of sessions</w:t>
      </w:r>
      <w:bookmarkEnd w:id="7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74" w:name="_Toc189232147"/>
      <w:r>
        <w:rPr>
          <w:rStyle w:val="CharSectno"/>
        </w:rPr>
        <w:t>22</w:t>
      </w:r>
      <w:r>
        <w:rPr>
          <w:snapToGrid w:val="0"/>
        </w:rPr>
        <w:t>.</w:t>
      </w:r>
      <w:r>
        <w:rPr>
          <w:snapToGrid w:val="0"/>
        </w:rPr>
        <w:tab/>
        <w:t>Sessions of bingo</w:t>
      </w:r>
      <w:bookmarkEnd w:id="74"/>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lastRenderedPageBreak/>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75" w:name="_Toc189232148"/>
      <w:r>
        <w:rPr>
          <w:rStyle w:val="CharSectno"/>
        </w:rPr>
        <w:t>23</w:t>
      </w:r>
      <w:r>
        <w:rPr>
          <w:snapToGrid w:val="0"/>
        </w:rPr>
        <w:t>.</w:t>
      </w:r>
      <w:r>
        <w:rPr>
          <w:snapToGrid w:val="0"/>
        </w:rPr>
        <w:tab/>
        <w:t>Controllers of sessions, appointment and duties of</w:t>
      </w:r>
      <w:bookmarkEnd w:id="75"/>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lastRenderedPageBreak/>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keepNext/>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76" w:name="_Toc189232149"/>
      <w:r>
        <w:rPr>
          <w:rStyle w:val="CharSectno"/>
        </w:rPr>
        <w:t>23A</w:t>
      </w:r>
      <w:r>
        <w:rPr>
          <w:snapToGrid w:val="0"/>
        </w:rPr>
        <w:t>.</w:t>
      </w:r>
      <w:r>
        <w:rPr>
          <w:snapToGrid w:val="0"/>
        </w:rPr>
        <w:tab/>
        <w:t>Advertising value of prizes prohibited</w:t>
      </w:r>
      <w:bookmarkEnd w:id="76"/>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pPr>
      <w:r>
        <w:tab/>
        <w:t>Penalty for this subregulation: a fine of $1 000.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 SL 2025/35 r. 30.]</w:t>
      </w:r>
    </w:p>
    <w:p>
      <w:pPr>
        <w:pStyle w:val="Heading5"/>
        <w:rPr>
          <w:snapToGrid w:val="0"/>
        </w:rPr>
      </w:pPr>
      <w:bookmarkStart w:id="77" w:name="_Toc189232150"/>
      <w:r>
        <w:rPr>
          <w:rStyle w:val="CharSectno"/>
        </w:rPr>
        <w:lastRenderedPageBreak/>
        <w:t>24</w:t>
      </w:r>
      <w:r>
        <w:rPr>
          <w:snapToGrid w:val="0"/>
        </w:rPr>
        <w:t>.</w:t>
      </w:r>
      <w:r>
        <w:rPr>
          <w:snapToGrid w:val="0"/>
        </w:rPr>
        <w:tab/>
        <w:t>Prizes, permitted value of</w:t>
      </w:r>
      <w:bookmarkEnd w:id="77"/>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7230" w:type="dxa"/>
        <w:tblLayout w:type="fixed"/>
        <w:tblCellMar>
          <w:left w:w="212" w:type="dxa"/>
          <w:right w:w="212" w:type="dxa"/>
        </w:tblCellMar>
        <w:tblLook w:val="0000" w:firstRow="0" w:lastRow="0" w:firstColumn="0" w:lastColumn="0" w:noHBand="0" w:noVBand="0"/>
      </w:tblPr>
      <w:tblGrid>
        <w:gridCol w:w="2400"/>
        <w:gridCol w:w="1144"/>
        <w:gridCol w:w="2126"/>
        <w:gridCol w:w="156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1144" w:type="dxa"/>
            <w:tcBorders>
              <w:top w:val="single" w:sz="4" w:space="0" w:color="auto"/>
              <w:bottom w:val="single" w:sz="4" w:space="0" w:color="auto"/>
            </w:tcBorders>
          </w:tcPr>
          <w:p>
            <w:pPr>
              <w:pStyle w:val="TableNAm"/>
              <w:keepNext/>
              <w:rPr>
                <w:b/>
                <w:bCs/>
                <w:szCs w:val="24"/>
              </w:rPr>
            </w:pPr>
          </w:p>
        </w:tc>
        <w:tc>
          <w:tcPr>
            <w:tcW w:w="2126" w:type="dxa"/>
            <w:tcBorders>
              <w:top w:val="single" w:sz="4" w:space="0" w:color="auto"/>
              <w:bottom w:val="single" w:sz="4" w:space="0" w:color="auto"/>
            </w:tcBorders>
          </w:tcPr>
          <w:p>
            <w:pPr>
              <w:pStyle w:val="TableNAm"/>
              <w:keepNext/>
              <w:rPr>
                <w:b/>
                <w:bCs/>
                <w:szCs w:val="24"/>
              </w:rPr>
            </w:pPr>
            <w:r>
              <w:rPr>
                <w:b/>
                <w:bCs/>
                <w:szCs w:val="24"/>
              </w:rPr>
              <w:t>Total of prizes</w:t>
            </w:r>
          </w:p>
        </w:tc>
        <w:tc>
          <w:tcPr>
            <w:tcW w:w="156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1144" w:type="dxa"/>
            <w:tcBorders>
              <w:top w:val="single" w:sz="4" w:space="0" w:color="auto"/>
            </w:tcBorders>
          </w:tcPr>
          <w:p>
            <w:pPr>
              <w:pStyle w:val="TableNAm"/>
              <w:keepNext/>
              <w:rPr>
                <w:szCs w:val="24"/>
              </w:rPr>
            </w:pPr>
          </w:p>
        </w:tc>
        <w:tc>
          <w:tcPr>
            <w:tcW w:w="2126" w:type="dxa"/>
            <w:tcBorders>
              <w:top w:val="single" w:sz="4" w:space="0" w:color="auto"/>
            </w:tcBorders>
          </w:tcPr>
          <w:p>
            <w:pPr>
              <w:pStyle w:val="TableNAm"/>
              <w:keepNext/>
              <w:rPr>
                <w:szCs w:val="24"/>
              </w:rPr>
            </w:pPr>
            <w:r>
              <w:rPr>
                <w:szCs w:val="24"/>
              </w:rPr>
              <w:t>no limit</w:t>
            </w:r>
          </w:p>
        </w:tc>
        <w:tc>
          <w:tcPr>
            <w:tcW w:w="156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1144" w:type="dxa"/>
            <w:tcBorders>
              <w:bottom w:val="single" w:sz="4" w:space="0" w:color="auto"/>
            </w:tcBorders>
          </w:tcPr>
          <w:p>
            <w:pPr>
              <w:pStyle w:val="TableNAm"/>
              <w:keepNext/>
              <w:rPr>
                <w:szCs w:val="24"/>
              </w:rPr>
            </w:pPr>
          </w:p>
        </w:tc>
        <w:tc>
          <w:tcPr>
            <w:tcW w:w="2126" w:type="dxa"/>
            <w:tcBorders>
              <w:bottom w:val="single" w:sz="4" w:space="0" w:color="auto"/>
            </w:tcBorders>
          </w:tcPr>
          <w:p>
            <w:pPr>
              <w:pStyle w:val="TableNAm"/>
              <w:keepNext/>
              <w:rPr>
                <w:szCs w:val="24"/>
              </w:rPr>
            </w:pPr>
            <w:r>
              <w:rPr>
                <w:szCs w:val="24"/>
              </w:rPr>
              <w:t>60%</w:t>
            </w:r>
          </w:p>
        </w:tc>
        <w:tc>
          <w:tcPr>
            <w:tcW w:w="156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78" w:name="_Toc189232151"/>
      <w:r>
        <w:rPr>
          <w:rStyle w:val="CharSectno"/>
        </w:rPr>
        <w:t>25</w:t>
      </w:r>
      <w:r>
        <w:rPr>
          <w:snapToGrid w:val="0"/>
        </w:rPr>
        <w:t>.</w:t>
      </w:r>
      <w:r>
        <w:rPr>
          <w:snapToGrid w:val="0"/>
        </w:rPr>
        <w:tab/>
        <w:t>Expenses, maximum and calculation of</w:t>
      </w:r>
      <w:bookmarkEnd w:id="7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lastRenderedPageBreak/>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79" w:name="_Toc189232152"/>
      <w:r>
        <w:rPr>
          <w:rStyle w:val="CharSectno"/>
        </w:rPr>
        <w:t>26</w:t>
      </w:r>
      <w:r>
        <w:rPr>
          <w:snapToGrid w:val="0"/>
        </w:rPr>
        <w:t>.</w:t>
      </w:r>
      <w:r>
        <w:rPr>
          <w:snapToGrid w:val="0"/>
        </w:rPr>
        <w:tab/>
        <w:t>Playing other games of chance at bingo premises</w:t>
      </w:r>
      <w:bookmarkEnd w:id="79"/>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lastRenderedPageBreak/>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80" w:name="_Toc189223665"/>
      <w:bookmarkStart w:id="81" w:name="_Toc189225758"/>
      <w:bookmarkStart w:id="82" w:name="_Toc189229091"/>
      <w:bookmarkStart w:id="83" w:name="_Toc189232153"/>
      <w:r>
        <w:rPr>
          <w:rStyle w:val="CharDivNo"/>
        </w:rPr>
        <w:t>Division 6</w:t>
      </w:r>
      <w:r>
        <w:rPr>
          <w:snapToGrid w:val="0"/>
        </w:rPr>
        <w:t> — </w:t>
      </w:r>
      <w:r>
        <w:rPr>
          <w:rStyle w:val="CharDivText"/>
        </w:rPr>
        <w:t>Lotteries, etc.</w:t>
      </w:r>
      <w:bookmarkEnd w:id="80"/>
      <w:bookmarkEnd w:id="81"/>
      <w:bookmarkEnd w:id="82"/>
      <w:bookmarkEnd w:id="83"/>
    </w:p>
    <w:p>
      <w:pPr>
        <w:pStyle w:val="Heading4"/>
        <w:spacing w:before="220"/>
        <w:rPr>
          <w:snapToGrid w:val="0"/>
        </w:rPr>
      </w:pPr>
      <w:bookmarkStart w:id="84" w:name="_Toc189223666"/>
      <w:bookmarkStart w:id="85" w:name="_Toc189225759"/>
      <w:bookmarkStart w:id="86" w:name="_Toc189229092"/>
      <w:bookmarkStart w:id="87" w:name="_Toc189232154"/>
      <w:r>
        <w:rPr>
          <w:snapToGrid w:val="0"/>
        </w:rPr>
        <w:t>Subdivision 1 — Standard lotteries</w:t>
      </w:r>
      <w:bookmarkEnd w:id="84"/>
      <w:bookmarkEnd w:id="85"/>
      <w:bookmarkEnd w:id="86"/>
      <w:bookmarkEnd w:id="87"/>
    </w:p>
    <w:p>
      <w:pPr>
        <w:pStyle w:val="Footnoteheading"/>
      </w:pPr>
      <w:r>
        <w:tab/>
        <w:t>[Heading amended: Gazette 6 Sep 2016 p. 3833.]</w:t>
      </w:r>
    </w:p>
    <w:p>
      <w:pPr>
        <w:pStyle w:val="Heading5"/>
        <w:rPr>
          <w:snapToGrid w:val="0"/>
        </w:rPr>
      </w:pPr>
      <w:bookmarkStart w:id="88" w:name="_Toc189232155"/>
      <w:r>
        <w:rPr>
          <w:rStyle w:val="CharSectno"/>
        </w:rPr>
        <w:t>27</w:t>
      </w:r>
      <w:r>
        <w:rPr>
          <w:snapToGrid w:val="0"/>
        </w:rPr>
        <w:t>.</w:t>
      </w:r>
      <w:r>
        <w:rPr>
          <w:snapToGrid w:val="0"/>
        </w:rPr>
        <w:tab/>
        <w:t>Rules for conducting standard lottery</w:t>
      </w:r>
      <w:bookmarkEnd w:id="88"/>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89" w:name="_Toc189232156"/>
      <w:r>
        <w:rPr>
          <w:rStyle w:val="CharSectno"/>
        </w:rPr>
        <w:t>28</w:t>
      </w:r>
      <w:r>
        <w:rPr>
          <w:snapToGrid w:val="0"/>
        </w:rPr>
        <w:t>.</w:t>
      </w:r>
      <w:r>
        <w:rPr>
          <w:snapToGrid w:val="0"/>
        </w:rPr>
        <w:tab/>
        <w:t>Conditions relating to standard lottery</w:t>
      </w:r>
      <w:bookmarkEnd w:id="89"/>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lastRenderedPageBreak/>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90" w:name="_Toc189232157"/>
      <w:r>
        <w:rPr>
          <w:rStyle w:val="CharSectno"/>
        </w:rPr>
        <w:t>28C</w:t>
      </w:r>
      <w:r>
        <w:rPr>
          <w:snapToGrid w:val="0"/>
        </w:rPr>
        <w:t>.</w:t>
      </w:r>
      <w:r>
        <w:rPr>
          <w:snapToGrid w:val="0"/>
        </w:rPr>
        <w:tab/>
        <w:t>Lottery tickets etc. not to be sent etc. to persons for sale etc. without their consent</w:t>
      </w:r>
      <w:bookmarkEnd w:id="90"/>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91" w:name="_Toc189232158"/>
      <w:r>
        <w:rPr>
          <w:rStyle w:val="CharSectno"/>
        </w:rPr>
        <w:t>29</w:t>
      </w:r>
      <w:r>
        <w:rPr>
          <w:snapToGrid w:val="0"/>
        </w:rPr>
        <w:t>.</w:t>
      </w:r>
      <w:r>
        <w:rPr>
          <w:snapToGrid w:val="0"/>
        </w:rPr>
        <w:tab/>
        <w:t>When standard lottery must be drawn</w:t>
      </w:r>
      <w:bookmarkEnd w:id="91"/>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92" w:name="_Toc189232159"/>
      <w:r>
        <w:rPr>
          <w:rStyle w:val="CharSectno"/>
        </w:rPr>
        <w:lastRenderedPageBreak/>
        <w:t>30</w:t>
      </w:r>
      <w:r>
        <w:rPr>
          <w:snapToGrid w:val="0"/>
        </w:rPr>
        <w:t>.</w:t>
      </w:r>
      <w:r>
        <w:rPr>
          <w:snapToGrid w:val="0"/>
        </w:rPr>
        <w:tab/>
        <w:t>Unclaimed prizes in standard lotteries</w:t>
      </w:r>
      <w:bookmarkEnd w:id="92"/>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3" w:name="_Toc189232160"/>
      <w:r>
        <w:rPr>
          <w:rStyle w:val="CharSectno"/>
        </w:rPr>
        <w:t>30A</w:t>
      </w:r>
      <w:r>
        <w:rPr>
          <w:snapToGrid w:val="0"/>
        </w:rPr>
        <w:t>.</w:t>
      </w:r>
      <w:r>
        <w:rPr>
          <w:snapToGrid w:val="0"/>
        </w:rPr>
        <w:tab/>
        <w:t>Prizes from donor organizations</w:t>
      </w:r>
      <w:bookmarkEnd w:id="9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94" w:name="_Toc189232161"/>
      <w:r>
        <w:rPr>
          <w:rStyle w:val="CharSectno"/>
        </w:rPr>
        <w:t>30B</w:t>
      </w:r>
      <w:r>
        <w:rPr>
          <w:snapToGrid w:val="0"/>
        </w:rPr>
        <w:t>.</w:t>
      </w:r>
      <w:r>
        <w:rPr>
          <w:snapToGrid w:val="0"/>
        </w:rPr>
        <w:tab/>
        <w:t>Body not to buy ticket etc. in its own lottery</w:t>
      </w:r>
      <w:bookmarkEnd w:id="9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95" w:name="_Toc189232162"/>
      <w:r>
        <w:rPr>
          <w:rStyle w:val="CharSectno"/>
        </w:rPr>
        <w:t>31</w:t>
      </w:r>
      <w:r>
        <w:rPr>
          <w:snapToGrid w:val="0"/>
        </w:rPr>
        <w:t>.</w:t>
      </w:r>
      <w:r>
        <w:rPr>
          <w:snapToGrid w:val="0"/>
        </w:rPr>
        <w:tab/>
        <w:t>Small private lotteries (Act s. 103)</w:t>
      </w:r>
      <w:bookmarkEnd w:id="95"/>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96" w:name="_Toc189223675"/>
      <w:bookmarkStart w:id="97" w:name="_Toc189225768"/>
      <w:bookmarkStart w:id="98" w:name="_Toc189229101"/>
      <w:bookmarkStart w:id="99" w:name="_Toc189232163"/>
      <w:r>
        <w:rPr>
          <w:snapToGrid w:val="0"/>
        </w:rPr>
        <w:lastRenderedPageBreak/>
        <w:t>Subdivision 2 — Continuing lotteries</w:t>
      </w:r>
      <w:bookmarkEnd w:id="96"/>
      <w:bookmarkEnd w:id="97"/>
      <w:bookmarkEnd w:id="98"/>
      <w:bookmarkEnd w:id="99"/>
    </w:p>
    <w:p>
      <w:pPr>
        <w:pStyle w:val="Footnoteheading"/>
        <w:keepNext/>
      </w:pPr>
      <w:r>
        <w:tab/>
        <w:t>[Heading amended: Gazette 6 Sep 2016 p. 3833.]</w:t>
      </w:r>
    </w:p>
    <w:p>
      <w:pPr>
        <w:pStyle w:val="Heading5"/>
        <w:rPr>
          <w:snapToGrid w:val="0"/>
        </w:rPr>
      </w:pPr>
      <w:bookmarkStart w:id="100" w:name="_Toc189232164"/>
      <w:r>
        <w:rPr>
          <w:rStyle w:val="CharSectno"/>
        </w:rPr>
        <w:t>32</w:t>
      </w:r>
      <w:r>
        <w:rPr>
          <w:snapToGrid w:val="0"/>
        </w:rPr>
        <w:t>.</w:t>
      </w:r>
      <w:r>
        <w:rPr>
          <w:snapToGrid w:val="0"/>
        </w:rPr>
        <w:tab/>
        <w:t>Rules for conducting continuing lotteries</w:t>
      </w:r>
      <w:bookmarkEnd w:id="10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1" w:name="_Toc189232165"/>
      <w:r>
        <w:rPr>
          <w:rStyle w:val="CharSectno"/>
        </w:rPr>
        <w:t>33</w:t>
      </w:r>
      <w:r>
        <w:rPr>
          <w:snapToGrid w:val="0"/>
        </w:rPr>
        <w:t>.</w:t>
      </w:r>
      <w:r>
        <w:rPr>
          <w:snapToGrid w:val="0"/>
        </w:rPr>
        <w:tab/>
        <w:t>Conditions relating to continuing lottery</w:t>
      </w:r>
      <w:bookmarkEnd w:id="10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02" w:name="_Toc189232166"/>
      <w:r>
        <w:rPr>
          <w:rStyle w:val="CharSectno"/>
        </w:rPr>
        <w:lastRenderedPageBreak/>
        <w:t>34</w:t>
      </w:r>
      <w:r>
        <w:rPr>
          <w:snapToGrid w:val="0"/>
        </w:rPr>
        <w:t>.</w:t>
      </w:r>
      <w:r>
        <w:rPr>
          <w:snapToGrid w:val="0"/>
        </w:rPr>
        <w:tab/>
        <w:t>Vending machines for continuing lotteries, location of and conditions as to (Act s. 105(2))</w:t>
      </w:r>
      <w:bookmarkEnd w:id="102"/>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03" w:name="_Toc189232167"/>
      <w:r>
        <w:rPr>
          <w:rStyle w:val="CharSectno"/>
        </w:rPr>
        <w:t>35</w:t>
      </w:r>
      <w:r>
        <w:rPr>
          <w:snapToGrid w:val="0"/>
        </w:rPr>
        <w:t>.</w:t>
      </w:r>
      <w:r>
        <w:rPr>
          <w:snapToGrid w:val="0"/>
        </w:rPr>
        <w:tab/>
        <w:t>Accounts etc. of continuing lottery to be available for inspection</w:t>
      </w:r>
      <w:bookmarkEnd w:id="103"/>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04" w:name="_Toc189232168"/>
      <w:r>
        <w:rPr>
          <w:rStyle w:val="CharSectno"/>
        </w:rPr>
        <w:t>36</w:t>
      </w:r>
      <w:r>
        <w:rPr>
          <w:snapToGrid w:val="0"/>
        </w:rPr>
        <w:t>.</w:t>
      </w:r>
      <w:r>
        <w:rPr>
          <w:snapToGrid w:val="0"/>
        </w:rPr>
        <w:tab/>
        <w:t>Distribution of benefit</w:t>
      </w:r>
      <w:bookmarkEnd w:id="10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05" w:name="_Toc189223681"/>
      <w:bookmarkStart w:id="106" w:name="_Toc189225774"/>
      <w:bookmarkStart w:id="107" w:name="_Toc189229107"/>
      <w:bookmarkStart w:id="108" w:name="_Toc189232169"/>
      <w:r>
        <w:t>Subdivision 3 — Trade promotion lotteries</w:t>
      </w:r>
      <w:bookmarkEnd w:id="105"/>
      <w:bookmarkEnd w:id="106"/>
      <w:bookmarkEnd w:id="107"/>
      <w:bookmarkEnd w:id="108"/>
    </w:p>
    <w:p>
      <w:pPr>
        <w:pStyle w:val="Footnoteheading"/>
        <w:keepNext/>
      </w:pPr>
      <w:r>
        <w:tab/>
        <w:t>[Heading inserted: Gazette 6 Sep 2016 p. 3831.]</w:t>
      </w:r>
    </w:p>
    <w:p>
      <w:pPr>
        <w:pStyle w:val="Heading5"/>
        <w:keepLines w:val="0"/>
      </w:pPr>
      <w:bookmarkStart w:id="109" w:name="_Toc189232170"/>
      <w:r>
        <w:rPr>
          <w:rStyle w:val="CharSectno"/>
        </w:rPr>
        <w:t>36A</w:t>
      </w:r>
      <w:r>
        <w:t>.</w:t>
      </w:r>
      <w:r>
        <w:tab/>
        <w:t>Prescribed conditions for trade promotion lottery (Act s. 102)</w:t>
      </w:r>
      <w:bookmarkEnd w:id="109"/>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10" w:name="_Toc189223683"/>
      <w:bookmarkStart w:id="111" w:name="_Toc189225776"/>
      <w:bookmarkStart w:id="112" w:name="_Toc189229109"/>
      <w:bookmarkStart w:id="113" w:name="_Toc189232171"/>
      <w:r>
        <w:rPr>
          <w:snapToGrid w:val="0"/>
        </w:rPr>
        <w:t>Subdivision 4 — Lotteries generally</w:t>
      </w:r>
      <w:bookmarkEnd w:id="110"/>
      <w:bookmarkEnd w:id="111"/>
      <w:bookmarkEnd w:id="112"/>
      <w:bookmarkEnd w:id="113"/>
    </w:p>
    <w:p>
      <w:pPr>
        <w:pStyle w:val="Footnoteheading"/>
        <w:keepNext/>
      </w:pPr>
      <w:r>
        <w:tab/>
        <w:t>[Heading amended: Gazette 6 Sep 2016 p. 3833.]</w:t>
      </w:r>
    </w:p>
    <w:p>
      <w:pPr>
        <w:pStyle w:val="Heading5"/>
        <w:rPr>
          <w:snapToGrid w:val="0"/>
        </w:rPr>
      </w:pPr>
      <w:bookmarkStart w:id="114" w:name="_Toc189232172"/>
      <w:r>
        <w:rPr>
          <w:rStyle w:val="CharSectno"/>
        </w:rPr>
        <w:t>37</w:t>
      </w:r>
      <w:r>
        <w:rPr>
          <w:snapToGrid w:val="0"/>
        </w:rPr>
        <w:t>.</w:t>
      </w:r>
      <w:r>
        <w:rPr>
          <w:snapToGrid w:val="0"/>
        </w:rPr>
        <w:tab/>
        <w:t>Account book, form of (Act s. 104(3)(a))</w:t>
      </w:r>
      <w:bookmarkEnd w:id="114"/>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15" w:name="_Toc189232173"/>
      <w:r>
        <w:rPr>
          <w:rStyle w:val="CharSectno"/>
        </w:rPr>
        <w:t>38</w:t>
      </w:r>
      <w:r>
        <w:rPr>
          <w:snapToGrid w:val="0"/>
        </w:rPr>
        <w:t>.</w:t>
      </w:r>
      <w:r>
        <w:rPr>
          <w:snapToGrid w:val="0"/>
        </w:rPr>
        <w:tab/>
        <w:t>Prohibition as to private gain etc.</w:t>
      </w:r>
      <w:bookmarkEnd w:id="115"/>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16" w:name="_Toc189232174"/>
      <w:r>
        <w:rPr>
          <w:rStyle w:val="CharSectno"/>
        </w:rPr>
        <w:lastRenderedPageBreak/>
        <w:t>38A</w:t>
      </w:r>
      <w:r>
        <w:rPr>
          <w:snapToGrid w:val="0"/>
        </w:rPr>
        <w:t>.</w:t>
      </w:r>
      <w:r>
        <w:rPr>
          <w:snapToGrid w:val="0"/>
        </w:rPr>
        <w:tab/>
        <w:t>Offences related to permitted lotteries</w:t>
      </w:r>
      <w:bookmarkEnd w:id="116"/>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pPr>
      <w:r>
        <w:tab/>
        <w:t>Penalty for this subregulation: a fine of $1 000.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pPr>
      <w:r>
        <w:tab/>
        <w:t>Penalty for this subregulation: a fine of $1 000.</w:t>
      </w:r>
    </w:p>
    <w:p>
      <w:pPr>
        <w:pStyle w:val="Footnotesection"/>
      </w:pPr>
      <w:r>
        <w:tab/>
        <w:t>[Regulation 38A inserted: Gazette 11 May 1993 p. 2398; amended: SL 2025/35 r. 30.].]</w:t>
      </w:r>
    </w:p>
    <w:p>
      <w:pPr>
        <w:pStyle w:val="Heading4"/>
        <w:rPr>
          <w:snapToGrid w:val="0"/>
        </w:rPr>
      </w:pPr>
      <w:bookmarkStart w:id="117" w:name="_Toc189223687"/>
      <w:bookmarkStart w:id="118" w:name="_Toc189225780"/>
      <w:bookmarkStart w:id="119" w:name="_Toc189229113"/>
      <w:bookmarkStart w:id="120" w:name="_Toc189232175"/>
      <w:r>
        <w:rPr>
          <w:snapToGrid w:val="0"/>
        </w:rPr>
        <w:t>Subdivision 5 — Amusements, etc.</w:t>
      </w:r>
      <w:bookmarkEnd w:id="117"/>
      <w:bookmarkEnd w:id="118"/>
      <w:bookmarkEnd w:id="119"/>
      <w:bookmarkEnd w:id="120"/>
    </w:p>
    <w:p>
      <w:pPr>
        <w:pStyle w:val="Footnoteheading"/>
      </w:pPr>
      <w:r>
        <w:tab/>
        <w:t>[Heading amended: Gazette 6 Sep 2016 p. 3833.]</w:t>
      </w:r>
    </w:p>
    <w:p>
      <w:pPr>
        <w:pStyle w:val="Heading5"/>
        <w:rPr>
          <w:snapToGrid w:val="0"/>
        </w:rPr>
      </w:pPr>
      <w:bookmarkStart w:id="121" w:name="_Toc189232176"/>
      <w:r>
        <w:rPr>
          <w:rStyle w:val="CharSectno"/>
        </w:rPr>
        <w:t>39</w:t>
      </w:r>
      <w:r>
        <w:rPr>
          <w:snapToGrid w:val="0"/>
        </w:rPr>
        <w:t>.</w:t>
      </w:r>
      <w:r>
        <w:rPr>
          <w:snapToGrid w:val="0"/>
        </w:rPr>
        <w:tab/>
        <w:t>Amusements with prizes at agricultural shows etc., matters prescribed for (Act s. 107(4))</w:t>
      </w:r>
      <w:bookmarkEnd w:id="12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22" w:name="_Toc189232177"/>
      <w:r>
        <w:rPr>
          <w:rStyle w:val="CharSectno"/>
        </w:rPr>
        <w:t>39A</w:t>
      </w:r>
      <w:r>
        <w:rPr>
          <w:snapToGrid w:val="0"/>
        </w:rPr>
        <w:t>.</w:t>
      </w:r>
      <w:r>
        <w:rPr>
          <w:snapToGrid w:val="0"/>
        </w:rPr>
        <w:tab/>
        <w:t>Amusements with prizes at sporting events etc., matters prescribed for (Act s. 107(1))</w:t>
      </w:r>
      <w:bookmarkEnd w:id="122"/>
    </w:p>
    <w:p>
      <w:pPr>
        <w:pStyle w:val="Subsection"/>
        <w:rPr>
          <w:snapToGrid w:val="0"/>
        </w:rPr>
      </w:pPr>
      <w:r>
        <w:rPr>
          <w:snapToGrid w:val="0"/>
        </w:rPr>
        <w:tab/>
      </w:r>
      <w:r>
        <w:rPr>
          <w:snapToGrid w:val="0"/>
        </w:rPr>
        <w:tab/>
        <w:t xml:space="preserve">For the purposes of section 107(1), an amusement with prizes which constitutes gaming or a lottery or both which is provided </w:t>
      </w:r>
      <w:r>
        <w:rPr>
          <w:snapToGrid w:val="0"/>
        </w:rPr>
        <w:lastRenderedPageBreak/>
        <w:t>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23" w:name="_Toc189232178"/>
      <w:r>
        <w:rPr>
          <w:rStyle w:val="CharSectno"/>
        </w:rPr>
        <w:t>40</w:t>
      </w:r>
      <w:r>
        <w:rPr>
          <w:snapToGrid w:val="0"/>
        </w:rPr>
        <w:t>.</w:t>
      </w:r>
      <w:r>
        <w:rPr>
          <w:snapToGrid w:val="0"/>
        </w:rPr>
        <w:tab/>
        <w:t>Minor fund raising activities (Act s. 108)</w:t>
      </w:r>
      <w:bookmarkEnd w:id="123"/>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24" w:name="_Toc189232179"/>
      <w:r>
        <w:rPr>
          <w:rStyle w:val="CharSectno"/>
        </w:rPr>
        <w:t>40A</w:t>
      </w:r>
      <w:r>
        <w:t>.</w:t>
      </w:r>
      <w:r>
        <w:tab/>
        <w:t>Football tipping competitions (Act s. 108)</w:t>
      </w:r>
      <w:bookmarkEnd w:id="12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25" w:name="_Toc189143637"/>
      <w:bookmarkStart w:id="126" w:name="_Toc189143722"/>
      <w:bookmarkStart w:id="127" w:name="_Toc189143807"/>
      <w:bookmarkStart w:id="128" w:name="_Toc189225785"/>
      <w:bookmarkStart w:id="129" w:name="_Toc189229118"/>
      <w:bookmarkStart w:id="130" w:name="_Toc189232180"/>
      <w:bookmarkStart w:id="131" w:name="_Toc189223692"/>
      <w:r>
        <w:rPr>
          <w:rStyle w:val="CharPartNo"/>
        </w:rPr>
        <w:lastRenderedPageBreak/>
        <w:t>Part 4A</w:t>
      </w:r>
      <w:r>
        <w:t> —</w:t>
      </w:r>
      <w:r>
        <w:rPr>
          <w:rStyle w:val="CharPartText"/>
        </w:rPr>
        <w:t> Consumer protection</w:t>
      </w:r>
      <w:bookmarkEnd w:id="125"/>
      <w:bookmarkEnd w:id="126"/>
      <w:bookmarkEnd w:id="127"/>
      <w:bookmarkEnd w:id="128"/>
      <w:bookmarkEnd w:id="129"/>
      <w:bookmarkEnd w:id="130"/>
    </w:p>
    <w:p>
      <w:pPr>
        <w:pStyle w:val="Footnoteheading"/>
      </w:pPr>
      <w:bookmarkStart w:id="132" w:name="_Toc189143638"/>
      <w:bookmarkStart w:id="133" w:name="_Toc189143723"/>
      <w:bookmarkStart w:id="134" w:name="_Toc189143808"/>
      <w:r>
        <w:tab/>
        <w:t>[Heading inserted: SL 2025/30 r. 6.]</w:t>
      </w:r>
    </w:p>
    <w:p>
      <w:pPr>
        <w:pStyle w:val="Heading3"/>
      </w:pPr>
      <w:bookmarkStart w:id="135" w:name="_Toc189225786"/>
      <w:bookmarkStart w:id="136" w:name="_Toc189229119"/>
      <w:bookmarkStart w:id="137" w:name="_Toc189232181"/>
      <w:r>
        <w:rPr>
          <w:rStyle w:val="CharDivNo"/>
        </w:rPr>
        <w:t>Division 1</w:t>
      </w:r>
      <w:r>
        <w:t> —</w:t>
      </w:r>
      <w:r>
        <w:rPr>
          <w:rStyle w:val="CharDivText"/>
        </w:rPr>
        <w:t> Preliminary</w:t>
      </w:r>
      <w:bookmarkEnd w:id="132"/>
      <w:bookmarkEnd w:id="133"/>
      <w:bookmarkEnd w:id="134"/>
      <w:bookmarkEnd w:id="135"/>
      <w:bookmarkEnd w:id="136"/>
      <w:bookmarkEnd w:id="137"/>
    </w:p>
    <w:p>
      <w:pPr>
        <w:pStyle w:val="Footnoteheading"/>
      </w:pPr>
      <w:bookmarkStart w:id="138" w:name="_Toc189143639"/>
      <w:bookmarkStart w:id="139" w:name="_Toc189143809"/>
      <w:r>
        <w:tab/>
        <w:t>[Heading inserted: SL 2025/30 r. 6.]</w:t>
      </w:r>
    </w:p>
    <w:p>
      <w:pPr>
        <w:pStyle w:val="Heading5"/>
      </w:pPr>
      <w:bookmarkStart w:id="140" w:name="_Toc189232182"/>
      <w:r>
        <w:rPr>
          <w:rStyle w:val="CharSectno"/>
        </w:rPr>
        <w:t>40B</w:t>
      </w:r>
      <w:r>
        <w:t>.</w:t>
      </w:r>
      <w:r>
        <w:tab/>
        <w:t>Purpose of Part</w:t>
      </w:r>
      <w:bookmarkEnd w:id="138"/>
      <w:bookmarkEnd w:id="139"/>
      <w:bookmarkEnd w:id="140"/>
    </w:p>
    <w:p>
      <w:pPr>
        <w:pStyle w:val="Subsection"/>
      </w:pPr>
      <w:r>
        <w:tab/>
      </w:r>
      <w:r>
        <w:tab/>
        <w:t>The purpose of this Part is to give effect to the National Consumer Protection Framework for Online Wagering in Australia — National Policy Statement.</w:t>
      </w:r>
    </w:p>
    <w:p>
      <w:pPr>
        <w:pStyle w:val="Footnotesection"/>
      </w:pPr>
      <w:bookmarkStart w:id="141" w:name="_Toc189143640"/>
      <w:bookmarkStart w:id="142" w:name="_Toc189143810"/>
      <w:r>
        <w:tab/>
        <w:t>[Regulation 40B inserted: SL 2025/30 r. 6.]</w:t>
      </w:r>
    </w:p>
    <w:p>
      <w:pPr>
        <w:pStyle w:val="Heading5"/>
      </w:pPr>
      <w:bookmarkStart w:id="143" w:name="_Toc189232183"/>
      <w:r>
        <w:rPr>
          <w:rStyle w:val="CharSectno"/>
        </w:rPr>
        <w:t>40C</w:t>
      </w:r>
      <w:r>
        <w:t>.</w:t>
      </w:r>
      <w:r>
        <w:tab/>
        <w:t>Application of Part</w:t>
      </w:r>
      <w:bookmarkEnd w:id="141"/>
      <w:bookmarkEnd w:id="142"/>
      <w:bookmarkEnd w:id="143"/>
    </w:p>
    <w:p>
      <w:pPr>
        <w:pStyle w:val="Subsection"/>
      </w:pPr>
      <w:r>
        <w:tab/>
      </w:r>
      <w:r>
        <w:tab/>
        <w:t>This Part applies to RWWA in relation to RWWA providing interactive wagering services in carrying out its functions under the RWWA Act Part 5.</w:t>
      </w:r>
    </w:p>
    <w:p>
      <w:pPr>
        <w:pStyle w:val="Footnotesection"/>
      </w:pPr>
      <w:bookmarkStart w:id="144" w:name="_Toc189143641"/>
      <w:bookmarkStart w:id="145" w:name="_Toc189143811"/>
      <w:r>
        <w:tab/>
        <w:t>[Regulation 40C inserted: SL 2025/30 r. 6.]</w:t>
      </w:r>
    </w:p>
    <w:p>
      <w:pPr>
        <w:pStyle w:val="Heading5"/>
      </w:pPr>
      <w:bookmarkStart w:id="146" w:name="_Toc189232184"/>
      <w:r>
        <w:rPr>
          <w:rStyle w:val="CharSectno"/>
        </w:rPr>
        <w:t>40D</w:t>
      </w:r>
      <w:r>
        <w:t>.</w:t>
      </w:r>
      <w:r>
        <w:tab/>
        <w:t>Terms used</w:t>
      </w:r>
      <w:bookmarkEnd w:id="144"/>
      <w:bookmarkEnd w:id="145"/>
      <w:bookmarkEnd w:id="146"/>
    </w:p>
    <w:p>
      <w:pPr>
        <w:pStyle w:val="Subsection"/>
      </w:pPr>
      <w:r>
        <w:tab/>
      </w:r>
      <w:r>
        <w:tab/>
        <w:t xml:space="preserve">In this Part — </w:t>
      </w:r>
    </w:p>
    <w:p>
      <w:pPr>
        <w:pStyle w:val="Defstart"/>
      </w:pPr>
      <w:r>
        <w:tab/>
      </w:r>
      <w:r>
        <w:rPr>
          <w:rStyle w:val="CharDefText"/>
        </w:rPr>
        <w:t>account</w:t>
      </w:r>
      <w:r>
        <w:t xml:space="preserve"> means a wagering account established with RWWA under the RWWA Act section 64(1);</w:t>
      </w:r>
    </w:p>
    <w:p>
      <w:pPr>
        <w:pStyle w:val="Defstart"/>
      </w:pPr>
      <w:r>
        <w:tab/>
      </w:r>
      <w:r>
        <w:rPr>
          <w:rStyle w:val="CharDefText"/>
        </w:rPr>
        <w:t>account holder</w:t>
      </w:r>
      <w:r>
        <w:t>, in relation to RWWA, means a person who holds an account with RWWA;</w:t>
      </w:r>
    </w:p>
    <w:p>
      <w:pPr>
        <w:pStyle w:val="Defstart"/>
      </w:pPr>
      <w:r>
        <w:tab/>
      </w:r>
      <w:r>
        <w:rPr>
          <w:rStyle w:val="CharDefText"/>
        </w:rPr>
        <w:t>deposit limit</w:t>
      </w:r>
      <w:r>
        <w:t>, in relation to an account, means the maximum amount of money the account holder may deposit into the account in a particular period;</w:t>
      </w:r>
    </w:p>
    <w:p>
      <w:pPr>
        <w:pStyle w:val="Defstart"/>
      </w:pPr>
      <w:r>
        <w:tab/>
      </w:r>
      <w:r>
        <w:rPr>
          <w:rStyle w:val="CharDefText"/>
        </w:rPr>
        <w:t>interactive wagering service</w:t>
      </w:r>
      <w:r>
        <w:t xml:space="preserve"> means a wagering service that enables a person to wager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lastRenderedPageBreak/>
        <w:tab/>
        <w:t>(d)</w:t>
      </w:r>
      <w:r>
        <w:tab/>
        <w:t>a datacasting service; or</w:t>
      </w:r>
    </w:p>
    <w:p>
      <w:pPr>
        <w:pStyle w:val="Defpara"/>
      </w:pPr>
      <w:r>
        <w:tab/>
        <w:t>(e)</w:t>
      </w:r>
      <w:r>
        <w:tab/>
        <w:t>a broadcasting service;</w:t>
      </w:r>
    </w:p>
    <w:p>
      <w:pPr>
        <w:pStyle w:val="Defstart"/>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RWWA key employee</w:t>
      </w:r>
      <w:r>
        <w:t xml:space="preserve"> has the meaning given in the RWWA Act section 24(2);</w:t>
      </w:r>
    </w:p>
    <w:p>
      <w:pPr>
        <w:pStyle w:val="Defstart"/>
      </w:pPr>
      <w:r>
        <w:tab/>
      </w:r>
      <w:r>
        <w:rPr>
          <w:rStyle w:val="CharDefText"/>
        </w:rPr>
        <w:t>transaction</w:t>
      </w:r>
      <w:r>
        <w:t xml:space="preserve">, in relation to an account, means — </w:t>
      </w:r>
    </w:p>
    <w:p>
      <w:pPr>
        <w:pStyle w:val="Defpara"/>
      </w:pPr>
      <w:r>
        <w:tab/>
        <w:t>(a)</w:t>
      </w:r>
      <w:r>
        <w:tab/>
        <w:t>a deposit into the account; or</w:t>
      </w:r>
    </w:p>
    <w:p>
      <w:pPr>
        <w:pStyle w:val="Defpara"/>
      </w:pPr>
      <w:r>
        <w:tab/>
        <w:t>(b)</w:t>
      </w:r>
      <w:r>
        <w:tab/>
        <w:t>a withdrawal from the account; or</w:t>
      </w:r>
    </w:p>
    <w:p>
      <w:pPr>
        <w:pStyle w:val="Defpara"/>
      </w:pPr>
      <w:r>
        <w:tab/>
        <w:t>(c)</w:t>
      </w:r>
      <w:r>
        <w:tab/>
        <w:t>a wager made using the account.</w:t>
      </w:r>
    </w:p>
    <w:p>
      <w:pPr>
        <w:pStyle w:val="Footnotesection"/>
      </w:pPr>
      <w:bookmarkStart w:id="147" w:name="_Toc189143642"/>
      <w:bookmarkStart w:id="148" w:name="_Toc189143812"/>
      <w:r>
        <w:tab/>
        <w:t>[Regulation 40D inserted: SL 2025/30 r. 6.]</w:t>
      </w:r>
    </w:p>
    <w:p>
      <w:pPr>
        <w:pStyle w:val="Heading5"/>
      </w:pPr>
      <w:bookmarkStart w:id="149" w:name="_Toc189232185"/>
      <w:r>
        <w:rPr>
          <w:rStyle w:val="CharSectno"/>
        </w:rPr>
        <w:t>40E</w:t>
      </w:r>
      <w:r>
        <w:t>.</w:t>
      </w:r>
      <w:r>
        <w:tab/>
        <w:t>Liability of RWWA</w:t>
      </w:r>
      <w:bookmarkEnd w:id="147"/>
      <w:bookmarkEnd w:id="148"/>
      <w:bookmarkEnd w:id="149"/>
    </w:p>
    <w:p>
      <w:pPr>
        <w:pStyle w:val="Subsection"/>
      </w:pPr>
      <w:r>
        <w:tab/>
        <w:t>(1)</w:t>
      </w:r>
      <w:r>
        <w:tab/>
        <w:t xml:space="preserve">In this regulation — </w:t>
      </w:r>
    </w:p>
    <w:p>
      <w:pPr>
        <w:pStyle w:val="Defstart"/>
      </w:pPr>
      <w:r>
        <w:tab/>
      </w:r>
      <w:r>
        <w:rPr>
          <w:rStyle w:val="CharDefText"/>
        </w:rPr>
        <w:t>responsible person</w:t>
      </w:r>
      <w:r>
        <w:t xml:space="preserve">, of RWWA, means — </w:t>
      </w:r>
    </w:p>
    <w:p>
      <w:pPr>
        <w:pStyle w:val="Defpara"/>
      </w:pPr>
      <w:r>
        <w:tab/>
        <w:t>(a)</w:t>
      </w:r>
      <w:r>
        <w:tab/>
        <w:t>a person who is the CEO, a director, a RWWA key employee or other staff member, or contractor of RWWA; or</w:t>
      </w:r>
    </w:p>
    <w:p>
      <w:pPr>
        <w:pStyle w:val="Defpara"/>
      </w:pPr>
      <w:r>
        <w:tab/>
        <w:t>(b)</w:t>
      </w:r>
      <w:r>
        <w:tab/>
        <w:t>a person, other than a person referred to in paragraph (a), who is engaged in providing RWWA’s interactive wagering services, including being involved in decisions affecting the provision of those services.</w:t>
      </w:r>
    </w:p>
    <w:p>
      <w:pPr>
        <w:pStyle w:val="Subsection"/>
        <w:keepNext/>
      </w:pPr>
      <w:r>
        <w:tab/>
        <w:t>(2)</w:t>
      </w:r>
      <w:r>
        <w:tab/>
        <w:t xml:space="preserve">If a responsible person of RWWA does an act or makes an omission that would constitute an offence under this Part if the act or omission were done or made by RWWA, RWWA is </w:t>
      </w:r>
      <w:r>
        <w:lastRenderedPageBreak/>
        <w:t>taken to have committed the offence and is liable to the penalty prescribed for the offence.</w:t>
      </w:r>
    </w:p>
    <w:p>
      <w:pPr>
        <w:pStyle w:val="Footnotesection"/>
      </w:pPr>
      <w:bookmarkStart w:id="150" w:name="_Toc189143643"/>
      <w:bookmarkStart w:id="151" w:name="_Toc189143728"/>
      <w:bookmarkStart w:id="152" w:name="_Toc189143813"/>
      <w:r>
        <w:tab/>
        <w:t>[Regulation 40E inserted: SL 2025/30 r. 6.]</w:t>
      </w:r>
    </w:p>
    <w:p>
      <w:pPr>
        <w:pStyle w:val="Heading3"/>
      </w:pPr>
      <w:bookmarkStart w:id="153" w:name="_Toc189225791"/>
      <w:bookmarkStart w:id="154" w:name="_Toc189229124"/>
      <w:bookmarkStart w:id="155" w:name="_Toc189232186"/>
      <w:r>
        <w:rPr>
          <w:rStyle w:val="CharDivNo"/>
        </w:rPr>
        <w:t>Division 2</w:t>
      </w:r>
      <w:r>
        <w:t> —</w:t>
      </w:r>
      <w:r>
        <w:rPr>
          <w:rStyle w:val="CharDivText"/>
        </w:rPr>
        <w:t> Inducements and direct marketing</w:t>
      </w:r>
      <w:bookmarkEnd w:id="150"/>
      <w:bookmarkEnd w:id="151"/>
      <w:bookmarkEnd w:id="152"/>
      <w:bookmarkEnd w:id="153"/>
      <w:bookmarkEnd w:id="154"/>
      <w:bookmarkEnd w:id="155"/>
    </w:p>
    <w:p>
      <w:pPr>
        <w:pStyle w:val="Footnoteheading"/>
      </w:pPr>
      <w:bookmarkStart w:id="156" w:name="_Toc189143644"/>
      <w:bookmarkStart w:id="157" w:name="_Toc189143814"/>
      <w:r>
        <w:tab/>
        <w:t>[Heading inserted: SL 2025/30 r. 6.]</w:t>
      </w:r>
    </w:p>
    <w:p>
      <w:pPr>
        <w:pStyle w:val="Heading5"/>
      </w:pPr>
      <w:bookmarkStart w:id="158" w:name="_Toc189232187"/>
      <w:r>
        <w:rPr>
          <w:rStyle w:val="CharSectno"/>
        </w:rPr>
        <w:t>40F</w:t>
      </w:r>
      <w:r>
        <w:t>.</w:t>
      </w:r>
      <w:r>
        <w:tab/>
        <w:t>Inducements prohibited in relation to establishing accounts</w:t>
      </w:r>
      <w:bookmarkEnd w:id="156"/>
      <w:bookmarkEnd w:id="157"/>
      <w:bookmarkEnd w:id="158"/>
    </w:p>
    <w:p>
      <w:pPr>
        <w:pStyle w:val="Subsection"/>
      </w:pPr>
      <w:r>
        <w:tab/>
      </w:r>
      <w:r>
        <w:tab/>
        <w:t xml:space="preserve">RWWA must not offer any credit, voucher, reward or other benefit as an inducement for a person — </w:t>
      </w:r>
    </w:p>
    <w:p>
      <w:pPr>
        <w:pStyle w:val="Indenta"/>
      </w:pPr>
      <w:r>
        <w:tab/>
        <w:t>(a)</w:t>
      </w:r>
      <w:r>
        <w:tab/>
        <w:t>to establish an account with RWWA; or</w:t>
      </w:r>
    </w:p>
    <w:p>
      <w:pPr>
        <w:pStyle w:val="Indenta"/>
      </w:pPr>
      <w:r>
        <w:tab/>
        <w:t>(b)</w:t>
      </w:r>
      <w:r>
        <w:tab/>
        <w:t>to refer another person to establish an account with RWWA.</w:t>
      </w:r>
    </w:p>
    <w:p>
      <w:pPr>
        <w:pStyle w:val="Penstart"/>
      </w:pPr>
      <w:r>
        <w:tab/>
        <w:t>Penalty: a fine of $1 000.</w:t>
      </w:r>
    </w:p>
    <w:p>
      <w:pPr>
        <w:pStyle w:val="Footnotesection"/>
      </w:pPr>
      <w:bookmarkStart w:id="159" w:name="_Toc189143645"/>
      <w:bookmarkStart w:id="160" w:name="_Toc189143815"/>
      <w:r>
        <w:tab/>
        <w:t>[Regulation 40F inserted: SL 2025/30 r. 6.]</w:t>
      </w:r>
    </w:p>
    <w:p>
      <w:pPr>
        <w:pStyle w:val="Heading5"/>
      </w:pPr>
      <w:bookmarkStart w:id="161" w:name="_Toc189232188"/>
      <w:r>
        <w:rPr>
          <w:rStyle w:val="CharSectno"/>
        </w:rPr>
        <w:t>40G</w:t>
      </w:r>
      <w:r>
        <w:t>.</w:t>
      </w:r>
      <w:r>
        <w:tab/>
        <w:t>Complimentary betting credits and tokens</w:t>
      </w:r>
      <w:bookmarkEnd w:id="159"/>
      <w:bookmarkEnd w:id="160"/>
      <w:bookmarkEnd w:id="161"/>
    </w:p>
    <w:p>
      <w:pPr>
        <w:pStyle w:val="Subsection"/>
      </w:pPr>
      <w:r>
        <w:tab/>
      </w:r>
      <w:r>
        <w:tab/>
        <w:t xml:space="preserve">RWWA must not offer or give a complimentary betting credit or token (including a thing commonly known as a bonus bet or matched bet) to an account holder unless — </w:t>
      </w:r>
    </w:p>
    <w:p>
      <w:pPr>
        <w:pStyle w:val="Indenta"/>
      </w:pPr>
      <w:r>
        <w:tab/>
        <w:t>(a)</w:t>
      </w:r>
      <w:r>
        <w:tab/>
        <w:t>the holder can withdraw from their account winnings from a wager placed with the credit or token; and</w:t>
      </w:r>
    </w:p>
    <w:p>
      <w:pPr>
        <w:pStyle w:val="Indenta"/>
      </w:pPr>
      <w:r>
        <w:tab/>
        <w:t>(b)</w:t>
      </w:r>
      <w:r>
        <w:tab/>
        <w:t>the withdrawal is not subject to a requirement that the holder continue to wager with the winnings.</w:t>
      </w:r>
    </w:p>
    <w:p>
      <w:pPr>
        <w:pStyle w:val="Penstart"/>
      </w:pPr>
      <w:r>
        <w:tab/>
        <w:t>Penalty: a fine of $1 000.</w:t>
      </w:r>
    </w:p>
    <w:p>
      <w:pPr>
        <w:pStyle w:val="Footnotesection"/>
      </w:pPr>
      <w:bookmarkStart w:id="162" w:name="_Toc189143646"/>
      <w:bookmarkStart w:id="163" w:name="_Toc189143816"/>
      <w:r>
        <w:tab/>
        <w:t>[Regulation 40G inserted: SL 2025/30 r. 6.]</w:t>
      </w:r>
    </w:p>
    <w:p>
      <w:pPr>
        <w:pStyle w:val="Heading5"/>
      </w:pPr>
      <w:bookmarkStart w:id="164" w:name="_Toc189232189"/>
      <w:r>
        <w:rPr>
          <w:rStyle w:val="CharSectno"/>
        </w:rPr>
        <w:lastRenderedPageBreak/>
        <w:t>40H</w:t>
      </w:r>
      <w:r>
        <w:t>.</w:t>
      </w:r>
      <w:r>
        <w:tab/>
        <w:t>Direct marketing</w:t>
      </w:r>
      <w:bookmarkEnd w:id="162"/>
      <w:bookmarkEnd w:id="163"/>
      <w:bookmarkEnd w:id="164"/>
      <w:r>
        <w:t xml:space="preserve"> </w:t>
      </w:r>
    </w:p>
    <w:p>
      <w:pPr>
        <w:pStyle w:val="Subsection"/>
        <w:keepNext/>
      </w:pPr>
      <w:r>
        <w:tab/>
        <w:t>(1)</w:t>
      </w:r>
      <w:r>
        <w:tab/>
        <w:t xml:space="preserve">RWWA must not send promotional or advertising material directly to an account holder unless — </w:t>
      </w:r>
    </w:p>
    <w:p>
      <w:pPr>
        <w:pStyle w:val="Indenta"/>
      </w:pPr>
      <w:r>
        <w:tab/>
        <w:t>(a)</w:t>
      </w:r>
      <w:r>
        <w:tab/>
        <w:t>the holder has given RWWA express consent to receive promotional or advertising material directly and has not withdrawn their consent; and</w:t>
      </w:r>
    </w:p>
    <w:p>
      <w:pPr>
        <w:pStyle w:val="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pPr>
        <w:pStyle w:val="Indenta"/>
      </w:pPr>
      <w:r>
        <w:tab/>
        <w:t>(c)</w:t>
      </w:r>
      <w:r>
        <w:tab/>
        <w:t>if the promotional or advertising material is sent other than by email — RWWA gives the holder a means by which the holder can easily withdraw their consent or opt out of receiving promotional or advertising material directly.</w:t>
      </w:r>
    </w:p>
    <w:p>
      <w:pPr>
        <w:pStyle w:val="Penstart"/>
      </w:pPr>
      <w:r>
        <w:tab/>
        <w:t>Penalty for this subregulation: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RWWA to close their account — 24 hours after the request was made; or</w:t>
      </w:r>
    </w:p>
    <w:p>
      <w:pPr>
        <w:pStyle w:val="Indenta"/>
      </w:pPr>
      <w:r>
        <w:tab/>
        <w:t>(b)</w:t>
      </w:r>
      <w:r>
        <w:tab/>
        <w:t>if the holder does not access their account for a period of 12 months — at the end of that period.</w:t>
      </w:r>
    </w:p>
    <w:p>
      <w:pPr>
        <w:pStyle w:val="Subsection"/>
      </w:pPr>
      <w:r>
        <w:tab/>
        <w:t>(3)</w:t>
      </w:r>
      <w:r>
        <w:tab/>
        <w:t xml:space="preserve">RWWA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a fine of $1 000.</w:t>
      </w:r>
    </w:p>
    <w:p>
      <w:pPr>
        <w:pStyle w:val="Subsection"/>
      </w:pPr>
      <w:r>
        <w:lastRenderedPageBreak/>
        <w:tab/>
        <w:t>(4)</w:t>
      </w:r>
      <w:r>
        <w:tab/>
        <w:t xml:space="preserve">RWWA must not require a person to consent to receive promotional or advertising material directly in order to — </w:t>
      </w:r>
    </w:p>
    <w:p>
      <w:pPr>
        <w:pStyle w:val="Indenta"/>
      </w:pPr>
      <w:r>
        <w:tab/>
        <w:t>(a)</w:t>
      </w:r>
      <w:r>
        <w:tab/>
        <w:t>establish an account with RWWA; or</w:t>
      </w:r>
    </w:p>
    <w:p>
      <w:pPr>
        <w:pStyle w:val="Indenta"/>
      </w:pPr>
      <w:r>
        <w:tab/>
        <w:t>(b)</w:t>
      </w:r>
      <w:r>
        <w:tab/>
        <w:t xml:space="preserve">if the person is an account holder — </w:t>
      </w:r>
    </w:p>
    <w:p>
      <w:pPr>
        <w:pStyle w:val="Indenti"/>
      </w:pPr>
      <w:r>
        <w:tab/>
        <w:t>(i)</w:t>
      </w:r>
      <w:r>
        <w:tab/>
        <w:t>access their account; or</w:t>
      </w:r>
    </w:p>
    <w:p>
      <w:pPr>
        <w:pStyle w:val="Indenti"/>
      </w:pPr>
      <w:r>
        <w:tab/>
        <w:t>(ii)</w:t>
      </w:r>
      <w:r>
        <w:tab/>
        <w:t>use their account; or</w:t>
      </w:r>
    </w:p>
    <w:p>
      <w:pPr>
        <w:pStyle w:val="Indenti"/>
      </w:pPr>
      <w:r>
        <w:tab/>
        <w:t>(iii)</w:t>
      </w:r>
      <w:r>
        <w:tab/>
        <w:t>use a function associated with their account.</w:t>
      </w:r>
    </w:p>
    <w:p>
      <w:pPr>
        <w:pStyle w:val="Penstart"/>
      </w:pPr>
      <w:r>
        <w:tab/>
        <w:t>Penalty for this subregulation: a fine of $1 000.</w:t>
      </w:r>
    </w:p>
    <w:p>
      <w:pPr>
        <w:pStyle w:val="Subsection"/>
      </w:pPr>
      <w:r>
        <w:tab/>
        <w:t>(5)</w:t>
      </w:r>
      <w:r>
        <w:tab/>
        <w:t xml:space="preserve">In this regulation — </w:t>
      </w:r>
    </w:p>
    <w:p>
      <w:pPr>
        <w:pStyle w:val="Indenta"/>
      </w:pPr>
      <w:r>
        <w:tab/>
        <w:t>(a)</w:t>
      </w:r>
      <w:r>
        <w:tab/>
        <w:t>a reference to RWWA sending promotional or advertising material directly to an account holder includes a reference to RWWA,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r>
        <w:tab/>
        <w:t>[Regulation 40H inserted: SL 2025/30 r. 6.]</w:t>
      </w:r>
    </w:p>
    <w:p>
      <w:pPr>
        <w:pStyle w:val="Heading3"/>
      </w:pPr>
      <w:bookmarkStart w:id="165" w:name="_Toc189143647"/>
      <w:bookmarkStart w:id="166" w:name="_Toc189143732"/>
      <w:bookmarkStart w:id="167" w:name="_Toc189143817"/>
      <w:bookmarkStart w:id="168" w:name="_Toc189225795"/>
      <w:bookmarkStart w:id="169" w:name="_Toc189229128"/>
      <w:bookmarkStart w:id="170" w:name="_Toc189232190"/>
      <w:r>
        <w:rPr>
          <w:rStyle w:val="CharDivNo"/>
        </w:rPr>
        <w:t>Division 3</w:t>
      </w:r>
      <w:r>
        <w:t> —</w:t>
      </w:r>
      <w:r>
        <w:rPr>
          <w:rStyle w:val="CharDivText"/>
        </w:rPr>
        <w:t> Closing accounts</w:t>
      </w:r>
      <w:bookmarkEnd w:id="165"/>
      <w:bookmarkEnd w:id="166"/>
      <w:bookmarkEnd w:id="167"/>
      <w:bookmarkEnd w:id="168"/>
      <w:bookmarkEnd w:id="169"/>
      <w:bookmarkEnd w:id="170"/>
    </w:p>
    <w:p>
      <w:pPr>
        <w:pStyle w:val="Footnoteheading"/>
      </w:pPr>
      <w:bookmarkStart w:id="171" w:name="_Toc189143648"/>
      <w:bookmarkStart w:id="172" w:name="_Toc189143818"/>
      <w:r>
        <w:tab/>
        <w:t>[Heading inserted: SL 2025/30 r. 6.]</w:t>
      </w:r>
    </w:p>
    <w:p>
      <w:pPr>
        <w:pStyle w:val="Heading5"/>
      </w:pPr>
      <w:bookmarkStart w:id="173" w:name="_Toc189232191"/>
      <w:r>
        <w:rPr>
          <w:rStyle w:val="CharSectno"/>
        </w:rPr>
        <w:t>40I</w:t>
      </w:r>
      <w:r>
        <w:t>.</w:t>
      </w:r>
      <w:r>
        <w:tab/>
        <w:t>Process for closing accounts</w:t>
      </w:r>
      <w:bookmarkEnd w:id="171"/>
      <w:bookmarkEnd w:id="172"/>
      <w:bookmarkEnd w:id="173"/>
    </w:p>
    <w:p>
      <w:pPr>
        <w:pStyle w:val="Subsection"/>
      </w:pPr>
      <w:r>
        <w:tab/>
        <w:t>(1)</w:t>
      </w:r>
      <w:r>
        <w:tab/>
        <w:t>RWWA must ensure that the process for closing an account is simple and easy for a reasonable person to use.</w:t>
      </w:r>
    </w:p>
    <w:p>
      <w:pPr>
        <w:pStyle w:val="Penstart"/>
      </w:pPr>
      <w:r>
        <w:tab/>
        <w:t>Penalty for this subregulation: a fine of $1 000.</w:t>
      </w:r>
    </w:p>
    <w:p>
      <w:pPr>
        <w:pStyle w:val="Subsection"/>
        <w:keepNext/>
      </w:pPr>
      <w:r>
        <w:lastRenderedPageBreak/>
        <w:tab/>
        <w:t>(2)</w:t>
      </w:r>
      <w:r>
        <w:tab/>
        <w:t xml:space="preserve">RWWA must ensure that the process for closing an account allows the holder to close the account by — </w:t>
      </w:r>
    </w:p>
    <w:p>
      <w:pPr>
        <w:pStyle w:val="Indenta"/>
      </w:pPr>
      <w:r>
        <w:tab/>
        <w:t>(a)</w:t>
      </w:r>
      <w:r>
        <w:tab/>
        <w:t>telephone; or</w:t>
      </w:r>
    </w:p>
    <w:p>
      <w:pPr>
        <w:pStyle w:val="Indenta"/>
      </w:pPr>
      <w:r>
        <w:tab/>
        <w:t>(b)</w:t>
      </w:r>
      <w:r>
        <w:tab/>
        <w:t>email; or</w:t>
      </w:r>
    </w:p>
    <w:p>
      <w:pPr>
        <w:pStyle w:val="Indenta"/>
      </w:pPr>
      <w:r>
        <w:tab/>
        <w:t>(c)</w:t>
      </w:r>
      <w:r>
        <w:tab/>
        <w:t>any other means by which the holder may use the account to wager.</w:t>
      </w:r>
    </w:p>
    <w:p>
      <w:pPr>
        <w:pStyle w:val="Penstart"/>
      </w:pPr>
      <w:r>
        <w:tab/>
        <w:t>Penalty for this subregulation: a fine of $1 000.</w:t>
      </w:r>
    </w:p>
    <w:p>
      <w:pPr>
        <w:pStyle w:val="Subsection"/>
      </w:pPr>
      <w:r>
        <w:tab/>
        <w:t>(3)</w:t>
      </w:r>
      <w:r>
        <w:tab/>
        <w:t xml:space="preserve">RWWA must prominently display the process for closing an account — </w:t>
      </w:r>
    </w:p>
    <w:p>
      <w:pPr>
        <w:pStyle w:val="Indenta"/>
      </w:pPr>
      <w:r>
        <w:tab/>
        <w:t>(a)</w:t>
      </w:r>
      <w:r>
        <w:tab/>
        <w:t>on RWWA’s website; and</w:t>
      </w:r>
    </w:p>
    <w:p>
      <w:pPr>
        <w:pStyle w:val="Indenta"/>
      </w:pPr>
      <w:r>
        <w:tab/>
        <w:t>(b)</w:t>
      </w:r>
      <w:r>
        <w:tab/>
        <w:t>if an account holder is able to access their account using the Internet — at the location on the Internet at which the holder accesses the account.</w:t>
      </w:r>
    </w:p>
    <w:p>
      <w:pPr>
        <w:pStyle w:val="Penstart"/>
      </w:pPr>
      <w:r>
        <w:tab/>
        <w:t>Penalty for this subregulation: a fine of $1 000.</w:t>
      </w:r>
    </w:p>
    <w:p>
      <w:pPr>
        <w:pStyle w:val="Subsection"/>
      </w:pPr>
      <w:r>
        <w:tab/>
        <w:t>(4)</w:t>
      </w:r>
      <w:r>
        <w:tab/>
        <w:t>Subregulation (5) applies if an account holder’s account only allows the holder to use the account to place a bet using a telephone.</w:t>
      </w:r>
    </w:p>
    <w:p>
      <w:pPr>
        <w:pStyle w:val="Subsection"/>
      </w:pPr>
      <w:r>
        <w:tab/>
        <w:t>(5)</w:t>
      </w:r>
      <w:r>
        <w:tab/>
        <w:t>If the account holder so requests by telephone, RWWA must, by telephone, give the holder details of the process for closing the account.</w:t>
      </w:r>
    </w:p>
    <w:p>
      <w:pPr>
        <w:pStyle w:val="Penstart"/>
      </w:pPr>
      <w:r>
        <w:tab/>
        <w:t>Penalty for this subregulation: a fine of $1 000.</w:t>
      </w:r>
    </w:p>
    <w:p>
      <w:pPr>
        <w:pStyle w:val="Footnotesection"/>
      </w:pPr>
      <w:bookmarkStart w:id="174" w:name="_Toc189143649"/>
      <w:bookmarkStart w:id="175" w:name="_Toc189143819"/>
      <w:r>
        <w:tab/>
        <w:t>[Regulation 40I inserted: SL 2025/30 r. 6.]</w:t>
      </w:r>
    </w:p>
    <w:p>
      <w:pPr>
        <w:pStyle w:val="Heading5"/>
      </w:pPr>
      <w:bookmarkStart w:id="176" w:name="_Toc189232192"/>
      <w:r>
        <w:rPr>
          <w:rStyle w:val="CharSectno"/>
        </w:rPr>
        <w:t>40J</w:t>
      </w:r>
      <w:r>
        <w:t>.</w:t>
      </w:r>
      <w:r>
        <w:tab/>
        <w:t>Account closure</w:t>
      </w:r>
      <w:bookmarkEnd w:id="174"/>
      <w:bookmarkEnd w:id="175"/>
      <w:bookmarkEnd w:id="176"/>
    </w:p>
    <w:p>
      <w:pPr>
        <w:pStyle w:val="Subsection"/>
      </w:pPr>
      <w:r>
        <w:tab/>
      </w:r>
      <w:r>
        <w:tab/>
        <w:t xml:space="preserve">If an account holder requests that RWWA close their account, RWWA must — </w:t>
      </w:r>
    </w:p>
    <w:p>
      <w:pPr>
        <w:pStyle w:val="Indenta"/>
      </w:pPr>
      <w:r>
        <w:tab/>
        <w:t>(a)</w:t>
      </w:r>
      <w:r>
        <w:tab/>
        <w:t>immediately cease to accept new wagers from the holder; and</w:t>
      </w:r>
    </w:p>
    <w:p>
      <w:pPr>
        <w:pStyle w:val="Indenta"/>
        <w:keepNext/>
      </w:pPr>
      <w:r>
        <w:lastRenderedPageBreak/>
        <w:tab/>
        <w:t>(b)</w:t>
      </w:r>
      <w:r>
        <w:tab/>
        <w:t>close the account as soon as practicable after any existing wager is settled.</w:t>
      </w:r>
    </w:p>
    <w:p>
      <w:pPr>
        <w:pStyle w:val="Penstart"/>
        <w:keepNext/>
      </w:pPr>
      <w:r>
        <w:tab/>
        <w:t>Penalty: a fine of $1 000.</w:t>
      </w:r>
    </w:p>
    <w:p>
      <w:pPr>
        <w:pStyle w:val="Footnotesection"/>
      </w:pPr>
      <w:bookmarkStart w:id="177" w:name="_Toc189143650"/>
      <w:bookmarkStart w:id="178" w:name="_Toc189143820"/>
      <w:r>
        <w:tab/>
        <w:t>[Regulation 40J inserted: SL 2025/30 r. 6.]</w:t>
      </w:r>
    </w:p>
    <w:p>
      <w:pPr>
        <w:pStyle w:val="Heading5"/>
      </w:pPr>
      <w:bookmarkStart w:id="179" w:name="_Toc189232193"/>
      <w:r>
        <w:rPr>
          <w:rStyle w:val="CharSectno"/>
        </w:rPr>
        <w:t>40K</w:t>
      </w:r>
      <w:r>
        <w:t>.</w:t>
      </w:r>
      <w:r>
        <w:tab/>
        <w:t>Inducements and encouragement prohibited in relation to closing accounts</w:t>
      </w:r>
      <w:bookmarkEnd w:id="177"/>
      <w:bookmarkEnd w:id="178"/>
      <w:bookmarkEnd w:id="179"/>
    </w:p>
    <w:p>
      <w:pPr>
        <w:pStyle w:val="Subsection"/>
      </w:pPr>
      <w:r>
        <w:tab/>
        <w:t>(1)</w:t>
      </w:r>
      <w:r>
        <w:tab/>
        <w:t xml:space="preserve">If an account holder asks RWWA to close their account, RWWA must not — </w:t>
      </w:r>
    </w:p>
    <w:p>
      <w:pPr>
        <w:pStyle w:val="Indenta"/>
      </w:pPr>
      <w:r>
        <w:tab/>
        <w:t>(a)</w:t>
      </w:r>
      <w:r>
        <w:tab/>
        <w:t>offer any credit, voucher, reward or other benefit as an inducement for the holder to not close their account; or</w:t>
      </w:r>
    </w:p>
    <w:p>
      <w:pPr>
        <w:pStyle w:val="Indenta"/>
      </w:pPr>
      <w:r>
        <w:tab/>
        <w:t>(b)</w:t>
      </w:r>
      <w:r>
        <w:tab/>
        <w:t>encourage the holder to not close their account.</w:t>
      </w:r>
    </w:p>
    <w:p>
      <w:pPr>
        <w:pStyle w:val="Penstart"/>
      </w:pPr>
      <w:r>
        <w:tab/>
        <w:t>Penalty for this subregulation: a fine of $1 000.</w:t>
      </w:r>
    </w:p>
    <w:p>
      <w:pPr>
        <w:pStyle w:val="Subsection"/>
      </w:pPr>
      <w:r>
        <w:tab/>
        <w:t>(2)</w:t>
      </w:r>
      <w:r>
        <w:tab/>
        <w:t xml:space="preserve">RWWA does not contravene subregulation (1) if RWWA merely — </w:t>
      </w:r>
    </w:p>
    <w:p>
      <w:pPr>
        <w:pStyle w:val="Indenta"/>
      </w:pPr>
      <w:r>
        <w:tab/>
        <w:t>(a)</w:t>
      </w:r>
      <w:r>
        <w:tab/>
        <w:t>explains to the account holder the consequences of closing the account; and</w:t>
      </w:r>
    </w:p>
    <w:p>
      <w:pPr>
        <w:pStyle w:val="Indenta"/>
      </w:pPr>
      <w:r>
        <w:tab/>
        <w:t>(b)</w:t>
      </w:r>
      <w:r>
        <w:tab/>
        <w:t>asks if the holder wishes to proceed with closing the account.</w:t>
      </w:r>
    </w:p>
    <w:p>
      <w:pPr>
        <w:pStyle w:val="Footnotesection"/>
      </w:pPr>
      <w:bookmarkStart w:id="180" w:name="_Toc189143651"/>
      <w:bookmarkStart w:id="181" w:name="_Toc189143736"/>
      <w:bookmarkStart w:id="182" w:name="_Toc189143821"/>
      <w:r>
        <w:tab/>
        <w:t>[Regulation 40K inserted: SL 2025/30 r. 6.]</w:t>
      </w:r>
    </w:p>
    <w:p>
      <w:pPr>
        <w:pStyle w:val="Heading3"/>
      </w:pPr>
      <w:bookmarkStart w:id="183" w:name="_Toc189225799"/>
      <w:bookmarkStart w:id="184" w:name="_Toc189229132"/>
      <w:bookmarkStart w:id="185" w:name="_Toc189232194"/>
      <w:r>
        <w:rPr>
          <w:rStyle w:val="CharDivNo"/>
        </w:rPr>
        <w:t>Division 4</w:t>
      </w:r>
      <w:r>
        <w:t> —</w:t>
      </w:r>
      <w:r>
        <w:rPr>
          <w:rStyle w:val="CharDivText"/>
        </w:rPr>
        <w:t> Deposit limits</w:t>
      </w:r>
      <w:bookmarkEnd w:id="180"/>
      <w:bookmarkEnd w:id="181"/>
      <w:bookmarkEnd w:id="182"/>
      <w:bookmarkEnd w:id="183"/>
      <w:bookmarkEnd w:id="184"/>
      <w:bookmarkEnd w:id="185"/>
    </w:p>
    <w:p>
      <w:pPr>
        <w:pStyle w:val="Footnoteheading"/>
      </w:pPr>
      <w:bookmarkStart w:id="186" w:name="_Toc189143652"/>
      <w:bookmarkStart w:id="187" w:name="_Toc189143822"/>
      <w:r>
        <w:tab/>
        <w:t>[Heading inserted: SL 2025/30 r. 6.]</w:t>
      </w:r>
    </w:p>
    <w:p>
      <w:pPr>
        <w:pStyle w:val="Heading5"/>
      </w:pPr>
      <w:bookmarkStart w:id="188" w:name="_Toc189232195"/>
      <w:r>
        <w:rPr>
          <w:rStyle w:val="CharSectno"/>
        </w:rPr>
        <w:t>40L</w:t>
      </w:r>
      <w:r>
        <w:t>.</w:t>
      </w:r>
      <w:r>
        <w:tab/>
        <w:t>Deposit limits</w:t>
      </w:r>
      <w:bookmarkEnd w:id="186"/>
      <w:bookmarkEnd w:id="187"/>
      <w:bookmarkEnd w:id="188"/>
    </w:p>
    <w:p>
      <w:pPr>
        <w:pStyle w:val="Subsection"/>
      </w:pPr>
      <w:r>
        <w:tab/>
        <w:t>(1)</w:t>
      </w:r>
      <w:r>
        <w:tab/>
        <w:t xml:space="preserve">Before RWWA establishes an account for a person, RWWA must — </w:t>
      </w:r>
    </w:p>
    <w:p>
      <w:pPr>
        <w:pStyle w:val="Indenta"/>
      </w:pPr>
      <w:r>
        <w:tab/>
        <w:t>(a)</w:t>
      </w:r>
      <w:r>
        <w:tab/>
        <w:t>require the person to set a deposit limit for the account or indicate they do not wish to set a deposit limit for the account; and</w:t>
      </w:r>
    </w:p>
    <w:p>
      <w:pPr>
        <w:pStyle w:val="Indenta"/>
        <w:keepNext/>
      </w:pPr>
      <w:r>
        <w:lastRenderedPageBreak/>
        <w:tab/>
        <w:t>(b)</w:t>
      </w:r>
      <w:r>
        <w:tab/>
        <w:t xml:space="preserve">if the person indicates they do not wish to set a deposit limit for the account — </w:t>
      </w:r>
    </w:p>
    <w:p>
      <w:pPr>
        <w:pStyle w:val="Indenti"/>
      </w:pPr>
      <w:r>
        <w:tab/>
        <w:t>(i)</w:t>
      </w:r>
      <w:r>
        <w:tab/>
        <w:t>give the person information about the benefits of setting a deposit limit for an account; and</w:t>
      </w:r>
    </w:p>
    <w:p>
      <w:pPr>
        <w:pStyle w:val="Indenti"/>
      </w:pPr>
      <w:r>
        <w:tab/>
        <w:t>(ii)</w:t>
      </w:r>
      <w:r>
        <w:tab/>
        <w:t>ask the person if they wish to proceed with not setting a deposit limit for the account.</w:t>
      </w:r>
    </w:p>
    <w:p>
      <w:pPr>
        <w:pStyle w:val="Penstart"/>
      </w:pPr>
      <w:r>
        <w:tab/>
        <w:t>Penalty for this subregulation: a fine of $1 000.</w:t>
      </w:r>
    </w:p>
    <w:p>
      <w:pPr>
        <w:pStyle w:val="Subsection"/>
      </w:pPr>
      <w:r>
        <w:tab/>
        <w:t>(2)</w:t>
      </w:r>
      <w:r>
        <w:tab/>
        <w:t>If a person sets a deposit limit for an account established for the person, RWWA must make the account subject to the deposit limit.</w:t>
      </w:r>
    </w:p>
    <w:p>
      <w:pPr>
        <w:pStyle w:val="Penstart"/>
      </w:pPr>
      <w:r>
        <w:tab/>
        <w:t>Penalty for this subregulation: a fine of $1 000.</w:t>
      </w:r>
    </w:p>
    <w:p>
      <w:pPr>
        <w:pStyle w:val="Subsection"/>
      </w:pPr>
      <w:r>
        <w:tab/>
        <w:t>(3)</w:t>
      </w:r>
      <w:r>
        <w:tab/>
        <w:t xml:space="preserve">RWWA must not allow an account holder to deposit money into their account if the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a fine of $1 000.</w:t>
      </w:r>
    </w:p>
    <w:p>
      <w:pPr>
        <w:pStyle w:val="Footnotesection"/>
      </w:pPr>
      <w:bookmarkStart w:id="189" w:name="_Toc189143653"/>
      <w:bookmarkStart w:id="190" w:name="_Toc189143823"/>
      <w:r>
        <w:tab/>
        <w:t>[Regulation 40L inserted: SL 2025/30 r. 6.]</w:t>
      </w:r>
    </w:p>
    <w:p>
      <w:pPr>
        <w:pStyle w:val="Heading5"/>
      </w:pPr>
      <w:bookmarkStart w:id="191" w:name="_Toc189232196"/>
      <w:r>
        <w:rPr>
          <w:rStyle w:val="CharSectno"/>
        </w:rPr>
        <w:t>40M</w:t>
      </w:r>
      <w:r>
        <w:t>.</w:t>
      </w:r>
      <w:r>
        <w:tab/>
        <w:t>Review of deposit limits</w:t>
      </w:r>
      <w:bookmarkEnd w:id="189"/>
      <w:bookmarkEnd w:id="190"/>
      <w:bookmarkEnd w:id="191"/>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makes their first wager with RWWA after each anniversary of the day on which the holder made their first wager with RWWA using their account;</w:t>
      </w:r>
    </w:p>
    <w:p>
      <w:pPr>
        <w:pStyle w:val="Defstart"/>
      </w:pPr>
      <w:r>
        <w:tab/>
      </w:r>
      <w:r>
        <w:rPr>
          <w:rStyle w:val="CharDefText"/>
        </w:rPr>
        <w:t>relevant way</w:t>
      </w:r>
      <w:r>
        <w:t xml:space="preserve">, for asking an account holder, means — </w:t>
      </w:r>
    </w:p>
    <w:p>
      <w:pPr>
        <w:pStyle w:val="Defpara"/>
      </w:pPr>
      <w:r>
        <w:tab/>
        <w:t>(a)</w:t>
      </w:r>
      <w:r>
        <w:tab/>
        <w:t>if the holder is making their wager using a telephone — by telephone; or</w:t>
      </w:r>
    </w:p>
    <w:p>
      <w:pPr>
        <w:pStyle w:val="Defpara"/>
      </w:pPr>
      <w:r>
        <w:tab/>
        <w:t>(b)</w:t>
      </w:r>
      <w:r>
        <w:tab/>
        <w:t>if the holder is making their wager using another means — in writing using that means.</w:t>
      </w:r>
    </w:p>
    <w:p>
      <w:pPr>
        <w:pStyle w:val="Subsection"/>
      </w:pPr>
      <w:r>
        <w:lastRenderedPageBreak/>
        <w:tab/>
        <w:t>(2)</w:t>
      </w:r>
      <w:r>
        <w:tab/>
        <w:t>RWWA must, at the relevant time and in the relevant way, ask an account holder whether the holder wishes to set a deposit limit or change the deposit limit (as the case may be) for the holder’s account.</w:t>
      </w:r>
    </w:p>
    <w:p>
      <w:pPr>
        <w:pStyle w:val="Penstart"/>
      </w:pPr>
      <w:r>
        <w:tab/>
        <w:t>Penalty for this subregulation: a fine of $1 000.</w:t>
      </w:r>
    </w:p>
    <w:p>
      <w:pPr>
        <w:pStyle w:val="Subsection"/>
      </w:pPr>
      <w:r>
        <w:tab/>
        <w:t>(3)</w:t>
      </w:r>
      <w:r>
        <w:tab/>
        <w:t>Subregulation (2) does not apply if the account holder has not used their account to wager within the previous 12 months.</w:t>
      </w:r>
    </w:p>
    <w:p>
      <w:pPr>
        <w:pStyle w:val="Footnotesection"/>
      </w:pPr>
      <w:bookmarkStart w:id="192" w:name="_Toc189143654"/>
      <w:bookmarkStart w:id="193" w:name="_Toc189143824"/>
      <w:r>
        <w:tab/>
        <w:t>[Regulation 40M inserted: SL 2025/30 r. 6.]</w:t>
      </w:r>
    </w:p>
    <w:p>
      <w:pPr>
        <w:pStyle w:val="Heading5"/>
      </w:pPr>
      <w:bookmarkStart w:id="194" w:name="_Toc189232197"/>
      <w:r>
        <w:rPr>
          <w:rStyle w:val="CharSectno"/>
        </w:rPr>
        <w:t>40N</w:t>
      </w:r>
      <w:r>
        <w:t>.</w:t>
      </w:r>
      <w:r>
        <w:tab/>
        <w:t>Process for account holder to set or change deposit limit</w:t>
      </w:r>
      <w:bookmarkEnd w:id="192"/>
      <w:bookmarkEnd w:id="193"/>
      <w:bookmarkEnd w:id="194"/>
    </w:p>
    <w:p>
      <w:pPr>
        <w:pStyle w:val="Subsection"/>
      </w:pPr>
      <w:r>
        <w:tab/>
        <w:t>(1)</w:t>
      </w:r>
      <w:r>
        <w:tab/>
        <w:t>RWWA must ensure that the process for an account holder to set or change the deposit limit to which their account is subject is simple and easy for a reasonable person to use.</w:t>
      </w:r>
    </w:p>
    <w:p>
      <w:pPr>
        <w:pStyle w:val="Penstart"/>
      </w:pPr>
      <w:r>
        <w:tab/>
        <w:t>Penalty for this subregulation: a fine of $1 000.</w:t>
      </w:r>
    </w:p>
    <w:p>
      <w:pPr>
        <w:pStyle w:val="Subsection"/>
      </w:pPr>
      <w:r>
        <w:tab/>
        <w:t>(2)</w:t>
      </w:r>
      <w:r>
        <w:tab/>
        <w:t xml:space="preserve">RWWA must ensure that the process for an account holder to set or change the deposit limit to which their account is subject — </w:t>
      </w:r>
    </w:p>
    <w:p>
      <w:pPr>
        <w:pStyle w:val="Indenta"/>
      </w:pPr>
      <w:r>
        <w:tab/>
        <w:t>(a)</w:t>
      </w:r>
      <w:r>
        <w:tab/>
        <w:t xml:space="preserve">allows the holder to choose the duration for which the deposit limit applies from at least 2 options offered by RWWA,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the duration for which the deposit limit applies of more than 1 month; and</w:t>
      </w:r>
    </w:p>
    <w:p>
      <w:pPr>
        <w:pStyle w:val="Indenta"/>
      </w:pPr>
      <w:r>
        <w:tab/>
        <w:t>(c)</w:t>
      </w:r>
      <w:r>
        <w:tab/>
        <w:t>allows the holder to set or change the deposit limit themselves by any means by which the holder may use the account to wager; and</w:t>
      </w:r>
    </w:p>
    <w:p>
      <w:pPr>
        <w:pStyle w:val="Indenta"/>
      </w:pPr>
      <w:r>
        <w:lastRenderedPageBreak/>
        <w:tab/>
        <w:t>(d)</w:t>
      </w:r>
      <w:r>
        <w:tab/>
        <w:t>allows the holder to request, in person or by telephone or email, that RWWA set or change the deposit limit.</w:t>
      </w:r>
    </w:p>
    <w:p>
      <w:pPr>
        <w:pStyle w:val="Penstart"/>
      </w:pPr>
      <w:r>
        <w:tab/>
        <w:t>Penalty for this subregulation: a fine of $1 000.</w:t>
      </w:r>
    </w:p>
    <w:p>
      <w:pPr>
        <w:pStyle w:val="Subsection"/>
      </w:pPr>
      <w:r>
        <w:tab/>
        <w:t>(3)</w:t>
      </w:r>
      <w:r>
        <w:tab/>
        <w:t xml:space="preserve">RWWA must prominently display the process for an account holder to set or change the deposit limit to which their account is subject — </w:t>
      </w:r>
    </w:p>
    <w:p>
      <w:pPr>
        <w:pStyle w:val="Indenta"/>
      </w:pPr>
      <w:r>
        <w:tab/>
        <w:t>(a)</w:t>
      </w:r>
      <w:r>
        <w:tab/>
        <w:t>on RWWA’s website; and</w:t>
      </w:r>
    </w:p>
    <w:p>
      <w:pPr>
        <w:pStyle w:val="Indenta"/>
      </w:pPr>
      <w:r>
        <w:tab/>
        <w:t>(b)</w:t>
      </w:r>
      <w:r>
        <w:tab/>
        <w:t>if an account holder is able to access their account using the Internet — at the location on the Internet at which the holder accesses the account.</w:t>
      </w:r>
    </w:p>
    <w:p>
      <w:pPr>
        <w:pStyle w:val="Penstart"/>
      </w:pPr>
      <w:r>
        <w:tab/>
        <w:t>Penalty for this subregulation: a fine of $1 000.</w:t>
      </w:r>
    </w:p>
    <w:p>
      <w:pPr>
        <w:pStyle w:val="Footnotesection"/>
      </w:pPr>
      <w:bookmarkStart w:id="195" w:name="_Toc189143655"/>
      <w:bookmarkStart w:id="196" w:name="_Toc189143825"/>
      <w:r>
        <w:tab/>
        <w:t>[Regulation 40N inserted: SL 2025/30 r. 6.]</w:t>
      </w:r>
    </w:p>
    <w:p>
      <w:pPr>
        <w:pStyle w:val="Heading5"/>
      </w:pPr>
      <w:bookmarkStart w:id="197" w:name="_Toc189232198"/>
      <w:r>
        <w:rPr>
          <w:rStyle w:val="CharSectno"/>
        </w:rPr>
        <w:t>40O</w:t>
      </w:r>
      <w:r>
        <w:t>.</w:t>
      </w:r>
      <w:r>
        <w:tab/>
        <w:t>RWWA must give effect to changed deposit limit</w:t>
      </w:r>
      <w:bookmarkEnd w:id="195"/>
      <w:bookmarkEnd w:id="196"/>
      <w:bookmarkEnd w:id="197"/>
    </w:p>
    <w:p>
      <w:pPr>
        <w:pStyle w:val="Subsection"/>
      </w:pPr>
      <w:r>
        <w:tab/>
        <w:t>(1)</w:t>
      </w:r>
      <w:r>
        <w:tab/>
        <w:t>If an account holder requests that RWWA decrease the deposit limit to which their account is subject, RWWA must give immediate effect to the request.</w:t>
      </w:r>
    </w:p>
    <w:p>
      <w:pPr>
        <w:pStyle w:val="Penstart"/>
      </w:pPr>
      <w:r>
        <w:tab/>
        <w:t>Penalty for this subregulation: a fine of $1 000.</w:t>
      </w:r>
    </w:p>
    <w:p>
      <w:pPr>
        <w:pStyle w:val="Subsection"/>
      </w:pPr>
      <w:r>
        <w:tab/>
        <w:t>(2)</w:t>
      </w:r>
      <w:r>
        <w:tab/>
        <w:t>If an account holder requests that RWWA increase the deposit limit to which their account is subject, RWWA must give effect to the request, but no earlier than 7 days after the request is made.</w:t>
      </w:r>
    </w:p>
    <w:p>
      <w:pPr>
        <w:pStyle w:val="Penstart"/>
      </w:pPr>
      <w:r>
        <w:tab/>
        <w:t>Penalty for this subregulation: a fine of $1 000.</w:t>
      </w:r>
    </w:p>
    <w:p>
      <w:pPr>
        <w:pStyle w:val="Footnotesection"/>
      </w:pPr>
      <w:bookmarkStart w:id="198" w:name="_Toc189143656"/>
      <w:bookmarkStart w:id="199" w:name="_Toc189143826"/>
      <w:r>
        <w:tab/>
        <w:t>[Regulation 40O inserted: SL 2025/30 r. 6.]</w:t>
      </w:r>
    </w:p>
    <w:p>
      <w:pPr>
        <w:pStyle w:val="Heading5"/>
      </w:pPr>
      <w:bookmarkStart w:id="200" w:name="_Toc189232199"/>
      <w:r>
        <w:rPr>
          <w:rStyle w:val="CharSectno"/>
        </w:rPr>
        <w:t>40P</w:t>
      </w:r>
      <w:r>
        <w:t>.</w:t>
      </w:r>
      <w:r>
        <w:tab/>
        <w:t>RWWA must promote availability of deposit limits</w:t>
      </w:r>
      <w:bookmarkEnd w:id="198"/>
      <w:bookmarkEnd w:id="199"/>
      <w:bookmarkEnd w:id="200"/>
    </w:p>
    <w:p>
      <w:pPr>
        <w:pStyle w:val="Subsection"/>
      </w:pPr>
      <w:r>
        <w:tab/>
      </w:r>
      <w:r>
        <w:tab/>
        <w:t xml:space="preserve">RWWA must promote the availability of deposit limits for accounts — </w:t>
      </w:r>
    </w:p>
    <w:p>
      <w:pPr>
        <w:pStyle w:val="Indenta"/>
      </w:pPr>
      <w:r>
        <w:tab/>
        <w:t>(a)</w:t>
      </w:r>
      <w:r>
        <w:tab/>
        <w:t>on any brochure, pamphlet or other marketing material (other than an advertisement) that gives information about how to establish an account with RWWA; and</w:t>
      </w:r>
    </w:p>
    <w:p>
      <w:pPr>
        <w:pStyle w:val="Indenta"/>
      </w:pPr>
      <w:r>
        <w:lastRenderedPageBreak/>
        <w:tab/>
        <w:t>(b)</w:t>
      </w:r>
      <w:r>
        <w:tab/>
        <w:t>as part of any “welcome pack” (however described) given to an account holder upon the establishment of the holder’s account; and</w:t>
      </w:r>
    </w:p>
    <w:p>
      <w:pPr>
        <w:pStyle w:val="Indenta"/>
      </w:pPr>
      <w:r>
        <w:tab/>
        <w:t>(c)</w:t>
      </w:r>
      <w:r>
        <w:tab/>
        <w:t>on RWWA’s website’s home page and any point</w:t>
      </w:r>
      <w:r>
        <w:noBreakHyphen/>
        <w:t>of</w:t>
      </w:r>
      <w:r>
        <w:noBreakHyphen/>
        <w:t>sale page; and</w:t>
      </w:r>
    </w:p>
    <w:p>
      <w:pPr>
        <w:pStyle w:val="Indenta"/>
      </w:pPr>
      <w:r>
        <w:tab/>
        <w:t>(d)</w:t>
      </w:r>
      <w:r>
        <w:tab/>
        <w:t>on any activity statement or transaction history for an account that RWWA gives, or makes available to, the account holder under Division 5 or 6.</w:t>
      </w:r>
    </w:p>
    <w:p>
      <w:pPr>
        <w:pStyle w:val="Penstart"/>
      </w:pPr>
      <w:r>
        <w:tab/>
        <w:t>Penalty: a fine of $1 000.</w:t>
      </w:r>
    </w:p>
    <w:p>
      <w:pPr>
        <w:pStyle w:val="Footnotesection"/>
      </w:pPr>
      <w:bookmarkStart w:id="201" w:name="_Toc189143657"/>
      <w:bookmarkStart w:id="202" w:name="_Toc189143742"/>
      <w:bookmarkStart w:id="203" w:name="_Toc189143827"/>
      <w:r>
        <w:tab/>
        <w:t>[Regulation 40P inserted: SL 2025/30 r. 6.]</w:t>
      </w:r>
    </w:p>
    <w:p>
      <w:pPr>
        <w:pStyle w:val="Heading3"/>
      </w:pPr>
      <w:bookmarkStart w:id="204" w:name="_Toc189225805"/>
      <w:bookmarkStart w:id="205" w:name="_Toc189229138"/>
      <w:bookmarkStart w:id="206" w:name="_Toc189232200"/>
      <w:r>
        <w:rPr>
          <w:rStyle w:val="CharDivNo"/>
        </w:rPr>
        <w:t>Division 5</w:t>
      </w:r>
      <w:r>
        <w:t> —</w:t>
      </w:r>
      <w:r>
        <w:rPr>
          <w:rStyle w:val="CharDivText"/>
        </w:rPr>
        <w:t> Activity statements</w:t>
      </w:r>
      <w:bookmarkEnd w:id="201"/>
      <w:bookmarkEnd w:id="202"/>
      <w:bookmarkEnd w:id="203"/>
      <w:bookmarkEnd w:id="204"/>
      <w:bookmarkEnd w:id="205"/>
      <w:bookmarkEnd w:id="206"/>
    </w:p>
    <w:p>
      <w:pPr>
        <w:pStyle w:val="Footnoteheading"/>
      </w:pPr>
      <w:bookmarkStart w:id="207" w:name="_Toc189143658"/>
      <w:bookmarkStart w:id="208" w:name="_Toc189143828"/>
      <w:r>
        <w:tab/>
        <w:t>[Heading inserted: SL 2025/30 r. 6.]</w:t>
      </w:r>
    </w:p>
    <w:p>
      <w:pPr>
        <w:pStyle w:val="Heading5"/>
      </w:pPr>
      <w:bookmarkStart w:id="209" w:name="_Toc189232201"/>
      <w:r>
        <w:rPr>
          <w:rStyle w:val="CharSectno"/>
        </w:rPr>
        <w:t>40Q</w:t>
      </w:r>
      <w:r>
        <w:t>.</w:t>
      </w:r>
      <w:r>
        <w:tab/>
        <w:t>Term used: activity statement</w:t>
      </w:r>
      <w:bookmarkEnd w:id="207"/>
      <w:bookmarkEnd w:id="208"/>
      <w:bookmarkEnd w:id="209"/>
    </w:p>
    <w:p>
      <w:pPr>
        <w:pStyle w:val="Subsection"/>
      </w:pPr>
      <w:r>
        <w:tab/>
      </w:r>
      <w:r>
        <w:tab/>
        <w:t xml:space="preserve">In this Division — </w:t>
      </w:r>
    </w:p>
    <w:p>
      <w:pPr>
        <w:pStyle w:val="Defstart"/>
      </w:pPr>
      <w:r>
        <w:tab/>
      </w:r>
      <w:r>
        <w:rPr>
          <w:rStyle w:val="CharDefText"/>
        </w:rPr>
        <w:t>activity statement</w:t>
      </w:r>
      <w:r>
        <w:t xml:space="preserve">, for an account, for a month, means a document about the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wagers made;</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lastRenderedPageBreak/>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an account.</w:t>
      </w:r>
    </w:p>
    <w:p>
      <w:pPr>
        <w:pStyle w:val="Footnotesection"/>
      </w:pPr>
      <w:bookmarkStart w:id="210" w:name="_Toc189143659"/>
      <w:bookmarkStart w:id="211" w:name="_Toc189143829"/>
      <w:r>
        <w:tab/>
        <w:t>[Regulation 40Q inserted: SL 2025/30 r. 6.]</w:t>
      </w:r>
    </w:p>
    <w:p>
      <w:pPr>
        <w:pStyle w:val="Heading5"/>
      </w:pPr>
      <w:bookmarkStart w:id="212" w:name="_Toc189232202"/>
      <w:r>
        <w:rPr>
          <w:rStyle w:val="CharSectno"/>
        </w:rPr>
        <w:t>40R</w:t>
      </w:r>
      <w:r>
        <w:t>.</w:t>
      </w:r>
      <w:r>
        <w:tab/>
        <w:t>RWWA must give activity statements</w:t>
      </w:r>
      <w:bookmarkEnd w:id="210"/>
      <w:bookmarkEnd w:id="211"/>
      <w:bookmarkEnd w:id="212"/>
    </w:p>
    <w:p>
      <w:pPr>
        <w:pStyle w:val="Subsection"/>
      </w:pPr>
      <w:r>
        <w:tab/>
        <w:t>(1)</w:t>
      </w:r>
      <w:r>
        <w:tab/>
        <w:t xml:space="preserve">RWWA must give an account holder who is active in a month an activity statement for their account for the month — </w:t>
      </w:r>
    </w:p>
    <w:p>
      <w:pPr>
        <w:pStyle w:val="Indenta"/>
      </w:pPr>
      <w:r>
        <w:tab/>
        <w:t>(a)</w:t>
      </w:r>
      <w:r>
        <w:tab/>
        <w:t>if the holder accesses their account using the Internet — by email within 7 days after the month ends; or</w:t>
      </w:r>
    </w:p>
    <w:p>
      <w:pPr>
        <w:pStyle w:val="Indenta"/>
      </w:pPr>
      <w:r>
        <w:lastRenderedPageBreak/>
        <w:tab/>
        <w:t>(b)</w:t>
      </w:r>
      <w:r>
        <w:tab/>
        <w:t>otherwise — by email or post within 7 days after the month ends.</w:t>
      </w:r>
    </w:p>
    <w:p>
      <w:pPr>
        <w:pStyle w:val="Penstart"/>
      </w:pPr>
      <w:r>
        <w:tab/>
        <w:t>Penalty for this subregulation: a fine of $1 000.</w:t>
      </w:r>
    </w:p>
    <w:p>
      <w:pPr>
        <w:pStyle w:val="Subsection"/>
      </w:pPr>
      <w:r>
        <w:tab/>
        <w:t>(2)</w:t>
      </w:r>
      <w:r>
        <w:tab/>
        <w:t>RWWA must not give an account holder an activity statement for their account for a month if the holder is not active in that month.</w:t>
      </w:r>
    </w:p>
    <w:p>
      <w:pPr>
        <w:pStyle w:val="Penstart"/>
      </w:pPr>
      <w:r>
        <w:tab/>
        <w:t>Penalty for this subregulation: a fine of $1 000.</w:t>
      </w:r>
    </w:p>
    <w:p>
      <w:pPr>
        <w:pStyle w:val="Subsection"/>
      </w:pPr>
      <w:r>
        <w:tab/>
        <w:t>(3)</w:t>
      </w:r>
      <w:r>
        <w:tab/>
        <w:t>For the purposes of subregulations (1) and (2), an account holder is active in a month if the holder has made at least 1 transaction in their account during the month.</w:t>
      </w:r>
    </w:p>
    <w:p>
      <w:pPr>
        <w:pStyle w:val="Footnotesection"/>
      </w:pPr>
      <w:bookmarkStart w:id="213" w:name="_Toc189143660"/>
      <w:bookmarkStart w:id="214" w:name="_Toc189143830"/>
      <w:r>
        <w:tab/>
        <w:t>[Regulation 40R inserted: SL 2025/30 r. 6.]</w:t>
      </w:r>
    </w:p>
    <w:p>
      <w:pPr>
        <w:pStyle w:val="Heading5"/>
      </w:pPr>
      <w:bookmarkStart w:id="215" w:name="_Toc189232203"/>
      <w:r>
        <w:rPr>
          <w:rStyle w:val="CharSectno"/>
        </w:rPr>
        <w:t>40S</w:t>
      </w:r>
      <w:r>
        <w:t>.</w:t>
      </w:r>
      <w:r>
        <w:tab/>
        <w:t>RWWA must make available and give copies of activity statements</w:t>
      </w:r>
      <w:bookmarkEnd w:id="213"/>
      <w:bookmarkEnd w:id="214"/>
      <w:bookmarkEnd w:id="215"/>
    </w:p>
    <w:p>
      <w:pPr>
        <w:pStyle w:val="Subsection"/>
      </w:pPr>
      <w:r>
        <w:tab/>
        <w:t>(1)</w:t>
      </w:r>
      <w:r>
        <w:tab/>
        <w:t>If an account holder accesses their account using the Internet, RWWA must make all activity statements for the account easily available to be viewed at any time through the account.</w:t>
      </w:r>
    </w:p>
    <w:p>
      <w:pPr>
        <w:pStyle w:val="Penstart"/>
      </w:pPr>
      <w:r>
        <w:tab/>
        <w:t>Penalty for this subregulation: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account. </w:t>
      </w:r>
    </w:p>
    <w:p>
      <w:pPr>
        <w:pStyle w:val="Subsection"/>
      </w:pPr>
      <w:r>
        <w:tab/>
        <w:t>(3)</w:t>
      </w:r>
      <w:r>
        <w:tab/>
        <w:t xml:space="preserve">If an account holder requests a copy of an activity statement for their account, RWWA must give the holder the copy — </w:t>
      </w:r>
    </w:p>
    <w:p>
      <w:pPr>
        <w:pStyle w:val="Indenta"/>
      </w:pPr>
      <w:r>
        <w:tab/>
        <w:t>(a)</w:t>
      </w:r>
      <w:r>
        <w:tab/>
        <w:t>by email within 2 days after the request; or</w:t>
      </w:r>
    </w:p>
    <w:p>
      <w:pPr>
        <w:pStyle w:val="Indenta"/>
      </w:pPr>
      <w:r>
        <w:tab/>
        <w:t>(b)</w:t>
      </w:r>
      <w:r>
        <w:tab/>
        <w:t>by post within 7 days after the request.</w:t>
      </w:r>
    </w:p>
    <w:p>
      <w:pPr>
        <w:pStyle w:val="Penstart"/>
      </w:pPr>
      <w:r>
        <w:tab/>
        <w:t>Penalty for this subregulation: a fine of $1 000.</w:t>
      </w:r>
    </w:p>
    <w:p>
      <w:pPr>
        <w:pStyle w:val="Subsection"/>
      </w:pPr>
      <w:r>
        <w:tab/>
        <w:t>(4)</w:t>
      </w:r>
      <w:r>
        <w:tab/>
        <w:t>If RWWA gives the copy of the activity statement to the account holder by post, RWWA may charge the holder the costs associated with the postage.</w:t>
      </w:r>
    </w:p>
    <w:p>
      <w:pPr>
        <w:pStyle w:val="Footnotesection"/>
      </w:pPr>
      <w:bookmarkStart w:id="216" w:name="_Toc189143661"/>
      <w:bookmarkStart w:id="217" w:name="_Toc189143831"/>
      <w:r>
        <w:tab/>
        <w:t>[Regulation 40S inserted: SL 2025/30 r. 6.]</w:t>
      </w:r>
    </w:p>
    <w:p>
      <w:pPr>
        <w:pStyle w:val="Heading5"/>
      </w:pPr>
      <w:bookmarkStart w:id="218" w:name="_Toc189232204"/>
      <w:r>
        <w:rPr>
          <w:rStyle w:val="CharSectno"/>
        </w:rPr>
        <w:lastRenderedPageBreak/>
        <w:t>40T</w:t>
      </w:r>
      <w:r>
        <w:t>.</w:t>
      </w:r>
      <w:r>
        <w:tab/>
        <w:t>Form of activity statements</w:t>
      </w:r>
      <w:bookmarkEnd w:id="216"/>
      <w:bookmarkEnd w:id="217"/>
      <w:bookmarkEnd w:id="218"/>
    </w:p>
    <w:p>
      <w:pPr>
        <w:pStyle w:val="Subsection"/>
      </w:pPr>
      <w:r>
        <w:tab/>
      </w:r>
      <w:r>
        <w:tab/>
        <w:t>RWWA must ensure that an activity statement is written in a way that is simple and easy for a reasonable person to understand.</w:t>
      </w:r>
    </w:p>
    <w:p>
      <w:pPr>
        <w:pStyle w:val="Penstart"/>
      </w:pPr>
      <w:r>
        <w:tab/>
        <w:t>Penalty: a fine of $1 000.</w:t>
      </w:r>
    </w:p>
    <w:p>
      <w:pPr>
        <w:pStyle w:val="Footnotesection"/>
      </w:pPr>
      <w:bookmarkStart w:id="219" w:name="_Toc189143662"/>
      <w:bookmarkStart w:id="220" w:name="_Toc189143747"/>
      <w:bookmarkStart w:id="221" w:name="_Toc189143832"/>
      <w:r>
        <w:tab/>
        <w:t>[Regulation 40T inserted: SL 2025/30 r. 6.]</w:t>
      </w:r>
    </w:p>
    <w:p>
      <w:pPr>
        <w:pStyle w:val="Heading3"/>
      </w:pPr>
      <w:bookmarkStart w:id="222" w:name="_Toc189225810"/>
      <w:bookmarkStart w:id="223" w:name="_Toc189229143"/>
      <w:bookmarkStart w:id="224" w:name="_Toc189232205"/>
      <w:r>
        <w:rPr>
          <w:rStyle w:val="CharDivNo"/>
        </w:rPr>
        <w:t>Division 6</w:t>
      </w:r>
      <w:r>
        <w:t> —</w:t>
      </w:r>
      <w:r>
        <w:rPr>
          <w:rStyle w:val="CharDivText"/>
        </w:rPr>
        <w:t> Transaction histories</w:t>
      </w:r>
      <w:bookmarkEnd w:id="219"/>
      <w:bookmarkEnd w:id="220"/>
      <w:bookmarkEnd w:id="221"/>
      <w:bookmarkEnd w:id="222"/>
      <w:bookmarkEnd w:id="223"/>
      <w:bookmarkEnd w:id="224"/>
    </w:p>
    <w:p>
      <w:pPr>
        <w:pStyle w:val="Footnoteheading"/>
      </w:pPr>
      <w:bookmarkStart w:id="225" w:name="_Toc189143663"/>
      <w:bookmarkStart w:id="226" w:name="_Toc189143833"/>
      <w:r>
        <w:tab/>
        <w:t>[Heading inserted: SL 2025/30 r. 6.]</w:t>
      </w:r>
    </w:p>
    <w:p>
      <w:pPr>
        <w:pStyle w:val="Heading5"/>
      </w:pPr>
      <w:bookmarkStart w:id="227" w:name="_Toc189232206"/>
      <w:r>
        <w:rPr>
          <w:rStyle w:val="CharSectno"/>
        </w:rPr>
        <w:t>40U</w:t>
      </w:r>
      <w:r>
        <w:t>.</w:t>
      </w:r>
      <w:r>
        <w:tab/>
        <w:t>RWWA must make transaction histories available to account holders who use Internet</w:t>
      </w:r>
      <w:bookmarkEnd w:id="225"/>
      <w:bookmarkEnd w:id="226"/>
      <w:bookmarkEnd w:id="227"/>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pPr>
      <w:r>
        <w:tab/>
        <w:t>(b)</w:t>
      </w:r>
      <w:r>
        <w:tab/>
        <w:t>otherwise — the period beginning on the day the account was established and ending at the time at which the transaction history is being viewed.</w:t>
      </w:r>
    </w:p>
    <w:p>
      <w:pPr>
        <w:pStyle w:val="Subsection"/>
      </w:pPr>
      <w:r>
        <w:tab/>
        <w:t>(2)</w:t>
      </w:r>
      <w:r>
        <w:tab/>
        <w:t xml:space="preserve">If an account holder accesses their account using the Internet, RWWA must make a list of transactions (a </w:t>
      </w:r>
      <w:r>
        <w:rPr>
          <w:rStyle w:val="CharDefText"/>
        </w:rPr>
        <w:t>transaction history</w:t>
      </w:r>
      <w:r>
        <w:t>) for the account for the relevant period easily available to be viewed at any time through the account.</w:t>
      </w:r>
    </w:p>
    <w:p>
      <w:pPr>
        <w:pStyle w:val="Penstart"/>
      </w:pPr>
      <w:r>
        <w:tab/>
        <w:t>Penalty for this subregulation: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account.</w:t>
      </w:r>
    </w:p>
    <w:p>
      <w:pPr>
        <w:pStyle w:val="Subsection"/>
        <w:keepNext/>
      </w:pPr>
      <w:r>
        <w:lastRenderedPageBreak/>
        <w:tab/>
        <w:t>(4)</w:t>
      </w:r>
      <w:r>
        <w:tab/>
        <w:t>Nothing in this regulation requires RWWA to provide a transaction history for a period that begins more than 7 years before the time at which the transaction history is being viewed.</w:t>
      </w:r>
    </w:p>
    <w:p>
      <w:pPr>
        <w:pStyle w:val="Footnotesection"/>
      </w:pPr>
      <w:bookmarkStart w:id="228" w:name="_Toc189143664"/>
      <w:bookmarkStart w:id="229" w:name="_Toc189143834"/>
      <w:r>
        <w:tab/>
        <w:t>[Regulation 40U inserted: SL 2025/30 r. 6.]</w:t>
      </w:r>
    </w:p>
    <w:p>
      <w:pPr>
        <w:pStyle w:val="Heading5"/>
      </w:pPr>
      <w:bookmarkStart w:id="230" w:name="_Toc189232207"/>
      <w:r>
        <w:rPr>
          <w:rStyle w:val="CharSectno"/>
        </w:rPr>
        <w:t>40V</w:t>
      </w:r>
      <w:r>
        <w:t>.</w:t>
      </w:r>
      <w:r>
        <w:tab/>
        <w:t>RWWA must give transaction histories on request to relevant persons</w:t>
      </w:r>
      <w:bookmarkEnd w:id="228"/>
      <w:bookmarkEnd w:id="229"/>
      <w:bookmarkEnd w:id="230"/>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relevant person — that period; or</w:t>
      </w:r>
    </w:p>
    <w:p>
      <w:pPr>
        <w:pStyle w:val="Defpara"/>
      </w:pPr>
      <w:r>
        <w:tab/>
        <w:t>(b)</w:t>
      </w:r>
      <w:r>
        <w:tab/>
        <w:t>otherwise — the period beginning on the day the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account other than by using the Internet; or</w:t>
      </w:r>
    </w:p>
    <w:p>
      <w:pPr>
        <w:pStyle w:val="Defpara"/>
      </w:pPr>
      <w:r>
        <w:tab/>
        <w:t>(b)</w:t>
      </w:r>
      <w:r>
        <w:tab/>
        <w:t>a person who was formerly an account holder, but whose account has been closed.</w:t>
      </w:r>
    </w:p>
    <w:p>
      <w:pPr>
        <w:pStyle w:val="Subsection"/>
      </w:pPr>
      <w:r>
        <w:tab/>
        <w:t>(2)</w:t>
      </w:r>
      <w:r>
        <w:tab/>
        <w:t xml:space="preserve">If a relevant person so requests, RWWA must give the person a list of transactions (a </w:t>
      </w:r>
      <w:r>
        <w:rPr>
          <w:rStyle w:val="CharDefText"/>
        </w:rPr>
        <w:t>transaction history</w:t>
      </w:r>
      <w:r>
        <w:t xml:space="preserve">) for their account for the relevant period by email or post within 14 days after the request. </w:t>
      </w:r>
    </w:p>
    <w:p>
      <w:pPr>
        <w:pStyle w:val="Penstart"/>
      </w:pPr>
      <w:r>
        <w:tab/>
        <w:t>Penalty for this subregulation: a fine of $1 000.</w:t>
      </w:r>
    </w:p>
    <w:p>
      <w:pPr>
        <w:pStyle w:val="Subsection"/>
      </w:pPr>
      <w:r>
        <w:tab/>
        <w:t>(3)</w:t>
      </w:r>
      <w:r>
        <w:tab/>
        <w:t>Nothing in this regulation requires RWWA to provide a transaction history for a period that begins more than 7 years before the request.</w:t>
      </w:r>
    </w:p>
    <w:p>
      <w:pPr>
        <w:pStyle w:val="Footnotesection"/>
      </w:pPr>
      <w:bookmarkStart w:id="231" w:name="_Toc189143665"/>
      <w:bookmarkStart w:id="232" w:name="_Toc189143750"/>
      <w:bookmarkStart w:id="233" w:name="_Toc189143835"/>
      <w:r>
        <w:tab/>
        <w:t>[Regulation 40V inserted: SL 2025/30 r. 6.]</w:t>
      </w:r>
    </w:p>
    <w:p>
      <w:pPr>
        <w:pStyle w:val="Heading3"/>
      </w:pPr>
      <w:bookmarkStart w:id="234" w:name="_Toc189225813"/>
      <w:bookmarkStart w:id="235" w:name="_Toc189229146"/>
      <w:bookmarkStart w:id="236" w:name="_Toc189232208"/>
      <w:r>
        <w:rPr>
          <w:rStyle w:val="CharDivNo"/>
        </w:rPr>
        <w:lastRenderedPageBreak/>
        <w:t>Division 7</w:t>
      </w:r>
      <w:r>
        <w:t> —</w:t>
      </w:r>
      <w:r>
        <w:rPr>
          <w:rStyle w:val="CharDivText"/>
        </w:rPr>
        <w:t> Consistent gambling messaging</w:t>
      </w:r>
      <w:bookmarkEnd w:id="231"/>
      <w:bookmarkEnd w:id="232"/>
      <w:bookmarkEnd w:id="233"/>
      <w:bookmarkEnd w:id="234"/>
      <w:bookmarkEnd w:id="235"/>
      <w:bookmarkEnd w:id="236"/>
    </w:p>
    <w:p>
      <w:pPr>
        <w:pStyle w:val="Footnoteheading"/>
        <w:keepNext/>
      </w:pPr>
      <w:bookmarkStart w:id="237" w:name="_Toc189143666"/>
      <w:bookmarkStart w:id="238" w:name="_Toc189143836"/>
      <w:r>
        <w:tab/>
        <w:t>[Heading inserted: SL 2025/30 r. 6.]</w:t>
      </w:r>
    </w:p>
    <w:p>
      <w:pPr>
        <w:pStyle w:val="Heading5"/>
      </w:pPr>
      <w:bookmarkStart w:id="239" w:name="_Toc189232209"/>
      <w:r>
        <w:rPr>
          <w:rStyle w:val="CharSectno"/>
        </w:rPr>
        <w:t>40W</w:t>
      </w:r>
      <w:r>
        <w:t>.</w:t>
      </w:r>
      <w:r>
        <w:tab/>
        <w:t>Commission may set out and require use of consistent gambling messaging</w:t>
      </w:r>
      <w:bookmarkEnd w:id="237"/>
      <w:bookmarkEnd w:id="238"/>
      <w:bookmarkEnd w:id="239"/>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pPr>
      <w:r>
        <w:tab/>
        <w:t>(b)</w:t>
      </w:r>
      <w:r>
        <w:tab/>
        <w:t>specify the circumstances in which RWWA is required to use consistent gambling messaging.</w:t>
      </w:r>
    </w:p>
    <w:p>
      <w:pPr>
        <w:pStyle w:val="Subsection"/>
      </w:pPr>
      <w:r>
        <w:tab/>
        <w:t>(3)</w:t>
      </w:r>
      <w:r>
        <w:tab/>
        <w:t xml:space="preserve">In acting under subregulation (2), the Commission must have regard to — </w:t>
      </w:r>
    </w:p>
    <w:p>
      <w:pPr>
        <w:pStyle w:val="Indenta"/>
      </w:pPr>
      <w:r>
        <w:tab/>
        <w:t>(a)</w:t>
      </w:r>
      <w:r>
        <w:tab/>
        <w:t>Part 8 of the National Consumer Protection Framework for Online Wagering in Australia — National Policy Statement; and</w:t>
      </w:r>
    </w:p>
    <w:p>
      <w:pPr>
        <w:pStyle w:val="Indenta"/>
      </w:pPr>
      <w:r>
        <w:tab/>
        <w:t>(b)</w:t>
      </w:r>
      <w:r>
        <w:tab/>
        <w:t>consistent gambling messaging that other States and Territories have adopted in giving effect to that Part.</w:t>
      </w:r>
    </w:p>
    <w:p>
      <w:pPr>
        <w:pStyle w:val="Footnotesection"/>
      </w:pPr>
      <w:bookmarkStart w:id="240" w:name="_Toc189143667"/>
      <w:bookmarkStart w:id="241" w:name="_Toc189143837"/>
      <w:r>
        <w:tab/>
        <w:t>[Regulation 40W inserted: SL 2025/30 r. 6.]</w:t>
      </w:r>
    </w:p>
    <w:p>
      <w:pPr>
        <w:pStyle w:val="Heading5"/>
      </w:pPr>
      <w:bookmarkStart w:id="242" w:name="_Toc189232210"/>
      <w:r>
        <w:rPr>
          <w:rStyle w:val="CharSectno"/>
        </w:rPr>
        <w:t>40X</w:t>
      </w:r>
      <w:r>
        <w:t>.</w:t>
      </w:r>
      <w:r>
        <w:tab/>
        <w:t>RWWA must comply with notice published under r. 40W</w:t>
      </w:r>
      <w:bookmarkEnd w:id="240"/>
      <w:bookmarkEnd w:id="241"/>
      <w:bookmarkEnd w:id="242"/>
    </w:p>
    <w:p>
      <w:pPr>
        <w:pStyle w:val="Subsection"/>
      </w:pPr>
      <w:r>
        <w:tab/>
      </w:r>
      <w:r>
        <w:tab/>
        <w:t>RWWA must comply with any requirement that applies to RWWA under a notice published by the Commission under regulation 40W(2).</w:t>
      </w:r>
    </w:p>
    <w:p>
      <w:pPr>
        <w:pStyle w:val="Penstart"/>
      </w:pPr>
      <w:r>
        <w:tab/>
        <w:t>Penalty: a fine of $1 000.</w:t>
      </w:r>
    </w:p>
    <w:p>
      <w:pPr>
        <w:pStyle w:val="Footnotesection"/>
      </w:pPr>
      <w:bookmarkStart w:id="243" w:name="_Toc189143668"/>
      <w:bookmarkStart w:id="244" w:name="_Toc189143753"/>
      <w:bookmarkStart w:id="245" w:name="_Toc189143838"/>
      <w:r>
        <w:tab/>
        <w:t>[Regulation 40X inserted: SL 2025/30 r. 6.]</w:t>
      </w:r>
    </w:p>
    <w:p>
      <w:pPr>
        <w:pStyle w:val="Heading3"/>
      </w:pPr>
      <w:bookmarkStart w:id="246" w:name="_Toc189225816"/>
      <w:bookmarkStart w:id="247" w:name="_Toc189229149"/>
      <w:bookmarkStart w:id="248" w:name="_Toc189232211"/>
      <w:r>
        <w:rPr>
          <w:rStyle w:val="CharDivNo"/>
        </w:rPr>
        <w:lastRenderedPageBreak/>
        <w:t>Division 8 </w:t>
      </w:r>
      <w:r>
        <w:t>—</w:t>
      </w:r>
      <w:r>
        <w:rPr>
          <w:rStyle w:val="CharDivText"/>
        </w:rPr>
        <w:t> Staff training</w:t>
      </w:r>
      <w:bookmarkEnd w:id="243"/>
      <w:bookmarkEnd w:id="244"/>
      <w:bookmarkEnd w:id="245"/>
      <w:bookmarkEnd w:id="246"/>
      <w:bookmarkEnd w:id="247"/>
      <w:bookmarkEnd w:id="248"/>
    </w:p>
    <w:p>
      <w:pPr>
        <w:pStyle w:val="Footnoteheading"/>
        <w:keepNext/>
      </w:pPr>
      <w:bookmarkStart w:id="249" w:name="_Toc189143669"/>
      <w:bookmarkStart w:id="250" w:name="_Toc189143839"/>
      <w:r>
        <w:tab/>
        <w:t>[Heading inserted: SL 2025/30 r. 6.]</w:t>
      </w:r>
    </w:p>
    <w:p>
      <w:pPr>
        <w:pStyle w:val="Heading5"/>
      </w:pPr>
      <w:bookmarkStart w:id="251" w:name="_Toc189232212"/>
      <w:r>
        <w:rPr>
          <w:rStyle w:val="CharSectno"/>
        </w:rPr>
        <w:t>40Y</w:t>
      </w:r>
      <w:r>
        <w:t>.</w:t>
      </w:r>
      <w:r>
        <w:tab/>
        <w:t>Term used: relevant individual</w:t>
      </w:r>
      <w:bookmarkEnd w:id="249"/>
      <w:bookmarkEnd w:id="250"/>
      <w:bookmarkEnd w:id="251"/>
    </w:p>
    <w:p>
      <w:pPr>
        <w:pStyle w:val="Subsection"/>
      </w:pPr>
      <w:r>
        <w:tab/>
      </w:r>
      <w:r>
        <w:tab/>
        <w:t xml:space="preserve">In this Division — </w:t>
      </w:r>
    </w:p>
    <w:p>
      <w:pPr>
        <w:pStyle w:val="Defstart"/>
      </w:pPr>
      <w:r>
        <w:tab/>
      </w:r>
      <w:r>
        <w:rPr>
          <w:rStyle w:val="CharDefText"/>
        </w:rPr>
        <w:t>relevant individual</w:t>
      </w:r>
      <w:r>
        <w:t xml:space="preserve">, of RWWA, means — </w:t>
      </w:r>
    </w:p>
    <w:p>
      <w:pPr>
        <w:pStyle w:val="Defpara"/>
      </w:pPr>
      <w:r>
        <w:tab/>
        <w:t>(a)</w:t>
      </w:r>
      <w:r>
        <w:tab/>
        <w:t>an individual who is the CEO, a director, a RWWA key employee or other staff member of RWWA; or</w:t>
      </w:r>
    </w:p>
    <w:p>
      <w:pPr>
        <w:pStyle w:val="Defpara"/>
      </w:pPr>
      <w:r>
        <w:tab/>
        <w:t>(b)</w:t>
      </w:r>
      <w:r>
        <w:tab/>
        <w:t xml:space="preserve">an individual, other than an individual referred to in paragraph (a), who — </w:t>
      </w:r>
    </w:p>
    <w:p>
      <w:pPr>
        <w:pStyle w:val="Defsubpara"/>
      </w:pPr>
      <w:r>
        <w:tab/>
        <w:t>(i)</w:t>
      </w:r>
      <w:r>
        <w:tab/>
        <w:t>is engaged in providing RWWA’s interactive wagering services; or</w:t>
      </w:r>
    </w:p>
    <w:p>
      <w:pPr>
        <w:pStyle w:val="Defsubpara"/>
      </w:pPr>
      <w:r>
        <w:tab/>
        <w:t>(ii)</w:t>
      </w:r>
      <w:r>
        <w:tab/>
        <w:t>has the capacity to influence the provision of those services.</w:t>
      </w:r>
    </w:p>
    <w:p>
      <w:pPr>
        <w:pStyle w:val="Footnotesection"/>
      </w:pPr>
      <w:bookmarkStart w:id="252" w:name="_Toc189143670"/>
      <w:bookmarkStart w:id="253" w:name="_Toc189143840"/>
      <w:r>
        <w:tab/>
        <w:t>[Regulation 40Y inserted: SL 2025/30 r. 6.]</w:t>
      </w:r>
    </w:p>
    <w:p>
      <w:pPr>
        <w:pStyle w:val="Heading5"/>
      </w:pPr>
      <w:bookmarkStart w:id="254" w:name="_Toc189232213"/>
      <w:r>
        <w:rPr>
          <w:rStyle w:val="CharSectno"/>
        </w:rPr>
        <w:t>40Z</w:t>
      </w:r>
      <w:r>
        <w:t>.</w:t>
      </w:r>
      <w:r>
        <w:tab/>
        <w:t>RWWA must ensure relevant individuals receive training</w:t>
      </w:r>
      <w:bookmarkEnd w:id="252"/>
      <w:bookmarkEnd w:id="253"/>
      <w:bookmarkEnd w:id="254"/>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tab/>
        <w:t>(2)</w:t>
      </w:r>
      <w:r>
        <w:tab/>
        <w:t xml:space="preserve">RWWA must ensure that each relevant individual of RWWA receives responsible gambling training that comprises — </w:t>
      </w:r>
    </w:p>
    <w:p>
      <w:pPr>
        <w:pStyle w:val="Indenta"/>
      </w:pPr>
      <w:r>
        <w:tab/>
        <w:t>(a)</w:t>
      </w:r>
      <w:r>
        <w:tab/>
        <w:t>initial training within 1 month after the individual becomes a relevant individual of RWWA;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a fine of $1 000.</w:t>
      </w:r>
    </w:p>
    <w:p>
      <w:pPr>
        <w:pStyle w:val="Subsection"/>
      </w:pPr>
      <w:r>
        <w:lastRenderedPageBreak/>
        <w:tab/>
        <w:t>(3)</w:t>
      </w:r>
      <w:r>
        <w:tab/>
        <w:t>RWWA must ensure that a relevant individual of RWWA does not interact with an account holder unless the individual has received initial training under subregulation (2)(a).</w:t>
      </w:r>
    </w:p>
    <w:p>
      <w:pPr>
        <w:pStyle w:val="Penstart"/>
      </w:pPr>
      <w:r>
        <w:tab/>
        <w:t>Penalty for this subregulation: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bookmarkStart w:id="255" w:name="_Toc189143671"/>
      <w:bookmarkStart w:id="256" w:name="_Toc189143841"/>
      <w:r>
        <w:tab/>
        <w:t>[Regulation 40Z inserted: SL 2025/30 r. 6.]</w:t>
      </w:r>
    </w:p>
    <w:p>
      <w:pPr>
        <w:pStyle w:val="Heading5"/>
      </w:pPr>
      <w:bookmarkStart w:id="257" w:name="_Toc189232214"/>
      <w:r>
        <w:rPr>
          <w:rStyle w:val="CharSectno"/>
        </w:rPr>
        <w:t>40ZA</w:t>
      </w:r>
      <w:r>
        <w:t>.</w:t>
      </w:r>
      <w:r>
        <w:tab/>
        <w:t>RWWA must make and keep records of training</w:t>
      </w:r>
      <w:bookmarkEnd w:id="255"/>
      <w:bookmarkEnd w:id="256"/>
      <w:bookmarkEnd w:id="257"/>
    </w:p>
    <w:p>
      <w:pPr>
        <w:pStyle w:val="Subsection"/>
      </w:pPr>
      <w:r>
        <w:tab/>
        <w:t>(1)</w:t>
      </w:r>
      <w:r>
        <w:tab/>
        <w:t xml:space="preserve">RWWA must make a record in relation to each relevant individual of RWWA that — </w:t>
      </w:r>
    </w:p>
    <w:p>
      <w:pPr>
        <w:pStyle w:val="Indenta"/>
      </w:pPr>
      <w:r>
        <w:tab/>
        <w:t>(a)</w:t>
      </w:r>
      <w:r>
        <w:tab/>
        <w:t xml:space="preserve">specifies — </w:t>
      </w:r>
    </w:p>
    <w:p>
      <w:pPr>
        <w:pStyle w:val="Indenti"/>
      </w:pPr>
      <w:r>
        <w:tab/>
        <w:t>(i)</w:t>
      </w:r>
      <w:r>
        <w:tab/>
        <w:t>the date the individual became a relevant individual of RWWA; and</w:t>
      </w:r>
    </w:p>
    <w:p>
      <w:pPr>
        <w:pStyle w:val="Indenti"/>
      </w:pPr>
      <w:r>
        <w:tab/>
        <w:t>(ii)</w:t>
      </w:r>
      <w:r>
        <w:tab/>
        <w:t>the training the individual has completed under regulation 40Z; and</w:t>
      </w:r>
    </w:p>
    <w:p>
      <w:pPr>
        <w:pStyle w:val="Indenti"/>
      </w:pPr>
      <w:r>
        <w:tab/>
        <w:t>(iii)</w:t>
      </w:r>
      <w:r>
        <w:tab/>
        <w:t>the date the training was completed;</w:t>
      </w:r>
    </w:p>
    <w:p>
      <w:pPr>
        <w:pStyle w:val="Indenta"/>
      </w:pPr>
      <w:r>
        <w:tab/>
      </w:r>
      <w:r>
        <w:tab/>
        <w:t>and</w:t>
      </w:r>
    </w:p>
    <w:p>
      <w:pPr>
        <w:pStyle w:val="Indenta"/>
      </w:pPr>
      <w:r>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a fine of $1 000.</w:t>
      </w:r>
    </w:p>
    <w:p>
      <w:pPr>
        <w:pStyle w:val="Subsection"/>
      </w:pPr>
      <w:r>
        <w:tab/>
        <w:t>(2)</w:t>
      </w:r>
      <w:r>
        <w:tab/>
        <w:t>RWWA must keep a record made under subregulation (1) for at least 7 years after the training to which the record relates was completed.</w:t>
      </w:r>
    </w:p>
    <w:p>
      <w:pPr>
        <w:pStyle w:val="Penstart"/>
      </w:pPr>
      <w:r>
        <w:tab/>
        <w:t>Penalty for this subregulation: a fine of $1 000.</w:t>
      </w:r>
    </w:p>
    <w:p>
      <w:pPr>
        <w:pStyle w:val="Footnotesection"/>
      </w:pPr>
      <w:bookmarkStart w:id="258" w:name="_Toc189143672"/>
      <w:bookmarkStart w:id="259" w:name="_Toc189143842"/>
      <w:r>
        <w:tab/>
        <w:t>[Regulation 40ZA inserted: SL 2025/30 r. 6.]</w:t>
      </w:r>
    </w:p>
    <w:p>
      <w:pPr>
        <w:pStyle w:val="Heading5"/>
      </w:pPr>
      <w:bookmarkStart w:id="260" w:name="_Toc189232215"/>
      <w:r>
        <w:rPr>
          <w:rStyle w:val="CharSectno"/>
        </w:rPr>
        <w:lastRenderedPageBreak/>
        <w:t>40ZB</w:t>
      </w:r>
      <w:r>
        <w:t>.</w:t>
      </w:r>
      <w:r>
        <w:tab/>
        <w:t>RWWA must produce records to authorised officers</w:t>
      </w:r>
      <w:bookmarkEnd w:id="258"/>
      <w:bookmarkEnd w:id="259"/>
      <w:bookmarkEnd w:id="260"/>
    </w:p>
    <w:p>
      <w:pPr>
        <w:pStyle w:val="Subsection"/>
      </w:pPr>
      <w:r>
        <w:tab/>
        <w:t>(1)</w:t>
      </w:r>
      <w:r>
        <w:tab/>
        <w:t>An authorised officer may require RWWA to produce a record made under regulation 40ZA(1) to the officer for inspection and copying.</w:t>
      </w:r>
    </w:p>
    <w:p>
      <w:pPr>
        <w:pStyle w:val="Subsection"/>
      </w:pPr>
      <w:r>
        <w:tab/>
        <w:t>(2)</w:t>
      </w:r>
      <w:r>
        <w:tab/>
        <w:t>RWWA must comply with a requirement made of RWWA under subregulation (1).</w:t>
      </w:r>
    </w:p>
    <w:p>
      <w:pPr>
        <w:pStyle w:val="Penstart"/>
      </w:pPr>
      <w:r>
        <w:tab/>
        <w:t>Penalty for this subregulation: a fine of $1 000.</w:t>
      </w:r>
    </w:p>
    <w:p>
      <w:pPr>
        <w:pStyle w:val="Footnotesection"/>
      </w:pPr>
      <w:bookmarkStart w:id="261" w:name="_Toc189143673"/>
      <w:bookmarkStart w:id="262" w:name="_Toc189143758"/>
      <w:bookmarkStart w:id="263" w:name="_Toc189143843"/>
      <w:r>
        <w:tab/>
        <w:t>[Regulation 40ZB inserted: SL 2025/30 r. 6.]</w:t>
      </w:r>
    </w:p>
    <w:p>
      <w:pPr>
        <w:pStyle w:val="Heading3"/>
      </w:pPr>
      <w:bookmarkStart w:id="264" w:name="_Toc189225821"/>
      <w:bookmarkStart w:id="265" w:name="_Toc189229154"/>
      <w:bookmarkStart w:id="266" w:name="_Toc189232216"/>
      <w:r>
        <w:rPr>
          <w:rStyle w:val="CharDivNo"/>
        </w:rPr>
        <w:t>Division 9 </w:t>
      </w:r>
      <w:r>
        <w:t>—</w:t>
      </w:r>
      <w:r>
        <w:rPr>
          <w:rStyle w:val="CharDivText"/>
        </w:rPr>
        <w:t> Consumer protection plan</w:t>
      </w:r>
      <w:bookmarkEnd w:id="261"/>
      <w:bookmarkEnd w:id="262"/>
      <w:bookmarkEnd w:id="263"/>
      <w:bookmarkEnd w:id="264"/>
      <w:bookmarkEnd w:id="265"/>
      <w:bookmarkEnd w:id="266"/>
    </w:p>
    <w:p>
      <w:pPr>
        <w:pStyle w:val="Footnoteheading"/>
      </w:pPr>
      <w:bookmarkStart w:id="267" w:name="_Toc189143674"/>
      <w:bookmarkStart w:id="268" w:name="_Toc189143844"/>
      <w:r>
        <w:tab/>
        <w:t>[Heading inserted: SL 2025/30 r. 6.]</w:t>
      </w:r>
    </w:p>
    <w:p>
      <w:pPr>
        <w:pStyle w:val="Heading5"/>
      </w:pPr>
      <w:bookmarkStart w:id="269" w:name="_Toc189232217"/>
      <w:r>
        <w:rPr>
          <w:rStyle w:val="CharSectno"/>
        </w:rPr>
        <w:t>40ZC</w:t>
      </w:r>
      <w:r>
        <w:t>.</w:t>
      </w:r>
      <w:r>
        <w:tab/>
        <w:t>RWWA must have consumer protection plan</w:t>
      </w:r>
      <w:bookmarkEnd w:id="267"/>
      <w:bookmarkEnd w:id="268"/>
      <w:bookmarkEnd w:id="269"/>
    </w:p>
    <w:p>
      <w:pPr>
        <w:pStyle w:val="Subsection"/>
      </w:pPr>
      <w:r>
        <w:tab/>
      </w:r>
      <w:r>
        <w:tab/>
        <w:t xml:space="preserve">RWWA must develop and maintain a plan, to be called a consumer protection plan, that includes — </w:t>
      </w:r>
    </w:p>
    <w:p>
      <w:pPr>
        <w:pStyle w:val="Indenta"/>
      </w:pPr>
      <w:r>
        <w:tab/>
        <w:t>(a)</w:t>
      </w:r>
      <w:r>
        <w:tab/>
        <w:t>a statement of RWWA’s commitment to following the National Consumer Protection Framework for Online Wagering in Australia — National Policy Statement; and</w:t>
      </w:r>
    </w:p>
    <w:p>
      <w:pPr>
        <w:pStyle w:val="Indenta"/>
      </w:pPr>
      <w:r>
        <w:tab/>
        <w:t>(b)</w:t>
      </w:r>
      <w:r>
        <w:tab/>
        <w:t>a statement of RWWA’s commitment to complying with this Part; and</w:t>
      </w:r>
    </w:p>
    <w:p>
      <w:pPr>
        <w:pStyle w:val="Indenta"/>
      </w:pPr>
      <w:r>
        <w:tab/>
        <w:t>(c)</w:t>
      </w:r>
      <w:r>
        <w:tab/>
        <w:t>a description of the measures and systems RWWA has established to enable RWWA to follow the National Consumer Protection Framework for Online Wagering in Australia — National Policy Statement and comply with this Part.</w:t>
      </w:r>
    </w:p>
    <w:p>
      <w:pPr>
        <w:pStyle w:val="Penstart"/>
      </w:pPr>
      <w:r>
        <w:tab/>
        <w:t>Penalty: a fine of $1 000.</w:t>
      </w:r>
    </w:p>
    <w:p>
      <w:pPr>
        <w:pStyle w:val="Footnotesection"/>
      </w:pPr>
      <w:r>
        <w:tab/>
        <w:t>[Regulation 40ZC inserted: SL 2025/30 r. 6.]</w:t>
      </w:r>
    </w:p>
    <w:p>
      <w:pPr>
        <w:pStyle w:val="Heading2"/>
      </w:pPr>
      <w:bookmarkStart w:id="270" w:name="_Toc189225823"/>
      <w:bookmarkStart w:id="271" w:name="_Toc189229156"/>
      <w:bookmarkStart w:id="272" w:name="_Toc189232218"/>
      <w:r>
        <w:rPr>
          <w:rStyle w:val="CharPartNo"/>
        </w:rPr>
        <w:lastRenderedPageBreak/>
        <w:t>Part 5</w:t>
      </w:r>
      <w:r>
        <w:rPr>
          <w:rStyle w:val="CharDivText"/>
        </w:rPr>
        <w:t> </w:t>
      </w:r>
      <w:r>
        <w:t>—</w:t>
      </w:r>
      <w:r>
        <w:rPr>
          <w:rStyle w:val="CharDivNo"/>
        </w:rPr>
        <w:t xml:space="preserve"> </w:t>
      </w:r>
      <w:r>
        <w:rPr>
          <w:rStyle w:val="CharPartText"/>
        </w:rPr>
        <w:t>Miscellaneous</w:t>
      </w:r>
      <w:bookmarkEnd w:id="131"/>
      <w:bookmarkEnd w:id="270"/>
      <w:bookmarkEnd w:id="271"/>
      <w:bookmarkEnd w:id="272"/>
    </w:p>
    <w:p>
      <w:pPr>
        <w:pStyle w:val="Footnoteheading"/>
      </w:pPr>
      <w:r>
        <w:tab/>
        <w:t>[Heading inserted: Gazette 4 Aug 1998 p. 3989.]</w:t>
      </w:r>
    </w:p>
    <w:p>
      <w:pPr>
        <w:pStyle w:val="Heading5"/>
      </w:pPr>
      <w:bookmarkStart w:id="273" w:name="_Toc189232219"/>
      <w:r>
        <w:rPr>
          <w:rStyle w:val="CharSectno"/>
        </w:rPr>
        <w:t>41</w:t>
      </w:r>
      <w:r>
        <w:t>.</w:t>
      </w:r>
      <w:r>
        <w:tab/>
        <w:t>Premises where amusement machines are permitted (Act s. 39(2)(e))</w:t>
      </w:r>
      <w:bookmarkEnd w:id="27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274" w:name="_Toc189232220"/>
      <w:r>
        <w:rPr>
          <w:rStyle w:val="CharSectno"/>
        </w:rPr>
        <w:t>42</w:t>
      </w:r>
      <w:r>
        <w:t>.</w:t>
      </w:r>
      <w:r>
        <w:tab/>
        <w:t>Unclaimed winnings (Act s. 109B(1))</w:t>
      </w:r>
      <w:bookmarkEnd w:id="274"/>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275" w:name="_Toc189232221"/>
      <w:r>
        <w:rPr>
          <w:rStyle w:val="CharSectno"/>
        </w:rPr>
        <w:t>43</w:t>
      </w:r>
      <w:r>
        <w:t>.</w:t>
      </w:r>
      <w:r>
        <w:tab/>
        <w:t>Certain advertisements and inducements prohibited</w:t>
      </w:r>
      <w:bookmarkEnd w:id="275"/>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lastRenderedPageBreak/>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lastRenderedPageBreak/>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Subsection"/>
        <w:keepNext/>
      </w:pPr>
      <w:r>
        <w:lastRenderedPageBreak/>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Subsection"/>
      </w:pPr>
      <w:r>
        <w:tab/>
        <w:t>(9)</w:t>
      </w:r>
      <w:r>
        <w:tab/>
        <w:t>A person who contravenes subsection (2) or (7) commits an offence.</w:t>
      </w:r>
    </w:p>
    <w:p>
      <w:pPr>
        <w:pStyle w:val="Subsection"/>
      </w:pPr>
      <w:r>
        <w:tab/>
        <w:t>(10)</w:t>
      </w:r>
      <w:r>
        <w:tab/>
        <w:t>A gambling operator who contravenes subsection (6) commits an offence.</w:t>
      </w:r>
    </w:p>
    <w:p>
      <w:pPr>
        <w:pStyle w:val="Footnotesection"/>
      </w:pPr>
      <w:r>
        <w:tab/>
        <w:t>[Regulation 43 inserted: Gazette 8 Jan 2010 p. 17</w:t>
      </w:r>
      <w:r>
        <w:noBreakHyphen/>
        <w:t>19; amended: Gazette 31 May 2019 p. 1718</w:t>
      </w:r>
      <w:r>
        <w:noBreakHyphen/>
        <w:t>20; SL 2025/35 r. 27.]</w:t>
      </w:r>
    </w:p>
    <w:p>
      <w:pPr>
        <w:pStyle w:val="Heading5"/>
      </w:pPr>
      <w:bookmarkStart w:id="276" w:name="_Toc189232222"/>
      <w:r>
        <w:rPr>
          <w:rStyle w:val="CharSectno"/>
        </w:rPr>
        <w:t>44</w:t>
      </w:r>
      <w:r>
        <w:t>.</w:t>
      </w:r>
      <w:r>
        <w:tab/>
        <w:t>Prescribed interval (Act s. 110B(4)(b))</w:t>
      </w:r>
      <w:bookmarkEnd w:id="276"/>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77" w:name="_Toc189223697"/>
      <w:bookmarkStart w:id="278" w:name="_Toc189225828"/>
      <w:bookmarkStart w:id="279" w:name="_Toc189229161"/>
      <w:bookmarkStart w:id="280" w:name="_Toc189232223"/>
      <w:r>
        <w:rPr>
          <w:rStyle w:val="CharSchNo"/>
        </w:rPr>
        <w:lastRenderedPageBreak/>
        <w:t>Schedule 1</w:t>
      </w:r>
      <w:r>
        <w:t> — </w:t>
      </w:r>
      <w:r>
        <w:rPr>
          <w:rStyle w:val="CharSchText"/>
        </w:rPr>
        <w:t>Prescribed fees</w:t>
      </w:r>
      <w:bookmarkEnd w:id="277"/>
      <w:bookmarkEnd w:id="278"/>
      <w:bookmarkEnd w:id="279"/>
      <w:bookmarkEnd w:id="280"/>
    </w:p>
    <w:p>
      <w:pPr>
        <w:pStyle w:val="yShoulderClause"/>
        <w:spacing w:before="0"/>
      </w:pPr>
      <w:r>
        <w:t>[r. 4]</w:t>
      </w:r>
    </w:p>
    <w:p>
      <w:pPr>
        <w:pStyle w:val="yFootnoteheading"/>
        <w:spacing w:beforeLines="80" w:before="192" w:afterLines="80" w:after="192"/>
      </w:pPr>
      <w:r>
        <w:tab/>
        <w:t>[Heading inserted: SL 2024/213 r. 10.]</w:t>
      </w:r>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jc w:val="center"/>
              <w:rPr>
                <w:b/>
                <w:bCs/>
              </w:rPr>
            </w:pPr>
            <w:r>
              <w:rPr>
                <w:b/>
                <w:bCs/>
              </w:rPr>
              <w:t>Item</w:t>
            </w:r>
          </w:p>
        </w:tc>
        <w:tc>
          <w:tcPr>
            <w:tcW w:w="5245" w:type="dxa"/>
          </w:tcPr>
          <w:p>
            <w:pPr>
              <w:pStyle w:val="yTableNAm"/>
              <w:jc w:val="center"/>
              <w:rPr>
                <w:b/>
                <w:bCs/>
              </w:rPr>
            </w:pPr>
            <w:r>
              <w:rPr>
                <w:b/>
                <w:bCs/>
              </w:rPr>
              <w:t>Description</w:t>
            </w:r>
          </w:p>
        </w:tc>
        <w:tc>
          <w:tcPr>
            <w:tcW w:w="992" w:type="dxa"/>
          </w:tcPr>
          <w:p>
            <w:pPr>
              <w:pStyle w:val="yTableNAm"/>
              <w:jc w:val="center"/>
              <w:rPr>
                <w:b/>
                <w:bCs/>
              </w:rPr>
            </w:pPr>
            <w:r>
              <w:rPr>
                <w:b/>
                <w:bCs/>
              </w:rPr>
              <w:t>Fee</w:t>
            </w:r>
            <w:r>
              <w:rPr>
                <w:b/>
                <w:bCs/>
              </w:rPr>
              <w:br/>
              <w:t>$</w:t>
            </w:r>
          </w:p>
        </w:tc>
      </w:tr>
      <w:tr>
        <w:tc>
          <w:tcPr>
            <w:tcW w:w="709" w:type="dxa"/>
          </w:tcPr>
          <w:p>
            <w:pPr>
              <w:pStyle w:val="yTableNAm"/>
            </w:pPr>
            <w:r>
              <w:t>1.</w:t>
            </w:r>
          </w:p>
        </w:tc>
        <w:tc>
          <w:tcPr>
            <w:tcW w:w="5245" w:type="dxa"/>
          </w:tcPr>
          <w:p>
            <w:pPr>
              <w:pStyle w:val="yTableNAm"/>
            </w:pPr>
            <w:r>
              <w:t>Search of the register for an identified entry</w:t>
            </w:r>
          </w:p>
        </w:tc>
        <w:tc>
          <w:tcPr>
            <w:tcW w:w="992" w:type="dxa"/>
            <w:vAlign w:val="bottom"/>
          </w:tcPr>
          <w:p>
            <w:pPr>
              <w:pStyle w:val="yTableNAm"/>
              <w:jc w:val="right"/>
            </w:pPr>
            <w:r>
              <w:t>9.50</w:t>
            </w:r>
          </w:p>
        </w:tc>
      </w:tr>
      <w:tr>
        <w:tc>
          <w:tcPr>
            <w:tcW w:w="709" w:type="dxa"/>
          </w:tcPr>
          <w:p>
            <w:pPr>
              <w:pStyle w:val="yTableNAm"/>
            </w:pPr>
            <w:r>
              <w:t>2.</w:t>
            </w:r>
          </w:p>
        </w:tc>
        <w:tc>
          <w:tcPr>
            <w:tcW w:w="5245" w:type="dxa"/>
          </w:tcPr>
          <w:p>
            <w:pPr>
              <w:pStyle w:val="yTableNAm"/>
            </w:pPr>
            <w:r>
              <w:t>Copy of extract from register</w:t>
            </w:r>
          </w:p>
        </w:tc>
        <w:tc>
          <w:tcPr>
            <w:tcW w:w="992" w:type="dxa"/>
            <w:vAlign w:val="bottom"/>
          </w:tcPr>
          <w:p>
            <w:pPr>
              <w:pStyle w:val="yTableNAm"/>
              <w:jc w:val="right"/>
            </w:pPr>
            <w:r>
              <w:t>17.50</w:t>
            </w:r>
          </w:p>
        </w:tc>
      </w:tr>
      <w:tr>
        <w:tc>
          <w:tcPr>
            <w:tcW w:w="709" w:type="dxa"/>
          </w:tcPr>
          <w:p>
            <w:pPr>
              <w:pStyle w:val="yTableNAm"/>
            </w:pPr>
            <w:r>
              <w:t>3.</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an item of gaming equipment (r. 18B(2)(a))</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 class of gaming equipment (r. 18B(2)(b))</w:t>
            </w:r>
          </w:p>
        </w:tc>
        <w:tc>
          <w:tcPr>
            <w:tcW w:w="992" w:type="dxa"/>
            <w:vAlign w:val="bottom"/>
          </w:tcPr>
          <w:p>
            <w:pPr>
              <w:pStyle w:val="yTableNAm"/>
              <w:jc w:val="right"/>
            </w:pPr>
            <w:r>
              <w:t>68.00</w:t>
            </w:r>
          </w:p>
        </w:tc>
      </w:tr>
      <w:tr>
        <w:tc>
          <w:tcPr>
            <w:tcW w:w="709" w:type="dxa"/>
          </w:tcPr>
          <w:p>
            <w:pPr>
              <w:pStyle w:val="yTableNAm"/>
            </w:pPr>
            <w:r>
              <w:t>4.</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 video lottery terminal (r. 18AA(7))</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an item of gaming equipment (r. 18B(2)(a))</w:t>
            </w:r>
          </w:p>
        </w:tc>
        <w:tc>
          <w:tcPr>
            <w:tcW w:w="992" w:type="dxa"/>
            <w:vAlign w:val="bottom"/>
          </w:tcPr>
          <w:p>
            <w:pPr>
              <w:pStyle w:val="yTableNAm"/>
              <w:jc w:val="right"/>
            </w:pPr>
            <w:r>
              <w:t>73.50</w:t>
            </w:r>
          </w:p>
        </w:tc>
      </w:tr>
      <w:tr>
        <w:tc>
          <w:tcPr>
            <w:tcW w:w="709" w:type="dxa"/>
          </w:tcPr>
          <w:p>
            <w:pPr>
              <w:pStyle w:val="yTableNAm"/>
            </w:pPr>
          </w:p>
        </w:tc>
        <w:tc>
          <w:tcPr>
            <w:tcW w:w="5245" w:type="dxa"/>
          </w:tcPr>
          <w:p>
            <w:pPr>
              <w:pStyle w:val="yTableNAm"/>
            </w:pPr>
            <w:r>
              <w:t>(c)</w:t>
            </w:r>
            <w:r>
              <w:tab/>
              <w:t>a class of gaming equipment (r. 18B(2)(b))</w:t>
            </w:r>
          </w:p>
        </w:tc>
        <w:tc>
          <w:tcPr>
            <w:tcW w:w="992" w:type="dxa"/>
            <w:vAlign w:val="bottom"/>
          </w:tcPr>
          <w:p>
            <w:pPr>
              <w:pStyle w:val="yTableNAm"/>
              <w:jc w:val="right"/>
            </w:pPr>
            <w:r>
              <w:t>132.00</w:t>
            </w:r>
          </w:p>
        </w:tc>
      </w:tr>
      <w:tr>
        <w:tc>
          <w:tcPr>
            <w:tcW w:w="709" w:type="dxa"/>
          </w:tcPr>
          <w:p>
            <w:pPr>
              <w:pStyle w:val="yTableNAm"/>
            </w:pPr>
            <w:r>
              <w:t>5.</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(d)</w:t>
            </w:r>
            <w:r>
              <w:tab/>
              <w:t xml:space="preserve">a standard lottery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where the total retail value of the prizes or prize money does not exceed $5 000</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pPr>
            <w:r>
              <w:t>(f)</w:t>
            </w:r>
            <w:r>
              <w:tab/>
              <w:t>a continuing lottery</w:t>
            </w:r>
          </w:p>
        </w:tc>
        <w:tc>
          <w:tcPr>
            <w:tcW w:w="992" w:type="dxa"/>
            <w:vAlign w:val="bottom"/>
          </w:tcPr>
          <w:p>
            <w:pPr>
              <w:pStyle w:val="yTableNAm"/>
              <w:jc w:val="right"/>
            </w:pPr>
            <w:r>
              <w:t>18.50</w:t>
            </w:r>
          </w:p>
        </w:tc>
      </w:tr>
      <w:tr>
        <w:tc>
          <w:tcPr>
            <w:tcW w:w="709" w:type="dxa"/>
          </w:tcPr>
          <w:p>
            <w:pPr>
              <w:pStyle w:val="yTableNAm"/>
            </w:pPr>
          </w:p>
        </w:tc>
        <w:tc>
          <w:tcPr>
            <w:tcW w:w="5245" w:type="dxa"/>
          </w:tcPr>
          <w:p>
            <w:pPr>
              <w:pStyle w:val="yTableNAm"/>
            </w:pPr>
            <w:r>
              <w:t>(g)</w:t>
            </w:r>
            <w:r>
              <w:tab/>
              <w:t xml:space="preserve">gaming (per day authorised)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260.50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over 5 tables</w:t>
            </w:r>
          </w:p>
        </w:tc>
        <w:tc>
          <w:tcPr>
            <w:tcW w:w="992" w:type="dxa"/>
            <w:vAlign w:val="bottom"/>
          </w:tcPr>
          <w:p>
            <w:pPr>
              <w:pStyle w:val="yTableNAm"/>
              <w:jc w:val="right"/>
            </w:pPr>
            <w:r>
              <w:t>417.50</w:t>
            </w:r>
          </w:p>
        </w:tc>
      </w:tr>
      <w:tr>
        <w:tc>
          <w:tcPr>
            <w:tcW w:w="709" w:type="dxa"/>
          </w:tcPr>
          <w:p>
            <w:pPr>
              <w:pStyle w:val="yTableNAm"/>
              <w:keepNext/>
            </w:pPr>
          </w:p>
        </w:tc>
        <w:tc>
          <w:tcPr>
            <w:tcW w:w="5245" w:type="dxa"/>
          </w:tcPr>
          <w:p>
            <w:pPr>
              <w:pStyle w:val="yTableNAm"/>
            </w:pPr>
            <w:r>
              <w:t>(h)</w:t>
            </w:r>
            <w:r>
              <w:tab/>
              <w:t>two</w:t>
            </w:r>
            <w:r>
              <w:noBreakHyphen/>
              <w:t xml:space="preserve">up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260.50</w:t>
            </w:r>
          </w:p>
        </w:tc>
      </w:tr>
      <w:tr>
        <w:tc>
          <w:tcPr>
            <w:tcW w:w="709" w:type="dxa"/>
          </w:tcPr>
          <w:p>
            <w:pPr>
              <w:pStyle w:val="yTableNAm"/>
            </w:pPr>
            <w:r>
              <w:t>6.</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ind w:left="567" w:hanging="567"/>
            </w:pPr>
            <w:r>
              <w:t>(d)</w:t>
            </w:r>
            <w:r>
              <w:tab/>
              <w:t xml:space="preserve">a standard lottery, where the total retail value of prizes or prize money is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not more than $5 000</w:t>
            </w:r>
          </w:p>
        </w:tc>
        <w:tc>
          <w:tcPr>
            <w:tcW w:w="992" w:type="dxa"/>
            <w:vAlign w:val="bottom"/>
          </w:tcPr>
          <w:p>
            <w:pPr>
              <w:pStyle w:val="yTableNAm"/>
              <w:jc w:val="right"/>
            </w:pPr>
            <w:r>
              <w:t>54.50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more than $5 000 but not more than $50 000</w:t>
            </w:r>
          </w:p>
        </w:tc>
        <w:tc>
          <w:tcPr>
            <w:tcW w:w="992" w:type="dxa"/>
            <w:vAlign w:val="bottom"/>
          </w:tcPr>
          <w:p>
            <w:pPr>
              <w:pStyle w:val="yTableNAm"/>
              <w:jc w:val="right"/>
            </w:pPr>
            <w:r>
              <w:t>132.00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more than $50 000 but not more than $100 000</w:t>
            </w:r>
          </w:p>
        </w:tc>
        <w:tc>
          <w:tcPr>
            <w:tcW w:w="992" w:type="dxa"/>
            <w:vAlign w:val="bottom"/>
          </w:tcPr>
          <w:p>
            <w:pPr>
              <w:pStyle w:val="yTableNAm"/>
              <w:jc w:val="right"/>
            </w:pPr>
            <w:r>
              <w:t>255.50</w:t>
            </w:r>
          </w:p>
        </w:tc>
      </w:tr>
      <w:tr>
        <w:tc>
          <w:tcPr>
            <w:tcW w:w="709" w:type="dxa"/>
          </w:tcPr>
          <w:p>
            <w:pPr>
              <w:pStyle w:val="yTableNAm"/>
            </w:pPr>
          </w:p>
        </w:tc>
        <w:tc>
          <w:tcPr>
            <w:tcW w:w="5245" w:type="dxa"/>
          </w:tcPr>
          <w:p>
            <w:pPr>
              <w:pStyle w:val="yTableNAm"/>
              <w:tabs>
                <w:tab w:val="clear" w:pos="567"/>
                <w:tab w:val="right" w:pos="878"/>
              </w:tabs>
              <w:ind w:left="1162" w:hanging="1128"/>
            </w:pPr>
            <w:r>
              <w:tab/>
              <w:t>(iv)</w:t>
            </w:r>
            <w:r>
              <w:tab/>
              <w:t>more than $100 000 but not more than $200 000</w:t>
            </w:r>
          </w:p>
        </w:tc>
        <w:tc>
          <w:tcPr>
            <w:tcW w:w="992" w:type="dxa"/>
            <w:vAlign w:val="bottom"/>
          </w:tcPr>
          <w:p>
            <w:pPr>
              <w:pStyle w:val="yTableNAm"/>
              <w:jc w:val="right"/>
            </w:pPr>
            <w:r>
              <w:t>488.50</w:t>
            </w:r>
          </w:p>
        </w:tc>
      </w:tr>
      <w:tr>
        <w:tc>
          <w:tcPr>
            <w:tcW w:w="709" w:type="dxa"/>
          </w:tcPr>
          <w:p>
            <w:pPr>
              <w:pStyle w:val="yTableNAm"/>
            </w:pPr>
          </w:p>
        </w:tc>
        <w:tc>
          <w:tcPr>
            <w:tcW w:w="5245" w:type="dxa"/>
          </w:tcPr>
          <w:p>
            <w:pPr>
              <w:pStyle w:val="yTableNAm"/>
              <w:tabs>
                <w:tab w:val="clear" w:pos="567"/>
                <w:tab w:val="right" w:pos="878"/>
              </w:tabs>
              <w:ind w:left="1162" w:hanging="1128"/>
            </w:pPr>
            <w:r>
              <w:tab/>
              <w:t>(v)</w:t>
            </w:r>
            <w:r>
              <w:tab/>
              <w:t>more than $200 000</w:t>
            </w:r>
          </w:p>
        </w:tc>
        <w:tc>
          <w:tcPr>
            <w:tcW w:w="992" w:type="dxa"/>
            <w:vAlign w:val="bottom"/>
          </w:tcPr>
          <w:p>
            <w:pPr>
              <w:pStyle w:val="yTableNAm"/>
              <w:jc w:val="right"/>
            </w:pPr>
            <w:r>
              <w:t>721.00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(f)</w:t>
            </w:r>
            <w:r>
              <w:tab/>
              <w:t xml:space="preserve">a continuing lottery </w:t>
            </w:r>
          </w:p>
        </w:tc>
        <w:tc>
          <w:tcPr>
            <w:tcW w:w="992" w:type="dxa"/>
            <w:vAlign w:val="bottom"/>
          </w:tcPr>
          <w:p>
            <w:pPr>
              <w:pStyle w:val="yTableNAm"/>
              <w:jc w:val="right"/>
            </w:pPr>
            <w:r>
              <w:t>30.50</w:t>
            </w:r>
          </w:p>
        </w:tc>
      </w:tr>
      <w:tr>
        <w:tc>
          <w:tcPr>
            <w:tcW w:w="709" w:type="dxa"/>
          </w:tcPr>
          <w:p>
            <w:pPr>
              <w:pStyle w:val="yTableNAm"/>
              <w:keepNext/>
            </w:pPr>
          </w:p>
        </w:tc>
        <w:tc>
          <w:tcPr>
            <w:tcW w:w="5245" w:type="dxa"/>
          </w:tcPr>
          <w:p>
            <w:pPr>
              <w:pStyle w:val="yTableNAm"/>
              <w:ind w:left="567" w:hanging="567"/>
            </w:pPr>
            <w:r>
              <w:t>(g)</w:t>
            </w:r>
            <w:r>
              <w:tab/>
              <w:t xml:space="preserve">gaming (per day authorised)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210.00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6</w:t>
            </w:r>
            <w:r>
              <w:noBreakHyphen/>
              <w:t>10 tables</w:t>
            </w:r>
          </w:p>
        </w:tc>
        <w:tc>
          <w:tcPr>
            <w:tcW w:w="992" w:type="dxa"/>
            <w:vAlign w:val="bottom"/>
          </w:tcPr>
          <w:p>
            <w:pPr>
              <w:pStyle w:val="yTableNAm"/>
              <w:jc w:val="right"/>
            </w:pPr>
            <w:r>
              <w:t>387.00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over 10 tables</w:t>
            </w:r>
          </w:p>
        </w:tc>
        <w:tc>
          <w:tcPr>
            <w:tcW w:w="992" w:type="dxa"/>
            <w:vAlign w:val="bottom"/>
          </w:tcPr>
          <w:p>
            <w:pPr>
              <w:pStyle w:val="yTableNAm"/>
              <w:jc w:val="right"/>
            </w:pPr>
            <w:r>
              <w:t>483.50</w:t>
            </w:r>
          </w:p>
        </w:tc>
      </w:tr>
      <w:tr>
        <w:tc>
          <w:tcPr>
            <w:tcW w:w="709" w:type="dxa"/>
          </w:tcPr>
          <w:p>
            <w:pPr>
              <w:pStyle w:val="yTableNAm"/>
            </w:pPr>
          </w:p>
        </w:tc>
        <w:tc>
          <w:tcPr>
            <w:tcW w:w="5245" w:type="dxa"/>
          </w:tcPr>
          <w:p>
            <w:pPr>
              <w:pStyle w:val="yTableNAm"/>
              <w:ind w:left="567" w:hanging="567"/>
            </w:pPr>
            <w:r>
              <w:t>(h)</w:t>
            </w:r>
            <w:r>
              <w:tab/>
              <w:t>two</w:t>
            </w:r>
            <w:r>
              <w:noBreakHyphen/>
              <w:t xml:space="preserve">up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 per day authorised</w:t>
            </w:r>
          </w:p>
        </w:tc>
        <w:tc>
          <w:tcPr>
            <w:tcW w:w="992" w:type="dxa"/>
            <w:vAlign w:val="bottom"/>
          </w:tcPr>
          <w:p>
            <w:pPr>
              <w:pStyle w:val="yTableNAm"/>
              <w:jc w:val="right"/>
            </w:pPr>
            <w:r>
              <w:t>139.00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 per day authorised</w:t>
            </w:r>
          </w:p>
        </w:tc>
        <w:tc>
          <w:tcPr>
            <w:tcW w:w="992" w:type="dxa"/>
            <w:vAlign w:val="bottom"/>
          </w:tcPr>
          <w:p>
            <w:pPr>
              <w:pStyle w:val="yTableNAm"/>
              <w:jc w:val="right"/>
            </w:pPr>
            <w:r>
              <w:t>210.00</w:t>
            </w:r>
          </w:p>
        </w:tc>
      </w:tr>
      <w:tr>
        <w:tc>
          <w:tcPr>
            <w:tcW w:w="709"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a specific function</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ind w:left="567" w:hanging="567"/>
            </w:pPr>
            <w:r>
              <w:t>(b)</w:t>
            </w:r>
            <w:r>
              <w:tab/>
              <w:t>functions from time to time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(c)</w:t>
            </w:r>
            <w:r>
              <w:tab/>
              <w:t>permit of a continuing nature</w:t>
            </w:r>
          </w:p>
        </w:tc>
        <w:tc>
          <w:tcPr>
            <w:tcW w:w="992" w:type="dxa"/>
            <w:vAlign w:val="bottom"/>
          </w:tcPr>
          <w:p>
            <w:pPr>
              <w:pStyle w:val="yTableNAm"/>
              <w:jc w:val="right"/>
            </w:pPr>
            <w:r>
              <w:t>85.50</w:t>
            </w:r>
          </w:p>
        </w:tc>
      </w:tr>
      <w:tr>
        <w:tc>
          <w:tcPr>
            <w:tcW w:w="709"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multiple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(b)</w:t>
            </w:r>
            <w:r>
              <w:tab/>
              <w:t>simultaneous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(c)</w:t>
            </w:r>
            <w:r>
              <w:tab/>
              <w:t>assisting in the conduct of bingo, for hire or reward</w:t>
            </w:r>
          </w:p>
        </w:tc>
        <w:tc>
          <w:tcPr>
            <w:tcW w:w="992" w:type="dxa"/>
            <w:vAlign w:val="bottom"/>
          </w:tcPr>
          <w:p>
            <w:pPr>
              <w:pStyle w:val="yTableNAm"/>
              <w:jc w:val="right"/>
            </w:pPr>
            <w:r>
              <w:t>175.00</w:t>
            </w:r>
          </w:p>
        </w:tc>
      </w:tr>
      <w:tr>
        <w:tc>
          <w:tcPr>
            <w:tcW w:w="709" w:type="dxa"/>
          </w:tcPr>
          <w:p>
            <w:pPr>
              <w:pStyle w:val="yTableNAm"/>
            </w:pPr>
            <w:r>
              <w:t>9.</w:t>
            </w:r>
          </w:p>
        </w:tc>
        <w:tc>
          <w:tcPr>
            <w:tcW w:w="5245" w:type="dxa"/>
          </w:tcPr>
          <w:p>
            <w:pPr>
              <w:pStyle w:val="yTableNAm"/>
            </w:pPr>
            <w:r>
              <w:t>Issue of an approved operator’s certificate</w:t>
            </w:r>
          </w:p>
        </w:tc>
        <w:tc>
          <w:tcPr>
            <w:tcW w:w="992" w:type="dxa"/>
            <w:vAlign w:val="bottom"/>
          </w:tcPr>
          <w:p>
            <w:pPr>
              <w:pStyle w:val="yTableNAm"/>
              <w:jc w:val="right"/>
            </w:pPr>
            <w:r>
              <w:t>289.50</w:t>
            </w:r>
          </w:p>
        </w:tc>
      </w:tr>
      <w:tr>
        <w:tc>
          <w:tcPr>
            <w:tcW w:w="709" w:type="dxa"/>
          </w:tcPr>
          <w:p>
            <w:pPr>
              <w:pStyle w:val="yTableNAm"/>
            </w:pPr>
            <w:r>
              <w:t>10.</w:t>
            </w:r>
          </w:p>
        </w:tc>
        <w:tc>
          <w:tcPr>
            <w:tcW w:w="5245" w:type="dxa"/>
          </w:tcPr>
          <w:p>
            <w:pPr>
              <w:pStyle w:val="yTableNAm"/>
            </w:pPr>
            <w:r>
              <w:t>Issue of a certificate under section 88(5)</w:t>
            </w:r>
          </w:p>
        </w:tc>
        <w:tc>
          <w:tcPr>
            <w:tcW w:w="992" w:type="dxa"/>
            <w:vAlign w:val="bottom"/>
          </w:tcPr>
          <w:p>
            <w:pPr>
              <w:pStyle w:val="yTableNAm"/>
              <w:jc w:val="right"/>
            </w:pPr>
            <w:r>
              <w:t>365.50</w:t>
            </w:r>
          </w:p>
        </w:tc>
      </w:tr>
      <w:tr>
        <w:tc>
          <w:tcPr>
            <w:tcW w:w="709" w:type="dxa"/>
          </w:tcPr>
          <w:p>
            <w:pPr>
              <w:pStyle w:val="yTableNAm"/>
            </w:pPr>
            <w:r>
              <w:t>11.</w:t>
            </w:r>
          </w:p>
        </w:tc>
        <w:tc>
          <w:tcPr>
            <w:tcW w:w="5245" w:type="dxa"/>
          </w:tcPr>
          <w:p>
            <w:pPr>
              <w:pStyle w:val="yTableNAm"/>
            </w:pPr>
            <w:r>
              <w:t>Application to be a licensed supplier</w:t>
            </w:r>
          </w:p>
        </w:tc>
        <w:tc>
          <w:tcPr>
            <w:tcW w:w="992" w:type="dxa"/>
            <w:vAlign w:val="bottom"/>
          </w:tcPr>
          <w:p>
            <w:pPr>
              <w:pStyle w:val="yTableNAm"/>
              <w:jc w:val="right"/>
            </w:pPr>
            <w:r>
              <w:t>354.00</w:t>
            </w:r>
          </w:p>
        </w:tc>
      </w:tr>
      <w:tr>
        <w:tc>
          <w:tcPr>
            <w:tcW w:w="709" w:type="dxa"/>
          </w:tcPr>
          <w:p>
            <w:pPr>
              <w:pStyle w:val="yTableNAm"/>
            </w:pPr>
            <w:r>
              <w:t>12.</w:t>
            </w:r>
          </w:p>
        </w:tc>
        <w:tc>
          <w:tcPr>
            <w:tcW w:w="5245" w:type="dxa"/>
          </w:tcPr>
          <w:p>
            <w:pPr>
              <w:pStyle w:val="yTableNAm"/>
            </w:pPr>
            <w:r>
              <w:t>Approval to operate, or remove money from, gaming equipment</w:t>
            </w:r>
          </w:p>
        </w:tc>
        <w:tc>
          <w:tcPr>
            <w:tcW w:w="992" w:type="dxa"/>
            <w:vAlign w:val="bottom"/>
          </w:tcPr>
          <w:p>
            <w:pPr>
              <w:pStyle w:val="yTableNAm"/>
              <w:jc w:val="right"/>
            </w:pPr>
            <w:r>
              <w:t>30.50</w:t>
            </w:r>
          </w:p>
        </w:tc>
      </w:tr>
    </w:tbl>
    <w:p>
      <w:pPr>
        <w:pStyle w:val="yFootnotesection"/>
        <w:spacing w:before="80"/>
      </w:pPr>
      <w:r>
        <w:tab/>
        <w:t>[Schedule 1 inserted: SL 2024/213 r. 10.]</w:t>
      </w:r>
    </w:p>
    <w:p>
      <w:pPr>
        <w:pStyle w:val="yScheduleHeading"/>
      </w:pPr>
      <w:bookmarkStart w:id="281" w:name="_Toc189141584"/>
      <w:bookmarkStart w:id="282" w:name="_Toc189141702"/>
      <w:bookmarkStart w:id="283" w:name="_Toc189141769"/>
      <w:bookmarkStart w:id="284" w:name="_Toc189142369"/>
      <w:bookmarkStart w:id="285" w:name="_Toc189229162"/>
      <w:bookmarkStart w:id="286" w:name="_Toc189232224"/>
      <w:bookmarkStart w:id="287" w:name="_Toc189223698"/>
      <w:bookmarkStart w:id="288" w:name="_Toc189225829"/>
      <w:r>
        <w:rPr>
          <w:rStyle w:val="CharSchNo"/>
        </w:rPr>
        <w:lastRenderedPageBreak/>
        <w:t>Schedule 2</w:t>
      </w:r>
      <w:r>
        <w:t> —</w:t>
      </w:r>
      <w:r>
        <w:rPr>
          <w:rStyle w:val="CharSchText"/>
        </w:rPr>
        <w:t> Prescribed offences and modified penalties</w:t>
      </w:r>
      <w:bookmarkEnd w:id="281"/>
      <w:bookmarkEnd w:id="282"/>
      <w:bookmarkEnd w:id="283"/>
      <w:bookmarkEnd w:id="284"/>
      <w:bookmarkEnd w:id="285"/>
      <w:bookmarkEnd w:id="286"/>
    </w:p>
    <w:p>
      <w:pPr>
        <w:pStyle w:val="yShoulderClause"/>
      </w:pPr>
      <w:r>
        <w:t>[r. 5A]</w:t>
      </w:r>
    </w:p>
    <w:p>
      <w:pPr>
        <w:pStyle w:val="yFootnoteheading"/>
      </w:pPr>
      <w:bookmarkStart w:id="289" w:name="_Toc189141585"/>
      <w:bookmarkStart w:id="290" w:name="_Toc189141703"/>
      <w:bookmarkStart w:id="291" w:name="_Toc189141770"/>
      <w:bookmarkStart w:id="292" w:name="_Toc189142370"/>
      <w:r>
        <w:tab/>
        <w:t>[Heading inserted: SL 2025/35 r. 28.]</w:t>
      </w:r>
    </w:p>
    <w:p>
      <w:pPr>
        <w:pStyle w:val="yHeading3"/>
      </w:pPr>
      <w:bookmarkStart w:id="293" w:name="_Toc189229163"/>
      <w:bookmarkStart w:id="294" w:name="_Toc189232225"/>
      <w:r>
        <w:rPr>
          <w:rStyle w:val="CharSDivNo"/>
        </w:rPr>
        <w:t>Division 1</w:t>
      </w:r>
      <w:r>
        <w:t> —</w:t>
      </w:r>
      <w:r>
        <w:rPr>
          <w:rStyle w:val="CharDivText"/>
        </w:rPr>
        <w:t> </w:t>
      </w:r>
      <w:r>
        <w:rPr>
          <w:rStyle w:val="CharSDivText"/>
        </w:rPr>
        <w:t>Offences under Act</w:t>
      </w:r>
      <w:bookmarkEnd w:id="289"/>
      <w:bookmarkEnd w:id="290"/>
      <w:bookmarkEnd w:id="291"/>
      <w:bookmarkEnd w:id="292"/>
      <w:bookmarkEnd w:id="293"/>
      <w:bookmarkEnd w:id="294"/>
    </w:p>
    <w:p>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noWrap/>
          </w:tcPr>
          <w:p>
            <w:pPr>
              <w:pStyle w:val="yTableNAm"/>
              <w:ind w:firstLine="140"/>
              <w:rPr>
                <w:b/>
              </w:rPr>
            </w:pPr>
            <w:r>
              <w:rPr>
                <w:b/>
              </w:rPr>
              <w:t>Item</w:t>
            </w:r>
          </w:p>
        </w:tc>
        <w:tc>
          <w:tcPr>
            <w:tcW w:w="3685" w:type="dxa"/>
          </w:tcPr>
          <w:p>
            <w:pPr>
              <w:pStyle w:val="yTableNAm"/>
              <w:jc w:val="center"/>
              <w:rPr>
                <w:b/>
              </w:rPr>
            </w:pPr>
            <w:r>
              <w:rPr>
                <w:b/>
              </w:rPr>
              <w:t>Section</w:t>
            </w:r>
          </w:p>
        </w:tc>
        <w:tc>
          <w:tcPr>
            <w:tcW w:w="1905" w:type="dxa"/>
            <w:noWrap/>
          </w:tcPr>
          <w:p>
            <w:pPr>
              <w:pStyle w:val="yTableNAm"/>
              <w:jc w:val="center"/>
              <w:rPr>
                <w:b/>
              </w:rPr>
            </w:pPr>
            <w:r>
              <w:rPr>
                <w:b/>
              </w:rPr>
              <w:t>Modified penalty</w:t>
            </w:r>
          </w:p>
        </w:tc>
      </w:tr>
      <w:tr>
        <w:trPr>
          <w:cantSplit/>
        </w:trPr>
        <w:tc>
          <w:tcPr>
            <w:tcW w:w="1072" w:type="dxa"/>
            <w:noWrap/>
          </w:tcPr>
          <w:p>
            <w:pPr>
              <w:pStyle w:val="yTableNAm"/>
              <w:ind w:firstLine="140"/>
              <w:rPr>
                <w:bCs/>
              </w:rPr>
            </w:pPr>
            <w:r>
              <w:rPr>
                <w:bCs/>
              </w:rPr>
              <w:t>1.</w:t>
            </w:r>
          </w:p>
        </w:tc>
        <w:tc>
          <w:tcPr>
            <w:tcW w:w="3685" w:type="dxa"/>
            <w:noWrap/>
          </w:tcPr>
          <w:p>
            <w:pPr>
              <w:pStyle w:val="yTableNAm"/>
            </w:pPr>
            <w:r>
              <w:t>s. 22(5)</w:t>
            </w:r>
          </w:p>
        </w:tc>
        <w:tc>
          <w:tcPr>
            <w:tcW w:w="1905" w:type="dxa"/>
            <w:noWrap/>
            <w:vAlign w:val="bottom"/>
          </w:tcPr>
          <w:p>
            <w:pPr>
              <w:pStyle w:val="yTableNAm"/>
              <w:tabs>
                <w:tab w:val="clear" w:pos="567"/>
                <w:tab w:val="left" w:pos="590"/>
              </w:tabs>
              <w:ind w:right="283"/>
              <w:jc w:val="right"/>
              <w:rPr>
                <w:rStyle w:val="DraftersNotes"/>
                <w:b w:val="0"/>
                <w:i w:val="0"/>
              </w:rPr>
            </w:pPr>
            <w:r>
              <w:t>$1 000</w:t>
            </w:r>
          </w:p>
        </w:tc>
      </w:tr>
      <w:tr>
        <w:trPr>
          <w:cantSplit/>
        </w:trPr>
        <w:tc>
          <w:tcPr>
            <w:tcW w:w="1072" w:type="dxa"/>
            <w:noWrap/>
          </w:tcPr>
          <w:p>
            <w:pPr>
              <w:pStyle w:val="yTableNAm"/>
              <w:ind w:firstLine="140"/>
              <w:rPr>
                <w:bCs/>
              </w:rPr>
            </w:pPr>
            <w:r>
              <w:rPr>
                <w:bCs/>
              </w:rPr>
              <w:t>2.</w:t>
            </w:r>
          </w:p>
        </w:tc>
        <w:tc>
          <w:tcPr>
            <w:tcW w:w="3685" w:type="dxa"/>
            <w:noWrap/>
          </w:tcPr>
          <w:p>
            <w:pPr>
              <w:pStyle w:val="yTableNAm"/>
            </w:pPr>
            <w:r>
              <w:t>s. 41(6)</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3.</w:t>
            </w:r>
          </w:p>
        </w:tc>
        <w:tc>
          <w:tcPr>
            <w:tcW w:w="3685" w:type="dxa"/>
            <w:noWrap/>
          </w:tcPr>
          <w:p>
            <w:pPr>
              <w:pStyle w:val="yTableNAm"/>
            </w:pPr>
            <w:r>
              <w:t>s. 42(5)</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4.</w:t>
            </w:r>
          </w:p>
        </w:tc>
        <w:tc>
          <w:tcPr>
            <w:tcW w:w="3685" w:type="dxa"/>
            <w:noWrap/>
          </w:tcPr>
          <w:p>
            <w:pPr>
              <w:pStyle w:val="yTableNAm"/>
            </w:pPr>
            <w:r>
              <w:t>s. 44(1) in the circumstances that the money or the value of the prize, property, benefit or detriment the subject of the alleged offence is no more than $500</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5.</w:t>
            </w:r>
          </w:p>
        </w:tc>
        <w:tc>
          <w:tcPr>
            <w:tcW w:w="3685" w:type="dxa"/>
            <w:noWrap/>
          </w:tcPr>
          <w:p>
            <w:pPr>
              <w:pStyle w:val="yTableNAm"/>
            </w:pPr>
            <w:r>
              <w:t>s. 45(4)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6.</w:t>
            </w:r>
          </w:p>
        </w:tc>
        <w:tc>
          <w:tcPr>
            <w:tcW w:w="3685" w:type="dxa"/>
            <w:noWrap/>
          </w:tcPr>
          <w:p>
            <w:pPr>
              <w:pStyle w:val="yTableNAm"/>
              <w:rPr>
                <w:rStyle w:val="DraftersNotes"/>
                <w:b w:val="0"/>
                <w:i w:val="0"/>
              </w:rPr>
            </w:pPr>
            <w:r>
              <w:t>s. 57(4)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7.</w:t>
            </w:r>
          </w:p>
        </w:tc>
        <w:tc>
          <w:tcPr>
            <w:tcW w:w="3685" w:type="dxa"/>
            <w:noWrap/>
          </w:tcPr>
          <w:p>
            <w:pPr>
              <w:pStyle w:val="yTableNAm"/>
            </w:pPr>
            <w:r>
              <w:t>s. 58(4)</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8.</w:t>
            </w:r>
          </w:p>
        </w:tc>
        <w:tc>
          <w:tcPr>
            <w:tcW w:w="3685" w:type="dxa"/>
            <w:noWrap/>
          </w:tcPr>
          <w:p>
            <w:pPr>
              <w:pStyle w:val="yTableNAm"/>
              <w:rPr>
                <w:rStyle w:val="DraftersNotes"/>
                <w:b w:val="0"/>
                <w:i w:val="0"/>
              </w:rPr>
            </w:pPr>
            <w:r>
              <w:t>s. 86</w:t>
            </w:r>
          </w:p>
        </w:tc>
        <w:tc>
          <w:tcPr>
            <w:tcW w:w="1905" w:type="dxa"/>
            <w:noWrap/>
            <w:vAlign w:val="bottom"/>
          </w:tcPr>
          <w:p>
            <w:pPr>
              <w:pStyle w:val="yTableNAm"/>
              <w:tabs>
                <w:tab w:val="clear" w:pos="567"/>
                <w:tab w:val="left" w:pos="590"/>
              </w:tabs>
              <w:ind w:right="283"/>
              <w:jc w:val="right"/>
            </w:pPr>
            <w:r>
              <w:t>$200</w:t>
            </w:r>
          </w:p>
        </w:tc>
      </w:tr>
      <w:tr>
        <w:trPr>
          <w:cantSplit/>
        </w:trPr>
        <w:tc>
          <w:tcPr>
            <w:tcW w:w="1072" w:type="dxa"/>
            <w:noWrap/>
          </w:tcPr>
          <w:p>
            <w:pPr>
              <w:pStyle w:val="yTableNAm"/>
              <w:ind w:firstLine="140"/>
              <w:rPr>
                <w:bCs/>
              </w:rPr>
            </w:pPr>
            <w:r>
              <w:rPr>
                <w:bCs/>
              </w:rPr>
              <w:t>9.</w:t>
            </w:r>
          </w:p>
        </w:tc>
        <w:tc>
          <w:tcPr>
            <w:tcW w:w="3685" w:type="dxa"/>
            <w:noWrap/>
          </w:tcPr>
          <w:p>
            <w:pPr>
              <w:pStyle w:val="yTableNAm"/>
            </w:pPr>
            <w:r>
              <w:t>s. 91(1)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10.</w:t>
            </w:r>
          </w:p>
        </w:tc>
        <w:tc>
          <w:tcPr>
            <w:tcW w:w="3685" w:type="dxa"/>
            <w:noWrap/>
          </w:tcPr>
          <w:p>
            <w:pPr>
              <w:pStyle w:val="yTableNAm"/>
              <w:rPr>
                <w:rStyle w:val="DraftersNotes"/>
                <w:b w:val="0"/>
                <w:i w:val="0"/>
              </w:rPr>
            </w:pPr>
            <w:r>
              <w:t>s. 91(4)</w:t>
            </w:r>
          </w:p>
        </w:tc>
        <w:tc>
          <w:tcPr>
            <w:tcW w:w="1905" w:type="dxa"/>
            <w:noWrap/>
            <w:vAlign w:val="bottom"/>
          </w:tcPr>
          <w:p>
            <w:pPr>
              <w:pStyle w:val="yTableNAm"/>
              <w:tabs>
                <w:tab w:val="clear" w:pos="567"/>
                <w:tab w:val="left" w:pos="590"/>
              </w:tabs>
              <w:ind w:right="283"/>
              <w:jc w:val="right"/>
            </w:pPr>
            <w:r>
              <w:t>$750</w:t>
            </w:r>
          </w:p>
        </w:tc>
      </w:tr>
      <w:tr>
        <w:trPr>
          <w:cantSplit/>
        </w:trPr>
        <w:tc>
          <w:tcPr>
            <w:tcW w:w="1072" w:type="dxa"/>
            <w:noWrap/>
          </w:tcPr>
          <w:p>
            <w:pPr>
              <w:pStyle w:val="yTableNAm"/>
              <w:ind w:firstLine="140"/>
              <w:rPr>
                <w:bCs/>
              </w:rPr>
            </w:pPr>
            <w:r>
              <w:rPr>
                <w:bCs/>
              </w:rPr>
              <w:t>11.</w:t>
            </w:r>
          </w:p>
        </w:tc>
        <w:tc>
          <w:tcPr>
            <w:tcW w:w="3685" w:type="dxa"/>
            <w:noWrap/>
          </w:tcPr>
          <w:p>
            <w:pPr>
              <w:pStyle w:val="yTableNAm"/>
            </w:pPr>
            <w:r>
              <w:t>s. 93(a) to the extent that it applies to a contravention of s. 91</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12.</w:t>
            </w:r>
          </w:p>
        </w:tc>
        <w:tc>
          <w:tcPr>
            <w:tcW w:w="3685" w:type="dxa"/>
            <w:noWrap/>
          </w:tcPr>
          <w:p>
            <w:pPr>
              <w:pStyle w:val="yTableNAm"/>
            </w:pPr>
            <w:r>
              <w:t>s. 93(b) to the extent that it applies to a contravention of s. 91</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lastRenderedPageBreak/>
              <w:t>13.</w:t>
            </w:r>
          </w:p>
        </w:tc>
        <w:tc>
          <w:tcPr>
            <w:tcW w:w="3685" w:type="dxa"/>
            <w:noWrap/>
          </w:tcPr>
          <w:p>
            <w:pPr>
              <w:pStyle w:val="yTableNAm"/>
            </w:pPr>
            <w:r>
              <w:t>s. 93B(2)</w:t>
            </w:r>
          </w:p>
        </w:tc>
        <w:tc>
          <w:tcPr>
            <w:tcW w:w="1905" w:type="dxa"/>
            <w:noWrap/>
            <w:vAlign w:val="bottom"/>
          </w:tcPr>
          <w:p>
            <w:pPr>
              <w:pStyle w:val="yTableNAm"/>
              <w:tabs>
                <w:tab w:val="clear" w:pos="567"/>
                <w:tab w:val="left" w:pos="590"/>
              </w:tabs>
              <w:ind w:right="283"/>
              <w:jc w:val="right"/>
            </w:pPr>
            <w:r>
              <w:t>$250</w:t>
            </w:r>
          </w:p>
        </w:tc>
      </w:tr>
      <w:tr>
        <w:trPr>
          <w:cantSplit/>
        </w:trPr>
        <w:tc>
          <w:tcPr>
            <w:tcW w:w="1072" w:type="dxa"/>
            <w:noWrap/>
          </w:tcPr>
          <w:p>
            <w:pPr>
              <w:pStyle w:val="yTableNAm"/>
              <w:ind w:firstLine="140"/>
              <w:rPr>
                <w:bCs/>
              </w:rPr>
            </w:pPr>
            <w:r>
              <w:rPr>
                <w:bCs/>
              </w:rPr>
              <w:t>14.</w:t>
            </w:r>
          </w:p>
        </w:tc>
        <w:tc>
          <w:tcPr>
            <w:tcW w:w="3685" w:type="dxa"/>
            <w:noWrap/>
          </w:tcPr>
          <w:p>
            <w:pPr>
              <w:pStyle w:val="yTableNAm"/>
            </w:pPr>
            <w:r>
              <w:t>s. 95(4)</w:t>
            </w:r>
          </w:p>
        </w:tc>
        <w:tc>
          <w:tcPr>
            <w:tcW w:w="1905" w:type="dxa"/>
            <w:noWrap/>
            <w:vAlign w:val="bottom"/>
          </w:tcPr>
          <w:p>
            <w:pPr>
              <w:pStyle w:val="yTableNAm"/>
              <w:tabs>
                <w:tab w:val="clear" w:pos="567"/>
                <w:tab w:val="left" w:pos="590"/>
              </w:tabs>
              <w:ind w:right="283"/>
              <w:jc w:val="right"/>
            </w:pPr>
            <w:r>
              <w:t>$200</w:t>
            </w:r>
          </w:p>
        </w:tc>
      </w:tr>
      <w:tr>
        <w:trPr>
          <w:cantSplit/>
        </w:trPr>
        <w:tc>
          <w:tcPr>
            <w:tcW w:w="1072" w:type="dxa"/>
            <w:noWrap/>
          </w:tcPr>
          <w:p>
            <w:pPr>
              <w:pStyle w:val="yTableNAm"/>
              <w:ind w:firstLine="140"/>
              <w:rPr>
                <w:bCs/>
              </w:rPr>
            </w:pPr>
            <w:r>
              <w:rPr>
                <w:bCs/>
              </w:rPr>
              <w:t>15.</w:t>
            </w:r>
          </w:p>
        </w:tc>
        <w:tc>
          <w:tcPr>
            <w:tcW w:w="3685" w:type="dxa"/>
            <w:noWrap/>
          </w:tcPr>
          <w:p>
            <w:pPr>
              <w:pStyle w:val="yTableNAm"/>
            </w:pPr>
            <w:r>
              <w:t>s. 96(3)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16.</w:t>
            </w:r>
          </w:p>
        </w:tc>
        <w:tc>
          <w:tcPr>
            <w:tcW w:w="3685" w:type="dxa"/>
            <w:noWrap/>
          </w:tcPr>
          <w:p>
            <w:pPr>
              <w:pStyle w:val="yTableNAm"/>
            </w:pPr>
            <w:r>
              <w:t>s. 97(3)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17.</w:t>
            </w:r>
          </w:p>
        </w:tc>
        <w:tc>
          <w:tcPr>
            <w:tcW w:w="3685" w:type="dxa"/>
            <w:noWrap/>
          </w:tcPr>
          <w:p>
            <w:pPr>
              <w:pStyle w:val="yTableNAm"/>
            </w:pPr>
            <w:r>
              <w:t>s. 98</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18.</w:t>
            </w:r>
          </w:p>
        </w:tc>
        <w:tc>
          <w:tcPr>
            <w:tcW w:w="3685" w:type="dxa"/>
            <w:noWrap/>
          </w:tcPr>
          <w:p>
            <w:pPr>
              <w:pStyle w:val="yTableNAm"/>
            </w:pPr>
            <w:r>
              <w:t>s. 104(4)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19.</w:t>
            </w:r>
          </w:p>
        </w:tc>
        <w:tc>
          <w:tcPr>
            <w:tcW w:w="3685" w:type="dxa"/>
            <w:noWrap/>
          </w:tcPr>
          <w:p>
            <w:pPr>
              <w:pStyle w:val="yTableNAm"/>
            </w:pPr>
            <w:r>
              <w:t>s. 104(5)</w:t>
            </w:r>
          </w:p>
        </w:tc>
        <w:tc>
          <w:tcPr>
            <w:tcW w:w="1905" w:type="dxa"/>
            <w:noWrap/>
            <w:vAlign w:val="bottom"/>
          </w:tcPr>
          <w:p>
            <w:pPr>
              <w:pStyle w:val="yTableNAm"/>
              <w:tabs>
                <w:tab w:val="clear" w:pos="567"/>
                <w:tab w:val="left" w:pos="590"/>
              </w:tabs>
              <w:ind w:right="283"/>
              <w:jc w:val="right"/>
            </w:pPr>
            <w:r>
              <w:t>$250</w:t>
            </w:r>
          </w:p>
        </w:tc>
      </w:tr>
      <w:tr>
        <w:trPr>
          <w:cantSplit/>
        </w:trPr>
        <w:tc>
          <w:tcPr>
            <w:tcW w:w="1072" w:type="dxa"/>
            <w:noWrap/>
          </w:tcPr>
          <w:p>
            <w:pPr>
              <w:pStyle w:val="yTableNAm"/>
              <w:ind w:firstLine="140"/>
              <w:rPr>
                <w:bCs/>
              </w:rPr>
            </w:pPr>
            <w:r>
              <w:rPr>
                <w:bCs/>
              </w:rPr>
              <w:t>20.</w:t>
            </w:r>
          </w:p>
        </w:tc>
        <w:tc>
          <w:tcPr>
            <w:tcW w:w="3685" w:type="dxa"/>
            <w:noWrap/>
          </w:tcPr>
          <w:p>
            <w:pPr>
              <w:pStyle w:val="yTableNAm"/>
            </w:pPr>
            <w:r>
              <w:t>s. 104C(4)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21.</w:t>
            </w:r>
          </w:p>
        </w:tc>
        <w:tc>
          <w:tcPr>
            <w:tcW w:w="3685" w:type="dxa"/>
            <w:noWrap/>
          </w:tcPr>
          <w:p>
            <w:pPr>
              <w:pStyle w:val="yTableNAm"/>
            </w:pPr>
            <w:r>
              <w:t>s. 104E(1)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22.</w:t>
            </w:r>
          </w:p>
        </w:tc>
        <w:tc>
          <w:tcPr>
            <w:tcW w:w="3685" w:type="dxa"/>
            <w:noWrap/>
          </w:tcPr>
          <w:p>
            <w:pPr>
              <w:pStyle w:val="yTableNAm"/>
            </w:pPr>
            <w:r>
              <w:t>s. 104E(2)</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23.</w:t>
            </w:r>
          </w:p>
        </w:tc>
        <w:tc>
          <w:tcPr>
            <w:tcW w:w="3685" w:type="dxa"/>
            <w:noWrap/>
          </w:tcPr>
          <w:p>
            <w:pPr>
              <w:pStyle w:val="yTableNAm"/>
            </w:pPr>
            <w:r>
              <w:t>s. 104E(3)</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24.</w:t>
            </w:r>
          </w:p>
        </w:tc>
        <w:tc>
          <w:tcPr>
            <w:tcW w:w="3685" w:type="dxa"/>
            <w:noWrap/>
          </w:tcPr>
          <w:p>
            <w:pPr>
              <w:pStyle w:val="yTableNAm"/>
            </w:pPr>
            <w:r>
              <w:t>s. 104F(1)</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25.</w:t>
            </w:r>
          </w:p>
        </w:tc>
        <w:tc>
          <w:tcPr>
            <w:tcW w:w="3685" w:type="dxa"/>
            <w:noWrap/>
          </w:tcPr>
          <w:p>
            <w:pPr>
              <w:pStyle w:val="yTableNAm"/>
            </w:pPr>
            <w:r>
              <w:t>s. 104F(4)</w:t>
            </w:r>
          </w:p>
        </w:tc>
        <w:tc>
          <w:tcPr>
            <w:tcW w:w="1905" w:type="dxa"/>
            <w:noWrap/>
            <w:vAlign w:val="bottom"/>
          </w:tcPr>
          <w:p>
            <w:pPr>
              <w:pStyle w:val="yTableNAm"/>
              <w:tabs>
                <w:tab w:val="clear" w:pos="567"/>
                <w:tab w:val="left" w:pos="590"/>
              </w:tabs>
              <w:ind w:right="283"/>
              <w:jc w:val="right"/>
            </w:pPr>
            <w:r>
              <w:t>$500</w:t>
            </w:r>
          </w:p>
        </w:tc>
      </w:tr>
      <w:tr>
        <w:trPr>
          <w:cantSplit/>
        </w:trPr>
        <w:tc>
          <w:tcPr>
            <w:tcW w:w="1072" w:type="dxa"/>
            <w:noWrap/>
          </w:tcPr>
          <w:p>
            <w:pPr>
              <w:pStyle w:val="yTableNAm"/>
              <w:ind w:firstLine="140"/>
              <w:rPr>
                <w:bCs/>
              </w:rPr>
            </w:pPr>
            <w:r>
              <w:rPr>
                <w:bCs/>
              </w:rPr>
              <w:t>26.</w:t>
            </w:r>
          </w:p>
        </w:tc>
        <w:tc>
          <w:tcPr>
            <w:tcW w:w="3685" w:type="dxa"/>
            <w:noWrap/>
          </w:tcPr>
          <w:p>
            <w:pPr>
              <w:pStyle w:val="yTableNAm"/>
            </w:pPr>
            <w:r>
              <w:t>s. 104L(1)</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27.</w:t>
            </w:r>
          </w:p>
        </w:tc>
        <w:tc>
          <w:tcPr>
            <w:tcW w:w="3685" w:type="dxa"/>
            <w:noWrap/>
          </w:tcPr>
          <w:p>
            <w:pPr>
              <w:pStyle w:val="yTableNAm"/>
            </w:pPr>
            <w:r>
              <w:t>s. 104L(2)</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28.</w:t>
            </w:r>
          </w:p>
        </w:tc>
        <w:tc>
          <w:tcPr>
            <w:tcW w:w="3685" w:type="dxa"/>
            <w:noWrap/>
          </w:tcPr>
          <w:p>
            <w:pPr>
              <w:pStyle w:val="yTableNAm"/>
            </w:pPr>
            <w:r>
              <w:t>s. 104L(3)</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29.</w:t>
            </w:r>
          </w:p>
        </w:tc>
        <w:tc>
          <w:tcPr>
            <w:tcW w:w="3685" w:type="dxa"/>
            <w:noWrap/>
          </w:tcPr>
          <w:p>
            <w:pPr>
              <w:pStyle w:val="yTableNAm"/>
            </w:pPr>
            <w:r>
              <w:t>s. 104M(1)</w:t>
            </w:r>
          </w:p>
        </w:tc>
        <w:tc>
          <w:tcPr>
            <w:tcW w:w="1905" w:type="dxa"/>
            <w:noWrap/>
            <w:vAlign w:val="bottom"/>
          </w:tcPr>
          <w:p>
            <w:pPr>
              <w:pStyle w:val="yTableNAm"/>
              <w:tabs>
                <w:tab w:val="clear" w:pos="567"/>
                <w:tab w:val="left" w:pos="590"/>
              </w:tabs>
              <w:ind w:right="283"/>
              <w:jc w:val="right"/>
            </w:pPr>
            <w:r>
              <w:t>$2 500</w:t>
            </w:r>
          </w:p>
        </w:tc>
      </w:tr>
      <w:tr>
        <w:trPr>
          <w:cantSplit/>
        </w:trPr>
        <w:tc>
          <w:tcPr>
            <w:tcW w:w="1072" w:type="dxa"/>
            <w:noWrap/>
          </w:tcPr>
          <w:p>
            <w:pPr>
              <w:pStyle w:val="yTableNAm"/>
              <w:ind w:firstLine="140"/>
              <w:rPr>
                <w:bCs/>
              </w:rPr>
            </w:pPr>
            <w:r>
              <w:rPr>
                <w:bCs/>
              </w:rPr>
              <w:t>30.</w:t>
            </w:r>
          </w:p>
        </w:tc>
        <w:tc>
          <w:tcPr>
            <w:tcW w:w="3685" w:type="dxa"/>
            <w:noWrap/>
          </w:tcPr>
          <w:p>
            <w:pPr>
              <w:pStyle w:val="yTableNAm"/>
            </w:pPr>
            <w:r>
              <w:t>s. 104M(2)</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t>31.</w:t>
            </w:r>
          </w:p>
        </w:tc>
        <w:tc>
          <w:tcPr>
            <w:tcW w:w="3685" w:type="dxa"/>
            <w:noWrap/>
          </w:tcPr>
          <w:p>
            <w:pPr>
              <w:pStyle w:val="yTableNAm"/>
            </w:pPr>
            <w:r>
              <w:t>s. 104M(3)</w:t>
            </w:r>
          </w:p>
        </w:tc>
        <w:tc>
          <w:tcPr>
            <w:tcW w:w="1905" w:type="dxa"/>
            <w:noWrap/>
            <w:vAlign w:val="bottom"/>
          </w:tcPr>
          <w:p>
            <w:pPr>
              <w:pStyle w:val="yTableNAm"/>
              <w:tabs>
                <w:tab w:val="clear" w:pos="567"/>
                <w:tab w:val="left" w:pos="590"/>
              </w:tabs>
              <w:ind w:right="283"/>
              <w:jc w:val="right"/>
            </w:pPr>
            <w:r>
              <w:t>$1 000</w:t>
            </w:r>
          </w:p>
        </w:tc>
      </w:tr>
      <w:tr>
        <w:trPr>
          <w:cantSplit/>
        </w:trPr>
        <w:tc>
          <w:tcPr>
            <w:tcW w:w="1072" w:type="dxa"/>
            <w:noWrap/>
          </w:tcPr>
          <w:p>
            <w:pPr>
              <w:pStyle w:val="yTableNAm"/>
              <w:ind w:firstLine="140"/>
              <w:rPr>
                <w:bCs/>
              </w:rPr>
            </w:pPr>
            <w:r>
              <w:rPr>
                <w:bCs/>
              </w:rPr>
              <w:lastRenderedPageBreak/>
              <w:t>32.</w:t>
            </w:r>
          </w:p>
        </w:tc>
        <w:tc>
          <w:tcPr>
            <w:tcW w:w="3685" w:type="dxa"/>
            <w:noWrap/>
          </w:tcPr>
          <w:p>
            <w:pPr>
              <w:pStyle w:val="yTableNAm"/>
            </w:pPr>
            <w:r>
              <w:t>s. 108(4)</w:t>
            </w:r>
          </w:p>
        </w:tc>
        <w:tc>
          <w:tcPr>
            <w:tcW w:w="1905" w:type="dxa"/>
            <w:noWrap/>
            <w:vAlign w:val="bottom"/>
          </w:tcPr>
          <w:p>
            <w:pPr>
              <w:pStyle w:val="yTableNAm"/>
              <w:tabs>
                <w:tab w:val="clear" w:pos="567"/>
                <w:tab w:val="left" w:pos="590"/>
              </w:tabs>
              <w:ind w:right="283"/>
              <w:jc w:val="right"/>
            </w:pPr>
            <w:r>
              <w:t>$1 000</w:t>
            </w:r>
          </w:p>
        </w:tc>
      </w:tr>
    </w:tbl>
    <w:p>
      <w:pPr>
        <w:pStyle w:val="yFootnotesection"/>
      </w:pPr>
      <w:bookmarkStart w:id="295" w:name="_Toc189141586"/>
      <w:bookmarkStart w:id="296" w:name="_Toc189141704"/>
      <w:bookmarkStart w:id="297" w:name="_Toc189141771"/>
      <w:bookmarkStart w:id="298" w:name="_Toc189142371"/>
      <w:bookmarkStart w:id="299" w:name="_Toc189229164"/>
      <w:r>
        <w:tab/>
        <w:t>[Division 1 inserted: SL 2025/35 r. 28.]</w:t>
      </w:r>
    </w:p>
    <w:p>
      <w:pPr>
        <w:pStyle w:val="yHeading3"/>
      </w:pPr>
      <w:bookmarkStart w:id="300" w:name="_Toc189232226"/>
      <w:r>
        <w:rPr>
          <w:rStyle w:val="CharSDivNo"/>
        </w:rPr>
        <w:t>Division 2</w:t>
      </w:r>
      <w:r>
        <w:t> —</w:t>
      </w:r>
      <w:r>
        <w:rPr>
          <w:rStyle w:val="CharDivText"/>
        </w:rPr>
        <w:t> </w:t>
      </w:r>
      <w:r>
        <w:rPr>
          <w:rStyle w:val="CharSDivText"/>
        </w:rPr>
        <w:t>Offences under regulations</w:t>
      </w:r>
      <w:bookmarkEnd w:id="295"/>
      <w:bookmarkEnd w:id="296"/>
      <w:bookmarkEnd w:id="297"/>
      <w:bookmarkEnd w:id="298"/>
      <w:bookmarkEnd w:id="299"/>
      <w:bookmarkEnd w:id="300"/>
    </w:p>
    <w:p>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4314"/>
        <w:gridCol w:w="1276"/>
      </w:tblGrid>
      <w:tr>
        <w:trPr>
          <w:cantSplit/>
          <w:tblHeader/>
        </w:trPr>
        <w:tc>
          <w:tcPr>
            <w:tcW w:w="1072" w:type="dxa"/>
            <w:noWrap/>
          </w:tcPr>
          <w:p>
            <w:pPr>
              <w:pStyle w:val="yTableNAm"/>
              <w:ind w:firstLine="140"/>
              <w:rPr>
                <w:b/>
              </w:rPr>
            </w:pPr>
            <w:r>
              <w:rPr>
                <w:b/>
              </w:rPr>
              <w:t>Item</w:t>
            </w:r>
          </w:p>
        </w:tc>
        <w:tc>
          <w:tcPr>
            <w:tcW w:w="4314" w:type="dxa"/>
          </w:tcPr>
          <w:p>
            <w:pPr>
              <w:pStyle w:val="yTableNAm"/>
              <w:jc w:val="center"/>
              <w:rPr>
                <w:b/>
              </w:rPr>
            </w:pPr>
            <w:r>
              <w:rPr>
                <w:b/>
              </w:rPr>
              <w:t>Regulation</w:t>
            </w:r>
          </w:p>
        </w:tc>
        <w:tc>
          <w:tcPr>
            <w:tcW w:w="1276" w:type="dxa"/>
            <w:noWrap/>
          </w:tcPr>
          <w:p>
            <w:pPr>
              <w:pStyle w:val="yTableNAm"/>
              <w:jc w:val="center"/>
              <w:rPr>
                <w:b/>
              </w:rPr>
            </w:pPr>
            <w:r>
              <w:rPr>
                <w:b/>
              </w:rPr>
              <w:t>Modified penalty</w:t>
            </w:r>
          </w:p>
        </w:tc>
      </w:tr>
      <w:tr>
        <w:trPr>
          <w:cantSplit/>
        </w:trPr>
        <w:tc>
          <w:tcPr>
            <w:tcW w:w="1072" w:type="dxa"/>
            <w:noWrap/>
          </w:tcPr>
          <w:p>
            <w:pPr>
              <w:pStyle w:val="yTableNAm"/>
              <w:ind w:firstLine="140"/>
              <w:rPr>
                <w:bCs/>
              </w:rPr>
            </w:pPr>
            <w:r>
              <w:rPr>
                <w:bCs/>
              </w:rPr>
              <w:t>1.</w:t>
            </w:r>
          </w:p>
        </w:tc>
        <w:tc>
          <w:tcPr>
            <w:tcW w:w="4314" w:type="dxa"/>
            <w:noWrap/>
          </w:tcPr>
          <w:p>
            <w:pPr>
              <w:pStyle w:val="yTableNAm"/>
            </w:pPr>
            <w:r>
              <w:t>r. 23A(1)</w:t>
            </w:r>
          </w:p>
        </w:tc>
        <w:tc>
          <w:tcPr>
            <w:tcW w:w="1276" w:type="dxa"/>
            <w:noWrap/>
            <w:vAlign w:val="bottom"/>
          </w:tcPr>
          <w:p>
            <w:pPr>
              <w:pStyle w:val="yTableNAm"/>
              <w:tabs>
                <w:tab w:val="clear" w:pos="567"/>
              </w:tabs>
              <w:ind w:right="283"/>
              <w:jc w:val="right"/>
              <w:rPr>
                <w:rStyle w:val="DraftersNotes"/>
                <w:b w:val="0"/>
                <w:i w:val="0"/>
              </w:rPr>
            </w:pPr>
            <w:r>
              <w:t>$200</w:t>
            </w:r>
          </w:p>
        </w:tc>
      </w:tr>
      <w:tr>
        <w:trPr>
          <w:cantSplit/>
        </w:trPr>
        <w:tc>
          <w:tcPr>
            <w:tcW w:w="1072" w:type="dxa"/>
            <w:noWrap/>
          </w:tcPr>
          <w:p>
            <w:pPr>
              <w:pStyle w:val="yTableNAm"/>
              <w:ind w:firstLine="140"/>
              <w:rPr>
                <w:bCs/>
              </w:rPr>
            </w:pPr>
            <w:r>
              <w:rPr>
                <w:bCs/>
              </w:rPr>
              <w:t>2.</w:t>
            </w:r>
          </w:p>
        </w:tc>
        <w:tc>
          <w:tcPr>
            <w:tcW w:w="4314" w:type="dxa"/>
            <w:noWrap/>
          </w:tcPr>
          <w:p>
            <w:pPr>
              <w:pStyle w:val="yTableNAm"/>
            </w:pPr>
            <w:r>
              <w:t>r. 38A(1)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w:t>
            </w:r>
          </w:p>
        </w:tc>
        <w:tc>
          <w:tcPr>
            <w:tcW w:w="4314" w:type="dxa"/>
            <w:noWrap/>
          </w:tcPr>
          <w:p>
            <w:pPr>
              <w:pStyle w:val="yTableNAm"/>
            </w:pPr>
            <w:r>
              <w:t>r. 38A(2)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4.</w:t>
            </w:r>
          </w:p>
        </w:tc>
        <w:tc>
          <w:tcPr>
            <w:tcW w:w="4314" w:type="dxa"/>
            <w:noWrap/>
          </w:tcPr>
          <w:p>
            <w:pPr>
              <w:pStyle w:val="yTableNAm"/>
            </w:pPr>
            <w:r>
              <w:t>r. 40F</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5.</w:t>
            </w:r>
          </w:p>
        </w:tc>
        <w:tc>
          <w:tcPr>
            <w:tcW w:w="4314" w:type="dxa"/>
            <w:noWrap/>
          </w:tcPr>
          <w:p>
            <w:pPr>
              <w:pStyle w:val="yTableNAm"/>
            </w:pPr>
            <w:r>
              <w:t>r. 40G</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6.</w:t>
            </w:r>
          </w:p>
        </w:tc>
        <w:tc>
          <w:tcPr>
            <w:tcW w:w="4314" w:type="dxa"/>
            <w:noWrap/>
          </w:tcPr>
          <w:p>
            <w:pPr>
              <w:pStyle w:val="yTableNAm"/>
            </w:pPr>
            <w:r>
              <w:t>r. 40H(1)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7.</w:t>
            </w:r>
          </w:p>
        </w:tc>
        <w:tc>
          <w:tcPr>
            <w:tcW w:w="4314" w:type="dxa"/>
            <w:noWrap/>
          </w:tcPr>
          <w:p>
            <w:pPr>
              <w:pStyle w:val="yTableNAm"/>
            </w:pPr>
            <w:r>
              <w:t>r. 40H(3)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8.</w:t>
            </w:r>
          </w:p>
        </w:tc>
        <w:tc>
          <w:tcPr>
            <w:tcW w:w="4314" w:type="dxa"/>
            <w:noWrap/>
          </w:tcPr>
          <w:p>
            <w:pPr>
              <w:pStyle w:val="yTableNAm"/>
            </w:pPr>
            <w:r>
              <w:t>r. 40H(4)</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9.</w:t>
            </w:r>
          </w:p>
        </w:tc>
        <w:tc>
          <w:tcPr>
            <w:tcW w:w="4314" w:type="dxa"/>
            <w:noWrap/>
          </w:tcPr>
          <w:p>
            <w:pPr>
              <w:pStyle w:val="yTableNAm"/>
            </w:pPr>
            <w:r>
              <w:t>r. 40I(2)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10.</w:t>
            </w:r>
          </w:p>
        </w:tc>
        <w:tc>
          <w:tcPr>
            <w:tcW w:w="4314" w:type="dxa"/>
            <w:noWrap/>
          </w:tcPr>
          <w:p>
            <w:pPr>
              <w:pStyle w:val="yTableNAm"/>
            </w:pPr>
            <w:r>
              <w:t>r. 40I(3)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11.</w:t>
            </w:r>
          </w:p>
        </w:tc>
        <w:tc>
          <w:tcPr>
            <w:tcW w:w="4314" w:type="dxa"/>
            <w:noWrap/>
          </w:tcPr>
          <w:p>
            <w:pPr>
              <w:pStyle w:val="yTableNAm"/>
            </w:pPr>
            <w:r>
              <w:t>r. 40I(5)</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12.</w:t>
            </w:r>
          </w:p>
        </w:tc>
        <w:tc>
          <w:tcPr>
            <w:tcW w:w="4314" w:type="dxa"/>
            <w:noWrap/>
          </w:tcPr>
          <w:p>
            <w:pPr>
              <w:pStyle w:val="yTableNAm"/>
            </w:pPr>
            <w:r>
              <w:t>r. 40J</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13.</w:t>
            </w:r>
          </w:p>
        </w:tc>
        <w:tc>
          <w:tcPr>
            <w:tcW w:w="4314" w:type="dxa"/>
            <w:noWrap/>
          </w:tcPr>
          <w:p>
            <w:pPr>
              <w:pStyle w:val="yTableNAm"/>
            </w:pPr>
            <w:r>
              <w:t>r. 40K(1)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14.</w:t>
            </w:r>
          </w:p>
        </w:tc>
        <w:tc>
          <w:tcPr>
            <w:tcW w:w="4314" w:type="dxa"/>
            <w:noWrap/>
          </w:tcPr>
          <w:p>
            <w:pPr>
              <w:pStyle w:val="yTableNAm"/>
            </w:pPr>
            <w:r>
              <w:t>r. 40L(1)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lastRenderedPageBreak/>
              <w:t>15.</w:t>
            </w:r>
          </w:p>
        </w:tc>
        <w:tc>
          <w:tcPr>
            <w:tcW w:w="4314" w:type="dxa"/>
            <w:noWrap/>
          </w:tcPr>
          <w:p>
            <w:pPr>
              <w:pStyle w:val="yTableNAm"/>
            </w:pPr>
            <w:r>
              <w:t>r. 40L(2)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16.</w:t>
            </w:r>
          </w:p>
        </w:tc>
        <w:tc>
          <w:tcPr>
            <w:tcW w:w="4314" w:type="dxa"/>
            <w:noWrap/>
          </w:tcPr>
          <w:p>
            <w:pPr>
              <w:pStyle w:val="yTableNAm"/>
            </w:pPr>
            <w:r>
              <w:t>r. 40L(3)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17.</w:t>
            </w:r>
          </w:p>
        </w:tc>
        <w:tc>
          <w:tcPr>
            <w:tcW w:w="4314" w:type="dxa"/>
            <w:noWrap/>
          </w:tcPr>
          <w:p>
            <w:pPr>
              <w:pStyle w:val="yTableNAm"/>
            </w:pPr>
            <w:r>
              <w:t>r. 40M(2)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18.</w:t>
            </w:r>
          </w:p>
        </w:tc>
        <w:tc>
          <w:tcPr>
            <w:tcW w:w="4314" w:type="dxa"/>
            <w:noWrap/>
          </w:tcPr>
          <w:p>
            <w:pPr>
              <w:pStyle w:val="yTableNAm"/>
            </w:pPr>
            <w:r>
              <w:t>r. 40N(2)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19.</w:t>
            </w:r>
          </w:p>
        </w:tc>
        <w:tc>
          <w:tcPr>
            <w:tcW w:w="4314" w:type="dxa"/>
            <w:noWrap/>
          </w:tcPr>
          <w:p>
            <w:pPr>
              <w:pStyle w:val="yTableNAm"/>
            </w:pPr>
            <w:r>
              <w:t>r. 40N(3)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20.</w:t>
            </w:r>
          </w:p>
        </w:tc>
        <w:tc>
          <w:tcPr>
            <w:tcW w:w="4314" w:type="dxa"/>
            <w:noWrap/>
          </w:tcPr>
          <w:p>
            <w:pPr>
              <w:pStyle w:val="yTableNAm"/>
            </w:pPr>
            <w:r>
              <w:t>r. 40O(1)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21.</w:t>
            </w:r>
          </w:p>
        </w:tc>
        <w:tc>
          <w:tcPr>
            <w:tcW w:w="4314" w:type="dxa"/>
            <w:noWrap/>
          </w:tcPr>
          <w:p>
            <w:pPr>
              <w:pStyle w:val="yTableNAm"/>
            </w:pPr>
            <w:r>
              <w:t>r. 40O(2)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22.</w:t>
            </w:r>
          </w:p>
        </w:tc>
        <w:tc>
          <w:tcPr>
            <w:tcW w:w="4314" w:type="dxa"/>
            <w:noWrap/>
          </w:tcPr>
          <w:p>
            <w:pPr>
              <w:pStyle w:val="yTableNAm"/>
            </w:pPr>
            <w:r>
              <w:t>r. 40P</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23.</w:t>
            </w:r>
          </w:p>
        </w:tc>
        <w:tc>
          <w:tcPr>
            <w:tcW w:w="4314" w:type="dxa"/>
            <w:noWrap/>
          </w:tcPr>
          <w:p>
            <w:pPr>
              <w:pStyle w:val="yTableNAm"/>
            </w:pPr>
            <w:r>
              <w:t>r. 40R(1)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24.</w:t>
            </w:r>
          </w:p>
        </w:tc>
        <w:tc>
          <w:tcPr>
            <w:tcW w:w="4314" w:type="dxa"/>
            <w:noWrap/>
          </w:tcPr>
          <w:p>
            <w:pPr>
              <w:pStyle w:val="yTableNAm"/>
            </w:pPr>
            <w:r>
              <w:t>r. 40R(2)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25.</w:t>
            </w:r>
          </w:p>
        </w:tc>
        <w:tc>
          <w:tcPr>
            <w:tcW w:w="4314" w:type="dxa"/>
            <w:noWrap/>
          </w:tcPr>
          <w:p>
            <w:pPr>
              <w:pStyle w:val="yTableNAm"/>
              <w:rPr>
                <w:rStyle w:val="DraftersNotes"/>
                <w:b w:val="0"/>
                <w:i w:val="0"/>
              </w:rPr>
            </w:pPr>
            <w:r>
              <w:t>r. 40S(1)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26.</w:t>
            </w:r>
          </w:p>
        </w:tc>
        <w:tc>
          <w:tcPr>
            <w:tcW w:w="4314" w:type="dxa"/>
            <w:noWrap/>
          </w:tcPr>
          <w:p>
            <w:pPr>
              <w:pStyle w:val="yTableNAm"/>
            </w:pPr>
            <w:r>
              <w:t>r. 40S(3)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27.</w:t>
            </w:r>
          </w:p>
        </w:tc>
        <w:tc>
          <w:tcPr>
            <w:tcW w:w="4314" w:type="dxa"/>
            <w:noWrap/>
          </w:tcPr>
          <w:p>
            <w:pPr>
              <w:pStyle w:val="yTableNAm"/>
            </w:pPr>
            <w:r>
              <w:t>r. 40U(2)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28.</w:t>
            </w:r>
          </w:p>
        </w:tc>
        <w:tc>
          <w:tcPr>
            <w:tcW w:w="4314" w:type="dxa"/>
            <w:noWrap/>
          </w:tcPr>
          <w:p>
            <w:pPr>
              <w:pStyle w:val="yTableNAm"/>
            </w:pPr>
            <w:r>
              <w:t>r. 40V(2)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29.</w:t>
            </w:r>
          </w:p>
        </w:tc>
        <w:tc>
          <w:tcPr>
            <w:tcW w:w="4314" w:type="dxa"/>
            <w:noWrap/>
          </w:tcPr>
          <w:p>
            <w:pPr>
              <w:pStyle w:val="yTableNAm"/>
            </w:pPr>
            <w:r>
              <w:t>r. 40X</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30.</w:t>
            </w:r>
          </w:p>
        </w:tc>
        <w:tc>
          <w:tcPr>
            <w:tcW w:w="4314" w:type="dxa"/>
            <w:noWrap/>
          </w:tcPr>
          <w:p>
            <w:pPr>
              <w:pStyle w:val="yTableNAm"/>
            </w:pPr>
            <w:r>
              <w:t>r. 40Z(2)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31.</w:t>
            </w:r>
          </w:p>
        </w:tc>
        <w:tc>
          <w:tcPr>
            <w:tcW w:w="4314" w:type="dxa"/>
            <w:noWrap/>
          </w:tcPr>
          <w:p>
            <w:pPr>
              <w:pStyle w:val="yTableNAm"/>
            </w:pPr>
            <w:r>
              <w:t>r. 40Z(3)</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32.</w:t>
            </w:r>
          </w:p>
        </w:tc>
        <w:tc>
          <w:tcPr>
            <w:tcW w:w="4314" w:type="dxa"/>
            <w:noWrap/>
          </w:tcPr>
          <w:p>
            <w:pPr>
              <w:pStyle w:val="yTableNAm"/>
            </w:pPr>
            <w:r>
              <w:t>r. 40ZA(1)</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33.</w:t>
            </w:r>
          </w:p>
        </w:tc>
        <w:tc>
          <w:tcPr>
            <w:tcW w:w="4314" w:type="dxa"/>
            <w:noWrap/>
          </w:tcPr>
          <w:p>
            <w:pPr>
              <w:pStyle w:val="yTableNAm"/>
            </w:pPr>
            <w:r>
              <w:t>r. 40ZA(2)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lastRenderedPageBreak/>
              <w:t>34.</w:t>
            </w:r>
          </w:p>
        </w:tc>
        <w:tc>
          <w:tcPr>
            <w:tcW w:w="4314" w:type="dxa"/>
            <w:noWrap/>
          </w:tcPr>
          <w:p>
            <w:pPr>
              <w:pStyle w:val="yTableNAm"/>
            </w:pPr>
            <w:r>
              <w:t>r. 40ZB(2)</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35.</w:t>
            </w:r>
          </w:p>
        </w:tc>
        <w:tc>
          <w:tcPr>
            <w:tcW w:w="4314" w:type="dxa"/>
            <w:noWrap/>
          </w:tcPr>
          <w:p>
            <w:pPr>
              <w:pStyle w:val="yTableNAm"/>
            </w:pPr>
            <w:r>
              <w:t>r. 40ZC</w:t>
            </w:r>
          </w:p>
        </w:tc>
        <w:tc>
          <w:tcPr>
            <w:tcW w:w="1276" w:type="dxa"/>
            <w:noWrap/>
            <w:vAlign w:val="bottom"/>
          </w:tcPr>
          <w:p>
            <w:pPr>
              <w:pStyle w:val="yTableNAm"/>
              <w:tabs>
                <w:tab w:val="clear" w:pos="567"/>
              </w:tabs>
              <w:ind w:right="283"/>
              <w:jc w:val="right"/>
            </w:pPr>
            <w:r>
              <w:t>$200</w:t>
            </w:r>
          </w:p>
        </w:tc>
      </w:tr>
      <w:tr>
        <w:trPr>
          <w:cantSplit/>
        </w:trPr>
        <w:tc>
          <w:tcPr>
            <w:tcW w:w="1072" w:type="dxa"/>
            <w:noWrap/>
          </w:tcPr>
          <w:p>
            <w:pPr>
              <w:pStyle w:val="yTableNAm"/>
              <w:ind w:firstLine="140"/>
              <w:rPr>
                <w:bCs/>
              </w:rPr>
            </w:pPr>
            <w:r>
              <w:rPr>
                <w:bCs/>
              </w:rPr>
              <w:t>36.</w:t>
            </w:r>
          </w:p>
        </w:tc>
        <w:tc>
          <w:tcPr>
            <w:tcW w:w="4314" w:type="dxa"/>
            <w:noWrap/>
          </w:tcPr>
          <w:p>
            <w:pPr>
              <w:pStyle w:val="yTableNAm"/>
              <w:rPr>
                <w:rStyle w:val="DraftersNotes"/>
                <w:b w:val="0"/>
                <w:i w:val="0"/>
              </w:rPr>
            </w:pPr>
            <w:r>
              <w:t>r. 43(6) and (10)</w:t>
            </w:r>
          </w:p>
        </w:tc>
        <w:tc>
          <w:tcPr>
            <w:tcW w:w="1276" w:type="dxa"/>
            <w:noWrap/>
            <w:vAlign w:val="bottom"/>
          </w:tcPr>
          <w:p>
            <w:pPr>
              <w:pStyle w:val="yTableNAm"/>
              <w:tabs>
                <w:tab w:val="clear" w:pos="567"/>
              </w:tabs>
              <w:ind w:right="283"/>
              <w:jc w:val="right"/>
            </w:pPr>
            <w:r>
              <w:t>$1 000</w:t>
            </w:r>
          </w:p>
        </w:tc>
      </w:tr>
    </w:tbl>
    <w:p>
      <w:pPr>
        <w:pStyle w:val="yFootnotesection"/>
      </w:pPr>
      <w:r>
        <w:tab/>
        <w:t>[Division 2 inserted: SL 2025/35 r. 28.]</w:t>
      </w:r>
    </w:p>
    <w:bookmarkEnd w:id="287"/>
    <w:bookmarkEnd w:id="288"/>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02" w:name="_Toc189223699"/>
      <w:bookmarkStart w:id="303" w:name="_Toc189225830"/>
      <w:bookmarkStart w:id="304" w:name="_Toc189229165"/>
      <w:bookmarkStart w:id="305" w:name="_Toc189232227"/>
      <w:r>
        <w:rPr>
          <w:rStyle w:val="CharSchNo"/>
        </w:rPr>
        <w:lastRenderedPageBreak/>
        <w:t>Schedule 3</w:t>
      </w:r>
      <w:bookmarkEnd w:id="302"/>
      <w:bookmarkEnd w:id="303"/>
      <w:bookmarkEnd w:id="304"/>
      <w:bookmarkEnd w:id="305"/>
    </w:p>
    <w:p>
      <w:pPr>
        <w:pStyle w:val="yHeading2"/>
        <w:outlineLvl w:val="9"/>
      </w:pPr>
      <w:bookmarkStart w:id="306" w:name="_Toc189223700"/>
      <w:bookmarkStart w:id="307" w:name="_Toc189225831"/>
      <w:bookmarkStart w:id="308" w:name="_Toc189229166"/>
      <w:bookmarkStart w:id="309" w:name="_Toc189232228"/>
      <w:r>
        <w:rPr>
          <w:rStyle w:val="CharSchText"/>
        </w:rPr>
        <w:t>Forms</w:t>
      </w:r>
      <w:bookmarkEnd w:id="306"/>
      <w:bookmarkEnd w:id="307"/>
      <w:bookmarkEnd w:id="308"/>
      <w:bookmarkEnd w:id="309"/>
    </w:p>
    <w:p>
      <w:pPr>
        <w:pStyle w:val="yMiscellaneousHeadingBold"/>
      </w:pPr>
      <w:r>
        <w:rPr>
          <w:rStyle w:val="CharSClsNo"/>
          <w:bCs/>
        </w:rPr>
        <w:t>Form 1</w:t>
      </w:r>
      <w:r>
        <w:rPr>
          <w:rStyle w:val="CharSDivNo"/>
        </w:rPr>
        <w:t> </w:t>
      </w:r>
      <w:r>
        <w:t>—</w:t>
      </w:r>
      <w:r>
        <w:rPr>
          <w:rStyle w:val="CharSDivText"/>
        </w:rPr>
        <w:t xml:space="preserve"> </w:t>
      </w:r>
      <w:r>
        <w:t>Infringement notice</w:t>
      </w:r>
    </w:p>
    <w:p>
      <w:pPr>
        <w:pStyle w:val="yShoulderClause"/>
        <w:spacing w:after="60"/>
      </w:pPr>
      <w:r>
        <w:t>[r. 6(1)]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spacing w:before="0"/>
              <w:jc w:val="center"/>
              <w:rPr>
                <w:i/>
              </w:rPr>
            </w:pPr>
            <w:r>
              <w:rPr>
                <w:i/>
              </w:rPr>
              <w:t>Gaming and Wagering Commission Act 1987</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lastRenderedPageBreak/>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pPr>
      <w:r>
        <w:tab/>
        <w:t>[Form 1 inserted: SL 2025/35 r. 29.]</w:t>
      </w:r>
    </w:p>
    <w:p>
      <w:pPr>
        <w:pStyle w:val="yMiscellaneousHeading"/>
        <w:rPr>
          <w:b/>
          <w:bCs/>
        </w:rPr>
      </w:pPr>
      <w:r>
        <w:rPr>
          <w:rStyle w:val="CharSClsNo"/>
          <w:b/>
          <w:bCs/>
        </w:rPr>
        <w:lastRenderedPageBreak/>
        <w:t>Form 2</w:t>
      </w:r>
      <w:r>
        <w:rPr>
          <w:b/>
          <w:bCs/>
        </w:rPr>
        <w:t> — Withdrawal of infringement notice</w:t>
      </w:r>
    </w:p>
    <w:p>
      <w:pPr>
        <w:pStyle w:val="yShoulderClause"/>
        <w:keepNext/>
        <w:spacing w:after="60"/>
      </w:pPr>
      <w:r>
        <w:t>[r. 6(2)]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keepNext/>
              <w:jc w:val="center"/>
              <w:rPr>
                <w:i/>
              </w:rPr>
            </w:pPr>
            <w:r>
              <w:br w:type="page"/>
            </w:r>
            <w:r>
              <w:rPr>
                <w:i/>
              </w:rPr>
              <w:t>Gaming and Wagering Commission Act 1987</w:t>
            </w:r>
          </w:p>
          <w:p>
            <w:pPr>
              <w:pStyle w:val="yTableNAm"/>
              <w:keepNext/>
              <w:jc w:val="center"/>
              <w:rPr>
                <w:b/>
                <w:sz w:val="28"/>
              </w:rPr>
            </w:pPr>
            <w:r>
              <w:rPr>
                <w:b/>
                <w:sz w:val="28"/>
              </w:rPr>
              <w:t>WITHDRAWAL OF INFRINGEMENT NOTICE</w:t>
            </w:r>
          </w:p>
        </w:tc>
        <w:tc>
          <w:tcPr>
            <w:tcW w:w="1984" w:type="dxa"/>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keepNext/>
              <w:rPr>
                <w:b/>
              </w:rPr>
            </w:pPr>
            <w:r>
              <w:rPr>
                <w:b/>
              </w:rPr>
              <w:t>Alleged offender</w:t>
            </w:r>
          </w:p>
        </w:tc>
        <w:tc>
          <w:tcPr>
            <w:tcW w:w="1560" w:type="dxa"/>
            <w:vMerge w:val="restart"/>
            <w:noWrap/>
          </w:tcPr>
          <w:p>
            <w:pPr>
              <w:pStyle w:val="yTableNAm"/>
              <w:keepNext/>
            </w:pPr>
            <w:r>
              <w:t>Name</w:t>
            </w:r>
          </w:p>
        </w:tc>
        <w:tc>
          <w:tcPr>
            <w:tcW w:w="3685" w:type="dxa"/>
            <w:gridSpan w:val="2"/>
            <w:noWrap/>
          </w:tcPr>
          <w:p>
            <w:pPr>
              <w:pStyle w:val="yTableNAm"/>
              <w:keepNext/>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keepNext/>
              <w:rPr>
                <w:b/>
              </w:rPr>
            </w:pPr>
            <w:r>
              <w:rPr>
                <w:b/>
              </w:rPr>
              <w:lastRenderedPageBreak/>
              <w:t>Withdrawal of infringement notice</w:t>
            </w:r>
          </w:p>
          <w:p>
            <w:pPr>
              <w:pStyle w:val="yTableNAm"/>
              <w:keepNext/>
              <w:rPr>
                <w:i/>
              </w:rPr>
            </w:pPr>
          </w:p>
        </w:tc>
        <w:tc>
          <w:tcPr>
            <w:tcW w:w="5245" w:type="dxa"/>
            <w:gridSpan w:val="3"/>
            <w:tcBorders>
              <w:top w:val="single" w:sz="4" w:space="0" w:color="auto"/>
              <w:bottom w:val="single" w:sz="4" w:space="0" w:color="auto"/>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[Form 2 inserted: SL 2025/35 r. 29.]</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lastRenderedPageBreak/>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310" w:name="_Toc189223701"/>
      <w:bookmarkStart w:id="311" w:name="_Toc189225832"/>
      <w:bookmarkStart w:id="312" w:name="_Toc189229167"/>
      <w:bookmarkStart w:id="313" w:name="_Toc189232229"/>
      <w:r>
        <w:rPr>
          <w:rStyle w:val="CharSchNo"/>
        </w:rPr>
        <w:lastRenderedPageBreak/>
        <w:t>Schedule 4</w:t>
      </w:r>
      <w:bookmarkEnd w:id="310"/>
      <w:bookmarkEnd w:id="311"/>
      <w:bookmarkEnd w:id="312"/>
      <w:bookmarkEnd w:id="313"/>
    </w:p>
    <w:p>
      <w:pPr>
        <w:pStyle w:val="yHeading2"/>
        <w:keepNext w:val="0"/>
        <w:outlineLvl w:val="9"/>
      </w:pPr>
      <w:bookmarkStart w:id="314" w:name="_Toc189223702"/>
      <w:bookmarkStart w:id="315" w:name="_Toc189225833"/>
      <w:bookmarkStart w:id="316" w:name="_Toc189229168"/>
      <w:bookmarkStart w:id="317" w:name="_Toc189232230"/>
      <w:r>
        <w:rPr>
          <w:rStyle w:val="CharSchText"/>
        </w:rPr>
        <w:t>Rules for the conduct of permitted games</w:t>
      </w:r>
      <w:bookmarkEnd w:id="314"/>
      <w:bookmarkEnd w:id="315"/>
      <w:bookmarkEnd w:id="316"/>
      <w:bookmarkEnd w:id="317"/>
    </w:p>
    <w:p>
      <w:pPr>
        <w:pStyle w:val="yHeading3"/>
      </w:pPr>
      <w:bookmarkStart w:id="318" w:name="_Toc189223703"/>
      <w:bookmarkStart w:id="319" w:name="_Toc189225834"/>
      <w:bookmarkStart w:id="320" w:name="_Toc189229169"/>
      <w:bookmarkStart w:id="321" w:name="_Toc189232231"/>
      <w:r>
        <w:rPr>
          <w:rStyle w:val="CharSDivNo"/>
        </w:rPr>
        <w:t>Part 1</w:t>
      </w:r>
      <w:r>
        <w:t> — </w:t>
      </w:r>
      <w:r>
        <w:rPr>
          <w:rStyle w:val="CharSDivText"/>
        </w:rPr>
        <w:t>Permitted bingo</w:t>
      </w:r>
      <w:bookmarkEnd w:id="318"/>
      <w:bookmarkEnd w:id="319"/>
      <w:bookmarkEnd w:id="320"/>
      <w:bookmarkEnd w:id="321"/>
    </w:p>
    <w:p>
      <w:pPr>
        <w:pStyle w:val="yMiscellaneousBody"/>
        <w:jc w:val="center"/>
        <w:rPr>
          <w:b/>
          <w:snapToGrid w:val="0"/>
        </w:rPr>
      </w:pPr>
      <w:r>
        <w:rPr>
          <w:b/>
          <w:snapToGrid w:val="0"/>
        </w:rPr>
        <w:t>Rules for the conduct of bingo</w:t>
      </w:r>
    </w:p>
    <w:p>
      <w:pPr>
        <w:pStyle w:val="yHeading5"/>
        <w:rPr>
          <w:snapToGrid w:val="0"/>
        </w:rPr>
      </w:pPr>
      <w:bookmarkStart w:id="322" w:name="_Toc189232232"/>
      <w:r>
        <w:rPr>
          <w:rStyle w:val="CharSClsNo"/>
        </w:rPr>
        <w:t>1</w:t>
      </w:r>
      <w:r>
        <w:rPr>
          <w:snapToGrid w:val="0"/>
        </w:rPr>
        <w:t>.</w:t>
      </w:r>
      <w:r>
        <w:rPr>
          <w:snapToGrid w:val="0"/>
        </w:rPr>
        <w:tab/>
        <w:t>Children cannot play</w:t>
      </w:r>
      <w:bookmarkEnd w:id="32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23" w:name="_Toc189232233"/>
      <w:r>
        <w:rPr>
          <w:rStyle w:val="CharSClsNo"/>
        </w:rPr>
        <w:t>2</w:t>
      </w:r>
      <w:r>
        <w:rPr>
          <w:snapToGrid w:val="0"/>
        </w:rPr>
        <w:t>.</w:t>
      </w:r>
      <w:r>
        <w:rPr>
          <w:snapToGrid w:val="0"/>
        </w:rPr>
        <w:tab/>
        <w:t>Spotters cannot play</w:t>
      </w:r>
      <w:bookmarkEnd w:id="32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24" w:name="_Toc189232234"/>
      <w:r>
        <w:rPr>
          <w:rStyle w:val="CharSClsNo"/>
        </w:rPr>
        <w:t>3</w:t>
      </w:r>
      <w:r>
        <w:rPr>
          <w:snapToGrid w:val="0"/>
        </w:rPr>
        <w:t>.</w:t>
      </w:r>
      <w:r>
        <w:rPr>
          <w:snapToGrid w:val="0"/>
        </w:rPr>
        <w:tab/>
        <w:t>Call backs, who can take part in</w:t>
      </w:r>
      <w:bookmarkEnd w:id="32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25" w:name="_Toc189232235"/>
      <w:r>
        <w:rPr>
          <w:rStyle w:val="CharSClsNo"/>
        </w:rPr>
        <w:t>4</w:t>
      </w:r>
      <w:r>
        <w:rPr>
          <w:snapToGrid w:val="0"/>
        </w:rPr>
        <w:t>.</w:t>
      </w:r>
      <w:r>
        <w:rPr>
          <w:snapToGrid w:val="0"/>
        </w:rPr>
        <w:tab/>
        <w:t>Bingo cards</w:t>
      </w:r>
      <w:bookmarkEnd w:id="325"/>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326" w:name="_Toc189232236"/>
      <w:r>
        <w:rPr>
          <w:rStyle w:val="CharSClsNo"/>
        </w:rPr>
        <w:t>5</w:t>
      </w:r>
      <w:r>
        <w:rPr>
          <w:snapToGrid w:val="0"/>
        </w:rPr>
        <w:t>.</w:t>
      </w:r>
      <w:r>
        <w:rPr>
          <w:snapToGrid w:val="0"/>
        </w:rPr>
        <w:tab/>
        <w:t>Split games</w:t>
      </w:r>
      <w:bookmarkEnd w:id="326"/>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327" w:name="_Toc189232237"/>
      <w:r>
        <w:rPr>
          <w:rStyle w:val="CharSClsNo"/>
        </w:rPr>
        <w:t>5A</w:t>
      </w:r>
      <w:r>
        <w:rPr>
          <w:snapToGrid w:val="0"/>
        </w:rPr>
        <w:t>.</w:t>
      </w:r>
      <w:r>
        <w:rPr>
          <w:snapToGrid w:val="0"/>
        </w:rPr>
        <w:tab/>
        <w:t>Prizes, who is eligible for</w:t>
      </w:r>
      <w:bookmarkEnd w:id="32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328" w:name="_Toc189232238"/>
      <w:r>
        <w:rPr>
          <w:rStyle w:val="CharSClsNo"/>
        </w:rPr>
        <w:t>5B</w:t>
      </w:r>
      <w:r>
        <w:rPr>
          <w:snapToGrid w:val="0"/>
        </w:rPr>
        <w:t>.</w:t>
      </w:r>
      <w:r>
        <w:rPr>
          <w:snapToGrid w:val="0"/>
        </w:rPr>
        <w:tab/>
        <w:t>When games conclude</w:t>
      </w:r>
      <w:bookmarkEnd w:id="32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329" w:name="_Toc189232239"/>
      <w:r>
        <w:rPr>
          <w:rStyle w:val="CharSClsNo"/>
        </w:rPr>
        <w:lastRenderedPageBreak/>
        <w:t>6</w:t>
      </w:r>
      <w:r>
        <w:rPr>
          <w:snapToGrid w:val="0"/>
        </w:rPr>
        <w:t>.</w:t>
      </w:r>
      <w:r>
        <w:rPr>
          <w:snapToGrid w:val="0"/>
        </w:rPr>
        <w:tab/>
        <w:t>Miscellaneous rules</w:t>
      </w:r>
      <w:bookmarkEnd w:id="329"/>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330" w:name="_Toc189232240"/>
      <w:r>
        <w:rPr>
          <w:rStyle w:val="CharSClsNo"/>
        </w:rPr>
        <w:t>7</w:t>
      </w:r>
      <w:r>
        <w:rPr>
          <w:snapToGrid w:val="0"/>
        </w:rPr>
        <w:t>.</w:t>
      </w:r>
      <w:r>
        <w:rPr>
          <w:snapToGrid w:val="0"/>
        </w:rPr>
        <w:tab/>
        <w:t>Prizes, announcement of etc.</w:t>
      </w:r>
      <w:bookmarkEnd w:id="33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lastRenderedPageBreak/>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331" w:name="_Toc189232241"/>
      <w:r>
        <w:rPr>
          <w:rStyle w:val="CharSClsNo"/>
        </w:rPr>
        <w:t>8</w:t>
      </w:r>
      <w:r>
        <w:rPr>
          <w:snapToGrid w:val="0"/>
        </w:rPr>
        <w:t>.</w:t>
      </w:r>
      <w:r>
        <w:rPr>
          <w:snapToGrid w:val="0"/>
        </w:rPr>
        <w:tab/>
        <w:t>Prize shared if more than one winner</w:t>
      </w:r>
      <w:bookmarkEnd w:id="33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332" w:name="_Toc189232242"/>
      <w:r>
        <w:rPr>
          <w:rStyle w:val="CharSClsNo"/>
        </w:rPr>
        <w:t>9</w:t>
      </w:r>
      <w:r>
        <w:rPr>
          <w:snapToGrid w:val="0"/>
        </w:rPr>
        <w:t>.</w:t>
      </w:r>
      <w:r>
        <w:rPr>
          <w:snapToGrid w:val="0"/>
        </w:rPr>
        <w:tab/>
        <w:t>Prizes paid as soon as practicable</w:t>
      </w:r>
      <w:bookmarkEnd w:id="33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33" w:name="_Toc189232243"/>
      <w:r>
        <w:rPr>
          <w:rStyle w:val="CharSClsNo"/>
        </w:rPr>
        <w:t>10</w:t>
      </w:r>
      <w:r>
        <w:rPr>
          <w:snapToGrid w:val="0"/>
        </w:rPr>
        <w:t>.</w:t>
      </w:r>
      <w:r>
        <w:rPr>
          <w:snapToGrid w:val="0"/>
        </w:rPr>
        <w:tab/>
        <w:t>Player who makes incorrect call allowed to continue play</w:t>
      </w:r>
      <w:bookmarkEnd w:id="33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334" w:name="_Toc189232244"/>
      <w:r>
        <w:rPr>
          <w:rStyle w:val="CharSClsNo"/>
        </w:rPr>
        <w:t>11</w:t>
      </w:r>
      <w:r>
        <w:rPr>
          <w:snapToGrid w:val="0"/>
        </w:rPr>
        <w:t>.</w:t>
      </w:r>
      <w:r>
        <w:rPr>
          <w:snapToGrid w:val="0"/>
        </w:rPr>
        <w:tab/>
        <w:t>Late calls by players</w:t>
      </w:r>
      <w:bookmarkEnd w:id="334"/>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335" w:name="_Toc189232245"/>
      <w:r>
        <w:rPr>
          <w:rStyle w:val="CharSClsNo"/>
        </w:rPr>
        <w:lastRenderedPageBreak/>
        <w:t>12</w:t>
      </w:r>
      <w:r>
        <w:rPr>
          <w:snapToGrid w:val="0"/>
        </w:rPr>
        <w:t>.</w:t>
      </w:r>
      <w:r>
        <w:rPr>
          <w:snapToGrid w:val="0"/>
        </w:rPr>
        <w:tab/>
        <w:t>Calls must be acknowledged</w:t>
      </w:r>
      <w:bookmarkEnd w:id="335"/>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336" w:name="_Toc189223718"/>
      <w:bookmarkStart w:id="337" w:name="_Toc189225849"/>
      <w:bookmarkStart w:id="338" w:name="_Toc189229184"/>
      <w:bookmarkStart w:id="339" w:name="_Toc189232246"/>
      <w:r>
        <w:rPr>
          <w:rStyle w:val="CharSDivNo"/>
        </w:rPr>
        <w:t>Part 2</w:t>
      </w:r>
      <w:r>
        <w:t> — </w:t>
      </w:r>
      <w:r>
        <w:rPr>
          <w:rStyle w:val="CharSDivText"/>
        </w:rPr>
        <w:t>Permitted lotteries</w:t>
      </w:r>
      <w:bookmarkEnd w:id="336"/>
      <w:bookmarkEnd w:id="337"/>
      <w:bookmarkEnd w:id="338"/>
      <w:bookmarkEnd w:id="339"/>
    </w:p>
    <w:p>
      <w:pPr>
        <w:pStyle w:val="yHeading4"/>
        <w:rPr>
          <w:snapToGrid w:val="0"/>
        </w:rPr>
      </w:pPr>
      <w:bookmarkStart w:id="340" w:name="_Toc189223719"/>
      <w:bookmarkStart w:id="341" w:name="_Toc189225850"/>
      <w:bookmarkStart w:id="342" w:name="_Toc189229185"/>
      <w:bookmarkStart w:id="343" w:name="_Toc189232247"/>
      <w:r>
        <w:rPr>
          <w:snapToGrid w:val="0"/>
        </w:rPr>
        <w:t>Division 1 — Rules for the conduct of a standard lottery</w:t>
      </w:r>
      <w:bookmarkEnd w:id="340"/>
      <w:bookmarkEnd w:id="341"/>
      <w:bookmarkEnd w:id="342"/>
      <w:bookmarkEnd w:id="343"/>
    </w:p>
    <w:p>
      <w:pPr>
        <w:pStyle w:val="yHeading5"/>
        <w:rPr>
          <w:snapToGrid w:val="0"/>
        </w:rPr>
      </w:pPr>
      <w:bookmarkStart w:id="344" w:name="_Toc189232248"/>
      <w:r>
        <w:rPr>
          <w:rStyle w:val="CharSClsNo"/>
        </w:rPr>
        <w:t>1</w:t>
      </w:r>
      <w:r>
        <w:rPr>
          <w:snapToGrid w:val="0"/>
        </w:rPr>
        <w:t>.</w:t>
      </w:r>
      <w:r>
        <w:rPr>
          <w:snapToGrid w:val="0"/>
        </w:rPr>
        <w:tab/>
        <w:t>Chances, number of etc.</w:t>
      </w:r>
      <w:bookmarkEnd w:id="34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45" w:name="_Toc189232249"/>
      <w:r>
        <w:rPr>
          <w:rStyle w:val="CharSClsNo"/>
        </w:rPr>
        <w:t>2</w:t>
      </w:r>
      <w:r>
        <w:rPr>
          <w:snapToGrid w:val="0"/>
        </w:rPr>
        <w:t>.</w:t>
      </w:r>
      <w:r>
        <w:rPr>
          <w:snapToGrid w:val="0"/>
        </w:rPr>
        <w:tab/>
        <w:t>Chances, information on</w:t>
      </w:r>
      <w:bookmarkEnd w:id="34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lastRenderedPageBreak/>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346" w:name="_Toc189232250"/>
      <w:r>
        <w:rPr>
          <w:rStyle w:val="CharSClsNo"/>
        </w:rPr>
        <w:t>2A</w:t>
      </w:r>
      <w:r>
        <w:rPr>
          <w:snapToGrid w:val="0"/>
        </w:rPr>
        <w:t>.</w:t>
      </w:r>
      <w:r>
        <w:rPr>
          <w:snapToGrid w:val="0"/>
        </w:rPr>
        <w:tab/>
        <w:t>Chance holders, identification of</w:t>
      </w:r>
      <w:bookmarkEnd w:id="34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47" w:name="_Toc189232251"/>
      <w:r>
        <w:rPr>
          <w:rStyle w:val="CharSClsNo"/>
        </w:rPr>
        <w:t>3</w:t>
      </w:r>
      <w:r>
        <w:rPr>
          <w:snapToGrid w:val="0"/>
        </w:rPr>
        <w:t>.</w:t>
      </w:r>
      <w:r>
        <w:rPr>
          <w:snapToGrid w:val="0"/>
        </w:rPr>
        <w:tab/>
        <w:t>Results of draw</w:t>
      </w:r>
      <w:bookmarkEnd w:id="34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lastRenderedPageBreak/>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48" w:name="_Toc189232252"/>
      <w:r>
        <w:rPr>
          <w:rStyle w:val="CharSClsNo"/>
        </w:rPr>
        <w:t>4</w:t>
      </w:r>
      <w:r>
        <w:rPr>
          <w:snapToGrid w:val="0"/>
        </w:rPr>
        <w:t>.</w:t>
      </w:r>
      <w:r>
        <w:rPr>
          <w:snapToGrid w:val="0"/>
        </w:rPr>
        <w:tab/>
        <w:t>Order in which prizes are to be drawn</w:t>
      </w:r>
      <w:bookmarkEnd w:id="34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49" w:name="_Toc189223725"/>
      <w:bookmarkStart w:id="350" w:name="_Toc189225856"/>
      <w:bookmarkStart w:id="351" w:name="_Toc189229191"/>
      <w:bookmarkStart w:id="352" w:name="_Toc189232253"/>
      <w:r>
        <w:rPr>
          <w:snapToGrid w:val="0"/>
        </w:rPr>
        <w:t>Division 2 — Rules for the conduct of a continuing lottery</w:t>
      </w:r>
      <w:bookmarkEnd w:id="349"/>
      <w:bookmarkEnd w:id="350"/>
      <w:bookmarkEnd w:id="351"/>
      <w:bookmarkEnd w:id="352"/>
    </w:p>
    <w:p>
      <w:pPr>
        <w:pStyle w:val="yHeading5"/>
        <w:rPr>
          <w:snapToGrid w:val="0"/>
        </w:rPr>
      </w:pPr>
      <w:bookmarkStart w:id="353" w:name="_Toc189232254"/>
      <w:r>
        <w:rPr>
          <w:rStyle w:val="CharSClsNo"/>
        </w:rPr>
        <w:t>1</w:t>
      </w:r>
      <w:r>
        <w:rPr>
          <w:snapToGrid w:val="0"/>
        </w:rPr>
        <w:t>.</w:t>
      </w:r>
      <w:r>
        <w:rPr>
          <w:snapToGrid w:val="0"/>
        </w:rPr>
        <w:tab/>
        <w:t>Information on each ticket</w:t>
      </w:r>
      <w:bookmarkEnd w:id="35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54" w:name="_Toc189232255"/>
      <w:r>
        <w:rPr>
          <w:rStyle w:val="CharSClsNo"/>
        </w:rPr>
        <w:t>2</w:t>
      </w:r>
      <w:r>
        <w:rPr>
          <w:snapToGrid w:val="0"/>
        </w:rPr>
        <w:t>.</w:t>
      </w:r>
      <w:r>
        <w:rPr>
          <w:snapToGrid w:val="0"/>
        </w:rPr>
        <w:tab/>
        <w:t>Where tickets may be sold</w:t>
      </w:r>
      <w:bookmarkEnd w:id="354"/>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544" w:gutter="0"/>
          <w:cols w:space="720"/>
          <w:noEndnote/>
          <w:docGrid w:linePitch="326"/>
        </w:sectPr>
      </w:pPr>
    </w:p>
    <w:p>
      <w:pPr>
        <w:pStyle w:val="yScheduleHeading"/>
      </w:pPr>
      <w:bookmarkStart w:id="355" w:name="_Toc189223728"/>
      <w:bookmarkStart w:id="356" w:name="_Toc189225859"/>
      <w:bookmarkStart w:id="357" w:name="_Toc189229194"/>
      <w:bookmarkStart w:id="358" w:name="_Toc189232256"/>
      <w:r>
        <w:rPr>
          <w:rStyle w:val="CharSchNo"/>
        </w:rPr>
        <w:lastRenderedPageBreak/>
        <w:t>Schedule 5</w:t>
      </w:r>
      <w:r>
        <w:rPr>
          <w:rStyle w:val="CharSDivNo"/>
        </w:rPr>
        <w:t> </w:t>
      </w:r>
      <w:r>
        <w:t>—</w:t>
      </w:r>
      <w:r>
        <w:rPr>
          <w:rStyle w:val="CharSDivText"/>
        </w:rPr>
        <w:t> </w:t>
      </w:r>
      <w:r>
        <w:rPr>
          <w:rStyle w:val="CharSchText"/>
        </w:rPr>
        <w:t>Conditions for trade promotion lottery</w:t>
      </w:r>
      <w:bookmarkEnd w:id="355"/>
      <w:bookmarkEnd w:id="356"/>
      <w:bookmarkEnd w:id="357"/>
      <w:bookmarkEnd w:id="358"/>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lastRenderedPageBreak/>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544" w:gutter="0"/>
          <w:cols w:space="720"/>
          <w:noEndnote/>
          <w:docGrid w:linePitch="326"/>
        </w:sectPr>
      </w:pPr>
    </w:p>
    <w:p>
      <w:pPr>
        <w:pStyle w:val="nHeading2"/>
      </w:pPr>
      <w:bookmarkStart w:id="359" w:name="_Toc189223729"/>
      <w:bookmarkStart w:id="360" w:name="_Toc189225860"/>
      <w:bookmarkStart w:id="361" w:name="_Toc189229195"/>
      <w:bookmarkStart w:id="362" w:name="_Toc189232257"/>
      <w:r>
        <w:lastRenderedPageBreak/>
        <w:t>Notes</w:t>
      </w:r>
      <w:bookmarkEnd w:id="359"/>
      <w:bookmarkEnd w:id="360"/>
      <w:bookmarkEnd w:id="361"/>
      <w:bookmarkEnd w:id="362"/>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xml:space="preserve">. For provisions that have come into operation, and for information about any reprints, see the compilation table. </w:t>
      </w:r>
    </w:p>
    <w:p>
      <w:pPr>
        <w:pStyle w:val="nHeading3"/>
      </w:pPr>
      <w:bookmarkStart w:id="363" w:name="_Toc189232258"/>
      <w:r>
        <w:t>Compilation table</w:t>
      </w:r>
      <w:bookmarkEnd w:id="36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5</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rPr>
          <w:cantSplit/>
        </w:trPr>
        <w:tc>
          <w:tcPr>
            <w:tcW w:w="3119" w:type="dxa"/>
            <w:tcBorders>
              <w:top w:val="nil"/>
              <w:bottom w:val="nil"/>
            </w:tcBorders>
          </w:tcPr>
          <w:p>
            <w:pPr>
              <w:pStyle w:val="nTable"/>
              <w:spacing w:after="40"/>
              <w:ind w:right="113"/>
              <w:rPr>
                <w:iCs/>
              </w:rPr>
            </w:pPr>
            <w:r>
              <w:rPr>
                <w:i/>
              </w:rPr>
              <w:t>Gambling Regulations Amendment Regulations (No. 2) 2025</w:t>
            </w:r>
            <w:r>
              <w:rPr>
                <w:iCs/>
              </w:rPr>
              <w:t xml:space="preserve"> Pt. 3</w:t>
            </w:r>
          </w:p>
        </w:tc>
        <w:tc>
          <w:tcPr>
            <w:tcW w:w="1276" w:type="dxa"/>
            <w:tcBorders>
              <w:top w:val="nil"/>
              <w:bottom w:val="nil"/>
            </w:tcBorders>
          </w:tcPr>
          <w:p>
            <w:pPr>
              <w:pStyle w:val="nTable"/>
              <w:spacing w:after="40"/>
            </w:pPr>
            <w:r>
              <w:t>SL 2025/30 5 Feb 2025</w:t>
            </w:r>
          </w:p>
        </w:tc>
        <w:tc>
          <w:tcPr>
            <w:tcW w:w="2693" w:type="dxa"/>
            <w:tcBorders>
              <w:top w:val="nil"/>
              <w:bottom w:val="nil"/>
            </w:tcBorders>
          </w:tcPr>
          <w:p>
            <w:pPr>
              <w:pStyle w:val="nTable"/>
              <w:spacing w:after="40"/>
            </w:pPr>
            <w:r>
              <w:t>6 Feb 2025 (see r. 2(b))</w:t>
            </w:r>
          </w:p>
        </w:tc>
      </w:tr>
      <w:tr>
        <w:trPr>
          <w:cantSplit/>
        </w:trPr>
        <w:tc>
          <w:tcPr>
            <w:tcW w:w="3119" w:type="dxa"/>
            <w:tcBorders>
              <w:top w:val="nil"/>
              <w:bottom w:val="single" w:sz="4" w:space="0" w:color="auto"/>
            </w:tcBorders>
          </w:tcPr>
          <w:p>
            <w:pPr>
              <w:pStyle w:val="nTable"/>
              <w:spacing w:after="40"/>
              <w:ind w:right="113"/>
              <w:rPr>
                <w:i/>
              </w:rPr>
            </w:pPr>
            <w:r>
              <w:rPr>
                <w:i/>
              </w:rPr>
              <w:t>Gambling Regulations Amendment Regulations 2025</w:t>
            </w:r>
            <w:r>
              <w:rPr>
                <w:iCs/>
              </w:rPr>
              <w:t xml:space="preserve"> Pt. 5</w:t>
            </w:r>
          </w:p>
        </w:tc>
        <w:tc>
          <w:tcPr>
            <w:tcW w:w="1276" w:type="dxa"/>
            <w:tcBorders>
              <w:top w:val="nil"/>
              <w:bottom w:val="single" w:sz="4" w:space="0" w:color="auto"/>
            </w:tcBorders>
          </w:tcPr>
          <w:p>
            <w:pPr>
              <w:pStyle w:val="nTable"/>
              <w:spacing w:after="40"/>
            </w:pPr>
            <w:r>
              <w:t>SL 2025/35 5 Feb 2025</w:t>
            </w:r>
          </w:p>
        </w:tc>
        <w:tc>
          <w:tcPr>
            <w:tcW w:w="2693" w:type="dxa"/>
            <w:tcBorders>
              <w:top w:val="nil"/>
              <w:bottom w:val="single" w:sz="4" w:space="0" w:color="auto"/>
            </w:tcBorders>
          </w:tcPr>
          <w:p>
            <w:pPr>
              <w:pStyle w:val="nTable"/>
              <w:spacing w:after="40"/>
            </w:pPr>
            <w:r>
              <w:t>6 Feb 2025 (see r. 2(b))</w:t>
            </w:r>
          </w:p>
        </w:tc>
      </w:tr>
    </w:tbl>
    <w:p>
      <w:pPr>
        <w:pStyle w:val="nHeading3"/>
      </w:pPr>
      <w:bookmarkStart w:id="364" w:name="_Toc189232259"/>
      <w:r>
        <w:t>Other notes</w:t>
      </w:r>
      <w:bookmarkEnd w:id="364"/>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366" w:name="_Toc189232260"/>
      <w:r>
        <w:rPr>
          <w:sz w:val="28"/>
        </w:rPr>
        <w:lastRenderedPageBreak/>
        <w:t>Defined terms</w:t>
      </w:r>
      <w:bookmarkEnd w:id="3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6-month period</w:t>
      </w:r>
      <w:r>
        <w:tab/>
        <w:t>40Q</w:t>
      </w:r>
    </w:p>
    <w:p>
      <w:pPr>
        <w:pStyle w:val="DefinedTerms"/>
      </w:pPr>
      <w:r>
        <w:t>account</w:t>
      </w:r>
      <w:r>
        <w:tab/>
        <w:t>40D</w:t>
      </w:r>
    </w:p>
    <w:p>
      <w:pPr>
        <w:pStyle w:val="DefinedTerms"/>
      </w:pPr>
      <w:r>
        <w:t>account holder</w:t>
      </w:r>
      <w:r>
        <w:tab/>
        <w:t>40D</w:t>
      </w:r>
    </w:p>
    <w:p>
      <w:pPr>
        <w:pStyle w:val="DefinedTerms"/>
      </w:pPr>
      <w:r>
        <w:t>activity statement</w:t>
      </w:r>
      <w:r>
        <w:tab/>
        <w:t>40Q</w:t>
      </w:r>
    </w:p>
    <w:p>
      <w:pPr>
        <w:pStyle w:val="DefinedTerms"/>
      </w:pPr>
      <w:r>
        <w:t>amusement parlour</w:t>
      </w:r>
      <w:r>
        <w:tab/>
        <w:t>18B(7)</w:t>
      </w:r>
    </w:p>
    <w:p>
      <w:pPr>
        <w:pStyle w:val="DefinedTerms"/>
      </w:pPr>
      <w:r>
        <w:t>approved electronic bingo equipment</w:t>
      </w:r>
      <w:r>
        <w:tab/>
        <w:t>23(1A)</w:t>
      </w:r>
    </w:p>
    <w:p>
      <w:pPr>
        <w:pStyle w:val="DefinedTerms"/>
      </w:pPr>
      <w:r>
        <w:t>consistent gambling messaging</w:t>
      </w:r>
      <w:r>
        <w:tab/>
        <w:t>40W(1)</w:t>
      </w:r>
    </w:p>
    <w:p>
      <w:pPr>
        <w:pStyle w:val="DefinedTerms"/>
      </w:pPr>
      <w:r>
        <w:t>cruise ship</w:t>
      </w:r>
      <w:r>
        <w:tab/>
        <w:t>18C(1)</w:t>
      </w:r>
    </w:p>
    <w:p>
      <w:pPr>
        <w:pStyle w:val="DefinedTerms"/>
      </w:pPr>
      <w:r>
        <w:t>deposit limit</w:t>
      </w:r>
      <w:r>
        <w:tab/>
        <w:t>40D</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interactive wagering service</w:t>
      </w:r>
      <w:r>
        <w:tab/>
        <w:t>40D</w:t>
      </w:r>
    </w:p>
    <w:p>
      <w:pPr>
        <w:pStyle w:val="DefinedTerms"/>
      </w:pPr>
      <w:r>
        <w:t>lottery terms and conditions</w:t>
      </w:r>
      <w:r>
        <w:tab/>
        <w:t>36A(2)</w:t>
      </w:r>
    </w:p>
    <w:p>
      <w:pPr>
        <w:pStyle w:val="DefinedTerms"/>
      </w:pPr>
      <w:r>
        <w:t>National Consumer Protection Framework for Online Wagering in Australia - National Policy Statement</w:t>
      </w:r>
      <w:r>
        <w:tab/>
        <w:t>40D</w:t>
      </w:r>
    </w:p>
    <w:p>
      <w:pPr>
        <w:pStyle w:val="DefinedTerms"/>
      </w:pPr>
      <w:r>
        <w:t>prize</w:t>
      </w:r>
      <w:r>
        <w:tab/>
        <w:t>23A(2)</w:t>
      </w:r>
    </w:p>
    <w:p>
      <w:pPr>
        <w:pStyle w:val="DefinedTerms"/>
      </w:pPr>
      <w:r>
        <w:t>prize goods</w:t>
      </w:r>
      <w:r>
        <w:tab/>
        <w:t>Sch. 4 cl. 7(2), cl. 8(2)</w:t>
      </w:r>
    </w:p>
    <w:p>
      <w:pPr>
        <w:pStyle w:val="DefinedTerms"/>
      </w:pPr>
      <w:r>
        <w:t>publish</w:t>
      </w:r>
      <w:r>
        <w:tab/>
        <w:t>43(1)</w:t>
      </w:r>
    </w:p>
    <w:p>
      <w:pPr>
        <w:pStyle w:val="DefinedTerms"/>
      </w:pPr>
      <w:r>
        <w:t>relevant individual</w:t>
      </w:r>
      <w:r>
        <w:tab/>
        <w:t>40Y</w:t>
      </w:r>
    </w:p>
    <w:p>
      <w:pPr>
        <w:pStyle w:val="DefinedTerms"/>
      </w:pPr>
      <w:r>
        <w:t>relevant period</w:t>
      </w:r>
      <w:r>
        <w:tab/>
        <w:t>40U(1), 40V(1)</w:t>
      </w:r>
    </w:p>
    <w:p>
      <w:pPr>
        <w:pStyle w:val="DefinedTerms"/>
      </w:pPr>
      <w:r>
        <w:t>relevant person</w:t>
      </w:r>
      <w:r>
        <w:tab/>
        <w:t>40V(1)</w:t>
      </w:r>
    </w:p>
    <w:p>
      <w:pPr>
        <w:pStyle w:val="DefinedTerms"/>
      </w:pPr>
      <w:r>
        <w:t>relevant time</w:t>
      </w:r>
      <w:r>
        <w:tab/>
        <w:t>40M(1)</w:t>
      </w:r>
    </w:p>
    <w:p>
      <w:pPr>
        <w:pStyle w:val="DefinedTerms"/>
      </w:pPr>
      <w:r>
        <w:t>relevant way</w:t>
      </w:r>
      <w:r>
        <w:tab/>
        <w:t>40M(1)</w:t>
      </w:r>
    </w:p>
    <w:p>
      <w:pPr>
        <w:pStyle w:val="DefinedTerms"/>
      </w:pPr>
      <w:r>
        <w:t>rents</w:t>
      </w:r>
      <w:r>
        <w:tab/>
        <w:t>18(2)</w:t>
      </w:r>
    </w:p>
    <w:p>
      <w:pPr>
        <w:pStyle w:val="DefinedTerms"/>
      </w:pPr>
      <w:r>
        <w:t>responsible gambling training</w:t>
      </w:r>
      <w:r>
        <w:tab/>
        <w:t>40Z(1)</w:t>
      </w:r>
    </w:p>
    <w:p>
      <w:pPr>
        <w:pStyle w:val="DefinedTerms"/>
      </w:pPr>
      <w:r>
        <w:t>responsible person</w:t>
      </w:r>
      <w:r>
        <w:tab/>
        <w:t>40E(1)</w:t>
      </w:r>
    </w:p>
    <w:p>
      <w:pPr>
        <w:pStyle w:val="DefinedTerms"/>
      </w:pPr>
      <w:r>
        <w:t>RWWA key employee</w:t>
      </w:r>
      <w:r>
        <w:tab/>
        <w:t>40D</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transaction</w:t>
      </w:r>
      <w:r>
        <w:tab/>
        <w:t>40D</w:t>
      </w:r>
    </w:p>
    <w:p>
      <w:pPr>
        <w:pStyle w:val="DefinedTerms"/>
      </w:pPr>
      <w:r>
        <w:t>transaction history</w:t>
      </w:r>
      <w:r>
        <w:tab/>
        <w:t>40U(2), 40V(2)</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4A3A4B"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FD733E" w14:textId="30604623" w:rsidR="003346AB" w:rsidRDefault="00F355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D65B7">
                        <w:rPr>
                          <w:sz w:val="16"/>
                        </w:rPr>
                        <w:t>2025</w:t>
                      </w:r>
                      <w:r>
                        <w:rPr>
                          <w:sz w:val="16"/>
                        </w:rPr>
                        <w:fldChar w:fldCharType="end"/>
                      </w:r>
                      <w:r>
                        <w:rPr>
                          <w:sz w:val="16"/>
                        </w:rPr>
                        <w:t>.</w:t>
                      </w:r>
                    </w:p>
                    <w:p w14:paraId="463B0BE2" w14:textId="77777777" w:rsidR="003346AB" w:rsidRDefault="00F355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43A867" w14:textId="2EF4BD67" w:rsidR="003346AB" w:rsidRDefault="00F355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D65B7">
                        <w:rPr>
                          <w:sz w:val="16"/>
                        </w:rPr>
                        <w:t>2025</w:t>
                      </w:r>
                      <w:r>
                        <w:rPr>
                          <w:sz w:val="16"/>
                        </w:rPr>
                        <w:fldChar w:fldCharType="end"/>
                      </w:r>
                      <w:r>
                        <w:rPr>
                          <w:sz w:val="16"/>
                        </w:rPr>
                        <w:t>.</w:t>
                      </w:r>
                    </w:p>
                    <w:p w14:paraId="58A06650" w14:textId="77777777" w:rsidR="003346AB" w:rsidRDefault="00F355B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1" w:name="Schedule"/>
    <w:bookmarkEnd w:id="3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regulations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regulations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7" w:name="DefinedTerms"/>
    <w:bookmarkEnd w:id="36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8" w:name="Coversheet"/>
    <w:bookmarkEnd w:id="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3445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 w:name="WAFER_2024122309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745_GUID" w:val="421a499e-42c9-439b-8110-fe56905f30bf"/>
    <w:docVar w:name="WAFER_20250131134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34433_GUID" w:val="dcefbe20-bcf3-4957-9574-92ba53e0c252"/>
    <w:docVar w:name="WAFER_20250131134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34455_GUID" w:val="4950ca4e-8e2a-4794-afcd-cca5714a5b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MiscellaneousHeadingBold">
    <w:name w:val="yMiscellaneous Heading + Bold"/>
    <w:aliases w:val="Left,Left:  0.25 cm,After:  12 pt"/>
    <w:basedOn w:val="yMiscellaneousHeading"/>
    <w:rPr>
      <w:b/>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21494</Words>
  <Characters>104031</Characters>
  <Application>Microsoft Office Word</Application>
  <DocSecurity>0</DocSecurity>
  <Lines>3587</Lines>
  <Paragraphs>2413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123112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1988 - 06-ab0-00</dc:title>
  <dc:subject/>
  <dc:creator/>
  <cp:keywords/>
  <dc:description/>
  <cp:lastModifiedBy>Master Repository Process</cp:lastModifiedBy>
  <cp:revision>4</cp:revision>
  <cp:lastPrinted>2019-12-05T02:10:00Z</cp:lastPrinted>
  <dcterms:created xsi:type="dcterms:W3CDTF">2025-05-29T05:05:00Z</dcterms:created>
  <dcterms:modified xsi:type="dcterms:W3CDTF">2025-05-29T05:05:00Z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06 Feb 2025</vt:lpwstr>
  </property>
  <property fmtid="{D5CDD505-2E9C-101B-9397-08002B2CF9AE}" pid="8" name="Suffix">
    <vt:lpwstr>06-ab0-00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