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_Toc189743024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_Toc189743025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_Toc189743026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References in section headings and definitions to comparable provisions of Commonwealth Acts</w:t>
      </w:r>
      <w:r>
        <w:tab/>
      </w:r>
      <w:r>
        <w:fldChar w:fldCharType="begin"/>
      </w:r>
      <w:r>
        <w:instrText xml:space="preserve"> PAGEREF _Toc189743027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_Toc189743028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_Toc189743029 \h </w:instrText>
      </w:r>
      <w:r>
        <w:fldChar w:fldCharType="separate"/>
      </w:r>
      <w:r>
        <w:t>18</w:t>
      </w:r>
      <w:r>
        <w:fldChar w:fldCharType="end"/>
      </w:r>
    </w:p>
    <w:p>
      <w:pPr>
        <w:pStyle w:val="TOC8"/>
        <w:rPr>
          <w:rFonts w:asciiTheme="minorHAnsi" w:eastAsiaTheme="minorEastAsia" w:hAnsiTheme="minorHAnsi" w:cstheme="minorBidi"/>
          <w:szCs w:val="22"/>
        </w:rPr>
      </w:pPr>
      <w:r>
        <w:t>7.</w:t>
      </w:r>
      <w:r>
        <w:tab/>
        <w:t xml:space="preserve">Meaning of </w:t>
      </w:r>
      <w:r>
        <w:rPr>
          <w:i/>
          <w:iCs/>
        </w:rPr>
        <w:t>relative</w:t>
      </w:r>
      <w:r>
        <w:t> — FLA s. 4(1AC) and (1AD)</w:t>
      </w:r>
      <w:r>
        <w:tab/>
      </w:r>
      <w:r>
        <w:fldChar w:fldCharType="begin"/>
      </w:r>
      <w:r>
        <w:instrText xml:space="preserve"> PAGEREF _Toc189743030 \h </w:instrText>
      </w:r>
      <w:r>
        <w:fldChar w:fldCharType="separate"/>
      </w:r>
      <w:r>
        <w:t>20</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_Toc189743031 \h </w:instrText>
      </w:r>
      <w:r>
        <w:fldChar w:fldCharType="separate"/>
      </w:r>
      <w:r>
        <w:t>21</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_Toc189743032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_Toc189743033 \h </w:instrText>
      </w:r>
      <w:r>
        <w:fldChar w:fldCharType="separate"/>
      </w:r>
      <w:r>
        <w:t>22</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_Toc189743034 \h </w:instrText>
      </w:r>
      <w:r>
        <w:fldChar w:fldCharType="separate"/>
      </w:r>
      <w:r>
        <w:t>22</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_Toc189743035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_Toc189743038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_Toc189743039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_Toc189743041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_Toc189743042 \h </w:instrText>
      </w:r>
      <w:r>
        <w:fldChar w:fldCharType="separate"/>
      </w:r>
      <w:r>
        <w:t>25</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_Toc189743043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Style and title of judges</w:t>
      </w:r>
      <w:r>
        <w:tab/>
      </w:r>
      <w:r>
        <w:fldChar w:fldCharType="begin"/>
      </w:r>
      <w:r>
        <w:instrText xml:space="preserve"> PAGEREF _Toc189743044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_Toc189743045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_Toc189743046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_Toc189743047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_Toc189743048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_Toc189743049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_Toc189743050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_Toc189743051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_Toc189743052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_Toc189743053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_Toc189743054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_Toc189743056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_Toc189743057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_Toc189743058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_Toc189743059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_Toc189743060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_Toc189743061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_Toc189743062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_Toc189743063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Delegation of powers to registrars — FCFCAA s. 98</w:t>
      </w:r>
      <w:r>
        <w:tab/>
      </w:r>
      <w:r>
        <w:fldChar w:fldCharType="begin"/>
      </w:r>
      <w:r>
        <w:instrText xml:space="preserve"> PAGEREF _Toc189743064 \h </w:instrText>
      </w:r>
      <w:r>
        <w:fldChar w:fldCharType="separate"/>
      </w:r>
      <w:r>
        <w:t>36</w:t>
      </w:r>
      <w:r>
        <w:fldChar w:fldCharType="end"/>
      </w:r>
    </w:p>
    <w:p>
      <w:pPr>
        <w:pStyle w:val="TOC8"/>
        <w:rPr>
          <w:rFonts w:asciiTheme="minorHAnsi" w:eastAsiaTheme="minorEastAsia" w:hAnsiTheme="minorHAnsi" w:cstheme="minorBidi"/>
          <w:szCs w:val="22"/>
        </w:rPr>
      </w:pPr>
      <w:r>
        <w:t>33A.</w:t>
      </w:r>
      <w:r>
        <w:tab/>
      </w:r>
      <w:r>
        <w:rPr>
          <w:bCs/>
        </w:rPr>
        <w:t>Engagement of consultants and other persons</w:t>
      </w:r>
      <w:r>
        <w:tab/>
      </w:r>
      <w:r>
        <w:fldChar w:fldCharType="begin"/>
      </w:r>
      <w:r>
        <w:instrText xml:space="preserve"> PAGEREF _Toc189743065 \h </w:instrText>
      </w:r>
      <w:r>
        <w:fldChar w:fldCharType="separate"/>
      </w:r>
      <w:r>
        <w:t>39</w:t>
      </w:r>
      <w:r>
        <w:fldChar w:fldCharType="end"/>
      </w:r>
    </w:p>
    <w:p>
      <w:pPr>
        <w:pStyle w:val="TOC8"/>
        <w:rPr>
          <w:rFonts w:asciiTheme="minorHAnsi" w:eastAsiaTheme="minorEastAsia" w:hAnsiTheme="minorHAnsi" w:cstheme="minorBidi"/>
          <w:szCs w:val="22"/>
        </w:rPr>
      </w:pPr>
      <w:r>
        <w:t>33B.</w:t>
      </w:r>
      <w:r>
        <w:tab/>
        <w:t>Protection of registrars</w:t>
      </w:r>
      <w:r>
        <w:tab/>
      </w:r>
      <w:r>
        <w:fldChar w:fldCharType="begin"/>
      </w:r>
      <w:r>
        <w:instrText xml:space="preserve"> PAGEREF _Toc189743066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r>
      <w:r>
        <w:rPr>
          <w:bCs/>
        </w:rPr>
        <w:t>Director of Court Counselling has functions of family consultants — FCFCAA s. 278</w:t>
      </w:r>
      <w:r>
        <w:tab/>
      </w:r>
      <w:r>
        <w:fldChar w:fldCharType="begin"/>
      </w:r>
      <w:r>
        <w:instrText xml:space="preserve"> PAGEREF _Toc189743068 \h </w:instrText>
      </w:r>
      <w:r>
        <w:fldChar w:fldCharType="separate"/>
      </w:r>
      <w:r>
        <w:t>39</w:t>
      </w:r>
      <w:r>
        <w:fldChar w:fldCharType="end"/>
      </w:r>
    </w:p>
    <w:p>
      <w:pPr>
        <w:pStyle w:val="TOC8"/>
        <w:rPr>
          <w:rFonts w:asciiTheme="minorHAnsi" w:eastAsiaTheme="minorEastAsia" w:hAnsiTheme="minorHAnsi" w:cstheme="minorBidi"/>
          <w:szCs w:val="22"/>
        </w:rPr>
      </w:pPr>
      <w:r>
        <w:t>34A.</w:t>
      </w:r>
      <w:r>
        <w:tab/>
      </w:r>
      <w:r>
        <w:rPr>
          <w:bCs/>
        </w:rPr>
        <w:t>Director of Court Counselling may delegate powers and functions that relate to family consultants — FCFCAA s. 279</w:t>
      </w:r>
      <w:r>
        <w:tab/>
      </w:r>
      <w:r>
        <w:fldChar w:fldCharType="begin"/>
      </w:r>
      <w:r>
        <w:instrText xml:space="preserve"> PAGEREF _Toc189743069 \h </w:instrText>
      </w:r>
      <w:r>
        <w:fldChar w:fldCharType="separate"/>
      </w:r>
      <w:r>
        <w:t>40</w:t>
      </w:r>
      <w:r>
        <w:fldChar w:fldCharType="end"/>
      </w:r>
    </w:p>
    <w:p>
      <w:pPr>
        <w:pStyle w:val="TOC8"/>
        <w:rPr>
          <w:rFonts w:asciiTheme="minorHAnsi" w:eastAsiaTheme="minorEastAsia" w:hAnsiTheme="minorHAnsi" w:cstheme="minorBidi"/>
          <w:szCs w:val="22"/>
        </w:rPr>
      </w:pPr>
      <w:r>
        <w:t>34B.</w:t>
      </w:r>
      <w:r>
        <w:tab/>
      </w:r>
      <w:r>
        <w:rPr>
          <w:bCs/>
        </w:rPr>
        <w:t>Director of Court Counselling may give directions that relate to family services functions — FCFCAA s. 280</w:t>
      </w:r>
      <w:r>
        <w:tab/>
      </w:r>
      <w:r>
        <w:fldChar w:fldCharType="begin"/>
      </w:r>
      <w:r>
        <w:instrText xml:space="preserve"> PAGEREF _Toc189743070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34C.</w:t>
      </w:r>
      <w:r>
        <w:tab/>
      </w:r>
      <w:r>
        <w:rPr>
          <w:bCs/>
        </w:rPr>
        <w:t>Director of Court Counselling may authorise officer or staff member to act as family counsellor or family dispute resolution practitioner — FCFCAA s. 281</w:t>
      </w:r>
      <w:r>
        <w:tab/>
      </w:r>
      <w:r>
        <w:fldChar w:fldCharType="begin"/>
      </w:r>
      <w:r>
        <w:instrText xml:space="preserve"> PAGEREF _Toc189743071 \h </w:instrText>
      </w:r>
      <w:r>
        <w:fldChar w:fldCharType="separate"/>
      </w:r>
      <w:r>
        <w:t>40</w:t>
      </w:r>
      <w:r>
        <w:fldChar w:fldCharType="end"/>
      </w:r>
    </w:p>
    <w:p>
      <w:pPr>
        <w:pStyle w:val="TOC8"/>
        <w:rPr>
          <w:rFonts w:asciiTheme="minorHAnsi" w:eastAsiaTheme="minorEastAsia" w:hAnsiTheme="minorHAnsi" w:cstheme="minorBidi"/>
          <w:szCs w:val="22"/>
        </w:rPr>
      </w:pPr>
      <w:r>
        <w:t>34D.</w:t>
      </w:r>
      <w:r>
        <w:tab/>
      </w:r>
      <w:r>
        <w:rPr>
          <w:bCs/>
        </w:rPr>
        <w:t>Director of Court Counselling may engage persons to perform family counselling services or family dispute resolution services</w:t>
      </w:r>
      <w:r>
        <w:tab/>
      </w:r>
      <w:r>
        <w:fldChar w:fldCharType="begin"/>
      </w:r>
      <w:r>
        <w:instrText xml:space="preserve"> PAGEREF _Toc189743072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_Toc189743075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_Toc189743076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_Toc189743077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_Toc189743079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_Toc189743080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_Toc189743081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_Toc189743083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r>
      <w:r>
        <w:t>Transfer of proceedings from Magistrates Court in parenting cases</w:t>
      </w:r>
      <w:r>
        <w:tab/>
      </w:r>
      <w:r>
        <w:fldChar w:fldCharType="begin"/>
      </w:r>
      <w:r>
        <w:instrText xml:space="preserve"> PAGEREF _Toc189743085 \h </w:instrText>
      </w:r>
      <w:r>
        <w:fldChar w:fldCharType="separate"/>
      </w:r>
      <w:r>
        <w:t>46</w:t>
      </w:r>
      <w:r>
        <w:fldChar w:fldCharType="end"/>
      </w:r>
    </w:p>
    <w:p>
      <w:pPr>
        <w:pStyle w:val="TOC8"/>
        <w:rPr>
          <w:rFonts w:asciiTheme="minorHAnsi" w:eastAsiaTheme="minorEastAsia" w:hAnsiTheme="minorHAnsi" w:cstheme="minorBidi"/>
          <w:szCs w:val="22"/>
        </w:rPr>
      </w:pPr>
      <w:r>
        <w:t>43A.</w:t>
      </w:r>
      <w:r>
        <w:tab/>
        <w:t>Transfer of proceedings from Magistrates Court in cases in relation to property — FLA s. 46</w:t>
      </w:r>
      <w:r>
        <w:tab/>
      </w:r>
      <w:r>
        <w:fldChar w:fldCharType="begin"/>
      </w:r>
      <w:r>
        <w:instrText xml:space="preserve"> PAGEREF _Toc189743086 \h </w:instrText>
      </w:r>
      <w:r>
        <w:fldChar w:fldCharType="separate"/>
      </w:r>
      <w:r>
        <w:t>48</w:t>
      </w:r>
      <w:r>
        <w:fldChar w:fldCharType="end"/>
      </w:r>
    </w:p>
    <w:p>
      <w:pPr>
        <w:pStyle w:val="TOC8"/>
        <w:rPr>
          <w:rFonts w:asciiTheme="minorHAnsi" w:eastAsiaTheme="minorEastAsia" w:hAnsiTheme="minorHAnsi" w:cstheme="minorBidi"/>
          <w:szCs w:val="22"/>
        </w:rPr>
      </w:pPr>
      <w:r>
        <w:t>43B.</w:t>
      </w:r>
      <w:r>
        <w:tab/>
        <w:t>Transfer of proceedings to the Court — FLA s. 46(3A)</w:t>
      </w:r>
      <w:r>
        <w:tab/>
      </w:r>
      <w:r>
        <w:fldChar w:fldCharType="begin"/>
      </w:r>
      <w:r>
        <w:instrText xml:space="preserve"> PAGEREF _Toc189743087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_Toc189743088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Stay or dismissal of proceedings</w:t>
      </w:r>
      <w:r>
        <w:tab/>
      </w:r>
      <w:r>
        <w:fldChar w:fldCharType="begin"/>
      </w:r>
      <w:r>
        <w:instrText xml:space="preserve"> PAGEREF _Toc189743089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_Toc189743090 \h </w:instrText>
      </w:r>
      <w:r>
        <w:fldChar w:fldCharType="separate"/>
      </w:r>
      <w:r>
        <w:t>51</w:t>
      </w:r>
      <w:r>
        <w:fldChar w:fldCharType="end"/>
      </w:r>
    </w:p>
    <w:p>
      <w:pPr>
        <w:pStyle w:val="TOC8"/>
        <w:rPr>
          <w:rFonts w:asciiTheme="minorHAnsi" w:eastAsiaTheme="minorEastAsia" w:hAnsiTheme="minorHAnsi" w:cstheme="minorBidi"/>
          <w:szCs w:val="22"/>
        </w:rPr>
      </w:pPr>
      <w:r>
        <w:t>46A.</w:t>
      </w:r>
      <w:r>
        <w:tab/>
      </w:r>
      <w:r>
        <w:rPr>
          <w:bCs/>
        </w:rPr>
        <w:t>Change of venue — FCFCAA s. 65</w:t>
      </w:r>
      <w:r>
        <w:tab/>
      </w:r>
      <w:r>
        <w:fldChar w:fldCharType="begin"/>
      </w:r>
      <w:r>
        <w:instrText xml:space="preserve"> PAGEREF _Toc189743091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_Toc189743094 \h </w:instrText>
      </w:r>
      <w:r>
        <w:fldChar w:fldCharType="separate"/>
      </w:r>
      <w:r>
        <w:t>53</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_Toc189743095 \h </w:instrText>
      </w:r>
      <w:r>
        <w:fldChar w:fldCharType="separate"/>
      </w:r>
      <w:r>
        <w:t>53</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_Toc189743096 \h </w:instrText>
      </w:r>
      <w:r>
        <w:fldChar w:fldCharType="separate"/>
      </w:r>
      <w:r>
        <w:t>54</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_Toc189743097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_Toc189743099 \h </w:instrText>
      </w:r>
      <w:r>
        <w:fldChar w:fldCharType="separate"/>
      </w:r>
      <w:r>
        <w:t>56</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_Toc189743100 \h </w:instrText>
      </w:r>
      <w:r>
        <w:fldChar w:fldCharType="separate"/>
      </w:r>
      <w:r>
        <w:t>57</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_Toc189743101 \h </w:instrText>
      </w:r>
      <w:r>
        <w:fldChar w:fldCharType="separate"/>
      </w:r>
      <w:r>
        <w:t>57</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_Toc189743102 \h </w:instrText>
      </w:r>
      <w:r>
        <w:fldChar w:fldCharType="separate"/>
      </w:r>
      <w:r>
        <w:t>59</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_Toc189743103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_Toc189743105 \h </w:instrText>
      </w:r>
      <w:r>
        <w:fldChar w:fldCharType="separate"/>
      </w:r>
      <w:r>
        <w:t>60</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_Toc189743106 \h </w:instrText>
      </w:r>
      <w:r>
        <w:fldChar w:fldCharType="separate"/>
      </w:r>
      <w:r>
        <w:t>61</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_Toc189743107 \h </w:instrText>
      </w:r>
      <w:r>
        <w:fldChar w:fldCharType="separate"/>
      </w:r>
      <w:r>
        <w:t>61</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_Toc189743108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Post</w:t>
      </w:r>
      <w:r>
        <w:noBreakHyphen/>
        <w:t>separation parenting programs</w:t>
      </w:r>
    </w:p>
    <w:p>
      <w:pPr>
        <w:pStyle w:val="TOC8"/>
        <w:rPr>
          <w:rFonts w:asciiTheme="minorHAnsi" w:eastAsiaTheme="minorEastAsia" w:hAnsiTheme="minorHAnsi" w:cstheme="minorBidi"/>
          <w:szCs w:val="22"/>
        </w:rPr>
      </w:pPr>
      <w:r>
        <w:t>59A.</w:t>
      </w:r>
      <w:r>
        <w:tab/>
        <w:t>Admissibility of communications in post</w:t>
      </w:r>
      <w:r>
        <w:noBreakHyphen/>
        <w:t>separation parenting programs — FLA s. 10PA</w:t>
      </w:r>
      <w:r>
        <w:tab/>
      </w:r>
      <w:r>
        <w:fldChar w:fldCharType="begin"/>
      </w:r>
      <w:r>
        <w:instrText xml:space="preserve"> PAGEREF _Toc189743110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_Toc189743113 \h </w:instrText>
      </w:r>
      <w:r>
        <w:fldChar w:fldCharType="separate"/>
      </w:r>
      <w:r>
        <w:t>63</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_Toc189743114 \h </w:instrText>
      </w:r>
      <w:r>
        <w:fldChar w:fldCharType="separate"/>
      </w:r>
      <w:r>
        <w:t>63</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_Toc189743115 \h </w:instrText>
      </w:r>
      <w:r>
        <w:fldChar w:fldCharType="separate"/>
      </w:r>
      <w:r>
        <w:t>64</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_Toc189743116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_Toc189743118 \h </w:instrText>
      </w:r>
      <w:r>
        <w:fldChar w:fldCharType="separate"/>
      </w:r>
      <w:r>
        <w:t>65</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_Toc189743119 \h </w:instrText>
      </w:r>
      <w:r>
        <w:fldChar w:fldCharType="separate"/>
      </w:r>
      <w:r>
        <w:t>66</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_Toc189743120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4AA — Family report writers</w:t>
      </w:r>
    </w:p>
    <w:p>
      <w:pPr>
        <w:pStyle w:val="TOC8"/>
        <w:rPr>
          <w:rFonts w:asciiTheme="minorHAnsi" w:eastAsiaTheme="minorEastAsia" w:hAnsiTheme="minorHAnsi" w:cstheme="minorBidi"/>
          <w:szCs w:val="22"/>
        </w:rPr>
      </w:pPr>
      <w:r>
        <w:t>65AA.</w:t>
      </w:r>
      <w:r>
        <w:tab/>
        <w:t>Family report writers — FLA s. 11H</w:t>
      </w:r>
      <w:r>
        <w:tab/>
      </w:r>
      <w:r>
        <w:fldChar w:fldCharType="begin"/>
      </w:r>
      <w:r>
        <w:instrText xml:space="preserve"> PAGEREF _Toc189743122 \h </w:instrText>
      </w:r>
      <w:r>
        <w:fldChar w:fldCharType="separate"/>
      </w:r>
      <w:r>
        <w:t>68</w:t>
      </w:r>
      <w:r>
        <w:fldChar w:fldCharType="end"/>
      </w:r>
    </w:p>
    <w:p>
      <w:pPr>
        <w:pStyle w:val="TOC8"/>
        <w:rPr>
          <w:rFonts w:asciiTheme="minorHAnsi" w:eastAsiaTheme="minorEastAsia" w:hAnsiTheme="minorHAnsi" w:cstheme="minorBidi"/>
          <w:szCs w:val="22"/>
        </w:rPr>
      </w:pPr>
      <w:r>
        <w:t>65AB.</w:t>
      </w:r>
      <w:r>
        <w:tab/>
        <w:t>Designated family reports — FLA s. 11J</w:t>
      </w:r>
      <w:r>
        <w:tab/>
      </w:r>
      <w:r>
        <w:fldChar w:fldCharType="begin"/>
      </w:r>
      <w:r>
        <w:instrText xml:space="preserve"> PAGEREF _Toc189743123 \h </w:instrText>
      </w:r>
      <w:r>
        <w:fldChar w:fldCharType="separate"/>
      </w:r>
      <w:r>
        <w:t>68</w:t>
      </w:r>
      <w:r>
        <w:fldChar w:fldCharType="end"/>
      </w:r>
    </w:p>
    <w:p>
      <w:pPr>
        <w:pStyle w:val="TOC8"/>
        <w:rPr>
          <w:rFonts w:asciiTheme="minorHAnsi" w:eastAsiaTheme="minorEastAsia" w:hAnsiTheme="minorHAnsi" w:cstheme="minorBidi"/>
          <w:szCs w:val="22"/>
        </w:rPr>
      </w:pPr>
      <w:r>
        <w:t>65AC.</w:t>
      </w:r>
      <w:r>
        <w:tab/>
        <w:t>Regulations prescribing standards and requirements for family report writers — FLA s. 11K</w:t>
      </w:r>
      <w:r>
        <w:tab/>
      </w:r>
      <w:r>
        <w:fldChar w:fldCharType="begin"/>
      </w:r>
      <w:r>
        <w:instrText xml:space="preserve"> PAGEREF _Toc189743124 \h </w:instrText>
      </w:r>
      <w:r>
        <w:fldChar w:fldCharType="separate"/>
      </w:r>
      <w:r>
        <w:t>69</w:t>
      </w:r>
      <w:r>
        <w:fldChar w:fldCharType="end"/>
      </w:r>
    </w:p>
    <w:p>
      <w:pPr>
        <w:pStyle w:val="TOC8"/>
        <w:rPr>
          <w:rFonts w:asciiTheme="minorHAnsi" w:eastAsiaTheme="minorEastAsia" w:hAnsiTheme="minorHAnsi" w:cstheme="minorBidi"/>
          <w:szCs w:val="22"/>
        </w:rPr>
      </w:pPr>
      <w:r>
        <w:t>65AD.</w:t>
      </w:r>
      <w:r>
        <w:tab/>
        <w:t>Disclosure by court to regulator — FLA s. 11L</w:t>
      </w:r>
      <w:r>
        <w:tab/>
      </w:r>
      <w:r>
        <w:fldChar w:fldCharType="begin"/>
      </w:r>
      <w:r>
        <w:instrText xml:space="preserve"> PAGEREF _Toc189743125 \h </w:instrText>
      </w:r>
      <w:r>
        <w:fldChar w:fldCharType="separate"/>
      </w:r>
      <w:r>
        <w:t>71</w:t>
      </w:r>
      <w:r>
        <w:fldChar w:fldCharType="end"/>
      </w:r>
    </w:p>
    <w:p>
      <w:pPr>
        <w:pStyle w:val="TOC8"/>
        <w:rPr>
          <w:rFonts w:asciiTheme="minorHAnsi" w:eastAsiaTheme="minorEastAsia" w:hAnsiTheme="minorHAnsi" w:cstheme="minorBidi"/>
          <w:szCs w:val="22"/>
        </w:rPr>
      </w:pPr>
      <w:r>
        <w:t>65AE.</w:t>
      </w:r>
      <w:r>
        <w:tab/>
        <w:t>Immunity of regulator — FLA s. 11M</w:t>
      </w:r>
      <w:r>
        <w:tab/>
      </w:r>
      <w:r>
        <w:fldChar w:fldCharType="begin"/>
      </w:r>
      <w:r>
        <w:instrText xml:space="preserve"> PAGEREF _Toc189743126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_Toc189743129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_Toc189743131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65D.</w:t>
      </w:r>
      <w:r>
        <w:tab/>
        <w:t>Prescribed information about reconciliation — FLA s. 12C</w:t>
      </w:r>
      <w:r>
        <w:tab/>
      </w:r>
      <w:r>
        <w:fldChar w:fldCharType="begin"/>
      </w:r>
      <w:r>
        <w:instrText xml:space="preserve"> PAGEREF _Toc189743132 \h </w:instrText>
      </w:r>
      <w:r>
        <w:fldChar w:fldCharType="separate"/>
      </w:r>
      <w:r>
        <w:t>74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_Toc189743133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_Toc189743135 \h </w:instrText>
      </w:r>
      <w:r>
        <w:fldChar w:fldCharType="separate"/>
      </w:r>
      <w:r>
        <w:t>75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_Toc189743136 \h </w:instrText>
      </w:r>
      <w:r>
        <w:fldChar w:fldCharType="separate"/>
      </w:r>
      <w:r>
        <w:t>76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_Toc189743137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_Toc189743140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_Toc189743142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_Toc189743144 \h </w:instrText>
      </w:r>
      <w:r>
        <w:fldChar w:fldCharType="separate"/>
      </w:r>
      <w:r>
        <w:t>79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_Toc189743145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_Toc189743147 \h </w:instrText>
      </w:r>
      <w:r>
        <w:fldChar w:fldCharType="separate"/>
      </w:r>
      <w:r>
        <w:t>81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_Toc189743148 \h </w:instrText>
      </w:r>
      <w:r>
        <w:fldChar w:fldCharType="separate"/>
      </w:r>
      <w:r>
        <w:t>81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_Toc189743149 \h </w:instrText>
      </w:r>
      <w:r>
        <w:fldChar w:fldCharType="separate"/>
      </w:r>
      <w:r>
        <w:t>82</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_Toc189743150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65Q.</w:t>
      </w:r>
      <w:r>
        <w:tab/>
        <w:t>Court can review registered awards — FLA s. 13J</w:t>
      </w:r>
      <w:r>
        <w:tab/>
      </w:r>
      <w:r>
        <w:fldChar w:fldCharType="begin"/>
      </w:r>
      <w:r>
        <w:instrText xml:space="preserve"> PAGEREF _Toc189743151 \h </w:instrText>
      </w:r>
      <w:r>
        <w:fldChar w:fldCharType="separate"/>
      </w:r>
      <w:r>
        <w:t>83</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_Toc189743152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w:t>
      </w:r>
    </w:p>
    <w:p>
      <w:pPr>
        <w:pStyle w:val="TOC8"/>
        <w:rPr>
          <w:rFonts w:asciiTheme="minorHAnsi" w:eastAsiaTheme="minorEastAsia" w:hAnsiTheme="minorHAnsi" w:cstheme="minorBidi"/>
          <w:szCs w:val="22"/>
        </w:rPr>
      </w:pPr>
      <w:r>
        <w:t>66.</w:t>
      </w:r>
      <w:r>
        <w:tab/>
        <w:t>Objects of Part — FLA s. 60B</w:t>
      </w:r>
      <w:r>
        <w:tab/>
      </w:r>
      <w:r>
        <w:fldChar w:fldCharType="begin"/>
      </w:r>
      <w:r>
        <w:instrText xml:space="preserve"> PAGEREF _Toc189743156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_Toc189743158 \h </w:instrText>
      </w:r>
      <w:r>
        <w:fldChar w:fldCharType="separate"/>
      </w:r>
      <w:r>
        <w:t>85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_Toc189743159 \h </w:instrText>
      </w:r>
      <w:r>
        <w:fldChar w:fldCharType="separate"/>
      </w:r>
      <w:r>
        <w:t>86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_Toc189743160 \h </w:instrText>
      </w:r>
      <w:r>
        <w:fldChar w:fldCharType="separate"/>
      </w:r>
      <w:r>
        <w:t>86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_Toc189743161 \h </w:instrText>
      </w:r>
      <w:r>
        <w:fldChar w:fldCharType="separate"/>
      </w:r>
      <w:r>
        <w:t>88</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_Toc189743162 \h </w:instrText>
      </w:r>
      <w:r>
        <w:fldChar w:fldCharType="separate"/>
      </w:r>
      <w:r>
        <w:t>88</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_Toc189743163 \h </w:instrText>
      </w:r>
      <w:r>
        <w:fldChar w:fldCharType="separate"/>
      </w:r>
      <w:r>
        <w:t>88</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_Toc189743164 \h </w:instrText>
      </w:r>
      <w:r>
        <w:fldChar w:fldCharType="separate"/>
      </w:r>
      <w:r>
        <w:t>89</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_Toc189743165 \h </w:instrText>
      </w:r>
      <w:r>
        <w:fldChar w:fldCharType="separate"/>
      </w:r>
      <w:r>
        <w:t>89</w:t>
      </w:r>
      <w:r>
        <w:fldChar w:fldCharType="end"/>
      </w:r>
    </w:p>
    <w:p>
      <w:pPr>
        <w:pStyle w:val="TOC8"/>
        <w:rPr>
          <w:rFonts w:asciiTheme="minorHAnsi" w:eastAsiaTheme="minorEastAsia" w:hAnsiTheme="minorHAnsi" w:cstheme="minorBidi"/>
          <w:szCs w:val="22"/>
        </w:rPr>
      </w:pPr>
      <w:r>
        <w:t>66HB.</w:t>
      </w:r>
      <w:r>
        <w:tab/>
        <w:t>Informing court of notifications to, and investigations by, information sharing agencies — FLA s. 60CI</w:t>
      </w:r>
      <w:r>
        <w:tab/>
      </w:r>
      <w:r>
        <w:fldChar w:fldCharType="begin"/>
      </w:r>
      <w:r>
        <w:instrText xml:space="preserve"> PAGEREF _Toc189743166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_Toc189743168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_Toc189743170 \h </w:instrText>
      </w:r>
      <w:r>
        <w:fldChar w:fldCharType="separate"/>
      </w:r>
      <w:r>
        <w:t>91</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_Toc189743171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_Toc189743173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Term used: parental responsibility — FLA s. 61B</w:t>
      </w:r>
      <w:r>
        <w:tab/>
      </w:r>
      <w:r>
        <w:fldChar w:fldCharType="begin"/>
      </w:r>
      <w:r>
        <w:instrText xml:space="preserve"> PAGEREF _Toc189743174 \h </w:instrText>
      </w:r>
      <w:r>
        <w:fldChar w:fldCharType="separate"/>
      </w:r>
      <w:r>
        <w:t>97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_Toc189743175 \h </w:instrText>
      </w:r>
      <w:r>
        <w:fldChar w:fldCharType="separate"/>
      </w:r>
      <w:r>
        <w:t>97</w:t>
      </w:r>
      <w:r>
        <w:fldChar w:fldCharType="end"/>
      </w:r>
    </w:p>
    <w:p>
      <w:pPr>
        <w:pStyle w:val="TOC8"/>
        <w:rPr>
          <w:rFonts w:asciiTheme="minorHAnsi" w:eastAsiaTheme="minorEastAsia" w:hAnsiTheme="minorHAnsi" w:cstheme="minorBidi"/>
          <w:szCs w:val="22"/>
        </w:rPr>
      </w:pPr>
      <w:r>
        <w:t>69A.</w:t>
      </w:r>
      <w:r>
        <w:tab/>
        <w:t>Consultation between parents on major long</w:t>
      </w:r>
      <w:r>
        <w:noBreakHyphen/>
        <w:t>term issues — FLA s. 61CA</w:t>
      </w:r>
      <w:r>
        <w:tab/>
      </w:r>
      <w:r>
        <w:fldChar w:fldCharType="begin"/>
      </w:r>
      <w:r>
        <w:instrText xml:space="preserve"> PAGEREF _Toc189743176 \h </w:instrText>
      </w:r>
      <w:r>
        <w:fldChar w:fldCharType="separate"/>
      </w:r>
      <w:r>
        <w:t>97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_Toc189743177 \h </w:instrText>
      </w:r>
      <w:r>
        <w:fldChar w:fldCharType="separate"/>
      </w:r>
      <w:r>
        <w:t>98</w:t>
      </w:r>
      <w:r>
        <w:fldChar w:fldCharType="end"/>
      </w:r>
    </w:p>
    <w:p>
      <w:pPr>
        <w:pStyle w:val="TOC8"/>
        <w:rPr>
          <w:rFonts w:asciiTheme="minorHAnsi" w:eastAsiaTheme="minorEastAsia" w:hAnsiTheme="minorHAnsi" w:cstheme="minorBidi"/>
          <w:szCs w:val="22"/>
        </w:rPr>
      </w:pPr>
      <w:r>
        <w:t>70A.</w:t>
      </w:r>
      <w:r>
        <w:tab/>
        <w:t>Effect of parenting order that provides for joint decision</w:t>
      </w:r>
      <w:r>
        <w:noBreakHyphen/>
        <w:t>making about major long</w:t>
      </w:r>
      <w:r>
        <w:noBreakHyphen/>
        <w:t>term issues — FLA s. 61DAA</w:t>
      </w:r>
      <w:r>
        <w:tab/>
      </w:r>
      <w:r>
        <w:fldChar w:fldCharType="begin"/>
      </w:r>
      <w:r>
        <w:instrText xml:space="preserve"> PAGEREF _Toc189743178 \h </w:instrText>
      </w:r>
      <w:r>
        <w:fldChar w:fldCharType="separate"/>
      </w:r>
      <w:r>
        <w:t>98</w:t>
      </w:r>
      <w:r>
        <w:fldChar w:fldCharType="end"/>
      </w:r>
    </w:p>
    <w:p>
      <w:pPr>
        <w:pStyle w:val="TOC8"/>
        <w:rPr>
          <w:rFonts w:asciiTheme="minorHAnsi" w:eastAsiaTheme="minorEastAsia" w:hAnsiTheme="minorHAnsi" w:cstheme="minorBidi"/>
          <w:szCs w:val="22"/>
        </w:rPr>
      </w:pPr>
      <w:r>
        <w:t>70B.</w:t>
      </w:r>
      <w:r>
        <w:tab/>
        <w:t>No need to consult on issues that are not major long</w:t>
      </w:r>
      <w:r>
        <w:noBreakHyphen/>
        <w:t>term issues — FLA s. 61DAB</w:t>
      </w:r>
      <w:r>
        <w:tab/>
      </w:r>
      <w:r>
        <w:fldChar w:fldCharType="begin"/>
      </w:r>
      <w:r>
        <w:instrText xml:space="preserve"> PAGEREF _Toc189743179 \h </w:instrText>
      </w:r>
      <w:r>
        <w:fldChar w:fldCharType="separate"/>
      </w:r>
      <w:r>
        <w:t>99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_Toc189743180 \h </w:instrText>
      </w:r>
      <w:r>
        <w:fldChar w:fldCharType="separate"/>
      </w:r>
      <w:r>
        <w:t>99</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_Toc189743181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_Toc189743183 \h </w:instrText>
      </w:r>
      <w:r>
        <w:fldChar w:fldCharType="separate"/>
      </w:r>
      <w:r>
        <w:t>101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_Toc189743184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_Toc189743186 \h </w:instrText>
      </w:r>
      <w:r>
        <w:fldChar w:fldCharType="separate"/>
      </w:r>
      <w:r>
        <w:t>102</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_Toc189743187 \h </w:instrText>
      </w:r>
      <w:r>
        <w:fldChar w:fldCharType="separate"/>
      </w:r>
      <w:r>
        <w:t>103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_Toc189743188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_Toc189743189 \h </w:instrText>
      </w:r>
      <w:r>
        <w:fldChar w:fldCharType="separate"/>
      </w:r>
      <w:r>
        <w:t>105</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_Toc189743190 \h </w:instrText>
      </w:r>
      <w:r>
        <w:fldChar w:fldCharType="separate"/>
      </w:r>
      <w:r>
        <w:t>105</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_Toc189743191 \h </w:instrText>
      </w:r>
      <w:r>
        <w:fldChar w:fldCharType="separate"/>
      </w:r>
      <w:r>
        <w:t>106</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_Toc189743192 \h </w:instrText>
      </w:r>
      <w:r>
        <w:fldChar w:fldCharType="separate"/>
      </w:r>
      <w:r>
        <w:t>107</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_Toc189743193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_Toc189743194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Child maintenance provisions of registered parenting plans — FLA s. 63G</w:t>
      </w:r>
      <w:r>
        <w:tab/>
      </w:r>
      <w:r>
        <w:fldChar w:fldCharType="begin"/>
      </w:r>
      <w:r>
        <w:instrText xml:space="preserve"> PAGEREF _Toc189743195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_Toc189743196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_Toc189743198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_Toc189743199 \h </w:instrText>
      </w:r>
      <w:r>
        <w:fldChar w:fldCharType="separate"/>
      </w:r>
      <w:r>
        <w:t>112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_Toc189743200 \h </w:instrText>
      </w:r>
      <w:r>
        <w:fldChar w:fldCharType="separate"/>
      </w:r>
      <w:r>
        <w:t>114</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_Toc189743201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_Toc189743204 \h </w:instrText>
      </w:r>
      <w:r>
        <w:fldChar w:fldCharType="separate"/>
      </w:r>
      <w:r>
        <w:t>115</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_Toc189743205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_Toc189743206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_Toc189743208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_Toc189743209 \h </w:instrText>
      </w:r>
      <w:r>
        <w:fldChar w:fldCharType="separate"/>
      </w:r>
      <w:r>
        <w:t>117</w:t>
      </w:r>
      <w:r>
        <w:fldChar w:fldCharType="end"/>
      </w:r>
    </w:p>
    <w:p>
      <w:pPr>
        <w:pStyle w:val="TOC8"/>
        <w:rPr>
          <w:rFonts w:asciiTheme="minorHAnsi" w:eastAsiaTheme="minorEastAsia" w:hAnsiTheme="minorHAnsi" w:cstheme="minorBidi"/>
          <w:szCs w:val="22"/>
        </w:rPr>
      </w:pPr>
      <w:r>
        <w:t>89AAA.</w:t>
      </w:r>
      <w:r>
        <w:tab/>
        <w:t>Reconsideration of final parenting orders — FLA s. 65DAAA</w:t>
      </w:r>
      <w:r>
        <w:tab/>
      </w:r>
      <w:r>
        <w:fldChar w:fldCharType="begin"/>
      </w:r>
      <w:r>
        <w:instrText xml:space="preserve"> PAGEREF _Toc189743210 \h </w:instrText>
      </w:r>
      <w:r>
        <w:fldChar w:fldCharType="separate"/>
      </w:r>
      <w:r>
        <w:t>117</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_Toc189743211 \h </w:instrText>
      </w:r>
      <w:r>
        <w:fldChar w:fldCharType="separate"/>
      </w:r>
      <w:r>
        <w:t>118</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_Toc189743212 \h </w:instrText>
      </w:r>
      <w:r>
        <w:fldChar w:fldCharType="separate"/>
      </w:r>
      <w:r>
        <w:t>118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_Toc189743213 \h </w:instrText>
      </w:r>
      <w:r>
        <w:fldChar w:fldCharType="separate"/>
      </w:r>
      <w:r>
        <w:t>120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_Toc189743214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93</w:t>
      </w:r>
      <w:r>
        <w:rPr>
          <w:snapToGrid w:val="0"/>
        </w:rPr>
        <w:t>.</w:t>
      </w:r>
      <w:r>
        <w:rPr>
          <w:snapToGrid w:val="0"/>
        </w:rPr>
        <w:tab/>
        <w:t>Children who are 18 or over or who have married or entered de facto relationships — FLA s. 65H</w:t>
      </w:r>
      <w:r>
        <w:tab/>
      </w:r>
      <w:r>
        <w:fldChar w:fldCharType="begin"/>
      </w:r>
      <w:r>
        <w:instrText xml:space="preserve"> PAGEREF _Toc189743215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_Toc189743216 \h </w:instrText>
      </w:r>
      <w:r>
        <w:fldChar w:fldCharType="separate"/>
      </w:r>
      <w:r>
        <w:t>122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_Toc189743217 \h </w:instrText>
      </w:r>
      <w:r>
        <w:fldChar w:fldCharType="separate"/>
      </w:r>
      <w:r>
        <w:t>122</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_Toc189743218 \h </w:instrText>
      </w:r>
      <w:r>
        <w:fldChar w:fldCharType="separate"/>
      </w:r>
      <w:r>
        <w:t>123</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_Toc189743219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_Toc189743221 \h </w:instrText>
      </w:r>
      <w:r>
        <w:fldChar w:fldCharType="separate"/>
      </w:r>
      <w:r>
        <w:t>125</w:t>
      </w:r>
      <w:r>
        <w:fldChar w:fldCharType="end"/>
      </w:r>
    </w:p>
    <w:p>
      <w:pPr>
        <w:pStyle w:val="TOC8"/>
        <w:rPr>
          <w:rFonts w:asciiTheme="minorHAnsi" w:eastAsiaTheme="minorEastAsia" w:hAnsiTheme="minorHAnsi" w:cstheme="minorBidi"/>
          <w:szCs w:val="22"/>
        </w:rPr>
      </w:pPr>
      <w:r>
        <w:t>107.</w:t>
      </w:r>
      <w:r>
        <w:tab/>
        <w:t>Obligations if certain parenting orders have been made: taking or sending child outside Australia — FLA s. 65Y</w:t>
      </w:r>
      <w:r>
        <w:tab/>
      </w:r>
      <w:r>
        <w:fldChar w:fldCharType="begin"/>
      </w:r>
      <w:r>
        <w:instrText xml:space="preserve"> PAGEREF _Toc189743222 \h </w:instrText>
      </w:r>
      <w:r>
        <w:fldChar w:fldCharType="separate"/>
      </w:r>
      <w:r>
        <w:t>125</w:t>
      </w:r>
      <w:r>
        <w:fldChar w:fldCharType="end"/>
      </w:r>
    </w:p>
    <w:p>
      <w:pPr>
        <w:pStyle w:val="TOC8"/>
        <w:rPr>
          <w:rFonts w:asciiTheme="minorHAnsi" w:eastAsiaTheme="minorEastAsia" w:hAnsiTheme="minorHAnsi" w:cstheme="minorBidi"/>
          <w:szCs w:val="22"/>
        </w:rPr>
      </w:pPr>
      <w:r>
        <w:t>107A.</w:t>
      </w:r>
      <w:r>
        <w:tab/>
        <w:t>Obligations if certain parenting orders have been made: retaining child outside Australia — FLA s. 65YA</w:t>
      </w:r>
      <w:r>
        <w:tab/>
      </w:r>
      <w:r>
        <w:fldChar w:fldCharType="begin"/>
      </w:r>
      <w:r>
        <w:instrText xml:space="preserve"> PAGEREF _Toc189743223 \h </w:instrText>
      </w:r>
      <w:r>
        <w:fldChar w:fldCharType="separate"/>
      </w:r>
      <w:r>
        <w:t>127</w:t>
      </w:r>
      <w:r>
        <w:fldChar w:fldCharType="end"/>
      </w:r>
    </w:p>
    <w:p>
      <w:pPr>
        <w:pStyle w:val="TOC8"/>
        <w:rPr>
          <w:rFonts w:asciiTheme="minorHAnsi" w:eastAsiaTheme="minorEastAsia" w:hAnsiTheme="minorHAnsi" w:cstheme="minorBidi"/>
          <w:szCs w:val="22"/>
        </w:rPr>
      </w:pPr>
      <w:r>
        <w:t>108.</w:t>
      </w:r>
      <w:r>
        <w:tab/>
        <w:t>Obligations if proceedings for the making of certain parenting orders are pending: taking or sending child outside Australia — FLA s. 65Z</w:t>
      </w:r>
      <w:r>
        <w:tab/>
      </w:r>
      <w:r>
        <w:fldChar w:fldCharType="begin"/>
      </w:r>
      <w:r>
        <w:instrText xml:space="preserve"> PAGEREF _Toc189743224 \h </w:instrText>
      </w:r>
      <w:r>
        <w:fldChar w:fldCharType="separate"/>
      </w:r>
      <w:r>
        <w:t>128</w:t>
      </w:r>
      <w:r>
        <w:fldChar w:fldCharType="end"/>
      </w:r>
    </w:p>
    <w:p>
      <w:pPr>
        <w:pStyle w:val="TOC8"/>
        <w:rPr>
          <w:rFonts w:asciiTheme="minorHAnsi" w:eastAsiaTheme="minorEastAsia" w:hAnsiTheme="minorHAnsi" w:cstheme="minorBidi"/>
          <w:szCs w:val="22"/>
        </w:rPr>
      </w:pPr>
      <w:r>
        <w:t>108A.</w:t>
      </w:r>
      <w:r>
        <w:tab/>
        <w:t>Obligations if proceedings for the making of certain parenting orders are pending: retaining child outside Australia — FLA s. 65ZAA</w:t>
      </w:r>
      <w:r>
        <w:tab/>
      </w:r>
      <w:r>
        <w:fldChar w:fldCharType="begin"/>
      </w:r>
      <w:r>
        <w:instrText xml:space="preserve"> PAGEREF _Toc189743225 \h </w:instrText>
      </w:r>
      <w:r>
        <w:fldChar w:fldCharType="separate"/>
      </w:r>
      <w:r>
        <w:t>129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_Toc189743226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_Toc189743227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_Toc189743228 \h </w:instrText>
      </w:r>
      <w:r>
        <w:fldChar w:fldCharType="separate"/>
      </w:r>
      <w:r>
        <w:t>133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_Toc189743229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lastRenderedPageBreak/>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_Toc189743232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_Toc189743234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_Toc189743235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_Toc189743236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_Toc189743238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_Toc189743240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_Toc189743241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_Toc189743242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_Toc189743243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_Toc189743244 \h </w:instrText>
      </w:r>
      <w:r>
        <w:fldChar w:fldCharType="separate"/>
      </w:r>
      <w:r>
        <w:t>140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_Toc189743245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_Toc189743246 \h </w:instrText>
      </w:r>
      <w:r>
        <w:fldChar w:fldCharType="separate"/>
      </w:r>
      <w:r>
        <w:t>142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_Toc189743247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_Toc189743249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_Toc189743250 \h </w:instrText>
      </w:r>
      <w:r>
        <w:fldChar w:fldCharType="separate"/>
      </w:r>
      <w:r>
        <w:t>144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_Toc189743251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_Toc189743253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_Toc189743255 \h </w:instrText>
      </w:r>
      <w:r>
        <w:fldChar w:fldCharType="separate"/>
      </w:r>
      <w:r>
        <w:t>149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_Toc189743256 \h </w:instrText>
      </w:r>
      <w:r>
        <w:fldChar w:fldCharType="separate"/>
      </w:r>
      <w:r>
        <w:t>149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_Toc189743257 \h </w:instrText>
      </w:r>
      <w:r>
        <w:fldChar w:fldCharType="separate"/>
      </w:r>
      <w:r>
        <w:t>150</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_Toc189743258 \h </w:instrText>
      </w:r>
      <w:r>
        <w:fldChar w:fldCharType="separate"/>
      </w:r>
      <w:r>
        <w:t>150</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_Toc189743259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_Toc189743261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_Toc189743264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_Toc189743266 \h </w:instrText>
      </w:r>
      <w:r>
        <w:fldChar w:fldCharType="separate"/>
      </w:r>
      <w:r>
        <w:t>154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_Toc189743267 \h </w:instrText>
      </w:r>
      <w:r>
        <w:fldChar w:fldCharType="separate"/>
      </w:r>
      <w:r>
        <w:t>155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_Toc189743268 \h </w:instrText>
      </w:r>
      <w:r>
        <w:fldChar w:fldCharType="separate"/>
      </w:r>
      <w:r>
        <w:t>156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_Toc189743269 \h </w:instrText>
      </w:r>
      <w:r>
        <w:fldChar w:fldCharType="separate"/>
      </w:r>
      <w:r>
        <w:t>157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_Toc189743270 \h </w:instrText>
      </w:r>
      <w:r>
        <w:fldChar w:fldCharType="separate"/>
      </w:r>
      <w:r>
        <w:t>157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_Toc189743271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_Toc189743272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_Toc189743274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144</w:t>
      </w:r>
      <w:r>
        <w:rPr>
          <w:snapToGrid w:val="0"/>
        </w:rPr>
        <w:t>.</w:t>
      </w:r>
      <w:r>
        <w:rPr>
          <w:snapToGrid w:val="0"/>
        </w:rPr>
        <w:tab/>
        <w:t>Who may apply for location order — FLA s. 67K</w:t>
      </w:r>
      <w:r>
        <w:tab/>
      </w:r>
      <w:r>
        <w:fldChar w:fldCharType="begin"/>
      </w:r>
      <w:r>
        <w:instrText xml:space="preserve"> PAGEREF _Toc189743275 \h </w:instrText>
      </w:r>
      <w:r>
        <w:fldChar w:fldCharType="separate"/>
      </w:r>
      <w:r>
        <w:t>159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_Toc189743276 \h </w:instrText>
      </w:r>
      <w:r>
        <w:fldChar w:fldCharType="separate"/>
      </w:r>
      <w:r>
        <w:t>160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_Toc189743277 \h </w:instrText>
      </w:r>
      <w:r>
        <w:fldChar w:fldCharType="separate"/>
      </w:r>
      <w:r>
        <w:t>160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_Toc189743278 \h </w:instrText>
      </w:r>
      <w:r>
        <w:fldChar w:fldCharType="separate"/>
      </w:r>
      <w:r>
        <w:t>161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_Toc189743279 \h </w:instrText>
      </w:r>
      <w:r>
        <w:fldChar w:fldCharType="separate"/>
      </w:r>
      <w:r>
        <w:t>162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_Toc189743280 \h </w:instrText>
      </w:r>
      <w:r>
        <w:fldChar w:fldCharType="separate"/>
      </w:r>
      <w:r>
        <w:t>163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_Toc189743281 \h </w:instrText>
      </w:r>
      <w:r>
        <w:fldChar w:fldCharType="separate"/>
      </w:r>
      <w:r>
        <w:t>164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_Toc189743282 \h </w:instrText>
      </w:r>
      <w:r>
        <w:fldChar w:fldCharType="separate"/>
      </w:r>
      <w:r>
        <w:t>165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_Toc189743283 \h </w:instrText>
      </w:r>
      <w:r>
        <w:fldChar w:fldCharType="separate"/>
      </w:r>
      <w:r>
        <w:t>165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_Toc189743284 \h </w:instrText>
      </w:r>
      <w:r>
        <w:fldChar w:fldCharType="separate"/>
      </w:r>
      <w:r>
        <w:t>166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_Toc189743285 \h </w:instrText>
      </w:r>
      <w:r>
        <w:fldChar w:fldCharType="separate"/>
      </w:r>
      <w:r>
        <w:t>166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_Toc189743286 \h </w:instrText>
      </w:r>
      <w:r>
        <w:fldChar w:fldCharType="separate"/>
      </w:r>
      <w:r>
        <w:t>166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_Toc189743287 \h </w:instrText>
      </w:r>
      <w:r>
        <w:fldChar w:fldCharType="separate"/>
      </w:r>
      <w:r>
        <w:t>166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_Toc189743288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_Toc189743290 \h </w:instrText>
      </w:r>
      <w:r>
        <w:fldChar w:fldCharType="separate"/>
      </w:r>
      <w:r>
        <w:t>167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_Toc189743291 \h </w:instrText>
      </w:r>
      <w:r>
        <w:fldChar w:fldCharType="separate"/>
      </w:r>
      <w:r>
        <w:t>168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_Toc189743292 \h </w:instrText>
      </w:r>
      <w:r>
        <w:fldChar w:fldCharType="separate"/>
      </w:r>
      <w:r>
        <w:t>169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_Toc189743293 \h </w:instrText>
      </w:r>
      <w:r>
        <w:fldChar w:fldCharType="separate"/>
      </w:r>
      <w:r>
        <w:t>170</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_Toc189743294 \h </w:instrText>
      </w:r>
      <w:r>
        <w:fldChar w:fldCharType="separate"/>
      </w:r>
      <w:r>
        <w:t>171</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_Toc189743295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4A — Orders for information in child</w:t>
      </w:r>
      <w:r>
        <w:noBreakHyphen/>
        <w:t>related proceedings</w:t>
      </w:r>
    </w:p>
    <w:p>
      <w:pPr>
        <w:pStyle w:val="TOC8"/>
        <w:rPr>
          <w:rFonts w:asciiTheme="minorHAnsi" w:eastAsiaTheme="minorEastAsia" w:hAnsiTheme="minorHAnsi" w:cstheme="minorBidi"/>
          <w:szCs w:val="22"/>
        </w:rPr>
      </w:pPr>
      <w:r>
        <w:t>162C.</w:t>
      </w:r>
      <w:r>
        <w:tab/>
        <w:t xml:space="preserve">Meaning of </w:t>
      </w:r>
      <w:r>
        <w:rPr>
          <w:i/>
        </w:rPr>
        <w:t>information sharing agency</w:t>
      </w:r>
      <w:r>
        <w:t> — FLA s. 67ZBC</w:t>
      </w:r>
      <w:r>
        <w:tab/>
      </w:r>
      <w:r>
        <w:fldChar w:fldCharType="begin"/>
      </w:r>
      <w:r>
        <w:instrText xml:space="preserve"> PAGEREF _Toc189743297 \h </w:instrText>
      </w:r>
      <w:r>
        <w:fldChar w:fldCharType="separate"/>
      </w:r>
      <w:r>
        <w:t>174</w:t>
      </w:r>
      <w:r>
        <w:fldChar w:fldCharType="end"/>
      </w:r>
    </w:p>
    <w:p>
      <w:pPr>
        <w:pStyle w:val="TOC8"/>
        <w:rPr>
          <w:rFonts w:asciiTheme="minorHAnsi" w:eastAsiaTheme="minorEastAsia" w:hAnsiTheme="minorHAnsi" w:cstheme="minorBidi"/>
          <w:szCs w:val="22"/>
        </w:rPr>
      </w:pPr>
      <w:r>
        <w:t>162D.</w:t>
      </w:r>
      <w:r>
        <w:tab/>
        <w:t>Order to provide particulars of documents or information relating to certain matters — FLA s. 67ZBD</w:t>
      </w:r>
      <w:r>
        <w:tab/>
      </w:r>
      <w:r>
        <w:fldChar w:fldCharType="begin"/>
      </w:r>
      <w:r>
        <w:instrText xml:space="preserve"> PAGEREF _Toc189743298 \h </w:instrText>
      </w:r>
      <w:r>
        <w:fldChar w:fldCharType="separate"/>
      </w:r>
      <w:r>
        <w:t>174</w:t>
      </w:r>
      <w:r>
        <w:fldChar w:fldCharType="end"/>
      </w:r>
    </w:p>
    <w:p>
      <w:pPr>
        <w:pStyle w:val="TOC8"/>
        <w:rPr>
          <w:rFonts w:asciiTheme="minorHAnsi" w:eastAsiaTheme="minorEastAsia" w:hAnsiTheme="minorHAnsi" w:cstheme="minorBidi"/>
          <w:szCs w:val="22"/>
        </w:rPr>
      </w:pPr>
      <w:r>
        <w:t>162E.</w:t>
      </w:r>
      <w:r>
        <w:tab/>
        <w:t>Order to provide documents or information relating to certain matters — FLA s. 67ZBE</w:t>
      </w:r>
      <w:r>
        <w:tab/>
      </w:r>
      <w:r>
        <w:fldChar w:fldCharType="begin"/>
      </w:r>
      <w:r>
        <w:instrText xml:space="preserve"> PAGEREF _Toc189743299 \h </w:instrText>
      </w:r>
      <w:r>
        <w:fldChar w:fldCharType="separate"/>
      </w:r>
      <w:r>
        <w:t>176</w:t>
      </w:r>
      <w:r>
        <w:fldChar w:fldCharType="end"/>
      </w:r>
    </w:p>
    <w:p>
      <w:pPr>
        <w:pStyle w:val="TOC8"/>
        <w:rPr>
          <w:rFonts w:asciiTheme="minorHAnsi" w:eastAsiaTheme="minorEastAsia" w:hAnsiTheme="minorHAnsi" w:cstheme="minorBidi"/>
          <w:szCs w:val="22"/>
        </w:rPr>
      </w:pPr>
      <w:r>
        <w:t>162F.</w:t>
      </w:r>
      <w:r>
        <w:tab/>
        <w:t>Disclosure of protected material — FLA s. 67ZBF</w:t>
      </w:r>
      <w:r>
        <w:tab/>
      </w:r>
      <w:r>
        <w:fldChar w:fldCharType="begin"/>
      </w:r>
      <w:r>
        <w:instrText xml:space="preserve"> PAGEREF _Toc189743300 \h </w:instrText>
      </w:r>
      <w:r>
        <w:fldChar w:fldCharType="separate"/>
      </w:r>
      <w:r>
        <w:t>178</w:t>
      </w:r>
      <w:r>
        <w:fldChar w:fldCharType="end"/>
      </w:r>
    </w:p>
    <w:p>
      <w:pPr>
        <w:pStyle w:val="TOC8"/>
        <w:rPr>
          <w:rFonts w:asciiTheme="minorHAnsi" w:eastAsiaTheme="minorEastAsia" w:hAnsiTheme="minorHAnsi" w:cstheme="minorBidi"/>
          <w:szCs w:val="22"/>
        </w:rPr>
      </w:pPr>
      <w:r>
        <w:t>162G.</w:t>
      </w:r>
      <w:r>
        <w:tab/>
        <w:t>Advice to court about risk of disclosure — FLA s. 67ZBG</w:t>
      </w:r>
      <w:r>
        <w:tab/>
      </w:r>
      <w:r>
        <w:fldChar w:fldCharType="begin"/>
      </w:r>
      <w:r>
        <w:instrText xml:space="preserve"> PAGEREF _Toc189743301 \h </w:instrText>
      </w:r>
      <w:r>
        <w:fldChar w:fldCharType="separate"/>
      </w:r>
      <w:r>
        <w:t>179</w:t>
      </w:r>
      <w:r>
        <w:fldChar w:fldCharType="end"/>
      </w:r>
    </w:p>
    <w:p>
      <w:pPr>
        <w:pStyle w:val="TOC8"/>
        <w:rPr>
          <w:rFonts w:asciiTheme="minorHAnsi" w:eastAsiaTheme="minorEastAsia" w:hAnsiTheme="minorHAnsi" w:cstheme="minorBidi"/>
          <w:szCs w:val="22"/>
        </w:rPr>
      </w:pPr>
      <w:r>
        <w:t>162H.</w:t>
      </w:r>
      <w:r>
        <w:tab/>
        <w:t>Admission of particulars, documents or information into evidence — FLA s. 67ZBH</w:t>
      </w:r>
      <w:r>
        <w:tab/>
      </w:r>
      <w:r>
        <w:fldChar w:fldCharType="begin"/>
      </w:r>
      <w:r>
        <w:instrText xml:space="preserve"> PAGEREF _Toc189743302 \h </w:instrText>
      </w:r>
      <w:r>
        <w:fldChar w:fldCharType="separate"/>
      </w:r>
      <w:r>
        <w:t>180</w:t>
      </w:r>
      <w:r>
        <w:fldChar w:fldCharType="end"/>
      </w:r>
    </w:p>
    <w:p>
      <w:pPr>
        <w:pStyle w:val="TOC8"/>
        <w:rPr>
          <w:rFonts w:asciiTheme="minorHAnsi" w:eastAsiaTheme="minorEastAsia" w:hAnsiTheme="minorHAnsi" w:cstheme="minorBidi"/>
          <w:szCs w:val="22"/>
        </w:rPr>
      </w:pPr>
      <w:r>
        <w:t>162I.</w:t>
      </w:r>
      <w:r>
        <w:tab/>
        <w:t>Information sharing agencies and court must have regard to information sharing safeguards — FLA s. 67ZBI</w:t>
      </w:r>
      <w:r>
        <w:tab/>
      </w:r>
      <w:r>
        <w:fldChar w:fldCharType="begin"/>
      </w:r>
      <w:r>
        <w:instrText xml:space="preserve"> PAGEREF _Toc189743303 \h </w:instrText>
      </w:r>
      <w:r>
        <w:fldChar w:fldCharType="separate"/>
      </w:r>
      <w:r>
        <w:t>181</w:t>
      </w:r>
      <w:r>
        <w:fldChar w:fldCharType="end"/>
      </w:r>
    </w:p>
    <w:p>
      <w:pPr>
        <w:pStyle w:val="TOC8"/>
        <w:rPr>
          <w:rFonts w:asciiTheme="minorHAnsi" w:eastAsiaTheme="minorEastAsia" w:hAnsiTheme="minorHAnsi" w:cstheme="minorBidi"/>
          <w:szCs w:val="22"/>
        </w:rPr>
      </w:pPr>
      <w:r>
        <w:t>162J.</w:t>
      </w:r>
      <w:r>
        <w:tab/>
        <w:t>When orders may be made — FLA s. 67ZBJ</w:t>
      </w:r>
      <w:r>
        <w:tab/>
      </w:r>
      <w:r>
        <w:fldChar w:fldCharType="begin"/>
      </w:r>
      <w:r>
        <w:instrText xml:space="preserve"> PAGEREF _Toc189743304 \h </w:instrText>
      </w:r>
      <w:r>
        <w:fldChar w:fldCharType="separate"/>
      </w:r>
      <w:r>
        <w:t>181</w:t>
      </w:r>
      <w:r>
        <w:fldChar w:fldCharType="end"/>
      </w:r>
    </w:p>
    <w:p>
      <w:pPr>
        <w:pStyle w:val="TOC8"/>
        <w:rPr>
          <w:rFonts w:asciiTheme="minorHAnsi" w:eastAsiaTheme="minorEastAsia" w:hAnsiTheme="minorHAnsi" w:cstheme="minorBidi"/>
          <w:szCs w:val="22"/>
        </w:rPr>
      </w:pPr>
      <w:r>
        <w:t>162K.</w:t>
      </w:r>
      <w:r>
        <w:tab/>
        <w:t>Subpoena in respect of certain documents or information — FLA s. 67ZBK</w:t>
      </w:r>
      <w:r>
        <w:tab/>
      </w:r>
      <w:r>
        <w:fldChar w:fldCharType="begin"/>
      </w:r>
      <w:r>
        <w:instrText xml:space="preserve"> PAGEREF _Toc189743305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_Toc189743307 \h </w:instrText>
      </w:r>
      <w:r>
        <w:fldChar w:fldCharType="separate"/>
      </w:r>
      <w:r>
        <w:t>182</w:t>
      </w:r>
      <w:r>
        <w:fldChar w:fldCharType="end"/>
      </w:r>
    </w:p>
    <w:p>
      <w:pPr>
        <w:pStyle w:val="TOC8"/>
        <w:rPr>
          <w:rFonts w:asciiTheme="minorHAnsi" w:eastAsiaTheme="minorEastAsia" w:hAnsiTheme="minorHAnsi" w:cstheme="minorBidi"/>
          <w:szCs w:val="22"/>
        </w:rPr>
      </w:pPr>
      <w:r>
        <w:t>163.</w:t>
      </w:r>
      <w:r>
        <w:tab/>
        <w:t>Orders for delivery of travel documents — FLA s. 67ZD</w:t>
      </w:r>
      <w:r>
        <w:tab/>
      </w:r>
      <w:r>
        <w:fldChar w:fldCharType="begin"/>
      </w:r>
      <w:r>
        <w:instrText xml:space="preserve"> PAGEREF _Toc189743308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_Toc189743310 \h </w:instrText>
      </w:r>
      <w:r>
        <w:fldChar w:fldCharType="separate"/>
      </w:r>
      <w:r>
        <w:t>183</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_Toc189743311 \h </w:instrText>
      </w:r>
      <w:r>
        <w:fldChar w:fldCharType="separate"/>
      </w:r>
      <w:r>
        <w:t>184</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_Toc189743312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_Toc189743314 \h </w:instrText>
      </w:r>
      <w:r>
        <w:fldChar w:fldCharType="separate"/>
      </w:r>
      <w:r>
        <w:t>188</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_Toc189743315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175.</w:t>
      </w:r>
      <w:r>
        <w:tab/>
        <w:t>Relationship of order or injunction made under this Act with existing inconsistent family violence order — FLA s. 68Q</w:t>
      </w:r>
      <w:r>
        <w:tab/>
      </w:r>
      <w:r>
        <w:fldChar w:fldCharType="begin"/>
      </w:r>
      <w:r>
        <w:instrText xml:space="preserve"> PAGEREF _Toc189743316 \h </w:instrText>
      </w:r>
      <w:r>
        <w:fldChar w:fldCharType="separate"/>
      </w:r>
      <w:r>
        <w:t>191</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_Toc189743317 \h </w:instrText>
      </w:r>
      <w:r>
        <w:fldChar w:fldCharType="separate"/>
      </w:r>
      <w:r>
        <w:t>192</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_Toc189743318 \h </w:instrText>
      </w:r>
      <w:r>
        <w:fldChar w:fldCharType="separate"/>
      </w:r>
      <w:r>
        <w:t>194</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_Toc189743319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_Toc189743322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_Toc189743324 \h </w:instrText>
      </w:r>
      <w:r>
        <w:fldChar w:fldCharType="separate"/>
      </w:r>
      <w:r>
        <w:t>196</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_Toc189743325 \h </w:instrText>
      </w:r>
      <w:r>
        <w:fldChar w:fldCharType="separate"/>
      </w:r>
      <w:r>
        <w:t>196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_Toc189743326 \h </w:instrText>
      </w:r>
      <w:r>
        <w:fldChar w:fldCharType="separate"/>
      </w:r>
      <w:r>
        <w:t>196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_Toc189743327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_Toc189743329 \h </w:instrText>
      </w:r>
      <w:r>
        <w:fldChar w:fldCharType="separate"/>
      </w:r>
      <w:r>
        <w:t>197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_Toc189743330 \h </w:instrText>
      </w:r>
      <w:r>
        <w:fldChar w:fldCharType="separate"/>
      </w:r>
      <w:r>
        <w:t>198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_Toc189743331 \h </w:instrText>
      </w:r>
      <w:r>
        <w:fldChar w:fldCharType="separate"/>
      </w:r>
      <w:r>
        <w:t>198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_Toc189743332 \h </w:instrText>
      </w:r>
      <w:r>
        <w:fldChar w:fldCharType="separate"/>
      </w:r>
      <w:r>
        <w:t>198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_Toc189743333 \h </w:instrText>
      </w:r>
      <w:r>
        <w:fldChar w:fldCharType="separate"/>
      </w:r>
      <w:r>
        <w:t>199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_Toc189743334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_Toc189743336 \h </w:instrText>
      </w:r>
      <w:r>
        <w:fldChar w:fldCharType="separate"/>
      </w:r>
      <w:r>
        <w:t>200</w:t>
      </w:r>
      <w:r>
        <w:fldChar w:fldCharType="end"/>
      </w:r>
    </w:p>
    <w:p>
      <w:pPr>
        <w:pStyle w:val="TOC8"/>
        <w:rPr>
          <w:rFonts w:asciiTheme="minorHAnsi" w:eastAsiaTheme="minorEastAsia" w:hAnsiTheme="minorHAnsi" w:cstheme="minorBidi"/>
          <w:szCs w:val="22"/>
        </w:rPr>
      </w:pPr>
      <w:r>
        <w:t>194A.</w:t>
      </w:r>
      <w:r>
        <w:tab/>
        <w:t>Declarations of parentage — FLA s. 69VA</w:t>
      </w:r>
      <w:r>
        <w:tab/>
      </w:r>
      <w:r>
        <w:fldChar w:fldCharType="begin"/>
      </w:r>
      <w:r>
        <w:instrText xml:space="preserve"> PAGEREF _Toc189743337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195</w:t>
      </w:r>
      <w:r>
        <w:rPr>
          <w:snapToGrid w:val="0"/>
        </w:rPr>
        <w:t>.</w:t>
      </w:r>
      <w:r>
        <w:rPr>
          <w:snapToGrid w:val="0"/>
        </w:rPr>
        <w:tab/>
        <w:t>Orders for conducting parentage testing procedures — FLA s. 69W</w:t>
      </w:r>
      <w:r>
        <w:tab/>
      </w:r>
      <w:r>
        <w:fldChar w:fldCharType="begin"/>
      </w:r>
      <w:r>
        <w:instrText xml:space="preserve"> PAGEREF _Toc189743338 \h </w:instrText>
      </w:r>
      <w:r>
        <w:fldChar w:fldCharType="separate"/>
      </w:r>
      <w:r>
        <w:t>200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_Toc189743339 \h </w:instrText>
      </w:r>
      <w:r>
        <w:fldChar w:fldCharType="separate"/>
      </w:r>
      <w:r>
        <w:t>201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_Toc189743340 \h </w:instrText>
      </w:r>
      <w:r>
        <w:fldChar w:fldCharType="separate"/>
      </w:r>
      <w:r>
        <w:t>202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_Toc189743341 \h </w:instrText>
      </w:r>
      <w:r>
        <w:fldChar w:fldCharType="separate"/>
      </w:r>
      <w:r>
        <w:t>203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_Toc189743342 \h </w:instrText>
      </w:r>
      <w:r>
        <w:fldChar w:fldCharType="separate"/>
      </w:r>
      <w:r>
        <w:t>203</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_Toc189743343 \h </w:instrText>
      </w:r>
      <w:r>
        <w:fldChar w:fldCharType="separate"/>
      </w:r>
      <w:r>
        <w:t>204</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_Toc189743344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_Toc189743346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Short form reasons for decisions relating to interim parenting orders</w:t>
      </w:r>
    </w:p>
    <w:p>
      <w:pPr>
        <w:pStyle w:val="TOC8"/>
        <w:rPr>
          <w:rFonts w:asciiTheme="minorHAnsi" w:eastAsiaTheme="minorEastAsia" w:hAnsiTheme="minorHAnsi" w:cstheme="minorBidi"/>
          <w:szCs w:val="22"/>
        </w:rPr>
      </w:pPr>
      <w:r>
        <w:t>202AA.</w:t>
      </w:r>
      <w:r>
        <w:tab/>
        <w:t>Short form reasons for decisions relating to interim parenting orders — FLA s. 69ZL</w:t>
      </w:r>
      <w:r>
        <w:tab/>
      </w:r>
      <w:r>
        <w:fldChar w:fldCharType="begin"/>
      </w:r>
      <w:r>
        <w:instrText xml:space="preserve"> PAGEREF _Toc189743348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_Toc189743351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_Toc189743353 \h </w:instrText>
      </w:r>
      <w:r>
        <w:fldChar w:fldCharType="separate"/>
      </w:r>
      <w:r>
        <w:t>207</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_Toc189743354 \h </w:instrText>
      </w:r>
      <w:r>
        <w:fldChar w:fldCharType="separate"/>
      </w:r>
      <w:r>
        <w:t>208</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_Toc189743355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_Toc189743357 \h </w:instrText>
      </w:r>
      <w:r>
        <w:fldChar w:fldCharType="separate"/>
      </w:r>
      <w:r>
        <w:t>209</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_Toc189743358 \h </w:instrText>
      </w:r>
      <w:r>
        <w:fldChar w:fldCharType="separate"/>
      </w:r>
      <w:r>
        <w:t>210</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_Toc189743359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_Toc189743361 \h </w:instrText>
      </w:r>
      <w:r>
        <w:fldChar w:fldCharType="separate"/>
      </w:r>
      <w:r>
        <w:t>211</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_Toc189743362 \h </w:instrText>
      </w:r>
      <w:r>
        <w:fldChar w:fldCharType="separate"/>
      </w:r>
      <w:r>
        <w:t>212</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_Toc189743363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_Toc189743365 \h </w:instrText>
      </w:r>
      <w:r>
        <w:fldChar w:fldCharType="separate"/>
      </w:r>
      <w:r>
        <w:t>215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_Toc189743366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13 — Orders in proceedings relating to contraventions of child</w:t>
      </w:r>
      <w:r>
        <w:noBreakHyphen/>
        <w:t>related orders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 FLA s. 70NAA</w:t>
      </w:r>
      <w:r>
        <w:tab/>
      </w:r>
      <w:r>
        <w:fldChar w:fldCharType="begin"/>
      </w:r>
      <w:r>
        <w:instrText xml:space="preserve"> PAGEREF _Toc189743369 \h </w:instrText>
      </w:r>
      <w:r>
        <w:fldChar w:fldCharType="separate"/>
      </w:r>
      <w:r>
        <w:t>215</w:t>
      </w:r>
      <w:r>
        <w:fldChar w:fldCharType="end"/>
      </w:r>
    </w:p>
    <w:p>
      <w:pPr>
        <w:pStyle w:val="TOC8"/>
        <w:rPr>
          <w:rFonts w:asciiTheme="minorHAnsi" w:eastAsiaTheme="minorEastAsia" w:hAnsiTheme="minorHAnsi" w:cstheme="minorBidi"/>
          <w:szCs w:val="22"/>
        </w:rPr>
      </w:pPr>
      <w:r>
        <w:t>205B.</w:t>
      </w:r>
      <w:r>
        <w:tab/>
        <w:t>Objects — FLA s. 70NAB</w:t>
      </w:r>
      <w:r>
        <w:tab/>
      </w:r>
      <w:r>
        <w:fldChar w:fldCharType="begin"/>
      </w:r>
      <w:r>
        <w:instrText xml:space="preserve"> PAGEREF _Toc189743370 \h </w:instrText>
      </w:r>
      <w:r>
        <w:fldChar w:fldCharType="separate"/>
      </w:r>
      <w:r>
        <w:t>216</w:t>
      </w:r>
      <w:r>
        <w:fldChar w:fldCharType="end"/>
      </w:r>
    </w:p>
    <w:p>
      <w:pPr>
        <w:pStyle w:val="TOC8"/>
        <w:rPr>
          <w:rFonts w:asciiTheme="minorHAnsi" w:eastAsiaTheme="minorEastAsia" w:hAnsiTheme="minorHAnsi" w:cstheme="minorBidi"/>
          <w:szCs w:val="22"/>
        </w:rPr>
      </w:pPr>
      <w:r>
        <w:t>205C.</w:t>
      </w:r>
      <w:r>
        <w:tab/>
        <w:t xml:space="preserve">Meaning of </w:t>
      </w:r>
      <w:r>
        <w:rPr>
          <w:i/>
          <w:iCs/>
        </w:rPr>
        <w:t>contravene</w:t>
      </w:r>
      <w:r>
        <w:t xml:space="preserve"> a child</w:t>
      </w:r>
      <w:r>
        <w:noBreakHyphen/>
        <w:t>related order — FLA s. 70NAC</w:t>
      </w:r>
      <w:r>
        <w:tab/>
      </w:r>
      <w:r>
        <w:fldChar w:fldCharType="begin"/>
      </w:r>
      <w:r>
        <w:instrText xml:space="preserve"> PAGEREF _Toc189743371 \h </w:instrText>
      </w:r>
      <w:r>
        <w:fldChar w:fldCharType="separate"/>
      </w:r>
      <w:r>
        <w:t>217</w:t>
      </w:r>
      <w:r>
        <w:fldChar w:fldCharType="end"/>
      </w:r>
    </w:p>
    <w:p>
      <w:pPr>
        <w:pStyle w:val="TOC8"/>
        <w:rPr>
          <w:rFonts w:asciiTheme="minorHAnsi" w:eastAsiaTheme="minorEastAsia" w:hAnsiTheme="minorHAnsi" w:cstheme="minorBidi"/>
          <w:szCs w:val="22"/>
        </w:rPr>
      </w:pPr>
      <w:r>
        <w:t>205D.</w:t>
      </w:r>
      <w:r>
        <w:tab/>
        <w:t xml:space="preserve">Meaning of </w:t>
      </w:r>
      <w:r>
        <w:rPr>
          <w:i/>
          <w:iCs/>
        </w:rPr>
        <w:t>reasonable excuse</w:t>
      </w:r>
      <w:r>
        <w:t xml:space="preserve"> for contravening a child</w:t>
      </w:r>
      <w:r>
        <w:noBreakHyphen/>
        <w:t>related order — FLA s. 70NAD</w:t>
      </w:r>
      <w:r>
        <w:tab/>
      </w:r>
      <w:r>
        <w:fldChar w:fldCharType="begin"/>
      </w:r>
      <w:r>
        <w:instrText xml:space="preserve"> PAGEREF _Toc189743372 \h </w:instrText>
      </w:r>
      <w:r>
        <w:fldChar w:fldCharType="separate"/>
      </w:r>
      <w:r>
        <w:t>219</w:t>
      </w:r>
      <w:r>
        <w:fldChar w:fldCharType="end"/>
      </w:r>
    </w:p>
    <w:p>
      <w:pPr>
        <w:pStyle w:val="TOC8"/>
        <w:rPr>
          <w:rFonts w:asciiTheme="minorHAnsi" w:eastAsiaTheme="minorEastAsia" w:hAnsiTheme="minorHAnsi" w:cstheme="minorBidi"/>
          <w:szCs w:val="22"/>
        </w:rPr>
      </w:pPr>
      <w:r>
        <w:t>205E.</w:t>
      </w:r>
      <w:r>
        <w:tab/>
        <w:t>Burden of proof in relation to reasonable excuse — FLA s. 70NADA</w:t>
      </w:r>
      <w:r>
        <w:tab/>
      </w:r>
      <w:r>
        <w:fldChar w:fldCharType="begin"/>
      </w:r>
      <w:r>
        <w:instrText xml:space="preserve"> PAGEREF _Toc189743373 \h </w:instrText>
      </w:r>
      <w:r>
        <w:fldChar w:fldCharType="separate"/>
      </w:r>
      <w:r>
        <w:t>220</w:t>
      </w:r>
      <w:r>
        <w:fldChar w:fldCharType="end"/>
      </w:r>
    </w:p>
    <w:p>
      <w:pPr>
        <w:pStyle w:val="TOC8"/>
        <w:rPr>
          <w:rFonts w:asciiTheme="minorHAnsi" w:eastAsiaTheme="minorEastAsia" w:hAnsiTheme="minorHAnsi" w:cstheme="minorBidi"/>
          <w:szCs w:val="22"/>
        </w:rPr>
      </w:pPr>
      <w:r>
        <w:t>205F.</w:t>
      </w:r>
      <w:r>
        <w:tab/>
        <w:t>Standard of proof — FLA s. 70NAE</w:t>
      </w:r>
      <w:r>
        <w:tab/>
      </w:r>
      <w:r>
        <w:fldChar w:fldCharType="begin"/>
      </w:r>
      <w:r>
        <w:instrText xml:space="preserve"> PAGEREF _Toc189743374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relating to contraventions of child</w:t>
      </w:r>
      <w:r>
        <w:noBreakHyphen/>
        <w:t>related orders</w:t>
      </w:r>
    </w:p>
    <w:p>
      <w:pPr>
        <w:pStyle w:val="TOC8"/>
        <w:rPr>
          <w:rFonts w:asciiTheme="minorHAnsi" w:eastAsiaTheme="minorEastAsia" w:hAnsiTheme="minorHAnsi" w:cstheme="minorBidi"/>
          <w:szCs w:val="22"/>
        </w:rPr>
      </w:pPr>
      <w:r>
        <w:t>205G.</w:t>
      </w:r>
      <w:r>
        <w:tab/>
        <w:t>Court may make orders in proceedings relating to contravention of child</w:t>
      </w:r>
      <w:r>
        <w:noBreakHyphen/>
        <w:t>related orders — FLA s. 70NBA</w:t>
      </w:r>
      <w:r>
        <w:tab/>
      </w:r>
      <w:r>
        <w:fldChar w:fldCharType="begin"/>
      </w:r>
      <w:r>
        <w:instrText xml:space="preserve"> PAGEREF _Toc189743376 \h </w:instrText>
      </w:r>
      <w:r>
        <w:fldChar w:fldCharType="separate"/>
      </w:r>
      <w:r>
        <w:t>220</w:t>
      </w:r>
      <w:r>
        <w:fldChar w:fldCharType="end"/>
      </w:r>
    </w:p>
    <w:p>
      <w:pPr>
        <w:pStyle w:val="TOC8"/>
        <w:rPr>
          <w:rFonts w:asciiTheme="minorHAnsi" w:eastAsiaTheme="minorEastAsia" w:hAnsiTheme="minorHAnsi" w:cstheme="minorBidi"/>
          <w:szCs w:val="22"/>
        </w:rPr>
      </w:pPr>
      <w:r>
        <w:t>205H.</w:t>
      </w:r>
      <w:r>
        <w:tab/>
        <w:t>Make</w:t>
      </w:r>
      <w:r>
        <w:noBreakHyphen/>
        <w:t>up time parenting orders — FLA s. 70NBB</w:t>
      </w:r>
      <w:r>
        <w:tab/>
      </w:r>
      <w:r>
        <w:fldChar w:fldCharType="begin"/>
      </w:r>
      <w:r>
        <w:instrText xml:space="preserve"> PAGEREF _Toc189743377 \h </w:instrText>
      </w:r>
      <w:r>
        <w:fldChar w:fldCharType="separate"/>
      </w:r>
      <w:r>
        <w:t>221</w:t>
      </w:r>
      <w:r>
        <w:fldChar w:fldCharType="end"/>
      </w:r>
    </w:p>
    <w:p>
      <w:pPr>
        <w:pStyle w:val="TOC8"/>
        <w:rPr>
          <w:rFonts w:asciiTheme="minorHAnsi" w:eastAsiaTheme="minorEastAsia" w:hAnsiTheme="minorHAnsi" w:cstheme="minorBidi"/>
          <w:szCs w:val="22"/>
        </w:rPr>
      </w:pPr>
      <w:r>
        <w:t>205I.</w:t>
      </w:r>
      <w:r>
        <w:tab/>
        <w:t>Variation and suspension of child</w:t>
      </w:r>
      <w:r>
        <w:noBreakHyphen/>
        <w:t>related orders that are parenting orders — FLA s. 70NBC</w:t>
      </w:r>
      <w:r>
        <w:tab/>
      </w:r>
      <w:r>
        <w:fldChar w:fldCharType="begin"/>
      </w:r>
      <w:r>
        <w:instrText xml:space="preserve"> PAGEREF _Toc189743378 \h </w:instrText>
      </w:r>
      <w:r>
        <w:fldChar w:fldCharType="separate"/>
      </w:r>
      <w:r>
        <w:t>222</w:t>
      </w:r>
      <w:r>
        <w:fldChar w:fldCharType="end"/>
      </w:r>
    </w:p>
    <w:p>
      <w:pPr>
        <w:pStyle w:val="TOC8"/>
        <w:rPr>
          <w:rFonts w:asciiTheme="minorHAnsi" w:eastAsiaTheme="minorEastAsia" w:hAnsiTheme="minorHAnsi" w:cstheme="minorBidi"/>
          <w:szCs w:val="22"/>
        </w:rPr>
      </w:pPr>
      <w:r>
        <w:t>205J.</w:t>
      </w:r>
      <w:r>
        <w:tab/>
        <w:t>Post</w:t>
      </w:r>
      <w:r>
        <w:noBreakHyphen/>
        <w:t>separation parenting programs — FLA 70NBD</w:t>
      </w:r>
      <w:r>
        <w:tab/>
      </w:r>
      <w:r>
        <w:fldChar w:fldCharType="begin"/>
      </w:r>
      <w:r>
        <w:instrText xml:space="preserve"> PAGEREF _Toc189743379 \h </w:instrText>
      </w:r>
      <w:r>
        <w:fldChar w:fldCharType="separate"/>
      </w:r>
      <w:r>
        <w:t>222</w:t>
      </w:r>
      <w:r>
        <w:fldChar w:fldCharType="end"/>
      </w:r>
    </w:p>
    <w:p>
      <w:pPr>
        <w:pStyle w:val="TOC8"/>
        <w:rPr>
          <w:rFonts w:asciiTheme="minorHAnsi" w:eastAsiaTheme="minorEastAsia" w:hAnsiTheme="minorHAnsi" w:cstheme="minorBidi"/>
          <w:szCs w:val="22"/>
        </w:rPr>
      </w:pPr>
      <w:r>
        <w:t>205K.</w:t>
      </w:r>
      <w:r>
        <w:tab/>
        <w:t>Orders where contravention established without reasonable excuse — FLA s. 70NBF</w:t>
      </w:r>
      <w:r>
        <w:tab/>
      </w:r>
      <w:r>
        <w:fldChar w:fldCharType="begin"/>
      </w:r>
      <w:r>
        <w:instrText xml:space="preserve"> PAGEREF _Toc189743380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Further provisions relating to bonds and imprisonment</w:t>
      </w:r>
    </w:p>
    <w:p>
      <w:pPr>
        <w:pStyle w:val="TOC8"/>
        <w:rPr>
          <w:rFonts w:asciiTheme="minorHAnsi" w:eastAsiaTheme="minorEastAsia" w:hAnsiTheme="minorHAnsi" w:cstheme="minorBidi"/>
          <w:szCs w:val="22"/>
        </w:rPr>
      </w:pPr>
      <w:r>
        <w:t>205L.</w:t>
      </w:r>
      <w:r>
        <w:tab/>
        <w:t>Matters relating to bonds — FLA s. 70NCA</w:t>
      </w:r>
      <w:r>
        <w:tab/>
      </w:r>
      <w:r>
        <w:fldChar w:fldCharType="begin"/>
      </w:r>
      <w:r>
        <w:instrText xml:space="preserve"> PAGEREF _Toc189743382 \h </w:instrText>
      </w:r>
      <w:r>
        <w:fldChar w:fldCharType="separate"/>
      </w:r>
      <w:r>
        <w:t>224</w:t>
      </w:r>
      <w:r>
        <w:fldChar w:fldCharType="end"/>
      </w:r>
    </w:p>
    <w:p>
      <w:pPr>
        <w:pStyle w:val="TOC8"/>
        <w:rPr>
          <w:rFonts w:asciiTheme="minorHAnsi" w:eastAsiaTheme="minorEastAsia" w:hAnsiTheme="minorHAnsi" w:cstheme="minorBidi"/>
          <w:szCs w:val="22"/>
        </w:rPr>
      </w:pPr>
      <w:r>
        <w:t>205M.</w:t>
      </w:r>
      <w:r>
        <w:tab/>
        <w:t>Procedure for enforcing bonds — FLA s. 70NCB</w:t>
      </w:r>
      <w:r>
        <w:tab/>
      </w:r>
      <w:r>
        <w:fldChar w:fldCharType="begin"/>
      </w:r>
      <w:r>
        <w:instrText xml:space="preserve"> PAGEREF _Toc189743383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205N.</w:t>
      </w:r>
      <w:r>
        <w:tab/>
        <w:t>Matters relating to imprisonment — FLA s. 70NCC</w:t>
      </w:r>
      <w:r>
        <w:tab/>
      </w:r>
      <w:r>
        <w:fldChar w:fldCharType="begin"/>
      </w:r>
      <w:r>
        <w:instrText xml:space="preserve"> PAGEREF _Toc189743384 \h </w:instrText>
      </w:r>
      <w:r>
        <w:fldChar w:fldCharType="separate"/>
      </w:r>
      <w:r>
        <w:t>226</w:t>
      </w:r>
      <w:r>
        <w:fldChar w:fldCharType="end"/>
      </w:r>
    </w:p>
    <w:p>
      <w:pPr>
        <w:pStyle w:val="TOC8"/>
        <w:rPr>
          <w:rFonts w:asciiTheme="minorHAnsi" w:eastAsiaTheme="minorEastAsia" w:hAnsiTheme="minorHAnsi" w:cstheme="minorBidi"/>
          <w:szCs w:val="22"/>
        </w:rPr>
      </w:pPr>
      <w:r>
        <w:t>205O.</w:t>
      </w:r>
      <w:r>
        <w:tab/>
        <w:t>Powers of court in relation to imprisoned person — FLA s. 70NCD</w:t>
      </w:r>
      <w:r>
        <w:tab/>
      </w:r>
      <w:r>
        <w:fldChar w:fldCharType="begin"/>
      </w:r>
      <w:r>
        <w:instrText xml:space="preserve"> PAGEREF _Toc189743385 \h </w:instrText>
      </w:r>
      <w:r>
        <w:fldChar w:fldCharType="separate"/>
      </w:r>
      <w:r>
        <w:t>227</w:t>
      </w:r>
      <w:r>
        <w:fldChar w:fldCharType="end"/>
      </w:r>
    </w:p>
    <w:p>
      <w:pPr>
        <w:pStyle w:val="TOC8"/>
        <w:rPr>
          <w:rFonts w:asciiTheme="minorHAnsi" w:eastAsiaTheme="minorEastAsia" w:hAnsiTheme="minorHAnsi" w:cstheme="minorBidi"/>
          <w:szCs w:val="22"/>
        </w:rPr>
      </w:pPr>
      <w:r>
        <w:t>205P.</w:t>
      </w:r>
      <w:r>
        <w:tab/>
        <w:t>Rules relating to child maintenance orders and child support — FLA s. 70NCE</w:t>
      </w:r>
      <w:r>
        <w:tab/>
      </w:r>
      <w:r>
        <w:fldChar w:fldCharType="begin"/>
      </w:r>
      <w:r>
        <w:instrText xml:space="preserve"> PAGEREF _Toc189743386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205Q.</w:t>
      </w:r>
      <w:r>
        <w:tab/>
        <w:t>Court may issue warrant for arrest of alleged offender — FLA s. 70NDA</w:t>
      </w:r>
      <w:r>
        <w:tab/>
      </w:r>
      <w:r>
        <w:fldChar w:fldCharType="begin"/>
      </w:r>
      <w:r>
        <w:instrText xml:space="preserve"> PAGEREF _Toc189743388 \h </w:instrText>
      </w:r>
      <w:r>
        <w:fldChar w:fldCharType="separate"/>
      </w:r>
      <w:r>
        <w:t>228</w:t>
      </w:r>
      <w:r>
        <w:fldChar w:fldCharType="end"/>
      </w:r>
    </w:p>
    <w:p>
      <w:pPr>
        <w:pStyle w:val="TOC8"/>
        <w:rPr>
          <w:rFonts w:asciiTheme="minorHAnsi" w:eastAsiaTheme="minorEastAsia" w:hAnsiTheme="minorHAnsi" w:cstheme="minorBidi"/>
          <w:szCs w:val="22"/>
        </w:rPr>
      </w:pPr>
      <w:r>
        <w:t>205R.</w:t>
      </w:r>
      <w:r>
        <w:tab/>
        <w:t>Relationship between Division and prosecutions for offences under other laws — FLA s. 70NDB</w:t>
      </w:r>
      <w:r>
        <w:tab/>
      </w:r>
      <w:r>
        <w:fldChar w:fldCharType="begin"/>
      </w:r>
      <w:r>
        <w:instrText xml:space="preserve"> PAGEREF _Toc189743389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14 — Dealing with people who have been arrested</w:t>
      </w:r>
    </w:p>
    <w:p>
      <w:pPr>
        <w:pStyle w:val="TOC6"/>
        <w:tabs>
          <w:tab w:val="right" w:leader="dot" w:pos="7077"/>
        </w:tabs>
        <w:rPr>
          <w:rFonts w:asciiTheme="minorHAnsi" w:eastAsiaTheme="minorEastAsia" w:hAnsiTheme="minorHAnsi" w:cstheme="minorBidi"/>
          <w:b w:val="0"/>
          <w:sz w:val="22"/>
          <w:szCs w:val="22"/>
        </w:rPr>
      </w:pPr>
      <w:r>
        <w:t>Subdivision 1 — What this Division does</w:t>
      </w:r>
    </w:p>
    <w:p>
      <w:pPr>
        <w:pStyle w:val="TOC8"/>
        <w:rPr>
          <w:rFonts w:asciiTheme="minorHAnsi" w:eastAsiaTheme="minorEastAsia" w:hAnsiTheme="minorHAnsi" w:cstheme="minorBidi"/>
          <w:szCs w:val="22"/>
        </w:rPr>
      </w:pPr>
      <w:r>
        <w:t>205S.</w:t>
      </w:r>
      <w:r>
        <w:tab/>
        <w:t>What this Division does — FLA s. 70P</w:t>
      </w:r>
      <w:r>
        <w:tab/>
      </w:r>
      <w:r>
        <w:fldChar w:fldCharType="begin"/>
      </w:r>
      <w:r>
        <w:instrText xml:space="preserve"> PAGEREF _Toc189743392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people who have been arrested</w:t>
      </w:r>
    </w:p>
    <w:p>
      <w:pPr>
        <w:pStyle w:val="TOC8"/>
        <w:rPr>
          <w:rFonts w:asciiTheme="minorHAnsi" w:eastAsiaTheme="minorEastAsia" w:hAnsiTheme="minorHAnsi" w:cstheme="minorBidi"/>
          <w:szCs w:val="22"/>
        </w:rPr>
      </w:pPr>
      <w:r>
        <w:t>205SA.</w:t>
      </w:r>
      <w:r>
        <w:tab/>
        <w:t>Situation to which this Subdivision applies — FLA s. 70PA</w:t>
      </w:r>
      <w:r>
        <w:tab/>
      </w:r>
      <w:r>
        <w:fldChar w:fldCharType="begin"/>
      </w:r>
      <w:r>
        <w:instrText xml:space="preserve"> PAGEREF _Toc189743394 \h </w:instrText>
      </w:r>
      <w:r>
        <w:fldChar w:fldCharType="separate"/>
      </w:r>
      <w:r>
        <w:t>230</w:t>
      </w:r>
      <w:r>
        <w:fldChar w:fldCharType="end"/>
      </w:r>
    </w:p>
    <w:p>
      <w:pPr>
        <w:pStyle w:val="TOC8"/>
        <w:rPr>
          <w:rFonts w:asciiTheme="minorHAnsi" w:eastAsiaTheme="minorEastAsia" w:hAnsiTheme="minorHAnsi" w:cstheme="minorBidi"/>
          <w:szCs w:val="22"/>
        </w:rPr>
      </w:pPr>
      <w:r>
        <w:t>205SB.</w:t>
      </w:r>
      <w:r>
        <w:tab/>
        <w:t>Arrested person to be brought before court — FLA s. 70PB</w:t>
      </w:r>
      <w:r>
        <w:tab/>
      </w:r>
      <w:r>
        <w:fldChar w:fldCharType="begin"/>
      </w:r>
      <w:r>
        <w:instrText xml:space="preserve"> PAGEREF _Toc189743395 \h </w:instrText>
      </w:r>
      <w:r>
        <w:fldChar w:fldCharType="separate"/>
      </w:r>
      <w:r>
        <w:t>230</w:t>
      </w:r>
      <w:r>
        <w:fldChar w:fldCharType="end"/>
      </w:r>
    </w:p>
    <w:p>
      <w:pPr>
        <w:pStyle w:val="TOC8"/>
        <w:rPr>
          <w:rFonts w:asciiTheme="minorHAnsi" w:eastAsiaTheme="minorEastAsia" w:hAnsiTheme="minorHAnsi" w:cstheme="minorBidi"/>
          <w:szCs w:val="22"/>
        </w:rPr>
      </w:pPr>
      <w:r>
        <w:t>205SC.</w:t>
      </w:r>
      <w:r>
        <w:tab/>
        <w:t>Obligation of court where application before it to deal with contravention — FLA s. 70PC</w:t>
      </w:r>
      <w:r>
        <w:tab/>
      </w:r>
      <w:r>
        <w:fldChar w:fldCharType="begin"/>
      </w:r>
      <w:r>
        <w:instrText xml:space="preserve"> PAGEREF _Toc189743396 \h </w:instrText>
      </w:r>
      <w:r>
        <w:fldChar w:fldCharType="separate"/>
      </w:r>
      <w:r>
        <w:t>231</w:t>
      </w:r>
      <w:r>
        <w:fldChar w:fldCharType="end"/>
      </w:r>
    </w:p>
    <w:p>
      <w:pPr>
        <w:pStyle w:val="TOC8"/>
        <w:rPr>
          <w:rFonts w:asciiTheme="minorHAnsi" w:eastAsiaTheme="minorEastAsia" w:hAnsiTheme="minorHAnsi" w:cstheme="minorBidi"/>
          <w:szCs w:val="22"/>
        </w:rPr>
      </w:pPr>
      <w:r>
        <w:t>205SD.</w:t>
      </w:r>
      <w:r>
        <w:tab/>
        <w:t>Obligation of court where no application before it, but application before another court, to deal with contravention — FLA s. 70PD</w:t>
      </w:r>
      <w:r>
        <w:tab/>
      </w:r>
      <w:r>
        <w:fldChar w:fldCharType="begin"/>
      </w:r>
      <w:r>
        <w:instrText xml:space="preserve"> PAGEREF _Toc189743397 \h </w:instrText>
      </w:r>
      <w:r>
        <w:fldChar w:fldCharType="separate"/>
      </w:r>
      <w:r>
        <w:t>232</w:t>
      </w:r>
      <w:r>
        <w:fldChar w:fldCharType="end"/>
      </w:r>
    </w:p>
    <w:p>
      <w:pPr>
        <w:pStyle w:val="TOC8"/>
        <w:rPr>
          <w:rFonts w:asciiTheme="minorHAnsi" w:eastAsiaTheme="minorEastAsia" w:hAnsiTheme="minorHAnsi" w:cstheme="minorBidi"/>
          <w:szCs w:val="22"/>
        </w:rPr>
      </w:pPr>
      <w:r>
        <w:t>205SE.</w:t>
      </w:r>
      <w:r>
        <w:tab/>
        <w:t>Obligation of court where no application before any court to deal with contravention — FLA s. 70PE</w:t>
      </w:r>
      <w:r>
        <w:tab/>
      </w:r>
      <w:r>
        <w:fldChar w:fldCharType="begin"/>
      </w:r>
      <w:r>
        <w:instrText xml:space="preserve"> PAGEREF _Toc189743398 \h </w:instrText>
      </w:r>
      <w:r>
        <w:fldChar w:fldCharType="separate"/>
      </w:r>
      <w:r>
        <w:t>233</w:t>
      </w:r>
      <w:r>
        <w:fldChar w:fldCharType="end"/>
      </w:r>
    </w:p>
    <w:p>
      <w:pPr>
        <w:pStyle w:val="TOC8"/>
        <w:rPr>
          <w:rFonts w:asciiTheme="minorHAnsi" w:eastAsiaTheme="minorEastAsia" w:hAnsiTheme="minorHAnsi" w:cstheme="minorBidi"/>
          <w:szCs w:val="22"/>
        </w:rPr>
      </w:pPr>
      <w:r>
        <w:t>205SF.</w:t>
      </w:r>
      <w:r>
        <w:tab/>
        <w:t>Applications heard as required by section 205SC(2) or 205SD(3)(b) — FLA s. 70PF</w:t>
      </w:r>
      <w:r>
        <w:tab/>
      </w:r>
      <w:r>
        <w:fldChar w:fldCharType="begin"/>
      </w:r>
      <w:r>
        <w:instrText xml:space="preserve"> PAGEREF _Toc189743399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_Toc189743402 \h </w:instrText>
      </w:r>
      <w:r>
        <w:fldChar w:fldCharType="separate"/>
      </w:r>
      <w:r>
        <w:t>235</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_Toc189743403 \h </w:instrText>
      </w:r>
      <w:r>
        <w:fldChar w:fldCharType="separate"/>
      </w:r>
      <w:r>
        <w:t>236</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_Toc189743404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_Toc189743407 \h </w:instrText>
      </w:r>
      <w:r>
        <w:fldChar w:fldCharType="separate"/>
      </w:r>
      <w:r>
        <w:t>237</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_Toc189743408 \h </w:instrText>
      </w:r>
      <w:r>
        <w:fldChar w:fldCharType="separate"/>
      </w:r>
      <w:r>
        <w:t>238</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_Toc189743409 \h </w:instrText>
      </w:r>
      <w:r>
        <w:fldChar w:fldCharType="separate"/>
      </w:r>
      <w:r>
        <w:t>238</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_Toc189743410 \h </w:instrText>
      </w:r>
      <w:r>
        <w:fldChar w:fldCharType="separate"/>
      </w:r>
      <w:r>
        <w:t>239</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_Toc189743411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_Toc189743413 \h </w:instrText>
      </w:r>
      <w:r>
        <w:fldChar w:fldCharType="separate"/>
      </w:r>
      <w:r>
        <w:t>240</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_Toc189743414 \h </w:instrText>
      </w:r>
      <w:r>
        <w:fldChar w:fldCharType="separate"/>
      </w:r>
      <w:r>
        <w:t>241</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_Toc189743415 \h </w:instrText>
      </w:r>
      <w:r>
        <w:fldChar w:fldCharType="separate"/>
      </w:r>
      <w:r>
        <w:t>241</w:t>
      </w:r>
      <w:r>
        <w:fldChar w:fldCharType="end"/>
      </w:r>
    </w:p>
    <w:p>
      <w:pPr>
        <w:pStyle w:val="TOC8"/>
        <w:rPr>
          <w:rFonts w:asciiTheme="minorHAnsi" w:eastAsiaTheme="minorEastAsia" w:hAnsiTheme="minorHAnsi" w:cstheme="minorBidi"/>
          <w:szCs w:val="22"/>
        </w:rPr>
      </w:pPr>
      <w:r>
        <w:t>205ZD.</w:t>
      </w:r>
      <w:r>
        <w:tab/>
        <w:t>Matters to be taken into consideration in relation to maintenance — FLA s. 75</w:t>
      </w:r>
      <w:r>
        <w:tab/>
      </w:r>
      <w:r>
        <w:fldChar w:fldCharType="begin"/>
      </w:r>
      <w:r>
        <w:instrText xml:space="preserve"> PAGEREF _Toc189743416 \h </w:instrText>
      </w:r>
      <w:r>
        <w:fldChar w:fldCharType="separate"/>
      </w:r>
      <w:r>
        <w:t>244</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_Toc189743417 \h </w:instrText>
      </w:r>
      <w:r>
        <w:fldChar w:fldCharType="separate"/>
      </w:r>
      <w:r>
        <w:t>246</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_Toc189743418 \h </w:instrText>
      </w:r>
      <w:r>
        <w:fldChar w:fldCharType="separate"/>
      </w:r>
      <w:r>
        <w:t>247</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_Toc189743419 \h </w:instrText>
      </w:r>
      <w:r>
        <w:fldChar w:fldCharType="separate"/>
      </w:r>
      <w:r>
        <w:t>248</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_Toc189743420 \h </w:instrText>
      </w:r>
      <w:r>
        <w:fldChar w:fldCharType="separate"/>
      </w:r>
      <w:r>
        <w:t>255</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_Toc189743421 \h </w:instrText>
      </w:r>
      <w:r>
        <w:fldChar w:fldCharType="separate"/>
      </w:r>
      <w:r>
        <w:t>259</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_Toc189743422 \h </w:instrText>
      </w:r>
      <w:r>
        <w:fldChar w:fldCharType="separate"/>
      </w:r>
      <w:r>
        <w:t>260</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_Toc189743423 \h </w:instrText>
      </w:r>
      <w:r>
        <w:fldChar w:fldCharType="separate"/>
      </w:r>
      <w:r>
        <w:t>261</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_Toc189743424 \h </w:instrText>
      </w:r>
      <w:r>
        <w:fldChar w:fldCharType="separate"/>
      </w:r>
      <w:r>
        <w:t>262</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_Toc189743425 \h </w:instrText>
      </w:r>
      <w:r>
        <w:fldChar w:fldCharType="separate"/>
      </w:r>
      <w:r>
        <w:t>262</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_Toc189743426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205ZHG.</w:t>
      </w:r>
      <w:r>
        <w:tab/>
        <w:t>Notifying court about bankruptcy etc. — FLA s. 79H</w:t>
      </w:r>
      <w:r>
        <w:tab/>
      </w:r>
      <w:r>
        <w:fldChar w:fldCharType="begin"/>
      </w:r>
      <w:r>
        <w:instrText xml:space="preserve"> PAGEREF _Toc189743427 \h </w:instrText>
      </w:r>
      <w:r>
        <w:fldChar w:fldCharType="separate"/>
      </w:r>
      <w:r>
        <w:t>263</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_Toc189743428 \h </w:instrText>
      </w:r>
      <w:r>
        <w:fldChar w:fldCharType="separate"/>
      </w:r>
      <w:r>
        <w:t>265</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_Toc189743429 \h </w:instrText>
      </w:r>
      <w:r>
        <w:fldChar w:fldCharType="separate"/>
      </w:r>
      <w:r>
        <w:t>265</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_Toc189743430 \h </w:instrText>
      </w:r>
      <w:r>
        <w:fldChar w:fldCharType="separate"/>
      </w:r>
      <w:r>
        <w:t>267</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_Toc189743431 \h </w:instrText>
      </w:r>
      <w:r>
        <w:fldChar w:fldCharType="separate"/>
      </w:r>
      <w:r>
        <w:t>267</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_Toc189743432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Object of Division — FLA s. 90AA</w:t>
      </w:r>
      <w:r>
        <w:tab/>
      </w:r>
      <w:r>
        <w:fldChar w:fldCharType="begin"/>
      </w:r>
      <w:r>
        <w:instrText xml:space="preserve"> PAGEREF _Toc189743435 \h </w:instrText>
      </w:r>
      <w:r>
        <w:fldChar w:fldCharType="separate"/>
      </w:r>
      <w:r>
        <w:t>270</w:t>
      </w:r>
      <w:r>
        <w:fldChar w:fldCharType="end"/>
      </w:r>
    </w:p>
    <w:p>
      <w:pPr>
        <w:pStyle w:val="TOC8"/>
        <w:rPr>
          <w:rFonts w:asciiTheme="minorHAnsi" w:eastAsiaTheme="minorEastAsia" w:hAnsiTheme="minorHAnsi" w:cstheme="minorBidi"/>
          <w:szCs w:val="22"/>
        </w:rPr>
      </w:pPr>
      <w:r>
        <w:t>205ZLB.</w:t>
      </w:r>
      <w:r>
        <w:tab/>
        <w:t>Term used: third party — FLA s. 90AB</w:t>
      </w:r>
      <w:r>
        <w:tab/>
      </w:r>
      <w:r>
        <w:fldChar w:fldCharType="begin"/>
      </w:r>
      <w:r>
        <w:instrText xml:space="preserve"> PAGEREF _Toc189743436 \h </w:instrText>
      </w:r>
      <w:r>
        <w:fldChar w:fldCharType="separate"/>
      </w:r>
      <w:r>
        <w:t>271</w:t>
      </w:r>
      <w:r>
        <w:fldChar w:fldCharType="end"/>
      </w:r>
    </w:p>
    <w:p>
      <w:pPr>
        <w:pStyle w:val="TOC8"/>
        <w:rPr>
          <w:rFonts w:asciiTheme="minorHAnsi" w:eastAsiaTheme="minorEastAsia" w:hAnsiTheme="minorHAnsi" w:cstheme="minorBidi"/>
          <w:szCs w:val="22"/>
        </w:rPr>
      </w:pPr>
      <w:r>
        <w:t>205ZLC.</w:t>
      </w:r>
      <w:r>
        <w:tab/>
        <w:t>This Division overrides other laws, trust deeds, etc. — FLA s. 90AC</w:t>
      </w:r>
      <w:r>
        <w:tab/>
      </w:r>
      <w:r>
        <w:fldChar w:fldCharType="begin"/>
      </w:r>
      <w:r>
        <w:instrText xml:space="preserve"> PAGEREF _Toc189743437 \h </w:instrText>
      </w:r>
      <w:r>
        <w:fldChar w:fldCharType="separate"/>
      </w:r>
      <w:r>
        <w:t>271</w:t>
      </w:r>
      <w:r>
        <w:fldChar w:fldCharType="end"/>
      </w:r>
    </w:p>
    <w:p>
      <w:pPr>
        <w:pStyle w:val="TOC8"/>
        <w:rPr>
          <w:rFonts w:asciiTheme="minorHAnsi" w:eastAsiaTheme="minorEastAsia" w:hAnsiTheme="minorHAnsi" w:cstheme="minorBidi"/>
          <w:szCs w:val="22"/>
        </w:rPr>
      </w:pPr>
      <w:r>
        <w:t>205ZLD.</w:t>
      </w:r>
      <w:r>
        <w:tab/>
        <w:t xml:space="preserve">Extended meaning of </w:t>
      </w:r>
      <w:r>
        <w:rPr>
          <w:i/>
        </w:rPr>
        <w:t>property</w:t>
      </w:r>
      <w:r>
        <w:t> — FLA s. 90AD</w:t>
      </w:r>
      <w:r>
        <w:tab/>
      </w:r>
      <w:r>
        <w:fldChar w:fldCharType="begin"/>
      </w:r>
      <w:r>
        <w:instrText xml:space="preserve"> PAGEREF _Toc189743438 \h </w:instrText>
      </w:r>
      <w:r>
        <w:fldChar w:fldCharType="separate"/>
      </w:r>
      <w:r>
        <w:t>271</w:t>
      </w:r>
      <w:r>
        <w:fldChar w:fldCharType="end"/>
      </w:r>
    </w:p>
    <w:p>
      <w:pPr>
        <w:pStyle w:val="TOC8"/>
        <w:rPr>
          <w:rFonts w:asciiTheme="minorHAnsi" w:eastAsiaTheme="minorEastAsia" w:hAnsiTheme="minorHAnsi" w:cstheme="minorBidi"/>
          <w:szCs w:val="22"/>
        </w:rPr>
      </w:pPr>
      <w:r>
        <w:t>205ZLE.</w:t>
      </w:r>
      <w:r>
        <w:tab/>
        <w:t>Other provisions of this Act not affected by this Division — FLA s. 90ADA</w:t>
      </w:r>
      <w:r>
        <w:tab/>
      </w:r>
      <w:r>
        <w:fldChar w:fldCharType="begin"/>
      </w:r>
      <w:r>
        <w:instrText xml:space="preserve"> PAGEREF _Toc189743439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Court may make an order under section 205ZG binding a third party — FLA s. 90AE</w:t>
      </w:r>
      <w:r>
        <w:tab/>
      </w:r>
      <w:r>
        <w:fldChar w:fldCharType="begin"/>
      </w:r>
      <w:r>
        <w:instrText xml:space="preserve"> PAGEREF _Toc189743441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Court may make an order or injunction under section 235A binding a third party — FLA s. 90AF</w:t>
      </w:r>
      <w:r>
        <w:tab/>
      </w:r>
      <w:r>
        <w:fldChar w:fldCharType="begin"/>
      </w:r>
      <w:r>
        <w:instrText xml:space="preserve"> PAGEREF _Toc189743443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Orders and injunctions binding on trustees — FLA s. 90AG</w:t>
      </w:r>
      <w:r>
        <w:tab/>
      </w:r>
      <w:r>
        <w:fldChar w:fldCharType="begin"/>
      </w:r>
      <w:r>
        <w:instrText xml:space="preserve"> PAGEREF _Toc189743445 \h </w:instrText>
      </w:r>
      <w:r>
        <w:fldChar w:fldCharType="separate"/>
      </w:r>
      <w:r>
        <w:t>276</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_Toc189743446 \h </w:instrText>
      </w:r>
      <w:r>
        <w:fldChar w:fldCharType="separate"/>
      </w:r>
      <w:r>
        <w:t>276</w:t>
      </w:r>
      <w:r>
        <w:fldChar w:fldCharType="end"/>
      </w:r>
    </w:p>
    <w:p>
      <w:pPr>
        <w:pStyle w:val="TOC8"/>
        <w:rPr>
          <w:rFonts w:asciiTheme="minorHAnsi" w:eastAsiaTheme="minorEastAsia" w:hAnsiTheme="minorHAnsi" w:cstheme="minorBidi"/>
          <w:szCs w:val="22"/>
        </w:rPr>
      </w:pPr>
      <w:r>
        <w:t>205ZLJ.</w:t>
      </w:r>
      <w:r>
        <w:tab/>
        <w:t>Service of documents on third party — FLA s. 90AI</w:t>
      </w:r>
      <w:r>
        <w:tab/>
      </w:r>
      <w:r>
        <w:fldChar w:fldCharType="begin"/>
      </w:r>
      <w:r>
        <w:instrText xml:space="preserve"> PAGEREF _Toc189743447 \h </w:instrText>
      </w:r>
      <w:r>
        <w:fldChar w:fldCharType="separate"/>
      </w:r>
      <w:r>
        <w:t>276</w:t>
      </w:r>
      <w:r>
        <w:fldChar w:fldCharType="end"/>
      </w:r>
    </w:p>
    <w:p>
      <w:pPr>
        <w:pStyle w:val="TOC8"/>
        <w:rPr>
          <w:rFonts w:asciiTheme="minorHAnsi" w:eastAsiaTheme="minorEastAsia" w:hAnsiTheme="minorHAnsi" w:cstheme="minorBidi"/>
          <w:szCs w:val="22"/>
        </w:rPr>
      </w:pPr>
      <w:r>
        <w:t>205ZLK.</w:t>
      </w:r>
      <w:r>
        <w:tab/>
        <w:t>Expenses of third party — FLA s. 90AJ</w:t>
      </w:r>
      <w:r>
        <w:tab/>
      </w:r>
      <w:r>
        <w:fldChar w:fldCharType="begin"/>
      </w:r>
      <w:r>
        <w:instrText xml:space="preserve"> PAGEREF _Toc189743448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_Toc189743450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205ZN.</w:t>
      </w:r>
      <w:r>
        <w:tab/>
        <w:t>Financial agreements before beginning de facto relationship — FLA s. 90B</w:t>
      </w:r>
      <w:r>
        <w:tab/>
      </w:r>
      <w:r>
        <w:fldChar w:fldCharType="begin"/>
      </w:r>
      <w:r>
        <w:instrText xml:space="preserve"> PAGEREF _Toc189743451 \h </w:instrText>
      </w:r>
      <w:r>
        <w:fldChar w:fldCharType="separate"/>
      </w:r>
      <w:r>
        <w:t>278</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_Toc189743452 \h </w:instrText>
      </w:r>
      <w:r>
        <w:fldChar w:fldCharType="separate"/>
      </w:r>
      <w:r>
        <w:t>279</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_Toc189743453 \h </w:instrText>
      </w:r>
      <w:r>
        <w:fldChar w:fldCharType="separate"/>
      </w:r>
      <w:r>
        <w:t>280</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_Toc189743454 \h </w:instrText>
      </w:r>
      <w:r>
        <w:fldChar w:fldCharType="separate"/>
      </w:r>
      <w:r>
        <w:t>281</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_Toc189743455 \h </w:instrText>
      </w:r>
      <w:r>
        <w:fldChar w:fldCharType="separate"/>
      </w:r>
      <w:r>
        <w:t>281</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_Toc189743456 \h </w:instrText>
      </w:r>
      <w:r>
        <w:fldChar w:fldCharType="separate"/>
      </w:r>
      <w:r>
        <w:t>283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_Toc189743457 \h </w:instrText>
      </w:r>
      <w:r>
        <w:fldChar w:fldCharType="separate"/>
      </w:r>
      <w:r>
        <w:t>283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_Toc189743458 \h </w:instrText>
      </w:r>
      <w:r>
        <w:fldChar w:fldCharType="separate"/>
      </w:r>
      <w:r>
        <w:t>284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_Toc189743459 \h </w:instrText>
      </w:r>
      <w:r>
        <w:fldChar w:fldCharType="separate"/>
      </w:r>
      <w:r>
        <w:t>285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_Toc189743460 \h </w:instrText>
      </w:r>
      <w:r>
        <w:fldChar w:fldCharType="separate"/>
      </w:r>
      <w:r>
        <w:t>285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_Toc189743461 \h </w:instrText>
      </w:r>
      <w:r>
        <w:fldChar w:fldCharType="separate"/>
      </w:r>
      <w:r>
        <w:t>286</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_Toc189743462 \h </w:instrText>
      </w:r>
      <w:r>
        <w:fldChar w:fldCharType="separate"/>
      </w:r>
      <w:r>
        <w:t>290</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_Toc189743463 \h </w:instrText>
      </w:r>
      <w:r>
        <w:fldChar w:fldCharType="separate"/>
      </w:r>
      <w:r>
        <w:t>291</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_Toc189743464 \h </w:instrText>
      </w:r>
      <w:r>
        <w:fldChar w:fldCharType="separate"/>
      </w:r>
      <w:r>
        <w:t>292</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_Toc189743465 \h </w:instrText>
      </w:r>
      <w:r>
        <w:fldChar w:fldCharType="separate"/>
      </w:r>
      <w:r>
        <w:t>293</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_Toc189743466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_Toc189743468 \h </w:instrText>
      </w:r>
      <w:r>
        <w:fldChar w:fldCharType="separate"/>
      </w:r>
      <w:r>
        <w:t>295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_Toc189743469 \h </w:instrText>
      </w:r>
      <w:r>
        <w:fldChar w:fldCharType="separate"/>
      </w:r>
      <w:r>
        <w:t>295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_Toc189743470 \h </w:instrText>
      </w:r>
      <w:r>
        <w:fldChar w:fldCharType="separate"/>
      </w:r>
      <w:r>
        <w:t>296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_Toc189743471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_Toc189743473 \h </w:instrText>
      </w:r>
      <w:r>
        <w:fldChar w:fldCharType="separate"/>
      </w:r>
      <w:r>
        <w:t>298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_Toc189743474 \h </w:instrText>
      </w:r>
      <w:r>
        <w:fldChar w:fldCharType="separate"/>
      </w:r>
      <w:r>
        <w:t>298</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_Toc189743475 \h </w:instrText>
      </w:r>
      <w:r>
        <w:fldChar w:fldCharType="separate"/>
      </w:r>
      <w:r>
        <w:t>298</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_Toc189743476 \h </w:instrText>
      </w:r>
      <w:r>
        <w:fldChar w:fldCharType="separate"/>
      </w:r>
      <w:r>
        <w:t>301</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_Toc189743477 \h </w:instrText>
      </w:r>
      <w:r>
        <w:fldChar w:fldCharType="separate"/>
      </w:r>
      <w:r>
        <w:t>301</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_Toc189743478 \h </w:instrText>
      </w:r>
      <w:r>
        <w:fldChar w:fldCharType="separate"/>
      </w:r>
      <w:r>
        <w:t>302</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_Toc189743479 \h </w:instrText>
      </w:r>
      <w:r>
        <w:fldChar w:fldCharType="separate"/>
      </w:r>
      <w:r>
        <w:t>303</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_Toc189743480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1A — Overarching purpose of the family law practice and procedure provisions</w:t>
      </w:r>
    </w:p>
    <w:p>
      <w:pPr>
        <w:pStyle w:val="TOC8"/>
        <w:rPr>
          <w:rFonts w:asciiTheme="minorHAnsi" w:eastAsiaTheme="minorEastAsia" w:hAnsiTheme="minorHAnsi" w:cstheme="minorBidi"/>
          <w:szCs w:val="22"/>
        </w:rPr>
      </w:pPr>
      <w:r>
        <w:t>211C.</w:t>
      </w:r>
      <w:r>
        <w:tab/>
        <w:t>Overarching purpose of the family law practice and procedure provisions — FLA s. 95</w:t>
      </w:r>
      <w:r>
        <w:tab/>
      </w:r>
      <w:r>
        <w:fldChar w:fldCharType="begin"/>
      </w:r>
      <w:r>
        <w:instrText xml:space="preserve"> PAGEREF _Toc189743483 \h </w:instrText>
      </w:r>
      <w:r>
        <w:fldChar w:fldCharType="separate"/>
      </w:r>
      <w:r>
        <w:t>304</w:t>
      </w:r>
      <w:r>
        <w:fldChar w:fldCharType="end"/>
      </w:r>
    </w:p>
    <w:p>
      <w:pPr>
        <w:pStyle w:val="TOC8"/>
        <w:rPr>
          <w:rFonts w:asciiTheme="minorHAnsi" w:eastAsiaTheme="minorEastAsia" w:hAnsiTheme="minorHAnsi" w:cstheme="minorBidi"/>
          <w:szCs w:val="22"/>
        </w:rPr>
      </w:pPr>
      <w:r>
        <w:t>211D.</w:t>
      </w:r>
      <w:r>
        <w:tab/>
        <w:t>Duty to act consistently with overarching purpose — FLA s. 96</w:t>
      </w:r>
      <w:r>
        <w:tab/>
      </w:r>
      <w:r>
        <w:fldChar w:fldCharType="begin"/>
      </w:r>
      <w:r>
        <w:instrText xml:space="preserve"> PAGEREF _Toc189743484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_Toc189743486 \h </w:instrText>
      </w:r>
      <w:r>
        <w:fldChar w:fldCharType="separate"/>
      </w:r>
      <w:r>
        <w:t>306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_Toc189743487 \h </w:instrText>
      </w:r>
      <w:r>
        <w:fldChar w:fldCharType="separate"/>
      </w:r>
      <w:r>
        <w:t>307</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_Toc189743488 \h </w:instrText>
      </w:r>
      <w:r>
        <w:fldChar w:fldCharType="separate"/>
      </w:r>
      <w:r>
        <w:t>307</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_Toc189743489 \h </w:instrText>
      </w:r>
      <w:r>
        <w:fldChar w:fldCharType="separate"/>
      </w:r>
      <w:r>
        <w:t>308</w:t>
      </w:r>
      <w:r>
        <w:fldChar w:fldCharType="end"/>
      </w:r>
    </w:p>
    <w:p>
      <w:pPr>
        <w:pStyle w:val="TOC8"/>
        <w:rPr>
          <w:rFonts w:asciiTheme="minorHAnsi" w:eastAsiaTheme="minorEastAsia" w:hAnsiTheme="minorHAnsi" w:cstheme="minorBidi"/>
          <w:szCs w:val="22"/>
        </w:rPr>
      </w:pPr>
      <w:r>
        <w:t>214C.</w:t>
      </w:r>
      <w:r>
        <w:tab/>
        <w:t>Swearing or affirming of affidavits</w:t>
      </w:r>
      <w:r>
        <w:tab/>
      </w:r>
      <w:r>
        <w:fldChar w:fldCharType="begin"/>
      </w:r>
      <w:r>
        <w:instrText xml:space="preserve"> PAGEREF _Toc189743490 \h </w:instrText>
      </w:r>
      <w:r>
        <w:fldChar w:fldCharType="separate"/>
      </w:r>
      <w:r>
        <w:t>309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_Toc189743491 \h </w:instrText>
      </w:r>
      <w:r>
        <w:fldChar w:fldCharType="separate"/>
      </w:r>
      <w:r>
        <w:t>310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_Toc189743492 \h </w:instrText>
      </w:r>
      <w:r>
        <w:fldChar w:fldCharType="separate"/>
      </w:r>
      <w:r>
        <w:t>310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_Toc189743493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218</w:t>
      </w:r>
      <w:r>
        <w:rPr>
          <w:snapToGrid w:val="0"/>
        </w:rPr>
        <w:t>.</w:t>
      </w:r>
      <w:r>
        <w:rPr>
          <w:snapToGrid w:val="0"/>
        </w:rPr>
        <w:tab/>
        <w:t>Leave for child to be examined medically etc. — FLA s. 102A(3)</w:t>
      </w:r>
      <w:r>
        <w:tab/>
      </w:r>
      <w:r>
        <w:fldChar w:fldCharType="begin"/>
      </w:r>
      <w:r>
        <w:instrText xml:space="preserve"> PAGEREF _Toc189743494 \h </w:instrText>
      </w:r>
      <w:r>
        <w:fldChar w:fldCharType="separate"/>
      </w:r>
      <w:r>
        <w:t>311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_Toc189743495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_Toc189743497 \h </w:instrText>
      </w:r>
      <w:r>
        <w:fldChar w:fldCharType="separate"/>
      </w:r>
      <w:r>
        <w:t>312</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_Toc189743498 \h </w:instrText>
      </w:r>
      <w:r>
        <w:fldChar w:fldCharType="separate"/>
      </w:r>
      <w:r>
        <w:t>313</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_Toc189743499 \h </w:instrText>
      </w:r>
      <w:r>
        <w:fldChar w:fldCharType="separate"/>
      </w:r>
      <w:r>
        <w:t>314</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_Toc189743500 \h </w:instrText>
      </w:r>
      <w:r>
        <w:fldChar w:fldCharType="separate"/>
      </w:r>
      <w:r>
        <w:t>314</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_Toc189743501 \h </w:instrText>
      </w:r>
      <w:r>
        <w:fldChar w:fldCharType="separate"/>
      </w:r>
      <w:r>
        <w:t>315</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_Toc189743502 \h </w:instrText>
      </w:r>
      <w:r>
        <w:fldChar w:fldCharType="separate"/>
      </w:r>
      <w:r>
        <w:t>317</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_Toc189743503 \h </w:instrText>
      </w:r>
      <w:r>
        <w:fldChar w:fldCharType="separate"/>
      </w:r>
      <w:r>
        <w:t>318</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_Toc189743504 \h </w:instrText>
      </w:r>
      <w:r>
        <w:fldChar w:fldCharType="separate"/>
      </w:r>
      <w:r>
        <w:t>318</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_Toc189743505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_Toc189743507 \h </w:instrText>
      </w:r>
      <w:r>
        <w:fldChar w:fldCharType="separate"/>
      </w:r>
      <w:r>
        <w:t>319</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_Toc189743508 \h </w:instrText>
      </w:r>
      <w:r>
        <w:fldChar w:fldCharType="separate"/>
      </w:r>
      <w:r>
        <w:t>320</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_Toc189743509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8A — Suppression and non</w:t>
      </w:r>
      <w:r>
        <w:noBreakHyphen/>
        <w:t>publication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219AM.</w:t>
      </w:r>
      <w:r>
        <w:tab/>
        <w:t>Terms used — FLA s. 102P</w:t>
      </w:r>
      <w:r>
        <w:tab/>
      </w:r>
      <w:r>
        <w:fldChar w:fldCharType="begin"/>
      </w:r>
      <w:r>
        <w:instrText xml:space="preserve"> PAGEREF _Toc189743512 \h </w:instrText>
      </w:r>
      <w:r>
        <w:fldChar w:fldCharType="separate"/>
      </w:r>
      <w:r>
        <w:t>322</w:t>
      </w:r>
      <w:r>
        <w:fldChar w:fldCharType="end"/>
      </w:r>
    </w:p>
    <w:p>
      <w:pPr>
        <w:pStyle w:val="TOC8"/>
        <w:rPr>
          <w:rFonts w:asciiTheme="minorHAnsi" w:eastAsiaTheme="minorEastAsia" w:hAnsiTheme="minorHAnsi" w:cstheme="minorBidi"/>
          <w:szCs w:val="22"/>
        </w:rPr>
      </w:pPr>
      <w:r>
        <w:t>219AN.</w:t>
      </w:r>
      <w:r>
        <w:tab/>
        <w:t>Powers of a court not affected — FLA s. 102PA</w:t>
      </w:r>
      <w:r>
        <w:tab/>
      </w:r>
      <w:r>
        <w:fldChar w:fldCharType="begin"/>
      </w:r>
      <w:r>
        <w:instrText xml:space="preserve"> PAGEREF _Toc189743513 \h </w:instrText>
      </w:r>
      <w:r>
        <w:fldChar w:fldCharType="separate"/>
      </w:r>
      <w:r>
        <w:t>323</w:t>
      </w:r>
      <w:r>
        <w:fldChar w:fldCharType="end"/>
      </w:r>
    </w:p>
    <w:p>
      <w:pPr>
        <w:pStyle w:val="TOC8"/>
        <w:rPr>
          <w:rFonts w:asciiTheme="minorHAnsi" w:eastAsiaTheme="minorEastAsia" w:hAnsiTheme="minorHAnsi" w:cstheme="minorBidi"/>
          <w:szCs w:val="22"/>
        </w:rPr>
      </w:pPr>
      <w:r>
        <w:t>219AO.</w:t>
      </w:r>
      <w:r>
        <w:tab/>
        <w:t>Other laws not affected — FLA s. 102PB</w:t>
      </w:r>
      <w:r>
        <w:tab/>
      </w:r>
      <w:r>
        <w:fldChar w:fldCharType="begin"/>
      </w:r>
      <w:r>
        <w:instrText xml:space="preserve"> PAGEREF _Toc189743514 \h </w:instrText>
      </w:r>
      <w:r>
        <w:fldChar w:fldCharType="separate"/>
      </w:r>
      <w:r>
        <w:t>323</w:t>
      </w:r>
      <w:r>
        <w:fldChar w:fldCharType="end"/>
      </w:r>
    </w:p>
    <w:p>
      <w:pPr>
        <w:pStyle w:val="TOC8"/>
        <w:rPr>
          <w:rFonts w:asciiTheme="minorHAnsi" w:eastAsiaTheme="minorEastAsia" w:hAnsiTheme="minorHAnsi" w:cstheme="minorBidi"/>
          <w:szCs w:val="22"/>
        </w:rPr>
      </w:pPr>
      <w:r>
        <w:t>219AP.</w:t>
      </w:r>
      <w:r>
        <w:tab/>
        <w:t>Relationship with Part 11A — FLA s. 102PC</w:t>
      </w:r>
      <w:r>
        <w:tab/>
      </w:r>
      <w:r>
        <w:fldChar w:fldCharType="begin"/>
      </w:r>
      <w:r>
        <w:instrText xml:space="preserve"> PAGEREF _Toc189743515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Suppression and non</w:t>
      </w:r>
      <w:r>
        <w:noBreakHyphen/>
        <w:t>publication orders</w:t>
      </w:r>
    </w:p>
    <w:p>
      <w:pPr>
        <w:pStyle w:val="TOC8"/>
        <w:rPr>
          <w:rFonts w:asciiTheme="minorHAnsi" w:eastAsiaTheme="minorEastAsia" w:hAnsiTheme="minorHAnsi" w:cstheme="minorBidi"/>
          <w:szCs w:val="22"/>
        </w:rPr>
      </w:pPr>
      <w:r>
        <w:t>219AQ.</w:t>
      </w:r>
      <w:r>
        <w:tab/>
        <w:t>Safeguarding public interest in open justice — FLA s. 102PD</w:t>
      </w:r>
      <w:r>
        <w:tab/>
      </w:r>
      <w:r>
        <w:fldChar w:fldCharType="begin"/>
      </w:r>
      <w:r>
        <w:instrText xml:space="preserve"> PAGEREF _Toc189743517 \h </w:instrText>
      </w:r>
      <w:r>
        <w:fldChar w:fldCharType="separate"/>
      </w:r>
      <w:r>
        <w:t>323</w:t>
      </w:r>
      <w:r>
        <w:fldChar w:fldCharType="end"/>
      </w:r>
    </w:p>
    <w:p>
      <w:pPr>
        <w:pStyle w:val="TOC8"/>
        <w:rPr>
          <w:rFonts w:asciiTheme="minorHAnsi" w:eastAsiaTheme="minorEastAsia" w:hAnsiTheme="minorHAnsi" w:cstheme="minorBidi"/>
          <w:szCs w:val="22"/>
        </w:rPr>
      </w:pPr>
      <w:r>
        <w:t>219AR.</w:t>
      </w:r>
      <w:r>
        <w:tab/>
        <w:t>Power to make orders — FLA s. 102PE</w:t>
      </w:r>
      <w:r>
        <w:tab/>
      </w:r>
      <w:r>
        <w:fldChar w:fldCharType="begin"/>
      </w:r>
      <w:r>
        <w:instrText xml:space="preserve"> PAGEREF _Toc189743518 \h </w:instrText>
      </w:r>
      <w:r>
        <w:fldChar w:fldCharType="separate"/>
      </w:r>
      <w:r>
        <w:t>323</w:t>
      </w:r>
      <w:r>
        <w:fldChar w:fldCharType="end"/>
      </w:r>
    </w:p>
    <w:p>
      <w:pPr>
        <w:pStyle w:val="TOC8"/>
        <w:rPr>
          <w:rFonts w:asciiTheme="minorHAnsi" w:eastAsiaTheme="minorEastAsia" w:hAnsiTheme="minorHAnsi" w:cstheme="minorBidi"/>
          <w:szCs w:val="22"/>
        </w:rPr>
      </w:pPr>
      <w:r>
        <w:t>219AS.</w:t>
      </w:r>
      <w:r>
        <w:tab/>
        <w:t>Grounds for making an order — FLA s. 102PF</w:t>
      </w:r>
      <w:r>
        <w:tab/>
      </w:r>
      <w:r>
        <w:fldChar w:fldCharType="begin"/>
      </w:r>
      <w:r>
        <w:instrText xml:space="preserve"> PAGEREF _Toc189743519 \h </w:instrText>
      </w:r>
      <w:r>
        <w:fldChar w:fldCharType="separate"/>
      </w:r>
      <w:r>
        <w:t>324</w:t>
      </w:r>
      <w:r>
        <w:fldChar w:fldCharType="end"/>
      </w:r>
    </w:p>
    <w:p>
      <w:pPr>
        <w:pStyle w:val="TOC8"/>
        <w:rPr>
          <w:rFonts w:asciiTheme="minorHAnsi" w:eastAsiaTheme="minorEastAsia" w:hAnsiTheme="minorHAnsi" w:cstheme="minorBidi"/>
          <w:szCs w:val="22"/>
        </w:rPr>
      </w:pPr>
      <w:r>
        <w:t>219AT.</w:t>
      </w:r>
      <w:r>
        <w:tab/>
        <w:t>Procedure for making an order — FLA s. 102PG</w:t>
      </w:r>
      <w:r>
        <w:tab/>
      </w:r>
      <w:r>
        <w:fldChar w:fldCharType="begin"/>
      </w:r>
      <w:r>
        <w:instrText xml:space="preserve"> PAGEREF _Toc189743520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219AU.</w:t>
      </w:r>
      <w:r>
        <w:tab/>
        <w:t>Interim orders — FLA s. 102PH</w:t>
      </w:r>
      <w:r>
        <w:tab/>
      </w:r>
      <w:r>
        <w:fldChar w:fldCharType="begin"/>
      </w:r>
      <w:r>
        <w:instrText xml:space="preserve"> PAGEREF _Toc189743521 \h </w:instrText>
      </w:r>
      <w:r>
        <w:fldChar w:fldCharType="separate"/>
      </w:r>
      <w:r>
        <w:t>326</w:t>
      </w:r>
      <w:r>
        <w:fldChar w:fldCharType="end"/>
      </w:r>
    </w:p>
    <w:p>
      <w:pPr>
        <w:pStyle w:val="TOC8"/>
        <w:rPr>
          <w:rFonts w:asciiTheme="minorHAnsi" w:eastAsiaTheme="minorEastAsia" w:hAnsiTheme="minorHAnsi" w:cstheme="minorBidi"/>
          <w:szCs w:val="22"/>
        </w:rPr>
      </w:pPr>
      <w:r>
        <w:t>219AV.</w:t>
      </w:r>
      <w:r>
        <w:tab/>
        <w:t>Duration of orders — FLA s. 102PI</w:t>
      </w:r>
      <w:r>
        <w:tab/>
      </w:r>
      <w:r>
        <w:fldChar w:fldCharType="begin"/>
      </w:r>
      <w:r>
        <w:instrText xml:space="preserve"> PAGEREF _Toc189743522 \h </w:instrText>
      </w:r>
      <w:r>
        <w:fldChar w:fldCharType="separate"/>
      </w:r>
      <w:r>
        <w:t>326</w:t>
      </w:r>
      <w:r>
        <w:fldChar w:fldCharType="end"/>
      </w:r>
    </w:p>
    <w:p>
      <w:pPr>
        <w:pStyle w:val="TOC8"/>
        <w:rPr>
          <w:rFonts w:asciiTheme="minorHAnsi" w:eastAsiaTheme="minorEastAsia" w:hAnsiTheme="minorHAnsi" w:cstheme="minorBidi"/>
          <w:szCs w:val="22"/>
        </w:rPr>
      </w:pPr>
      <w:r>
        <w:t>219AW.</w:t>
      </w:r>
      <w:r>
        <w:tab/>
        <w:t>Exception for court officials — FLA s. 102PJ</w:t>
      </w:r>
      <w:r>
        <w:tab/>
      </w:r>
      <w:r>
        <w:fldChar w:fldCharType="begin"/>
      </w:r>
      <w:r>
        <w:instrText xml:space="preserve"> PAGEREF _Toc189743523 \h </w:instrText>
      </w:r>
      <w:r>
        <w:fldChar w:fldCharType="separate"/>
      </w:r>
      <w:r>
        <w:t>326</w:t>
      </w:r>
      <w:r>
        <w:fldChar w:fldCharType="end"/>
      </w:r>
    </w:p>
    <w:p>
      <w:pPr>
        <w:pStyle w:val="TOC8"/>
        <w:rPr>
          <w:rFonts w:asciiTheme="minorHAnsi" w:eastAsiaTheme="minorEastAsia" w:hAnsiTheme="minorHAnsi" w:cstheme="minorBidi"/>
          <w:szCs w:val="22"/>
        </w:rPr>
      </w:pPr>
      <w:r>
        <w:t>219AX.</w:t>
      </w:r>
      <w:r>
        <w:tab/>
        <w:t>Contravention of order — FLA s. 102PK</w:t>
      </w:r>
      <w:r>
        <w:tab/>
      </w:r>
      <w:r>
        <w:fldChar w:fldCharType="begin"/>
      </w:r>
      <w:r>
        <w:instrText xml:space="preserve"> PAGEREF _Toc189743524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8B — Decrees and orders relating to unmeritorious, harmful, and vexatious proceedings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219AY.</w:t>
      </w:r>
      <w:r>
        <w:tab/>
        <w:t>Terms used — FLA s. 102Q</w:t>
      </w:r>
      <w:r>
        <w:tab/>
      </w:r>
      <w:r>
        <w:fldChar w:fldCharType="begin"/>
      </w:r>
      <w:r>
        <w:instrText xml:space="preserve"> PAGEREF _Toc189743527 \h </w:instrText>
      </w:r>
      <w:r>
        <w:fldChar w:fldCharType="separate"/>
      </w:r>
      <w:r>
        <w:t>328</w:t>
      </w:r>
      <w:r>
        <w:fldChar w:fldCharType="end"/>
      </w:r>
    </w:p>
    <w:p>
      <w:pPr>
        <w:pStyle w:val="TOC8"/>
        <w:rPr>
          <w:rFonts w:asciiTheme="minorHAnsi" w:eastAsiaTheme="minorEastAsia" w:hAnsiTheme="minorHAnsi" w:cstheme="minorBidi"/>
          <w:szCs w:val="22"/>
        </w:rPr>
      </w:pPr>
      <w:r>
        <w:t>219AZ.</w:t>
      </w:r>
      <w:r>
        <w:tab/>
        <w:t>Interactions between provisions and with other powers of court — FLA s. 102QA</w:t>
      </w:r>
      <w:r>
        <w:tab/>
      </w:r>
      <w:r>
        <w:fldChar w:fldCharType="begin"/>
      </w:r>
      <w:r>
        <w:instrText xml:space="preserve"> PAGEREF _Toc189743528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2 — Summary decrees</w:t>
      </w:r>
    </w:p>
    <w:p>
      <w:pPr>
        <w:pStyle w:val="TOC8"/>
        <w:rPr>
          <w:rFonts w:asciiTheme="minorHAnsi" w:eastAsiaTheme="minorEastAsia" w:hAnsiTheme="minorHAnsi" w:cstheme="minorBidi"/>
          <w:szCs w:val="22"/>
        </w:rPr>
      </w:pPr>
      <w:r>
        <w:t>219AZA.</w:t>
      </w:r>
      <w:r>
        <w:tab/>
        <w:t>Summary decrees — FLA s. 102QAB</w:t>
      </w:r>
      <w:r>
        <w:tab/>
      </w:r>
      <w:r>
        <w:fldChar w:fldCharType="begin"/>
      </w:r>
      <w:r>
        <w:instrText xml:space="preserve"> PAGEREF _Toc189743530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Harmful proceedings orders</w:t>
      </w:r>
    </w:p>
    <w:p>
      <w:pPr>
        <w:pStyle w:val="TOC6"/>
        <w:tabs>
          <w:tab w:val="right" w:leader="dot" w:pos="7077"/>
        </w:tabs>
        <w:rPr>
          <w:rFonts w:asciiTheme="minorHAnsi" w:eastAsiaTheme="minorEastAsia" w:hAnsiTheme="minorHAnsi" w:cstheme="minorBidi"/>
          <w:b w:val="0"/>
          <w:sz w:val="22"/>
          <w:szCs w:val="22"/>
        </w:rPr>
      </w:pPr>
      <w:r>
        <w:t>Subdivision 1 — Making harmful proceedings orders</w:t>
      </w:r>
    </w:p>
    <w:p>
      <w:pPr>
        <w:pStyle w:val="TOC8"/>
        <w:rPr>
          <w:rFonts w:asciiTheme="minorHAnsi" w:eastAsiaTheme="minorEastAsia" w:hAnsiTheme="minorHAnsi" w:cstheme="minorBidi"/>
          <w:szCs w:val="22"/>
        </w:rPr>
      </w:pPr>
      <w:r>
        <w:t>219AZB.</w:t>
      </w:r>
      <w:r>
        <w:tab/>
        <w:t>Making harmful proceedings orders — FLA s. 102QAC</w:t>
      </w:r>
      <w:r>
        <w:tab/>
      </w:r>
      <w:r>
        <w:fldChar w:fldCharType="begin"/>
      </w:r>
      <w:r>
        <w:instrText xml:space="preserve"> PAGEREF _Toc189743533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Consequences of harmful proceedings orders</w:t>
      </w:r>
    </w:p>
    <w:p>
      <w:pPr>
        <w:pStyle w:val="TOC8"/>
        <w:rPr>
          <w:rFonts w:asciiTheme="minorHAnsi" w:eastAsiaTheme="minorEastAsia" w:hAnsiTheme="minorHAnsi" w:cstheme="minorBidi"/>
          <w:szCs w:val="22"/>
        </w:rPr>
      </w:pPr>
      <w:r>
        <w:t>219AZC.</w:t>
      </w:r>
      <w:r>
        <w:tab/>
        <w:t>Proceedings in contravention of harmful proceedings order — FLA s. 102QAD</w:t>
      </w:r>
      <w:r>
        <w:tab/>
      </w:r>
      <w:r>
        <w:fldChar w:fldCharType="begin"/>
      </w:r>
      <w:r>
        <w:instrText xml:space="preserve"> PAGEREF _Toc189743535 \h </w:instrText>
      </w:r>
      <w:r>
        <w:fldChar w:fldCharType="separate"/>
      </w:r>
      <w:r>
        <w:t>333</w:t>
      </w:r>
      <w:r>
        <w:fldChar w:fldCharType="end"/>
      </w:r>
    </w:p>
    <w:p>
      <w:pPr>
        <w:pStyle w:val="TOC8"/>
        <w:rPr>
          <w:rFonts w:asciiTheme="minorHAnsi" w:eastAsiaTheme="minorEastAsia" w:hAnsiTheme="minorHAnsi" w:cstheme="minorBidi"/>
          <w:szCs w:val="22"/>
        </w:rPr>
      </w:pPr>
      <w:r>
        <w:t>219AZD.</w:t>
      </w:r>
      <w:r>
        <w:tab/>
        <w:t>Application for leave to institute proceedings — FLA s. 102QAE</w:t>
      </w:r>
      <w:r>
        <w:tab/>
      </w:r>
      <w:r>
        <w:fldChar w:fldCharType="begin"/>
      </w:r>
      <w:r>
        <w:instrText xml:space="preserve"> PAGEREF _Toc189743536 \h </w:instrText>
      </w:r>
      <w:r>
        <w:fldChar w:fldCharType="separate"/>
      </w:r>
      <w:r>
        <w:t>334</w:t>
      </w:r>
      <w:r>
        <w:fldChar w:fldCharType="end"/>
      </w:r>
    </w:p>
    <w:p>
      <w:pPr>
        <w:pStyle w:val="TOC8"/>
        <w:rPr>
          <w:rFonts w:asciiTheme="minorHAnsi" w:eastAsiaTheme="minorEastAsia" w:hAnsiTheme="minorHAnsi" w:cstheme="minorBidi"/>
          <w:szCs w:val="22"/>
        </w:rPr>
      </w:pPr>
      <w:r>
        <w:t>219AZE.</w:t>
      </w:r>
      <w:r>
        <w:tab/>
        <w:t>Dismissing application for leave — FLA s. 102QAF</w:t>
      </w:r>
      <w:r>
        <w:tab/>
      </w:r>
      <w:r>
        <w:fldChar w:fldCharType="begin"/>
      </w:r>
      <w:r>
        <w:instrText xml:space="preserve"> PAGEREF _Toc189743537 \h </w:instrText>
      </w:r>
      <w:r>
        <w:fldChar w:fldCharType="separate"/>
      </w:r>
      <w:r>
        <w:t>334</w:t>
      </w:r>
      <w:r>
        <w:fldChar w:fldCharType="end"/>
      </w:r>
    </w:p>
    <w:p>
      <w:pPr>
        <w:pStyle w:val="TOC8"/>
        <w:rPr>
          <w:rFonts w:asciiTheme="minorHAnsi" w:eastAsiaTheme="minorEastAsia" w:hAnsiTheme="minorHAnsi" w:cstheme="minorBidi"/>
          <w:szCs w:val="22"/>
        </w:rPr>
      </w:pPr>
      <w:r>
        <w:t>219AZF.</w:t>
      </w:r>
      <w:r>
        <w:tab/>
        <w:t>Granting application for leave — FLA s. 102QAG</w:t>
      </w:r>
      <w:r>
        <w:tab/>
      </w:r>
      <w:r>
        <w:fldChar w:fldCharType="begin"/>
      </w:r>
      <w:r>
        <w:instrText xml:space="preserve"> PAGEREF _Toc189743538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Vexatious proceedings orders</w:t>
      </w:r>
    </w:p>
    <w:p>
      <w:pPr>
        <w:pStyle w:val="TOC6"/>
        <w:tabs>
          <w:tab w:val="right" w:leader="dot" w:pos="7077"/>
        </w:tabs>
        <w:rPr>
          <w:rFonts w:asciiTheme="minorHAnsi" w:eastAsiaTheme="minorEastAsia" w:hAnsiTheme="minorHAnsi" w:cstheme="minorBidi"/>
          <w:b w:val="0"/>
          <w:sz w:val="22"/>
          <w:szCs w:val="22"/>
        </w:rPr>
      </w:pPr>
      <w:r>
        <w:t>Subdivision 1 — Making vexatious proceedings orders</w:t>
      </w:r>
    </w:p>
    <w:p>
      <w:pPr>
        <w:pStyle w:val="TOC8"/>
        <w:rPr>
          <w:rFonts w:asciiTheme="minorHAnsi" w:eastAsiaTheme="minorEastAsia" w:hAnsiTheme="minorHAnsi" w:cstheme="minorBidi"/>
          <w:szCs w:val="22"/>
        </w:rPr>
      </w:pPr>
      <w:r>
        <w:t>219AZG.</w:t>
      </w:r>
      <w:r>
        <w:tab/>
        <w:t>Making vexatious proceedings orders — FLA s. 102QB</w:t>
      </w:r>
      <w:r>
        <w:tab/>
      </w:r>
      <w:r>
        <w:fldChar w:fldCharType="begin"/>
      </w:r>
      <w:r>
        <w:instrText xml:space="preserve"> PAGEREF _Toc189743541 \h </w:instrText>
      </w:r>
      <w:r>
        <w:fldChar w:fldCharType="separate"/>
      </w:r>
      <w:r>
        <w:t>335</w:t>
      </w:r>
      <w:r>
        <w:fldChar w:fldCharType="end"/>
      </w:r>
    </w:p>
    <w:p>
      <w:pPr>
        <w:pStyle w:val="TOC8"/>
        <w:rPr>
          <w:rFonts w:asciiTheme="minorHAnsi" w:eastAsiaTheme="minorEastAsia" w:hAnsiTheme="minorHAnsi" w:cstheme="minorBidi"/>
          <w:szCs w:val="22"/>
        </w:rPr>
      </w:pPr>
      <w:r>
        <w:t>219AZH.</w:t>
      </w:r>
      <w:r>
        <w:tab/>
        <w:t>Notification of vexatious proceedings orders — FLA s. 102QC</w:t>
      </w:r>
      <w:r>
        <w:tab/>
      </w:r>
      <w:r>
        <w:fldChar w:fldCharType="begin"/>
      </w:r>
      <w:r>
        <w:instrText xml:space="preserve"> PAGEREF _Toc189743542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Consequences of vexatious proceedings orders</w:t>
      </w:r>
    </w:p>
    <w:p>
      <w:pPr>
        <w:pStyle w:val="TOC8"/>
        <w:rPr>
          <w:rFonts w:asciiTheme="minorHAnsi" w:eastAsiaTheme="minorEastAsia" w:hAnsiTheme="minorHAnsi" w:cstheme="minorBidi"/>
          <w:szCs w:val="22"/>
        </w:rPr>
      </w:pPr>
      <w:r>
        <w:t>219AZI.</w:t>
      </w:r>
      <w:r>
        <w:tab/>
      </w:r>
      <w:r>
        <w:tab/>
        <w:t>Proceedings in contravention of vexatious proceedings order — FLA s. 102QD</w:t>
      </w:r>
      <w:r>
        <w:tab/>
      </w:r>
      <w:r>
        <w:fldChar w:fldCharType="begin"/>
      </w:r>
      <w:r>
        <w:instrText xml:space="preserve"> PAGEREF _Toc189743544 \h </w:instrText>
      </w:r>
      <w:r>
        <w:fldChar w:fldCharType="separate"/>
      </w:r>
      <w:r>
        <w:t>337</w:t>
      </w:r>
      <w:r>
        <w:fldChar w:fldCharType="end"/>
      </w:r>
    </w:p>
    <w:p>
      <w:pPr>
        <w:pStyle w:val="TOC8"/>
        <w:rPr>
          <w:rFonts w:asciiTheme="minorHAnsi" w:eastAsiaTheme="minorEastAsia" w:hAnsiTheme="minorHAnsi" w:cstheme="minorBidi"/>
          <w:szCs w:val="22"/>
        </w:rPr>
      </w:pPr>
      <w:r>
        <w:t>219AZJ.</w:t>
      </w:r>
      <w:r>
        <w:tab/>
      </w:r>
      <w:r>
        <w:tab/>
        <w:t>Application for leave to institute proceedings by person subject to vexatious proceedings order — FLA s. 102QE</w:t>
      </w:r>
      <w:r>
        <w:tab/>
      </w:r>
      <w:r>
        <w:fldChar w:fldCharType="begin"/>
      </w:r>
      <w:r>
        <w:instrText xml:space="preserve"> PAGEREF _Toc189743545 \h </w:instrText>
      </w:r>
      <w:r>
        <w:fldChar w:fldCharType="separate"/>
      </w:r>
      <w:r>
        <w:t>338</w:t>
      </w:r>
      <w:r>
        <w:fldChar w:fldCharType="end"/>
      </w:r>
    </w:p>
    <w:p>
      <w:pPr>
        <w:pStyle w:val="TOC8"/>
        <w:rPr>
          <w:rFonts w:asciiTheme="minorHAnsi" w:eastAsiaTheme="minorEastAsia" w:hAnsiTheme="minorHAnsi" w:cstheme="minorBidi"/>
          <w:szCs w:val="22"/>
        </w:rPr>
      </w:pPr>
      <w:r>
        <w:t>219AZK.</w:t>
      </w:r>
      <w:r>
        <w:tab/>
        <w:t>Dismissing application for leave by person subject to vexatious proceedings order — FLA s. 102QF</w:t>
      </w:r>
      <w:r>
        <w:tab/>
      </w:r>
      <w:r>
        <w:fldChar w:fldCharType="begin"/>
      </w:r>
      <w:r>
        <w:instrText xml:space="preserve"> PAGEREF _Toc189743546 \h </w:instrText>
      </w:r>
      <w:r>
        <w:fldChar w:fldCharType="separate"/>
      </w:r>
      <w:r>
        <w:t>339</w:t>
      </w:r>
      <w:r>
        <w:fldChar w:fldCharType="end"/>
      </w:r>
    </w:p>
    <w:p>
      <w:pPr>
        <w:pStyle w:val="TOC8"/>
        <w:rPr>
          <w:rFonts w:asciiTheme="minorHAnsi" w:eastAsiaTheme="minorEastAsia" w:hAnsiTheme="minorHAnsi" w:cstheme="minorBidi"/>
          <w:szCs w:val="22"/>
        </w:rPr>
      </w:pPr>
      <w:r>
        <w:t>219AZL.</w:t>
      </w:r>
      <w:r>
        <w:tab/>
        <w:t>Granting application for leave by person subject to vexatious proceedings order — FLA s. 102QG</w:t>
      </w:r>
      <w:r>
        <w:tab/>
      </w:r>
      <w:r>
        <w:fldChar w:fldCharType="begin"/>
      </w:r>
      <w:r>
        <w:instrText xml:space="preserve"> PAGEREF _Toc189743547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_Toc189743549 \h </w:instrText>
      </w:r>
      <w:r>
        <w:fldChar w:fldCharType="separate"/>
      </w:r>
      <w:r>
        <w:t>341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_Toc189743550 \h </w:instrText>
      </w:r>
      <w:r>
        <w:fldChar w:fldCharType="separate"/>
      </w:r>
      <w:r>
        <w:t>341</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_Toc189743551 \h </w:instrText>
      </w:r>
      <w:r>
        <w:fldChar w:fldCharType="separate"/>
      </w:r>
      <w:r>
        <w:t>341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_Toc189743552 \h </w:instrText>
      </w:r>
      <w:r>
        <w:fldChar w:fldCharType="separate"/>
      </w:r>
      <w:r>
        <w:t>344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_Toc189743553 \h </w:instrText>
      </w:r>
      <w:r>
        <w:fldChar w:fldCharType="separate"/>
      </w:r>
      <w:r>
        <w:t>344</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_Toc189743554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_Toc189743557 \h </w:instrText>
      </w:r>
      <w:r>
        <w:fldChar w:fldCharType="separate"/>
      </w:r>
      <w:r>
        <w:t>348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_Toc189743558 \h </w:instrText>
      </w:r>
      <w:r>
        <w:fldChar w:fldCharType="separate"/>
      </w:r>
      <w:r>
        <w:t>349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_Toc189743559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_Toc189743561 \h </w:instrText>
      </w:r>
      <w:r>
        <w:fldChar w:fldCharType="separate"/>
      </w:r>
      <w:r>
        <w:t>350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_Toc189743562 \h </w:instrText>
      </w:r>
      <w:r>
        <w:fldChar w:fldCharType="separate"/>
      </w:r>
      <w:r>
        <w:t>351</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_Toc189743563 \h </w:instrText>
      </w:r>
      <w:r>
        <w:fldChar w:fldCharType="separate"/>
      </w:r>
      <w:r>
        <w:t>353</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_Toc189743564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Failure to comply with sentencing alternative imposed under s. 226(3)(b) — FLA s. 112AH</w:t>
      </w:r>
      <w:r>
        <w:tab/>
      </w:r>
      <w:r>
        <w:fldChar w:fldCharType="begin"/>
      </w:r>
      <w:r>
        <w:instrText xml:space="preserve"> PAGEREF _Toc189743565 \h </w:instrText>
      </w:r>
      <w:r>
        <w:fldChar w:fldCharType="separate"/>
      </w:r>
      <w:r>
        <w:t>355</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_Toc189743566 \h </w:instrText>
      </w:r>
      <w:r>
        <w:fldChar w:fldCharType="separate"/>
      </w:r>
      <w:r>
        <w:t>357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_Toc189743567 \h </w:instrText>
      </w:r>
      <w:r>
        <w:fldChar w:fldCharType="separate"/>
      </w:r>
      <w:r>
        <w:t>357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_Toc189743568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_Toc189743570 \h </w:instrText>
      </w:r>
      <w:r>
        <w:fldChar w:fldCharType="separate"/>
      </w:r>
      <w:r>
        <w:t>359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_Toc189743571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_Toc189743573 \h </w:instrText>
      </w:r>
      <w:r>
        <w:fldChar w:fldCharType="separate"/>
      </w:r>
      <w:r>
        <w:t>361</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_Toc189743574 \h </w:instrText>
      </w:r>
      <w:r>
        <w:fldChar w:fldCharType="separate"/>
      </w:r>
      <w:r>
        <w:t>362</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_Toc189743575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11A — Restriction on communication of accounts and lists of proceedings</w:t>
      </w:r>
    </w:p>
    <w:p>
      <w:pPr>
        <w:pStyle w:val="TOC8"/>
        <w:rPr>
          <w:rFonts w:asciiTheme="minorHAnsi" w:eastAsiaTheme="minorEastAsia" w:hAnsiTheme="minorHAnsi" w:cstheme="minorBidi"/>
          <w:szCs w:val="22"/>
        </w:rPr>
      </w:pPr>
      <w:r>
        <w:t>236A.</w:t>
      </w:r>
      <w:r>
        <w:tab/>
        <w:t>Terms used — FLA s. 114P</w:t>
      </w:r>
      <w:r>
        <w:tab/>
      </w:r>
      <w:r>
        <w:fldChar w:fldCharType="begin"/>
      </w:r>
      <w:r>
        <w:instrText xml:space="preserve"> PAGEREF _Toc189743577 \h </w:instrText>
      </w:r>
      <w:r>
        <w:fldChar w:fldCharType="separate"/>
      </w:r>
      <w:r>
        <w:t>366</w:t>
      </w:r>
      <w:r>
        <w:fldChar w:fldCharType="end"/>
      </w:r>
    </w:p>
    <w:p>
      <w:pPr>
        <w:pStyle w:val="TOC8"/>
        <w:rPr>
          <w:rFonts w:asciiTheme="minorHAnsi" w:eastAsiaTheme="minorEastAsia" w:hAnsiTheme="minorHAnsi" w:cstheme="minorBidi"/>
          <w:szCs w:val="22"/>
        </w:rPr>
      </w:pPr>
      <w:r>
        <w:t>236B.</w:t>
      </w:r>
      <w:r>
        <w:tab/>
        <w:t>Indictable offence: communication to the public of account of proceedings that identifies parties or others involved in proceedings — FLA s. 114Q</w:t>
      </w:r>
      <w:r>
        <w:tab/>
      </w:r>
      <w:r>
        <w:fldChar w:fldCharType="begin"/>
      </w:r>
      <w:r>
        <w:instrText xml:space="preserve"> PAGEREF _Toc189743578 \h </w:instrText>
      </w:r>
      <w:r>
        <w:fldChar w:fldCharType="separate"/>
      </w:r>
      <w:r>
        <w:t>366</w:t>
      </w:r>
      <w:r>
        <w:fldChar w:fldCharType="end"/>
      </w:r>
    </w:p>
    <w:p>
      <w:pPr>
        <w:pStyle w:val="TOC8"/>
        <w:rPr>
          <w:rFonts w:asciiTheme="minorHAnsi" w:eastAsiaTheme="minorEastAsia" w:hAnsiTheme="minorHAnsi" w:cstheme="minorBidi"/>
          <w:szCs w:val="22"/>
        </w:rPr>
      </w:pPr>
      <w:r>
        <w:t>236C.</w:t>
      </w:r>
      <w:r>
        <w:tab/>
        <w:t>Indictable offence: communication to the public of list of court proceedings that refers to names of parties — FLA s. 114R</w:t>
      </w:r>
      <w:r>
        <w:tab/>
      </w:r>
      <w:r>
        <w:fldChar w:fldCharType="begin"/>
      </w:r>
      <w:r>
        <w:instrText xml:space="preserve"> PAGEREF _Toc189743579 \h </w:instrText>
      </w:r>
      <w:r>
        <w:fldChar w:fldCharType="separate"/>
      </w:r>
      <w:r>
        <w:t>368</w:t>
      </w:r>
      <w:r>
        <w:fldChar w:fldCharType="end"/>
      </w:r>
    </w:p>
    <w:p>
      <w:pPr>
        <w:pStyle w:val="TOC8"/>
        <w:rPr>
          <w:rFonts w:asciiTheme="minorHAnsi" w:eastAsiaTheme="minorEastAsia" w:hAnsiTheme="minorHAnsi" w:cstheme="minorBidi"/>
          <w:szCs w:val="22"/>
        </w:rPr>
      </w:pPr>
      <w:r>
        <w:t>236D.</w:t>
      </w:r>
      <w:r>
        <w:tab/>
        <w:t>When a communication is not a communication to the public — FLA s. 114S</w:t>
      </w:r>
      <w:r>
        <w:tab/>
      </w:r>
      <w:r>
        <w:fldChar w:fldCharType="begin"/>
      </w:r>
      <w:r>
        <w:instrText xml:space="preserve"> PAGEREF _Toc189743580 \h </w:instrText>
      </w:r>
      <w:r>
        <w:fldChar w:fldCharType="separate"/>
      </w:r>
      <w:r>
        <w:t>369</w:t>
      </w:r>
      <w:r>
        <w:fldChar w:fldCharType="end"/>
      </w:r>
    </w:p>
    <w:p>
      <w:pPr>
        <w:pStyle w:val="TOC8"/>
        <w:rPr>
          <w:rFonts w:asciiTheme="minorHAnsi" w:eastAsiaTheme="minorEastAsia" w:hAnsiTheme="minorHAnsi" w:cstheme="minorBidi"/>
          <w:szCs w:val="22"/>
        </w:rPr>
      </w:pPr>
      <w:r>
        <w:t>236E.</w:t>
      </w:r>
      <w:r>
        <w:tab/>
        <w:t>Consent of DPP required to commence proceedings — FLA s. 114T</w:t>
      </w:r>
      <w:r>
        <w:tab/>
      </w:r>
      <w:r>
        <w:fldChar w:fldCharType="begin"/>
      </w:r>
      <w:r>
        <w:instrText xml:space="preserve"> PAGEREF _Toc189743581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_Toc189743583 \h </w:instrText>
      </w:r>
      <w:r>
        <w:fldChar w:fldCharType="separate"/>
      </w:r>
      <w:r>
        <w:t>371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_Toc189743584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239</w:t>
      </w:r>
      <w:r>
        <w:rPr>
          <w:snapToGrid w:val="0"/>
        </w:rPr>
        <w:t>.</w:t>
      </w:r>
      <w:r>
        <w:rPr>
          <w:snapToGrid w:val="0"/>
        </w:rPr>
        <w:tab/>
        <w:t>Interest on moneys ordered to be paid — FLA s. 117B</w:t>
      </w:r>
      <w:r>
        <w:tab/>
      </w:r>
      <w:r>
        <w:fldChar w:fldCharType="begin"/>
      </w:r>
      <w:r>
        <w:instrText xml:space="preserve"> PAGEREF _Toc189743585 \h </w:instrText>
      </w:r>
      <w:r>
        <w:fldChar w:fldCharType="separate"/>
      </w:r>
      <w:r>
        <w:t>375</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_Toc189743586 \h </w:instrText>
      </w:r>
      <w:r>
        <w:fldChar w:fldCharType="separate"/>
      </w:r>
      <w:r>
        <w:t>375</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_Toc189743587 \h </w:instrText>
      </w:r>
      <w:r>
        <w:fldChar w:fldCharType="separate"/>
      </w:r>
      <w:r>
        <w:t>376</w:t>
      </w:r>
      <w:r>
        <w:fldChar w:fldCharType="end"/>
      </w:r>
    </w:p>
    <w:p>
      <w:pPr>
        <w:pStyle w:val="TOC8"/>
        <w:rPr>
          <w:rFonts w:asciiTheme="minorHAnsi" w:eastAsiaTheme="minorEastAsia" w:hAnsiTheme="minorHAnsi" w:cstheme="minorBidi"/>
          <w:szCs w:val="22"/>
        </w:rPr>
      </w:pPr>
      <w:r>
        <w:t>243A.</w:t>
      </w:r>
      <w:r>
        <w:tab/>
        <w:t>Making arrests under this Act or warrants — FLA s. 122A</w:t>
      </w:r>
      <w:r>
        <w:tab/>
      </w:r>
      <w:r>
        <w:fldChar w:fldCharType="begin"/>
      </w:r>
      <w:r>
        <w:instrText xml:space="preserve"> PAGEREF _Toc189743588 \h </w:instrText>
      </w:r>
      <w:r>
        <w:fldChar w:fldCharType="separate"/>
      </w:r>
      <w:r>
        <w:t>376</w:t>
      </w:r>
      <w:r>
        <w:fldChar w:fldCharType="end"/>
      </w:r>
    </w:p>
    <w:p>
      <w:pPr>
        <w:pStyle w:val="TOC8"/>
        <w:rPr>
          <w:rFonts w:asciiTheme="minorHAnsi" w:eastAsiaTheme="minorEastAsia" w:hAnsiTheme="minorHAnsi" w:cstheme="minorBidi"/>
          <w:szCs w:val="22"/>
        </w:rPr>
      </w:pPr>
      <w:r>
        <w:t>243B.</w:t>
      </w:r>
      <w:r>
        <w:tab/>
        <w:t>Powers to enter and search premises, and stop conveyances, for making arrests under this Act or warrants — FLA s. 122AA</w:t>
      </w:r>
      <w:r>
        <w:tab/>
      </w:r>
      <w:r>
        <w:fldChar w:fldCharType="begin"/>
      </w:r>
      <w:r>
        <w:instrText xml:space="preserve"> PAGEREF _Toc189743589 \h </w:instrText>
      </w:r>
      <w:r>
        <w:fldChar w:fldCharType="separate"/>
      </w:r>
      <w:r>
        <w:t>378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_Toc189743590 \h </w:instrText>
      </w:r>
      <w:r>
        <w:fldChar w:fldCharType="separate"/>
      </w:r>
      <w:r>
        <w:t>379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_Toc189743591 \h </w:instrText>
      </w:r>
      <w:r>
        <w:fldChar w:fldCharType="separate"/>
      </w:r>
      <w:r>
        <w:t>385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_Toc189743592 \h </w:instrText>
      </w:r>
      <w:r>
        <w:fldChar w:fldCharType="separate"/>
      </w:r>
      <w:r>
        <w:t>387</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_Toc189743593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_Toc189743597 \h </w:instrText>
      </w:r>
      <w:r>
        <w:fldChar w:fldCharType="separate"/>
      </w:r>
      <w:r>
        <w:t>389</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_Toc189743598 \h </w:instrText>
      </w:r>
      <w:r>
        <w:fldChar w:fldCharType="separate"/>
      </w:r>
      <w:r>
        <w:t>389</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_Toc189743599 \h </w:instrText>
      </w:r>
      <w:r>
        <w:fldChar w:fldCharType="separate"/>
      </w:r>
      <w:r>
        <w:t>389</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_Toc189743600 \h </w:instrText>
      </w:r>
      <w:r>
        <w:fldChar w:fldCharType="separate"/>
      </w:r>
      <w:r>
        <w:t>391</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_Toc189743601 \h </w:instrText>
      </w:r>
      <w:r>
        <w:fldChar w:fldCharType="separate"/>
      </w:r>
      <w:r>
        <w:t>391</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_Toc189743602 \h </w:instrText>
      </w:r>
      <w:r>
        <w:fldChar w:fldCharType="separate"/>
      </w:r>
      <w:r>
        <w:t>393</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_Toc189743603 \h </w:instrText>
      </w:r>
      <w:r>
        <w:fldChar w:fldCharType="separate"/>
      </w:r>
      <w:r>
        <w:t>393</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_Toc189743604 \h </w:instrText>
      </w:r>
      <w:r>
        <w:fldChar w:fldCharType="separate"/>
      </w:r>
      <w:r>
        <w:t>394</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_Toc189743605 \h </w:instrText>
      </w:r>
      <w:r>
        <w:fldChar w:fldCharType="separate"/>
      </w:r>
      <w:r>
        <w:t>394</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_Toc189743606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_Toc189743608 \h </w:instrText>
      </w:r>
      <w:r>
        <w:fldChar w:fldCharType="separate"/>
      </w:r>
      <w:r>
        <w:t>395</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_Toc189743609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_Toc189743611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Cs/>
        </w:rPr>
        <w:t>Family Court Amendment (Commonwealth Reforms) Act 2024</w:t>
      </w:r>
    </w:p>
    <w:p>
      <w:pPr>
        <w:pStyle w:val="TOC8"/>
        <w:rPr>
          <w:rFonts w:asciiTheme="minorHAnsi" w:eastAsiaTheme="minorEastAsia" w:hAnsiTheme="minorHAnsi" w:cstheme="minorBidi"/>
          <w:szCs w:val="22"/>
        </w:rPr>
      </w:pPr>
      <w:r>
        <w:t>14.</w:t>
      </w:r>
      <w:r>
        <w:tab/>
        <w:t>Application of amendments</w:t>
      </w:r>
      <w:r>
        <w:tab/>
      </w:r>
      <w:r>
        <w:fldChar w:fldCharType="begin"/>
      </w:r>
      <w:r>
        <w:instrText xml:space="preserve"> PAGEREF _Toc189743613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_Toc189743615 \h </w:instrText>
      </w:r>
      <w:r>
        <w:fldChar w:fldCharType="separate"/>
      </w:r>
      <w:r>
        <w:t>403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_Toc189743616 \h </w:instrText>
      </w:r>
      <w:r>
        <w:fldChar w:fldCharType="separate"/>
      </w:r>
      <w:r>
        <w:t>405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_Toc189743617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189558203"/>
      <w:bookmarkStart w:id="3" w:name="_Toc189653718"/>
      <w:bookmarkStart w:id="4" w:name="_Toc189743023"/>
      <w:r>
        <w:rPr>
          <w:rStyle w:val="CharPartNo"/>
        </w:rPr>
        <w:lastRenderedPageBreak/>
        <w:t>Part 1</w:t>
      </w:r>
      <w:r>
        <w:t xml:space="preserve"> — </w:t>
      </w:r>
      <w:r>
        <w:rPr>
          <w:rStyle w:val="CharPartText"/>
        </w:rPr>
        <w:t>Preliminary</w:t>
      </w:r>
      <w:bookmarkEnd w:id="2"/>
      <w:bookmarkEnd w:id="3"/>
      <w:bookmarkEnd w:id="4"/>
    </w:p>
    <w:p>
      <w:pPr>
        <w:pStyle w:val="Heading5"/>
        <w:rPr>
          <w:snapToGrid w:val="0"/>
        </w:rPr>
      </w:pPr>
      <w:bookmarkStart w:id="5" w:name="_Toc18974302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6" w:name="_Toc18974302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7" w:name="_Toc189743026"/>
      <w:r>
        <w:rPr>
          <w:rStyle w:val="CharSectno"/>
        </w:rPr>
        <w:t>3</w:t>
      </w:r>
      <w:r>
        <w:rPr>
          <w:snapToGrid w:val="0"/>
        </w:rPr>
        <w:t>.</w:t>
      </w:r>
      <w:r>
        <w:rPr>
          <w:snapToGrid w:val="0"/>
        </w:rPr>
        <w:tab/>
        <w:t>Contents of this Act</w:t>
      </w:r>
      <w:bookmarkEnd w:id="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8" w:name="_Toc189743027"/>
      <w:r>
        <w:rPr>
          <w:rStyle w:val="CharSectno"/>
        </w:rPr>
        <w:t>4</w:t>
      </w:r>
      <w:r>
        <w:rPr>
          <w:snapToGrid w:val="0"/>
        </w:rPr>
        <w:t>.</w:t>
      </w:r>
      <w:r>
        <w:rPr>
          <w:snapToGrid w:val="0"/>
        </w:rPr>
        <w:tab/>
      </w:r>
      <w:r>
        <w:t>References in section headings and definitions to comparable provisions of Commonwealth Acts</w:t>
      </w:r>
      <w:bookmarkEnd w:id="8"/>
    </w:p>
    <w:p>
      <w:pPr>
        <w:pStyle w:val="Subsection"/>
      </w:pPr>
      <w:r>
        <w:tab/>
        <w:t>(1)</w:t>
      </w:r>
      <w:r>
        <w:tab/>
        <w:t>A</w:t>
      </w:r>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Subsection"/>
      </w:pPr>
      <w:r>
        <w:tab/>
        <w:t>(3)</w:t>
      </w:r>
      <w:r>
        <w:tab/>
        <w:t xml:space="preserve">Nothing in this section limits the </w:t>
      </w:r>
      <w:r>
        <w:rPr>
          <w:i/>
        </w:rPr>
        <w:t>Interpretation Act 1984</w:t>
      </w:r>
      <w:r>
        <w:t xml:space="preserve"> section 32(2).</w:t>
      </w:r>
    </w:p>
    <w:p>
      <w:pPr>
        <w:pStyle w:val="Footnotesection"/>
        <w:rPr>
          <w:snapToGrid/>
        </w:rPr>
      </w:pPr>
      <w:r>
        <w:tab/>
        <w:t>[Section 4 amended: No. 49 of 2024 s. 4.]</w:t>
      </w:r>
    </w:p>
    <w:p>
      <w:pPr>
        <w:pStyle w:val="Heading5"/>
        <w:rPr>
          <w:snapToGrid w:val="0"/>
        </w:rPr>
      </w:pPr>
      <w:bookmarkStart w:id="9" w:name="_Toc189743028"/>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lastRenderedPageBreak/>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14 Subdivision 2,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14 Subdivision 2,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pPr>
      <w:r>
        <w:tab/>
      </w:r>
      <w:r>
        <w:rPr>
          <w:rStyle w:val="CharDefText"/>
        </w:rPr>
        <w:t>case guardian</w:t>
      </w:r>
      <w:r>
        <w:t> —</w:t>
      </w:r>
    </w:p>
    <w:p>
      <w:pPr>
        <w:pStyle w:val="Defpara"/>
      </w:pPr>
      <w:r>
        <w:tab/>
        <w:t>(a)</w:t>
      </w:r>
      <w:r>
        <w:tab/>
        <w:t>means a person appointed by a court under the rules to manage and conduct a case for a child or a person with a disability; and</w:t>
      </w:r>
    </w:p>
    <w:p>
      <w:pPr>
        <w:pStyle w:val="Defpara"/>
      </w:pPr>
      <w:r>
        <w:tab/>
        <w:t>(b)</w:t>
      </w:r>
      <w:r>
        <w:tab/>
        <w:t>includes a next friend, guardian ad litem, tutor or litigation guardian;</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lastRenderedPageBreak/>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lastRenderedPageBreak/>
        <w:tab/>
      </w:r>
      <w:r>
        <w:rPr>
          <w:b/>
          <w:bCs/>
        </w:rPr>
        <w:t>(</w:t>
      </w:r>
      <w:r>
        <w:rPr>
          <w:b/>
          <w:snapToGrid w:val="0"/>
        </w:rPr>
        <w:t>FLA</w:t>
      </w:r>
      <w:r>
        <w:rPr>
          <w:b/>
          <w:bCs/>
        </w:rPr>
        <w:t xml:space="preserve"> s. 4(1))</w:t>
      </w:r>
    </w:p>
    <w:p>
      <w:pPr>
        <w:pStyle w:val="Defstart"/>
      </w:pPr>
      <w:r>
        <w:tab/>
      </w:r>
      <w:r>
        <w:rPr>
          <w:rStyle w:val="CharDefText"/>
        </w:rPr>
        <w:t>child</w:t>
      </w:r>
      <w:r>
        <w:rPr>
          <w:rStyle w:val="CharDefText"/>
        </w:rPr>
        <w:noBreakHyphen/>
        <w:t>related order</w:t>
      </w:r>
      <w:r>
        <w:t> — see section 205G(2);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lastRenderedPageBreak/>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communicate</w:t>
      </w:r>
      <w:r>
        <w:t> — see section 236A(1);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r>
        <w:rPr>
          <w:rStyle w:val="CharDefText"/>
        </w:rPr>
        <w:t>contravene</w:t>
      </w:r>
      <w:r>
        <w:t>, in relation to a child</w:t>
      </w:r>
      <w:r>
        <w:noBreakHyphen/>
        <w:t>related order — see section 205C;</w:t>
      </w:r>
    </w:p>
    <w:p>
      <w:pPr>
        <w:pStyle w:val="MiscellaneousBody"/>
        <w:keepNext/>
        <w:tabs>
          <w:tab w:val="left" w:pos="851"/>
        </w:tabs>
        <w:spacing w:before="120"/>
        <w:rPr>
          <w:b/>
          <w:bCs/>
        </w:rPr>
      </w:pPr>
      <w:r>
        <w:tab/>
      </w:r>
      <w:r>
        <w:rPr>
          <w:b/>
          <w:bCs/>
        </w:rPr>
        <w:t>(FLA s. 4(1))</w:t>
      </w:r>
    </w:p>
    <w:p>
      <w:pPr>
        <w:pStyle w:val="Defstart"/>
      </w:pPr>
      <w:r>
        <w:tab/>
      </w:r>
      <w:r>
        <w:rPr>
          <w:rStyle w:val="CharDefText"/>
        </w:rPr>
        <w:t>conveyance</w:t>
      </w:r>
      <w:r>
        <w:t xml:space="preserve"> includes a vehicle, a vessel and an aircraft;</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lastRenderedPageBreak/>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b/>
          <w:bCs/>
        </w:rPr>
      </w:pPr>
      <w:r>
        <w:tab/>
      </w:r>
      <w:r>
        <w:rPr>
          <w:b/>
          <w:bCs/>
        </w:rPr>
        <w:t>(FLA s. 4(1))</w:t>
      </w:r>
    </w:p>
    <w:p>
      <w:pPr>
        <w:pStyle w:val="Defstart"/>
      </w:pPr>
      <w:r>
        <w:tab/>
      </w:r>
      <w:r>
        <w:rPr>
          <w:rStyle w:val="CharDefText"/>
        </w:rPr>
        <w:t>designated family report</w:t>
      </w:r>
      <w:r>
        <w:t> — see section 65AB;</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dwelling house</w:t>
      </w:r>
      <w:r>
        <w:t xml:space="preserve"> includes a conveyance, or a room in accommodation, in which people ordinarily retire for the night;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law practice and procedure provisions</w:t>
      </w:r>
      <w:r>
        <w:t xml:space="preserve"> has the meaning given by section 211C(4);</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report writer</w:t>
      </w:r>
      <w:r>
        <w:t> — see section 65AA;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Federal Circuit and Family Court of Australia</w:t>
      </w:r>
      <w:r>
        <w:t xml:space="preserve"> means the Federal Circuit and Family Court of Australia (Division 1);</w:t>
      </w:r>
    </w:p>
    <w:p>
      <w:pPr>
        <w:pStyle w:val="Defstart"/>
      </w:pPr>
      <w:r>
        <w:tab/>
      </w:r>
      <w:r>
        <w:rPr>
          <w:rStyle w:val="CharDefText"/>
        </w:rPr>
        <w:t>final parenting order</w:t>
      </w:r>
      <w:r>
        <w:t xml:space="preserve"> includes a parenting order that is an interlocutory order if the parenting order is not expressed to be an order until further order;</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agency</w:t>
      </w:r>
      <w:r>
        <w:t xml:space="preserve"> has the meaning given by section 162C;</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safeguards</w:t>
      </w:r>
      <w:r>
        <w:t xml:space="preserve"> has the meaning given by section 162I(1);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parenting plan</w:t>
      </w:r>
      <w:r>
        <w:t xml:space="preserve"> has the meaning given by section 76;</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proceedings</w:t>
      </w:r>
      <w:r>
        <w:t> —</w:t>
      </w:r>
    </w:p>
    <w:p>
      <w:pPr>
        <w:pStyle w:val="Defpara"/>
      </w:pPr>
      <w:r>
        <w:tab/>
        <w:t>(a)</w:t>
      </w:r>
      <w:r>
        <w:tab/>
        <w:t>means a proceeding in a court, whether between parties or not, and includes cross</w:t>
      </w:r>
      <w:r>
        <w:noBreakHyphen/>
        <w:t xml:space="preserve">proceedings or an incidental </w:t>
      </w:r>
      <w:r>
        <w:lastRenderedPageBreak/>
        <w:t>proceeding in the course of or in connection with a proceeding; and</w:t>
      </w:r>
    </w:p>
    <w:p>
      <w:pPr>
        <w:pStyle w:val="Defpara"/>
      </w:pPr>
      <w:r>
        <w:tab/>
        <w:t>(b)</w:t>
      </w:r>
      <w:r>
        <w:tab/>
        <w:t>in Part 11A, includes a part of proceedings;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protected material</w:t>
      </w:r>
      <w:r>
        <w:t xml:space="preserve"> has the meaning given by section 162F(3);</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public</w:t>
      </w:r>
      <w:r>
        <w:t> — see section 236A(2);</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reasonable excuse</w:t>
      </w:r>
      <w:r>
        <w:t>, in relation to contravening a child</w:t>
      </w:r>
      <w:r>
        <w:noBreakHyphen/>
        <w:t>related order, has a meaning affected by section 205D;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lastRenderedPageBreak/>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pPr>
      <w:r>
        <w:tab/>
      </w:r>
      <w:r>
        <w:rPr>
          <w:rStyle w:val="CharDefText"/>
        </w:rPr>
        <w:t>regulator</w:t>
      </w:r>
      <w:r>
        <w:t> — see section 65AC(2)(b);</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 or</w:t>
      </w:r>
    </w:p>
    <w:p>
      <w:pPr>
        <w:pStyle w:val="Defsubpara"/>
      </w:pPr>
      <w:r>
        <w:lastRenderedPageBreak/>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Defpara"/>
      </w:pPr>
      <w:r>
        <w:tab/>
      </w:r>
      <w:r>
        <w:tab/>
        <w:t>and</w:t>
      </w:r>
    </w:p>
    <w:p>
      <w:pPr>
        <w:pStyle w:val="Defpara"/>
      </w:pPr>
      <w:r>
        <w:tab/>
        <w:t>(b)</w:t>
      </w:r>
      <w:r>
        <w:tab/>
        <w:t>in section 6(e) — has the meaning given by section 7(1); and</w:t>
      </w:r>
    </w:p>
    <w:p>
      <w:pPr>
        <w:pStyle w:val="Defpara"/>
      </w:pPr>
      <w:r>
        <w:tab/>
        <w:t>(c)</w:t>
      </w:r>
      <w:r>
        <w:tab/>
        <w:t>in section 6(ea) — has the meaning given by section 7(2);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lastRenderedPageBreak/>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lastRenderedPageBreak/>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pPr>
        <w:pStyle w:val="Heading5"/>
        <w:spacing w:before="240"/>
      </w:pPr>
      <w:bookmarkStart w:id="10" w:name="_Toc189743029"/>
      <w:r>
        <w:rPr>
          <w:rStyle w:val="CharSectno"/>
        </w:rPr>
        <w:t>6</w:t>
      </w:r>
      <w:r>
        <w:t>.</w:t>
      </w:r>
      <w:r>
        <w:tab/>
        <w:t xml:space="preserve">Meaning of </w:t>
      </w:r>
      <w:r>
        <w:rPr>
          <w:i/>
        </w:rPr>
        <w:t>member of the family</w:t>
      </w:r>
      <w:r>
        <w:t> — FLA s. 4(1AB)</w:t>
      </w:r>
      <w:bookmarkEnd w:id="10"/>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66C(4)(a); and</w:t>
      </w:r>
    </w:p>
    <w:p>
      <w:pPr>
        <w:pStyle w:val="Indenta"/>
      </w:pPr>
      <w:r>
        <w:tab/>
        <w:t>(c)</w:t>
      </w:r>
      <w:r>
        <w:tab/>
        <w:t>sections 66F, 66HA and 66HB,</w:t>
      </w:r>
    </w:p>
    <w:p>
      <w:pPr>
        <w:pStyle w:val="Subsection"/>
        <w:keepNext/>
      </w:pPr>
      <w:r>
        <w:lastRenderedPageBreak/>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within the meaning of section 7(1); or</w:t>
      </w:r>
    </w:p>
    <w:p>
      <w:pPr>
        <w:pStyle w:val="Indenta"/>
      </w:pPr>
      <w:r>
        <w:tab/>
        <w:t>(ea)</w:t>
      </w:r>
      <w:r>
        <w:tab/>
        <w:t>except for the purposes of sections 66F, 66HA and 66HB — the first person is or has been a relative of the second person within the meaning of section 7(2);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lastRenderedPageBreak/>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 No. 49 of 2024 s. 6.]</w:t>
      </w:r>
    </w:p>
    <w:p>
      <w:pPr>
        <w:pStyle w:val="Heading5"/>
      </w:pPr>
      <w:bookmarkStart w:id="11" w:name="_Toc189743030"/>
      <w:r>
        <w:rPr>
          <w:rStyle w:val="CharSectno"/>
        </w:rPr>
        <w:t>7</w:t>
      </w:r>
      <w:r>
        <w:t>.</w:t>
      </w:r>
      <w:r>
        <w:tab/>
        <w:t xml:space="preserve">Meaning of </w:t>
      </w:r>
      <w:r>
        <w:rPr>
          <w:i/>
          <w:iCs/>
        </w:rPr>
        <w:t>relative</w:t>
      </w:r>
      <w:r>
        <w:t> — FLA s. 4(1AC) and (1AD)</w:t>
      </w:r>
      <w:bookmarkEnd w:id="11"/>
    </w:p>
    <w:p>
      <w:pPr>
        <w:pStyle w:val="Subsection"/>
      </w:pPr>
      <w:r>
        <w:tab/>
        <w:t>(1)</w:t>
      </w:r>
      <w:r>
        <w:tab/>
        <w:t xml:space="preserve">For the purposes of section 6(e),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Footnotesection"/>
      </w:pPr>
      <w:r>
        <w:lastRenderedPageBreak/>
        <w:tab/>
        <w:t>[Section 7 inserted: No. 35 of 2006 s. 171; amended: No. 49 of 2024 s. 7.]</w:t>
      </w:r>
    </w:p>
    <w:p>
      <w:pPr>
        <w:pStyle w:val="Heading5"/>
      </w:pPr>
      <w:bookmarkStart w:id="12" w:name="_Toc189743031"/>
      <w:r>
        <w:rPr>
          <w:rStyle w:val="CharSectno"/>
        </w:rPr>
        <w:t>7A</w:t>
      </w:r>
      <w:r>
        <w:t>.</w:t>
      </w:r>
      <w:r>
        <w:tab/>
        <w:t xml:space="preserve">Meaning of </w:t>
      </w:r>
      <w:r>
        <w:rPr>
          <w:i/>
        </w:rPr>
        <w:t>major long</w:t>
      </w:r>
      <w:r>
        <w:rPr>
          <w:i/>
        </w:rPr>
        <w:noBreakHyphen/>
        <w:t>term issues</w:t>
      </w:r>
      <w:r>
        <w:t> — FLA s. 4(1)</w:t>
      </w:r>
      <w:bookmarkEnd w:id="12"/>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3" w:name="_Toc189743032"/>
      <w:r>
        <w:rPr>
          <w:rStyle w:val="CharSectno"/>
        </w:rPr>
        <w:t>7B</w:t>
      </w:r>
      <w:r>
        <w:t>.</w:t>
      </w:r>
      <w:r>
        <w:tab/>
        <w:t xml:space="preserve">Meaning of </w:t>
      </w:r>
      <w:r>
        <w:rPr>
          <w:i/>
        </w:rPr>
        <w:t>debtor subject to a personal insolvency agreement</w:t>
      </w:r>
      <w:r>
        <w:t> — FLA s. 5</w:t>
      </w:r>
      <w:bookmarkEnd w:id="13"/>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lastRenderedPageBreak/>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14" w:name="_Toc189743033"/>
      <w:r>
        <w:rPr>
          <w:rStyle w:val="CharSectno"/>
        </w:rPr>
        <w:t>8</w:t>
      </w:r>
      <w:r>
        <w:rPr>
          <w:snapToGrid w:val="0"/>
        </w:rPr>
        <w:t>.</w:t>
      </w:r>
      <w:r>
        <w:rPr>
          <w:snapToGrid w:val="0"/>
        </w:rPr>
        <w:tab/>
        <w:t xml:space="preserve">Meaning of </w:t>
      </w:r>
      <w:r>
        <w:rPr>
          <w:i/>
        </w:rPr>
        <w:t>court</w:t>
      </w:r>
      <w:bookmarkEnd w:id="14"/>
    </w:p>
    <w:p>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 No. 49 of 2024 s. 8.]</w:t>
      </w:r>
    </w:p>
    <w:p>
      <w:pPr>
        <w:pStyle w:val="Heading5"/>
        <w:spacing w:before="200"/>
      </w:pPr>
      <w:bookmarkStart w:id="15" w:name="_Toc189743034"/>
      <w:r>
        <w:rPr>
          <w:rStyle w:val="CharSectno"/>
        </w:rPr>
        <w:t>9A</w:t>
      </w:r>
      <w:r>
        <w:t>.</w:t>
      </w:r>
      <w:r>
        <w:tab/>
        <w:t xml:space="preserve">Meaning of </w:t>
      </w:r>
      <w:r>
        <w:rPr>
          <w:i/>
        </w:rPr>
        <w:t>family violence</w:t>
      </w:r>
      <w:r>
        <w:t xml:space="preserve"> etc. — FLA s. 4AB</w:t>
      </w:r>
      <w:bookmarkEnd w:id="1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 xml:space="preserve">unreasonably withholding financial support needed to meet the reasonable living expenses of the family member, or his or her child, at a time when the family </w:t>
      </w:r>
      <w:r>
        <w:lastRenderedPageBreak/>
        <w:t>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6" w:name="_Toc189743035"/>
      <w:r>
        <w:rPr>
          <w:rStyle w:val="CharSectno"/>
        </w:rPr>
        <w:t>9B</w:t>
      </w:r>
      <w:r>
        <w:t>.</w:t>
      </w:r>
      <w:r>
        <w:tab/>
      </w:r>
      <w:r>
        <w:rPr>
          <w:i/>
        </w:rPr>
        <w:t>Courts and Tribunals (Electronic Processes Facilitation) Act 2013</w:t>
      </w:r>
      <w:r>
        <w:t xml:space="preserve"> Pt.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7" w:name="_Toc189558216"/>
      <w:bookmarkStart w:id="18" w:name="_Toc189653731"/>
      <w:bookmarkStart w:id="19" w:name="_Toc189743036"/>
      <w:r>
        <w:rPr>
          <w:rStyle w:val="CharPartNo"/>
        </w:rPr>
        <w:lastRenderedPageBreak/>
        <w:t>Part 2</w:t>
      </w:r>
      <w:r>
        <w:t> — </w:t>
      </w:r>
      <w:r>
        <w:rPr>
          <w:rStyle w:val="CharPartText"/>
        </w:rPr>
        <w:t>Family Court of Western Australia</w:t>
      </w:r>
      <w:bookmarkEnd w:id="17"/>
      <w:bookmarkEnd w:id="18"/>
      <w:bookmarkEnd w:id="19"/>
      <w:r>
        <w:rPr>
          <w:rStyle w:val="CharPartText"/>
        </w:rPr>
        <w:t xml:space="preserve"> </w:t>
      </w:r>
    </w:p>
    <w:p>
      <w:pPr>
        <w:pStyle w:val="Heading3"/>
        <w:rPr>
          <w:snapToGrid w:val="0"/>
        </w:rPr>
      </w:pPr>
      <w:bookmarkStart w:id="20" w:name="_Toc189558217"/>
      <w:bookmarkStart w:id="21" w:name="_Toc189653732"/>
      <w:bookmarkStart w:id="22" w:name="_Toc189743037"/>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pPr>
        <w:pStyle w:val="Heading5"/>
        <w:rPr>
          <w:snapToGrid w:val="0"/>
        </w:rPr>
      </w:pPr>
      <w:bookmarkStart w:id="23" w:name="_Toc189743038"/>
      <w:r>
        <w:rPr>
          <w:rStyle w:val="CharSectno"/>
        </w:rPr>
        <w:t>9</w:t>
      </w:r>
      <w:r>
        <w:rPr>
          <w:snapToGrid w:val="0"/>
        </w:rPr>
        <w:t>.</w:t>
      </w:r>
      <w:r>
        <w:rPr>
          <w:snapToGrid w:val="0"/>
        </w:rPr>
        <w:tab/>
        <w:t>Family Court continued</w:t>
      </w:r>
      <w:bookmarkEnd w:id="2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4" w:name="_Toc189743039"/>
      <w:r>
        <w:rPr>
          <w:rStyle w:val="CharSectno"/>
        </w:rPr>
        <w:t>10</w:t>
      </w:r>
      <w:r>
        <w:rPr>
          <w:snapToGrid w:val="0"/>
        </w:rPr>
        <w:t>.</w:t>
      </w:r>
      <w:r>
        <w:rPr>
          <w:snapToGrid w:val="0"/>
        </w:rPr>
        <w:tab/>
        <w:t>Constitution etc. of Court</w:t>
      </w:r>
      <w:bookmarkEnd w:id="2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5" w:name="_Toc189558220"/>
      <w:bookmarkStart w:id="26" w:name="_Toc189653735"/>
      <w:bookmarkStart w:id="27" w:name="_Toc189743040"/>
      <w:r>
        <w:rPr>
          <w:rStyle w:val="CharDivNo"/>
        </w:rPr>
        <w:t>Division 2</w:t>
      </w:r>
      <w:r>
        <w:rPr>
          <w:snapToGrid w:val="0"/>
        </w:rPr>
        <w:t> — </w:t>
      </w:r>
      <w:r>
        <w:rPr>
          <w:rStyle w:val="CharDivText"/>
        </w:rPr>
        <w:t>Judges</w:t>
      </w:r>
      <w:bookmarkEnd w:id="25"/>
      <w:bookmarkEnd w:id="26"/>
      <w:bookmarkEnd w:id="27"/>
      <w:r>
        <w:rPr>
          <w:rStyle w:val="CharDivText"/>
        </w:rPr>
        <w:t xml:space="preserve"> </w:t>
      </w:r>
    </w:p>
    <w:p>
      <w:pPr>
        <w:pStyle w:val="Heading5"/>
        <w:rPr>
          <w:snapToGrid w:val="0"/>
        </w:rPr>
      </w:pPr>
      <w:bookmarkStart w:id="28" w:name="_Toc189743041"/>
      <w:r>
        <w:rPr>
          <w:rStyle w:val="CharSectno"/>
        </w:rPr>
        <w:t>11</w:t>
      </w:r>
      <w:r>
        <w:rPr>
          <w:snapToGrid w:val="0"/>
        </w:rPr>
        <w:t>.</w:t>
      </w:r>
      <w:r>
        <w:rPr>
          <w:snapToGrid w:val="0"/>
        </w:rPr>
        <w:tab/>
        <w:t>Appointment of judges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29" w:name="_Toc189743042"/>
      <w:r>
        <w:rPr>
          <w:rStyle w:val="CharSectno"/>
        </w:rPr>
        <w:t>12</w:t>
      </w:r>
      <w:r>
        <w:rPr>
          <w:snapToGrid w:val="0"/>
        </w:rPr>
        <w:t>.</w:t>
      </w:r>
      <w:r>
        <w:rPr>
          <w:snapToGrid w:val="0"/>
        </w:rPr>
        <w:tab/>
        <w:t>Seniority</w:t>
      </w:r>
      <w:bookmarkEnd w:id="2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0" w:name="_Toc189743043"/>
      <w:r>
        <w:rPr>
          <w:rStyle w:val="CharSectno"/>
        </w:rPr>
        <w:t>13</w:t>
      </w:r>
      <w:r>
        <w:t>.</w:t>
      </w:r>
      <w:r>
        <w:tab/>
        <w:t>Oath of office</w:t>
      </w:r>
      <w:bookmarkEnd w:id="30"/>
    </w:p>
    <w:p>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1" w:name="_Toc189743044"/>
      <w:r>
        <w:rPr>
          <w:rStyle w:val="CharSectno"/>
        </w:rPr>
        <w:t>14</w:t>
      </w:r>
      <w:r>
        <w:rPr>
          <w:snapToGrid w:val="0"/>
        </w:rPr>
        <w:t>.</w:t>
      </w:r>
      <w:r>
        <w:rPr>
          <w:snapToGrid w:val="0"/>
        </w:rPr>
        <w:tab/>
        <w:t>Style and title of judges</w:t>
      </w:r>
      <w:bookmarkEnd w:id="3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2" w:name="_Toc189743045"/>
      <w:r>
        <w:rPr>
          <w:rStyle w:val="CharSectno"/>
        </w:rPr>
        <w:t>15</w:t>
      </w:r>
      <w:r>
        <w:rPr>
          <w:snapToGrid w:val="0"/>
        </w:rPr>
        <w:t>.</w:t>
      </w:r>
      <w:r>
        <w:rPr>
          <w:snapToGrid w:val="0"/>
        </w:rPr>
        <w:tab/>
        <w:t>Salaries and allowances of judges</w:t>
      </w:r>
      <w:bookmarkEnd w:id="3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3" w:name="_Toc189743046"/>
      <w:r>
        <w:rPr>
          <w:rStyle w:val="CharSectno"/>
        </w:rPr>
        <w:t>16</w:t>
      </w:r>
      <w:r>
        <w:rPr>
          <w:snapToGrid w:val="0"/>
        </w:rPr>
        <w:t>.</w:t>
      </w:r>
      <w:r>
        <w:rPr>
          <w:snapToGrid w:val="0"/>
        </w:rPr>
        <w:tab/>
        <w:t>Leave of judge</w:t>
      </w:r>
      <w:bookmarkEnd w:id="3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4" w:name="_Toc189743047"/>
      <w:r>
        <w:rPr>
          <w:rStyle w:val="CharSectno"/>
        </w:rPr>
        <w:t>17</w:t>
      </w:r>
      <w:r>
        <w:rPr>
          <w:snapToGrid w:val="0"/>
        </w:rPr>
        <w:t>.</w:t>
      </w:r>
      <w:r>
        <w:rPr>
          <w:snapToGrid w:val="0"/>
        </w:rPr>
        <w:tab/>
        <w:t>Judges may continue certain superannuation scheme</w:t>
      </w:r>
      <w:bookmarkEnd w:id="34"/>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5" w:name="_Toc189743048"/>
      <w:r>
        <w:rPr>
          <w:rStyle w:val="CharSectno"/>
        </w:rPr>
        <w:lastRenderedPageBreak/>
        <w:t>18</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6" w:name="_Toc189743049"/>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7" w:name="_Toc189743050"/>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8" w:name="_Toc189743051"/>
      <w:r>
        <w:rPr>
          <w:rStyle w:val="CharSectno"/>
        </w:rPr>
        <w:t>21</w:t>
      </w:r>
      <w:r>
        <w:rPr>
          <w:snapToGrid w:val="0"/>
        </w:rPr>
        <w:t>.</w:t>
      </w:r>
      <w:r>
        <w:rPr>
          <w:snapToGrid w:val="0"/>
        </w:rPr>
        <w:tab/>
        <w:t>Acting Chief Judge</w:t>
      </w:r>
      <w:bookmarkEnd w:id="3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9" w:name="_Toc189743052"/>
      <w:r>
        <w:rPr>
          <w:rStyle w:val="CharSectno"/>
        </w:rPr>
        <w:t>22</w:t>
      </w:r>
      <w:r>
        <w:rPr>
          <w:snapToGrid w:val="0"/>
        </w:rPr>
        <w:t>.</w:t>
      </w:r>
      <w:r>
        <w:rPr>
          <w:snapToGrid w:val="0"/>
        </w:rPr>
        <w:tab/>
        <w:t>Acting judges</w:t>
      </w:r>
      <w:bookmarkEnd w:id="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0" w:name="_Toc189743053"/>
      <w:r>
        <w:rPr>
          <w:rStyle w:val="CharSectno"/>
        </w:rPr>
        <w:t>23</w:t>
      </w:r>
      <w:r>
        <w:rPr>
          <w:snapToGrid w:val="0"/>
        </w:rPr>
        <w:t>.</w:t>
      </w:r>
      <w:r>
        <w:rPr>
          <w:snapToGrid w:val="0"/>
        </w:rPr>
        <w:tab/>
        <w:t>Effect of acting as judge</w:t>
      </w:r>
      <w:bookmarkEnd w:id="4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1" w:name="_Toc189743054"/>
      <w:r>
        <w:rPr>
          <w:rStyle w:val="CharSectno"/>
        </w:rPr>
        <w:t>24</w:t>
      </w:r>
      <w:r>
        <w:rPr>
          <w:snapToGrid w:val="0"/>
        </w:rPr>
        <w:t>.</w:t>
      </w:r>
      <w:r>
        <w:rPr>
          <w:snapToGrid w:val="0"/>
        </w:rPr>
        <w:tab/>
        <w:t>Dual appointments</w:t>
      </w:r>
      <w:bookmarkEnd w:id="41"/>
      <w:r>
        <w:rPr>
          <w:snapToGrid w:val="0"/>
        </w:rPr>
        <w:t xml:space="preserve"> </w:t>
      </w:r>
    </w:p>
    <w:p>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 No. 49 of 2024 s. 9.]</w:t>
      </w:r>
    </w:p>
    <w:p>
      <w:pPr>
        <w:pStyle w:val="Heading3"/>
        <w:rPr>
          <w:snapToGrid w:val="0"/>
        </w:rPr>
      </w:pPr>
      <w:bookmarkStart w:id="42" w:name="_Toc189558235"/>
      <w:bookmarkStart w:id="43" w:name="_Toc189653750"/>
      <w:bookmarkStart w:id="44" w:name="_Toc189743055"/>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pPr>
        <w:pStyle w:val="Heading5"/>
        <w:rPr>
          <w:snapToGrid w:val="0"/>
        </w:rPr>
      </w:pPr>
      <w:bookmarkStart w:id="45" w:name="_Toc189743056"/>
      <w:r>
        <w:rPr>
          <w:rStyle w:val="CharSectno"/>
        </w:rPr>
        <w:t>25</w:t>
      </w:r>
      <w:r>
        <w:rPr>
          <w:snapToGrid w:val="0"/>
        </w:rPr>
        <w:t>.</w:t>
      </w:r>
      <w:r>
        <w:rPr>
          <w:snapToGrid w:val="0"/>
        </w:rPr>
        <w:tab/>
        <w:t>Officers of Court</w:t>
      </w:r>
      <w:bookmarkEnd w:id="4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6" w:name="_Toc189743057"/>
      <w:r>
        <w:rPr>
          <w:rStyle w:val="CharSectno"/>
        </w:rPr>
        <w:t>26</w:t>
      </w:r>
      <w:r>
        <w:rPr>
          <w:snapToGrid w:val="0"/>
        </w:rPr>
        <w:t>.</w:t>
      </w:r>
      <w:r>
        <w:rPr>
          <w:snapToGrid w:val="0"/>
        </w:rPr>
        <w:tab/>
        <w:t>Principal Registrar and registrars may be magistrates</w:t>
      </w:r>
      <w:bookmarkEnd w:id="4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7" w:name="_Toc189743058"/>
      <w:r>
        <w:rPr>
          <w:rStyle w:val="CharSectno"/>
        </w:rPr>
        <w:t>27</w:t>
      </w:r>
      <w:r>
        <w:rPr>
          <w:snapToGrid w:val="0"/>
        </w:rPr>
        <w:t>.</w:t>
      </w:r>
      <w:r>
        <w:rPr>
          <w:snapToGrid w:val="0"/>
        </w:rPr>
        <w:tab/>
        <w:t>Personal staff for judges</w:t>
      </w:r>
      <w:bookmarkEnd w:id="4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8" w:name="_Toc189743059"/>
      <w:r>
        <w:rPr>
          <w:rStyle w:val="CharSectno"/>
        </w:rPr>
        <w:t>28</w:t>
      </w:r>
      <w:r>
        <w:rPr>
          <w:snapToGrid w:val="0"/>
        </w:rPr>
        <w:t>.</w:t>
      </w:r>
      <w:r>
        <w:rPr>
          <w:snapToGrid w:val="0"/>
        </w:rPr>
        <w:tab/>
        <w:t>Other Court staff</w:t>
      </w:r>
      <w:bookmarkEnd w:id="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pPr>
        <w:pStyle w:val="Heading5"/>
        <w:rPr>
          <w:snapToGrid w:val="0"/>
        </w:rPr>
      </w:pPr>
      <w:bookmarkStart w:id="49" w:name="_Toc189743060"/>
      <w:r>
        <w:rPr>
          <w:rStyle w:val="CharSectno"/>
        </w:rPr>
        <w:t>29</w:t>
      </w:r>
      <w:r>
        <w:rPr>
          <w:snapToGrid w:val="0"/>
        </w:rPr>
        <w:t>.</w:t>
      </w:r>
      <w:r>
        <w:rPr>
          <w:snapToGrid w:val="0"/>
        </w:rPr>
        <w:tab/>
        <w:t>Marshal</w:t>
      </w:r>
      <w:bookmarkEnd w:id="4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0" w:name="_Toc189743061"/>
      <w:r>
        <w:rPr>
          <w:rStyle w:val="CharSectno"/>
        </w:rPr>
        <w:t>30</w:t>
      </w:r>
      <w:r>
        <w:rPr>
          <w:snapToGrid w:val="0"/>
        </w:rPr>
        <w:t>.</w:t>
      </w:r>
      <w:r>
        <w:rPr>
          <w:snapToGrid w:val="0"/>
        </w:rPr>
        <w:tab/>
        <w:t>Functions under federal jurisdiction</w:t>
      </w:r>
      <w:bookmarkEnd w:id="5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1" w:name="_Toc189743062"/>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2" w:name="_Toc189743063"/>
      <w:r>
        <w:rPr>
          <w:rStyle w:val="CharSectno"/>
        </w:rPr>
        <w:lastRenderedPageBreak/>
        <w:t>32</w:t>
      </w:r>
      <w:r>
        <w:rPr>
          <w:snapToGrid w:val="0"/>
        </w:rPr>
        <w:t>.</w:t>
      </w:r>
      <w:r>
        <w:rPr>
          <w:snapToGrid w:val="0"/>
        </w:rPr>
        <w:tab/>
        <w:t>Judicial notice of signatures</w:t>
      </w:r>
      <w:bookmarkEnd w:id="5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3" w:name="_Toc189743064"/>
      <w:r>
        <w:rPr>
          <w:rStyle w:val="CharSectno"/>
        </w:rPr>
        <w:t>33</w:t>
      </w:r>
      <w:r>
        <w:rPr>
          <w:snapToGrid w:val="0"/>
        </w:rPr>
        <w:t>.</w:t>
      </w:r>
      <w:r>
        <w:rPr>
          <w:snapToGrid w:val="0"/>
        </w:rPr>
        <w:tab/>
      </w:r>
      <w:r>
        <w:t>Delegation of powers to registrars — FCFCAA s. 98</w:t>
      </w:r>
      <w:bookmarkEnd w:id="53"/>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pPr>
      <w:r>
        <w:tab/>
        <w:t>(3)</w:t>
      </w:r>
      <w:r>
        <w:tab/>
        <w:t xml:space="preserve">The following powers of the Court cannot be delegated to a registrar — </w:t>
      </w:r>
    </w:p>
    <w:p>
      <w:pPr>
        <w:pStyle w:val="Indenta"/>
      </w:pPr>
      <w:r>
        <w:tab/>
        <w:t>(a)</w:t>
      </w:r>
      <w:r>
        <w:tab/>
        <w:t>the power to make a divorce order in proceedings that are defended;</w:t>
      </w:r>
    </w:p>
    <w:p>
      <w:pPr>
        <w:pStyle w:val="Indenta"/>
      </w:pPr>
      <w:r>
        <w:tab/>
        <w:t>(b)</w:t>
      </w:r>
      <w:r>
        <w:tab/>
        <w:t>the power to make a decree of nullity of marriage;</w:t>
      </w:r>
    </w:p>
    <w:p>
      <w:pPr>
        <w:pStyle w:val="Indenta"/>
      </w:pPr>
      <w:r>
        <w:tab/>
        <w:t>(c)</w:t>
      </w:r>
      <w:r>
        <w:tab/>
        <w:t xml:space="preserve">the power to make a declaration as to the validity of — </w:t>
      </w:r>
    </w:p>
    <w:p>
      <w:pPr>
        <w:pStyle w:val="Indenti"/>
      </w:pPr>
      <w:r>
        <w:tab/>
        <w:t>(i)</w:t>
      </w:r>
      <w:r>
        <w:tab/>
        <w:t>a marriage; or</w:t>
      </w:r>
    </w:p>
    <w:p>
      <w:pPr>
        <w:pStyle w:val="Indenti"/>
      </w:pPr>
      <w:r>
        <w:tab/>
        <w:t>(ii)</w:t>
      </w:r>
      <w:r>
        <w:tab/>
        <w:t>a divorce; or</w:t>
      </w:r>
    </w:p>
    <w:p>
      <w:pPr>
        <w:pStyle w:val="Indenti"/>
      </w:pPr>
      <w:r>
        <w:tab/>
        <w:t>(iii)</w:t>
      </w:r>
      <w:r>
        <w:tab/>
        <w:t>the annulment of a marriage;</w:t>
      </w:r>
    </w:p>
    <w:p>
      <w:pPr>
        <w:pStyle w:val="Indenta"/>
      </w:pPr>
      <w:r>
        <w:tab/>
        <w:t>(d)</w:t>
      </w:r>
      <w:r>
        <w:tab/>
        <w:t>the power to make an excluded child order as defined in subsection (4A);</w:t>
      </w:r>
    </w:p>
    <w:p>
      <w:pPr>
        <w:pStyle w:val="Indenta"/>
      </w:pPr>
      <w:r>
        <w:tab/>
        <w:t>(e)</w:t>
      </w:r>
      <w:r>
        <w:tab/>
        <w:t>the power to make an order setting aside a registered award under section 65Q or 65R.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lastRenderedPageBreak/>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(ba)</w:t>
      </w:r>
      <w:r>
        <w:tab/>
        <w:t>an order made under section 205H; or</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lastRenderedPageBreak/>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 No. 49 of 2024 s. 10.]</w:t>
      </w:r>
    </w:p>
    <w:p>
      <w:pPr>
        <w:pStyle w:val="Heading5"/>
        <w:spacing w:before="200"/>
      </w:pPr>
      <w:bookmarkStart w:id="54" w:name="_Toc189743065"/>
      <w:r>
        <w:rPr>
          <w:rStyle w:val="CharSectno"/>
        </w:rPr>
        <w:lastRenderedPageBreak/>
        <w:t>33A</w:t>
      </w:r>
      <w:r>
        <w:t>.</w:t>
      </w:r>
      <w:r>
        <w:tab/>
      </w:r>
      <w:r>
        <w:rPr>
          <w:bCs/>
        </w:rPr>
        <w:t>Engagement of consultants and other persons</w:t>
      </w:r>
      <w:bookmarkEnd w:id="5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pPr>
      <w:bookmarkStart w:id="55" w:name="_Toc184390085"/>
      <w:bookmarkStart w:id="56" w:name="_Toc189743066"/>
      <w:r>
        <w:rPr>
          <w:rStyle w:val="CharSectno"/>
        </w:rPr>
        <w:t>33B</w:t>
      </w:r>
      <w:r>
        <w:t>.</w:t>
      </w:r>
      <w:r>
        <w:tab/>
        <w:t>Protection of registrars</w:t>
      </w:r>
      <w:bookmarkEnd w:id="55"/>
      <w:bookmarkEnd w:id="56"/>
    </w:p>
    <w:p>
      <w:pPr>
        <w:pStyle w:val="Subsection"/>
      </w:pPr>
      <w:r>
        <w:tab/>
        <w:t>(1)</w:t>
      </w:r>
      <w:r>
        <w:tab/>
        <w:t>In conducting a conference relating to a matter relevant to a proceeding, a registrar of the Court has the same protection and immunity as a judge has in performing the functions of a judge.</w:t>
      </w:r>
    </w:p>
    <w:p>
      <w:pPr>
        <w:pStyle w:val="Subsection"/>
      </w:pPr>
      <w:r>
        <w:tab/>
        <w:t>(2)</w:t>
      </w:r>
      <w:r>
        <w:tab/>
        <w:t>This section does not limit any other protection or immunity such a registrar has (in relation to such a conference or otherwise).</w:t>
      </w:r>
    </w:p>
    <w:p>
      <w:pPr>
        <w:pStyle w:val="Footnotesection"/>
      </w:pPr>
      <w:r>
        <w:tab/>
        <w:t>[Section 33B inserted: No. 49 of 2024 s. 11.]</w:t>
      </w:r>
    </w:p>
    <w:p>
      <w:pPr>
        <w:pStyle w:val="Heading3"/>
      </w:pPr>
      <w:bookmarkStart w:id="57" w:name="_Toc189558246"/>
      <w:bookmarkStart w:id="58" w:name="_Toc189653762"/>
      <w:bookmarkStart w:id="59" w:name="_Toc189743067"/>
      <w:r>
        <w:rPr>
          <w:rStyle w:val="CharDivNo"/>
        </w:rPr>
        <w:t>Division 4</w:t>
      </w:r>
      <w:r>
        <w:t> — </w:t>
      </w:r>
      <w:r>
        <w:rPr>
          <w:rStyle w:val="CharDivText"/>
        </w:rPr>
        <w:t>Administration of Court’s family services</w:t>
      </w:r>
      <w:bookmarkEnd w:id="57"/>
      <w:bookmarkEnd w:id="58"/>
      <w:bookmarkEnd w:id="59"/>
    </w:p>
    <w:p>
      <w:pPr>
        <w:pStyle w:val="Footnoteheading"/>
        <w:spacing w:before="100"/>
      </w:pPr>
      <w:r>
        <w:tab/>
        <w:t>[Heading inserted: No. 35 of 2006 s. 112.]</w:t>
      </w:r>
    </w:p>
    <w:p>
      <w:pPr>
        <w:pStyle w:val="Heading5"/>
        <w:spacing w:before="200"/>
      </w:pPr>
      <w:bookmarkStart w:id="60" w:name="_Toc189743068"/>
      <w:r>
        <w:rPr>
          <w:rStyle w:val="CharSectno"/>
        </w:rPr>
        <w:t>34</w:t>
      </w:r>
      <w:r>
        <w:t>.</w:t>
      </w:r>
      <w:r>
        <w:tab/>
      </w:r>
      <w:r>
        <w:rPr>
          <w:bCs/>
        </w:rPr>
        <w:t>Director of Court Counselling has functions of family consultants — FCFCAA s. 278</w:t>
      </w:r>
      <w:bookmarkEnd w:id="60"/>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lastRenderedPageBreak/>
        <w:tab/>
        <w:t>[Section 34 inserted: No. 35 of 2006 s. 112.]</w:t>
      </w:r>
    </w:p>
    <w:p>
      <w:pPr>
        <w:pStyle w:val="Heading5"/>
      </w:pPr>
      <w:bookmarkStart w:id="61" w:name="_Toc189743069"/>
      <w:r>
        <w:rPr>
          <w:rStyle w:val="CharSectno"/>
        </w:rPr>
        <w:t>34A</w:t>
      </w:r>
      <w:r>
        <w:t>.</w:t>
      </w:r>
      <w:r>
        <w:tab/>
      </w:r>
      <w:r>
        <w:rPr>
          <w:bCs/>
        </w:rPr>
        <w:t>Director of Court Counselling may delegate powers and functions that relate to family consultants — FCFCAA s. 279</w:t>
      </w:r>
      <w:bookmarkEnd w:id="6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2" w:name="_Toc189743070"/>
      <w:r>
        <w:rPr>
          <w:rStyle w:val="CharSectno"/>
        </w:rPr>
        <w:t>34B</w:t>
      </w:r>
      <w:r>
        <w:t>.</w:t>
      </w:r>
      <w:r>
        <w:tab/>
      </w:r>
      <w:r>
        <w:rPr>
          <w:bCs/>
        </w:rPr>
        <w:t>Director of Court Counselling may give directions that relate to family services functions — FCFCAA s. 280</w:t>
      </w:r>
      <w:bookmarkEnd w:id="62"/>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3" w:name="_Toc189743071"/>
      <w:r>
        <w:rPr>
          <w:rStyle w:val="CharSectno"/>
        </w:rPr>
        <w:t>34C</w:t>
      </w:r>
      <w:r>
        <w:t>.</w:t>
      </w:r>
      <w:r>
        <w:tab/>
      </w:r>
      <w:r>
        <w:rPr>
          <w:bCs/>
        </w:rPr>
        <w:t>Director of Court Counselling may authorise officer or staff member to act as family counsellor or family dispute resolution practitioner — FCFCAA s. 281</w:t>
      </w:r>
      <w:bookmarkEnd w:id="63"/>
    </w:p>
    <w:p>
      <w:pPr>
        <w:pStyle w:val="Subsection"/>
      </w:pPr>
      <w:r>
        <w:tab/>
        <w:t>(1)</w:t>
      </w:r>
      <w:r>
        <w:tab/>
        <w:t>The Director of Court Counselling may authorise an officer of the Court or a staff member to provide family counselling under this Act.</w:t>
      </w:r>
    </w:p>
    <w:p>
      <w:pPr>
        <w:pStyle w:val="Subsection"/>
      </w:pPr>
      <w:r>
        <w:lastRenderedPageBreak/>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4" w:name="_Toc189743072"/>
      <w:r>
        <w:rPr>
          <w:rStyle w:val="CharSectno"/>
        </w:rPr>
        <w:t>34D</w:t>
      </w:r>
      <w:r>
        <w:t>.</w:t>
      </w:r>
      <w:r>
        <w:tab/>
      </w:r>
      <w:r>
        <w:rPr>
          <w:bCs/>
        </w:rPr>
        <w:t>Director of Court Counselling may engage persons to perform family counselling services or family dispute resolution services</w:t>
      </w:r>
      <w:bookmarkEnd w:id="64"/>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5" w:name="_Toc189558252"/>
      <w:bookmarkStart w:id="66" w:name="_Toc189653768"/>
      <w:bookmarkStart w:id="67" w:name="_Toc189743073"/>
      <w:r>
        <w:rPr>
          <w:rStyle w:val="CharPartNo"/>
        </w:rPr>
        <w:lastRenderedPageBreak/>
        <w:t>Part 3</w:t>
      </w:r>
      <w:r>
        <w:t> — </w:t>
      </w:r>
      <w:r>
        <w:rPr>
          <w:rStyle w:val="CharPartText"/>
        </w:rPr>
        <w:t>Jurisdiction of courts and transfer, staying and dismissal of proceedings</w:t>
      </w:r>
      <w:bookmarkEnd w:id="65"/>
      <w:bookmarkEnd w:id="66"/>
      <w:bookmarkEnd w:id="67"/>
      <w:r>
        <w:rPr>
          <w:rStyle w:val="CharPartText"/>
        </w:rPr>
        <w:t xml:space="preserve"> </w:t>
      </w:r>
    </w:p>
    <w:p>
      <w:pPr>
        <w:pStyle w:val="Heading3"/>
        <w:rPr>
          <w:snapToGrid w:val="0"/>
        </w:rPr>
      </w:pPr>
      <w:bookmarkStart w:id="68" w:name="_Toc189558253"/>
      <w:bookmarkStart w:id="69" w:name="_Toc189653769"/>
      <w:bookmarkStart w:id="70" w:name="_Toc189743074"/>
      <w:r>
        <w:rPr>
          <w:rStyle w:val="CharDivNo"/>
        </w:rPr>
        <w:t>Division 1</w:t>
      </w:r>
      <w:r>
        <w:rPr>
          <w:snapToGrid w:val="0"/>
        </w:rPr>
        <w:t> — </w:t>
      </w:r>
      <w:r>
        <w:rPr>
          <w:rStyle w:val="CharDivText"/>
        </w:rPr>
        <w:t>Jurisdiction of the Family Court</w:t>
      </w:r>
      <w:bookmarkEnd w:id="68"/>
      <w:bookmarkEnd w:id="69"/>
      <w:bookmarkEnd w:id="70"/>
      <w:r>
        <w:rPr>
          <w:rStyle w:val="CharDivText"/>
        </w:rPr>
        <w:t xml:space="preserve"> </w:t>
      </w:r>
    </w:p>
    <w:p>
      <w:pPr>
        <w:pStyle w:val="Heading5"/>
        <w:rPr>
          <w:snapToGrid w:val="0"/>
        </w:rPr>
      </w:pPr>
      <w:bookmarkStart w:id="71" w:name="_Toc189743075"/>
      <w:r>
        <w:rPr>
          <w:rStyle w:val="CharSectno"/>
        </w:rPr>
        <w:t>35</w:t>
      </w:r>
      <w:r>
        <w:rPr>
          <w:snapToGrid w:val="0"/>
        </w:rPr>
        <w:t>.</w:t>
      </w:r>
      <w:r>
        <w:rPr>
          <w:snapToGrid w:val="0"/>
        </w:rPr>
        <w:tab/>
        <w:t>Federal jurisdiction of Court</w:t>
      </w:r>
      <w:bookmarkEnd w:id="71"/>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2" w:name="_Toc189743076"/>
      <w:r>
        <w:rPr>
          <w:rStyle w:val="CharSectno"/>
        </w:rPr>
        <w:t>36</w:t>
      </w:r>
      <w:r>
        <w:rPr>
          <w:snapToGrid w:val="0"/>
        </w:rPr>
        <w:t>.</w:t>
      </w:r>
      <w:r>
        <w:rPr>
          <w:snapToGrid w:val="0"/>
        </w:rPr>
        <w:tab/>
        <w:t>Non</w:t>
      </w:r>
      <w:r>
        <w:rPr>
          <w:snapToGrid w:val="0"/>
        </w:rPr>
        <w:noBreakHyphen/>
        <w:t>federal jurisdictions of Court</w:t>
      </w:r>
      <w:bookmarkEnd w:id="7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73" w:name="_Toc189743077"/>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3"/>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lastRenderedPageBreak/>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 No. 49 of 2024 s. 12.]</w:t>
      </w:r>
    </w:p>
    <w:p>
      <w:pPr>
        <w:pStyle w:val="Heading3"/>
        <w:rPr>
          <w:snapToGrid w:val="0"/>
        </w:rPr>
      </w:pPr>
      <w:bookmarkStart w:id="74" w:name="_Toc189558257"/>
      <w:bookmarkStart w:id="75" w:name="_Toc189653773"/>
      <w:bookmarkStart w:id="76" w:name="_Toc189743078"/>
      <w:r>
        <w:rPr>
          <w:rStyle w:val="CharDivNo"/>
        </w:rPr>
        <w:t>Division 2</w:t>
      </w:r>
      <w:r>
        <w:rPr>
          <w:snapToGrid w:val="0"/>
        </w:rPr>
        <w:t> — </w:t>
      </w:r>
      <w:r>
        <w:rPr>
          <w:rStyle w:val="CharDivText"/>
        </w:rPr>
        <w:t>Jurisdiction of courts of summary jurisdiction</w:t>
      </w:r>
      <w:bookmarkEnd w:id="74"/>
      <w:bookmarkEnd w:id="75"/>
      <w:bookmarkEnd w:id="76"/>
      <w:r>
        <w:rPr>
          <w:rStyle w:val="CharDivText"/>
        </w:rPr>
        <w:t xml:space="preserve"> </w:t>
      </w:r>
    </w:p>
    <w:p>
      <w:pPr>
        <w:pStyle w:val="Heading5"/>
        <w:rPr>
          <w:snapToGrid w:val="0"/>
        </w:rPr>
      </w:pPr>
      <w:bookmarkStart w:id="77" w:name="_Toc189743079"/>
      <w:r>
        <w:rPr>
          <w:rStyle w:val="CharSectno"/>
        </w:rPr>
        <w:t>38</w:t>
      </w:r>
      <w:r>
        <w:rPr>
          <w:snapToGrid w:val="0"/>
        </w:rPr>
        <w:t>.</w:t>
      </w:r>
      <w:r>
        <w:rPr>
          <w:snapToGrid w:val="0"/>
        </w:rPr>
        <w:tab/>
        <w:t>Federal jurisdiction of courts of summary jurisdiction</w:t>
      </w:r>
      <w:bookmarkEnd w:id="7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8" w:name="_Toc189743080"/>
      <w:r>
        <w:rPr>
          <w:rStyle w:val="CharSectno"/>
        </w:rPr>
        <w:t>39</w:t>
      </w:r>
      <w:r>
        <w:rPr>
          <w:snapToGrid w:val="0"/>
        </w:rPr>
        <w:t>.</w:t>
      </w:r>
      <w:r>
        <w:rPr>
          <w:snapToGrid w:val="0"/>
        </w:rPr>
        <w:tab/>
        <w:t>Non</w:t>
      </w:r>
      <w:r>
        <w:rPr>
          <w:snapToGrid w:val="0"/>
        </w:rPr>
        <w:noBreakHyphen/>
        <w:t>federal jurisdictions of courts of summary jurisdiction</w:t>
      </w:r>
      <w:bookmarkEnd w:id="7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79" w:name="_Toc189743081"/>
      <w:r>
        <w:rPr>
          <w:rStyle w:val="CharSectno"/>
        </w:rPr>
        <w:lastRenderedPageBreak/>
        <w:t>40</w:t>
      </w:r>
      <w:r>
        <w:rPr>
          <w:snapToGrid w:val="0"/>
        </w:rPr>
        <w:t>.</w:t>
      </w:r>
      <w:r>
        <w:rPr>
          <w:snapToGrid w:val="0"/>
        </w:rPr>
        <w:tab/>
        <w:t>Functions of officers of courts of summary jurisdiction</w:t>
      </w:r>
      <w:bookmarkEnd w:id="7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80" w:name="_Toc189558261"/>
      <w:bookmarkStart w:id="81" w:name="_Toc189653777"/>
      <w:bookmarkStart w:id="82" w:name="_Toc189743082"/>
      <w:r>
        <w:rPr>
          <w:rStyle w:val="CharDivNo"/>
        </w:rPr>
        <w:t>Division 3</w:t>
      </w:r>
      <w:r>
        <w:rPr>
          <w:snapToGrid w:val="0"/>
        </w:rPr>
        <w:t> — </w:t>
      </w:r>
      <w:r>
        <w:rPr>
          <w:rStyle w:val="CharDivText"/>
        </w:rPr>
        <w:t>Jurisdiction of other courts</w:t>
      </w:r>
      <w:bookmarkEnd w:id="80"/>
      <w:bookmarkEnd w:id="81"/>
      <w:bookmarkEnd w:id="82"/>
      <w:r>
        <w:rPr>
          <w:rStyle w:val="CharDivText"/>
        </w:rPr>
        <w:t xml:space="preserve"> </w:t>
      </w:r>
    </w:p>
    <w:p>
      <w:pPr>
        <w:pStyle w:val="Heading5"/>
        <w:rPr>
          <w:snapToGrid w:val="0"/>
        </w:rPr>
      </w:pPr>
      <w:bookmarkStart w:id="83" w:name="_Toc189743083"/>
      <w:r>
        <w:rPr>
          <w:rStyle w:val="CharSectno"/>
        </w:rPr>
        <w:t>41</w:t>
      </w:r>
      <w:r>
        <w:rPr>
          <w:snapToGrid w:val="0"/>
        </w:rPr>
        <w:t>.</w:t>
      </w:r>
      <w:r>
        <w:rPr>
          <w:snapToGrid w:val="0"/>
        </w:rPr>
        <w:tab/>
        <w:t>Courts making family violence orders have certain jurisdiction under this Act</w:t>
      </w:r>
      <w:bookmarkEnd w:id="83"/>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4" w:name="_Toc189558263"/>
      <w:bookmarkStart w:id="85" w:name="_Toc189653779"/>
      <w:bookmarkStart w:id="86" w:name="_Toc189743084"/>
      <w:r>
        <w:rPr>
          <w:rStyle w:val="CharDivNo"/>
        </w:rPr>
        <w:t>Division 4</w:t>
      </w:r>
      <w:r>
        <w:rPr>
          <w:snapToGrid w:val="0"/>
        </w:rPr>
        <w:t> — </w:t>
      </w:r>
      <w:r>
        <w:rPr>
          <w:rStyle w:val="CharDivText"/>
        </w:rPr>
        <w:t>Transfer, staying and dismissal of proceedings</w:t>
      </w:r>
      <w:bookmarkEnd w:id="84"/>
      <w:bookmarkEnd w:id="85"/>
      <w:bookmarkEnd w:id="86"/>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87" w:name="_Toc189743085"/>
      <w:r>
        <w:rPr>
          <w:rStyle w:val="CharSectno"/>
        </w:rPr>
        <w:t>43</w:t>
      </w:r>
      <w:r>
        <w:rPr>
          <w:snapToGrid w:val="0"/>
        </w:rPr>
        <w:t>.</w:t>
      </w:r>
      <w:r>
        <w:rPr>
          <w:snapToGrid w:val="0"/>
        </w:rPr>
        <w:tab/>
      </w:r>
      <w:r>
        <w:t>Transfer of proceedings from Magistrates Court in parenting cases</w:t>
      </w:r>
      <w:bookmarkEnd w:id="87"/>
    </w:p>
    <w:p>
      <w:pPr>
        <w:pStyle w:val="Subsection"/>
      </w:pPr>
      <w:r>
        <w:tab/>
        <w:t>(1)</w:t>
      </w:r>
      <w:r>
        <w:tab/>
        <w:t xml:space="preserve">This section applies if — </w:t>
      </w:r>
    </w:p>
    <w:p>
      <w:pPr>
        <w:pStyle w:val="Indenta"/>
      </w:pPr>
      <w:r>
        <w:lastRenderedPageBreak/>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Indenta"/>
      </w:pPr>
      <w:r>
        <w:tab/>
        <w:t>(b)</w:t>
      </w:r>
      <w:r>
        <w:tab/>
        <w:t>the court is not constituted by a family law magistrate; and</w:t>
      </w:r>
    </w:p>
    <w:p>
      <w:pPr>
        <w:pStyle w:val="Indenta"/>
      </w:pPr>
      <w:r>
        <w:tab/>
        <w:t>(c)</w:t>
      </w:r>
      <w:r>
        <w:tab/>
        <w:t>the respondent, in answer to the application by which the proceedings were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pPr>
      <w:r>
        <w:tab/>
        <w:t>(3A)</w:t>
      </w:r>
      <w:r>
        <w:tab/>
        <w:t>Before transferring the proceedings, the court may make such orders (including an order under section 65K(1)) as it considers necessary pending the disposal of the proceedings by the Court.</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Ednotesubsection"/>
      </w:pPr>
      <w:r>
        <w:t>[(4a), (4b)</w:t>
      </w:r>
      <w:r>
        <w:tab/>
        <w:t>deleted]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lastRenderedPageBreak/>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pPr>
        <w:pStyle w:val="Ednotesubsection"/>
      </w:pPr>
      <w:r>
        <w:tab/>
        <w:t>[(9)</w:t>
      </w:r>
      <w:r>
        <w:tab/>
        <w:t>deleted]</w:t>
      </w:r>
    </w:p>
    <w:p>
      <w:pPr>
        <w:pStyle w:val="Footnotesection"/>
        <w:spacing w:before="100"/>
      </w:pPr>
      <w:r>
        <w:tab/>
        <w:t>[Section 43 amended: No. 25 of 2002 s. 34; No. 59 of 2004 s. 93 and 95; No. 35 of 2006 s. 36; No. 49 of 2024 s. 13.]</w:t>
      </w:r>
    </w:p>
    <w:p>
      <w:pPr>
        <w:pStyle w:val="Heading5"/>
      </w:pPr>
      <w:bookmarkStart w:id="88" w:name="_Toc189743086"/>
      <w:r>
        <w:rPr>
          <w:rStyle w:val="CharSectno"/>
        </w:rPr>
        <w:t>43A</w:t>
      </w:r>
      <w:r>
        <w:t>.</w:t>
      </w:r>
      <w:r>
        <w:tab/>
        <w:t>Transfer of proceedings from Magistrates Court in cases in relation to property — FLA s. 46</w:t>
      </w:r>
      <w:bookmarkEnd w:id="88"/>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were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lastRenderedPageBreak/>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the Court in pursuance of this section, the Court must proceed as if the proceedings had been originally instituted in the Court.</w:t>
      </w:r>
    </w:p>
    <w:p>
      <w:pPr>
        <w:pStyle w:val="Subsection"/>
        <w:keepNext/>
      </w:pPr>
      <w:r>
        <w:tab/>
        <w:t>(8)</w:t>
      </w:r>
      <w:r>
        <w:tab/>
        <w:t>Failure by the court to comply with this section does not invalidate any order of the court in the proceedings.</w:t>
      </w:r>
    </w:p>
    <w:p>
      <w:pPr>
        <w:pStyle w:val="Subsection"/>
      </w:pPr>
      <w:r>
        <w:tab/>
        <w:t>(9)</w:t>
      </w:r>
      <w:r>
        <w:tab/>
        <w:t>Subsection (8) does not affect the duty of the court to comply with this section.</w:t>
      </w:r>
    </w:p>
    <w:p>
      <w:pPr>
        <w:pStyle w:val="Footnotesection"/>
      </w:pPr>
      <w:r>
        <w:tab/>
        <w:t>[Section 43A inserted: No. 25 of 2002 s. 35; amended: No. 59 of 2004 s. 94; No. 49 of 2024 s. 14.]</w:t>
      </w:r>
    </w:p>
    <w:p>
      <w:pPr>
        <w:pStyle w:val="Heading5"/>
      </w:pPr>
      <w:bookmarkStart w:id="89" w:name="_Toc184390090"/>
      <w:bookmarkStart w:id="90" w:name="_Toc189743087"/>
      <w:r>
        <w:rPr>
          <w:rStyle w:val="CharSectno"/>
        </w:rPr>
        <w:t>43B</w:t>
      </w:r>
      <w:r>
        <w:t>.</w:t>
      </w:r>
      <w:r>
        <w:tab/>
        <w:t>Transfer of proceedings to the Court — FLA s. 46(3A)</w:t>
      </w:r>
      <w:bookmarkEnd w:id="89"/>
      <w:bookmarkEnd w:id="90"/>
    </w:p>
    <w:p>
      <w:pPr>
        <w:pStyle w:val="Subsection"/>
      </w:pPr>
      <w:r>
        <w:tab/>
      </w:r>
      <w:r>
        <w:tab/>
        <w:t xml:space="preserve">If proceedings under this Act are pending in the Magistrates Court, and the Magistrates Court is not constituted by a family law magistrate, the Court may, on the application of a party or </w:t>
      </w:r>
      <w:r>
        <w:lastRenderedPageBreak/>
        <w:t>of its own motion, order that the proceedings be removed to the Court.</w:t>
      </w:r>
    </w:p>
    <w:p>
      <w:pPr>
        <w:pStyle w:val="Footnotesection"/>
      </w:pPr>
      <w:r>
        <w:tab/>
        <w:t>[Section 43B inserted: No. 49 of 2024 s. 15.]</w:t>
      </w:r>
    </w:p>
    <w:p>
      <w:pPr>
        <w:pStyle w:val="Heading5"/>
        <w:rPr>
          <w:snapToGrid w:val="0"/>
        </w:rPr>
      </w:pPr>
      <w:bookmarkStart w:id="91" w:name="_Toc189743088"/>
      <w:r>
        <w:rPr>
          <w:rStyle w:val="CharSectno"/>
        </w:rPr>
        <w:t>44</w:t>
      </w:r>
      <w:r>
        <w:rPr>
          <w:snapToGrid w:val="0"/>
        </w:rPr>
        <w:t>.</w:t>
      </w:r>
      <w:r>
        <w:rPr>
          <w:snapToGrid w:val="0"/>
        </w:rPr>
        <w:tab/>
        <w:t>Transfer of proceedings to another court — FLA s. 45(2)</w:t>
      </w:r>
      <w:bookmarkEnd w:id="91"/>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2" w:name="_Toc189743089"/>
      <w:r>
        <w:rPr>
          <w:rStyle w:val="CharSectno"/>
        </w:rPr>
        <w:t>45</w:t>
      </w:r>
      <w:r>
        <w:rPr>
          <w:snapToGrid w:val="0"/>
        </w:rPr>
        <w:t>.</w:t>
      </w:r>
      <w:r>
        <w:rPr>
          <w:snapToGrid w:val="0"/>
        </w:rPr>
        <w:tab/>
        <w:t>Stay or dismissal of proceedings</w:t>
      </w:r>
      <w:bookmarkEnd w:id="92"/>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lastRenderedPageBreak/>
        <w:tab/>
        <w:t>[Section 45 amended: No. 59 of 2004 s. 95; No. 28 of 2022 s. 7.]</w:t>
      </w:r>
    </w:p>
    <w:p>
      <w:pPr>
        <w:pStyle w:val="Heading5"/>
        <w:rPr>
          <w:snapToGrid w:val="0"/>
        </w:rPr>
      </w:pPr>
      <w:bookmarkStart w:id="93" w:name="_Toc189743090"/>
      <w:r>
        <w:rPr>
          <w:rStyle w:val="CharSectno"/>
        </w:rPr>
        <w:t>46</w:t>
      </w:r>
      <w:r>
        <w:rPr>
          <w:snapToGrid w:val="0"/>
        </w:rPr>
        <w:t>.</w:t>
      </w:r>
      <w:r>
        <w:rPr>
          <w:snapToGrid w:val="0"/>
        </w:rPr>
        <w:tab/>
        <w:t>Orders on transfer or staying proceedings</w:t>
      </w:r>
      <w:bookmarkEnd w:id="93"/>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4" w:name="_Toc189743091"/>
      <w:r>
        <w:rPr>
          <w:rStyle w:val="CharSectno"/>
        </w:rPr>
        <w:lastRenderedPageBreak/>
        <w:t>46A</w:t>
      </w:r>
      <w:r>
        <w:t>.</w:t>
      </w:r>
      <w:r>
        <w:tab/>
      </w:r>
      <w:r>
        <w:rPr>
          <w:bCs/>
        </w:rPr>
        <w:t>Change of venue — FCFCAA s. 65</w:t>
      </w:r>
      <w:bookmarkEnd w:id="94"/>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5" w:name="_Toc189558270"/>
      <w:bookmarkStart w:id="96" w:name="_Toc189653787"/>
      <w:bookmarkStart w:id="97" w:name="_Toc189743092"/>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5"/>
      <w:bookmarkEnd w:id="96"/>
      <w:bookmarkEnd w:id="97"/>
    </w:p>
    <w:p>
      <w:pPr>
        <w:pStyle w:val="Footnoteheading"/>
      </w:pPr>
      <w:r>
        <w:tab/>
        <w:t>[Heading inserted: No. 35 of 2006 s. 115.]</w:t>
      </w:r>
    </w:p>
    <w:p>
      <w:pPr>
        <w:pStyle w:val="Heading3"/>
      </w:pPr>
      <w:bookmarkStart w:id="98" w:name="_Toc189558271"/>
      <w:bookmarkStart w:id="99" w:name="_Toc189653788"/>
      <w:bookmarkStart w:id="100" w:name="_Toc189743093"/>
      <w:r>
        <w:rPr>
          <w:rStyle w:val="CharDivNo"/>
        </w:rPr>
        <w:t>Division 1</w:t>
      </w:r>
      <w:r>
        <w:t> — </w:t>
      </w:r>
      <w:r>
        <w:rPr>
          <w:rStyle w:val="CharDivText"/>
        </w:rPr>
        <w:t>Family counselling</w:t>
      </w:r>
      <w:bookmarkEnd w:id="98"/>
      <w:bookmarkEnd w:id="99"/>
      <w:bookmarkEnd w:id="100"/>
    </w:p>
    <w:p>
      <w:pPr>
        <w:pStyle w:val="Footnoteheading"/>
      </w:pPr>
      <w:r>
        <w:tab/>
        <w:t>[Heading inserted: No. 35 of 2006 s. 115.]</w:t>
      </w:r>
    </w:p>
    <w:p>
      <w:pPr>
        <w:pStyle w:val="Heading5"/>
      </w:pPr>
      <w:bookmarkStart w:id="101" w:name="_Toc189743094"/>
      <w:r>
        <w:rPr>
          <w:rStyle w:val="CharSectno"/>
        </w:rPr>
        <w:t>47</w:t>
      </w:r>
      <w:r>
        <w:t>.</w:t>
      </w:r>
      <w:r>
        <w:tab/>
        <w:t>Term used: family counselling — FLA s. 10B</w:t>
      </w:r>
      <w:bookmarkEnd w:id="10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Defpara"/>
      </w:pPr>
      <w:r>
        <w:tab/>
      </w:r>
      <w:r>
        <w:tab/>
        <w:t>or</w:t>
      </w:r>
    </w:p>
    <w:p>
      <w:pPr>
        <w:pStyle w:val="Defpara"/>
      </w:pPr>
      <w:r>
        <w:tab/>
        <w:t>(c)</w:t>
      </w:r>
      <w:r>
        <w:tab/>
        <w:t>one or more persons who may apply for a parenting order under section 88 to deal with issues relating to the care of children.</w:t>
      </w:r>
    </w:p>
    <w:p>
      <w:pPr>
        <w:pStyle w:val="Footnotesection"/>
      </w:pPr>
      <w:r>
        <w:tab/>
        <w:t>[Section 47 inserted: No. 35 of 2006 s. 115; amended: No. 49 of 2024 s. 16.]</w:t>
      </w:r>
    </w:p>
    <w:p>
      <w:pPr>
        <w:pStyle w:val="Heading5"/>
      </w:pPr>
      <w:bookmarkStart w:id="102" w:name="_Toc189743095"/>
      <w:r>
        <w:rPr>
          <w:rStyle w:val="CharSectno"/>
        </w:rPr>
        <w:t>48</w:t>
      </w:r>
      <w:r>
        <w:t>.</w:t>
      </w:r>
      <w:r>
        <w:tab/>
        <w:t>Term used: family counsellor — FLA s. 10C</w:t>
      </w:r>
      <w:bookmarkEnd w:id="102"/>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lastRenderedPageBreak/>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03" w:name="_Toc189743096"/>
      <w:r>
        <w:rPr>
          <w:rStyle w:val="CharSectno"/>
        </w:rPr>
        <w:t>49</w:t>
      </w:r>
      <w:r>
        <w:t>.</w:t>
      </w:r>
      <w:r>
        <w:tab/>
        <w:t>Confidentiality of communications in family counselling — FLA s. 10D</w:t>
      </w:r>
      <w:bookmarkEnd w:id="103"/>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lastRenderedPageBreak/>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4" w:name="_Toc189743097"/>
      <w:r>
        <w:rPr>
          <w:rStyle w:val="CharSectno"/>
        </w:rPr>
        <w:t>50</w:t>
      </w:r>
      <w:r>
        <w:t>.</w:t>
      </w:r>
      <w:r>
        <w:tab/>
        <w:t>Admissibility of communications in family counselling and in referrals from family counselling — FLA s. 10E</w:t>
      </w:r>
      <w:bookmarkEnd w:id="10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lastRenderedPageBreak/>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5" w:name="_Toc189558276"/>
      <w:bookmarkStart w:id="106" w:name="_Toc189653793"/>
      <w:bookmarkStart w:id="107" w:name="_Toc189743098"/>
      <w:r>
        <w:rPr>
          <w:rStyle w:val="CharDivNo"/>
        </w:rPr>
        <w:t>Division 2</w:t>
      </w:r>
      <w:r>
        <w:t> — </w:t>
      </w:r>
      <w:r>
        <w:rPr>
          <w:rStyle w:val="CharDivText"/>
        </w:rPr>
        <w:t>Family dispute resolution</w:t>
      </w:r>
      <w:bookmarkEnd w:id="105"/>
      <w:bookmarkEnd w:id="106"/>
      <w:bookmarkEnd w:id="107"/>
    </w:p>
    <w:p>
      <w:pPr>
        <w:pStyle w:val="Footnoteheading"/>
      </w:pPr>
      <w:r>
        <w:tab/>
        <w:t>[Heading inserted: No. 35 of 2006 s. 115.]</w:t>
      </w:r>
    </w:p>
    <w:p>
      <w:pPr>
        <w:pStyle w:val="Heading5"/>
      </w:pPr>
      <w:bookmarkStart w:id="108" w:name="_Toc189743099"/>
      <w:r>
        <w:rPr>
          <w:rStyle w:val="CharSectno"/>
        </w:rPr>
        <w:t>51</w:t>
      </w:r>
      <w:r>
        <w:t>.</w:t>
      </w:r>
      <w:r>
        <w:tab/>
        <w:t>Term used: family dispute resolution — FLA s. 10F</w:t>
      </w:r>
      <w:bookmarkEnd w:id="10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 xml:space="preserve">in which a family dispute resolution practitioner — </w:t>
      </w:r>
    </w:p>
    <w:p>
      <w:pPr>
        <w:pStyle w:val="Defsubpara"/>
      </w:pPr>
      <w:r>
        <w:tab/>
        <w:t>(i)</w:t>
      </w:r>
      <w:r>
        <w:tab/>
        <w:t xml:space="preserve">helps people affected, or likely to be affected, by the breakdown of a relationship covered by this Act to resolve some or all of their disputes with each other; or </w:t>
      </w:r>
    </w:p>
    <w:p>
      <w:pPr>
        <w:pStyle w:val="Defsubpara"/>
      </w:pPr>
      <w:r>
        <w:lastRenderedPageBreak/>
        <w:tab/>
        <w:t>(ii)</w:t>
      </w:r>
      <w:r>
        <w:tab/>
        <w:t xml:space="preserve">helps persons who may apply for a parenting order under section 88 to resolve some or all of their disputes with each other relating to the care of children; </w:t>
      </w:r>
    </w:p>
    <w:p>
      <w:pPr>
        <w:pStyle w:val="Defpara"/>
      </w:pPr>
      <w:r>
        <w:tab/>
      </w:r>
      <w:r>
        <w:tab/>
        <w:t>and</w:t>
      </w:r>
    </w:p>
    <w:p>
      <w:pPr>
        <w:pStyle w:val="Defpara"/>
      </w:pPr>
      <w:r>
        <w:tab/>
        <w:t>(b)</w:t>
      </w:r>
      <w:r>
        <w:tab/>
        <w:t>in which the practitioner is independent of all of the parties involved in the process.</w:t>
      </w:r>
    </w:p>
    <w:p>
      <w:pPr>
        <w:pStyle w:val="Footnotesection"/>
      </w:pPr>
      <w:r>
        <w:tab/>
        <w:t>[Section 51 inserted: No. 35 of 2006 s. 115; amended: No. 49 of 2024 s. 17.]</w:t>
      </w:r>
    </w:p>
    <w:p>
      <w:pPr>
        <w:pStyle w:val="Heading5"/>
      </w:pPr>
      <w:bookmarkStart w:id="109" w:name="_Toc189743100"/>
      <w:r>
        <w:rPr>
          <w:rStyle w:val="CharSectno"/>
        </w:rPr>
        <w:t>52</w:t>
      </w:r>
      <w:r>
        <w:t>.</w:t>
      </w:r>
      <w:r>
        <w:tab/>
        <w:t>Term used: family dispute resolution practitioner — FLA s. 10G</w:t>
      </w:r>
      <w:bookmarkEnd w:id="10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10" w:name="_Toc189743101"/>
      <w:r>
        <w:rPr>
          <w:rStyle w:val="CharSectno"/>
        </w:rPr>
        <w:t>53</w:t>
      </w:r>
      <w:r>
        <w:t>.</w:t>
      </w:r>
      <w:r>
        <w:tab/>
        <w:t>Confidentiality of communications in family dispute resolution — FLA s. 10H</w:t>
      </w:r>
      <w:bookmarkEnd w:id="11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lastRenderedPageBreak/>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lastRenderedPageBreak/>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11" w:name="_Toc189743102"/>
      <w:r>
        <w:rPr>
          <w:rStyle w:val="CharSectno"/>
        </w:rPr>
        <w:t>54</w:t>
      </w:r>
      <w:r>
        <w:t>.</w:t>
      </w:r>
      <w:r>
        <w:tab/>
        <w:t>Admissibility of communications in family dispute resolution and in referrals from family dispute resolution — FLA s. 10J</w:t>
      </w:r>
      <w:bookmarkEnd w:id="11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lastRenderedPageBreak/>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12" w:name="_Toc189743103"/>
      <w:r>
        <w:rPr>
          <w:rStyle w:val="CharSectno"/>
        </w:rPr>
        <w:t>55</w:t>
      </w:r>
      <w:r>
        <w:t>.</w:t>
      </w:r>
      <w:r>
        <w:tab/>
        <w:t>Family dispute resolution practitioners must comply with regulations — FLA s. 10K</w:t>
      </w:r>
      <w:bookmarkEnd w:id="112"/>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13" w:name="_Toc189558282"/>
      <w:bookmarkStart w:id="114" w:name="_Toc189653799"/>
      <w:bookmarkStart w:id="115" w:name="_Toc189743104"/>
      <w:r>
        <w:rPr>
          <w:rStyle w:val="CharDivNo"/>
        </w:rPr>
        <w:t>Division 3</w:t>
      </w:r>
      <w:r>
        <w:t> — </w:t>
      </w:r>
      <w:r>
        <w:rPr>
          <w:rStyle w:val="CharDivText"/>
        </w:rPr>
        <w:t>Arbitration</w:t>
      </w:r>
      <w:bookmarkEnd w:id="113"/>
      <w:bookmarkEnd w:id="114"/>
      <w:bookmarkEnd w:id="115"/>
    </w:p>
    <w:p>
      <w:pPr>
        <w:pStyle w:val="Footnoteheading"/>
      </w:pPr>
      <w:r>
        <w:tab/>
        <w:t>[Heading inserted: No. 35 of 2006 s. 115.]</w:t>
      </w:r>
    </w:p>
    <w:p>
      <w:pPr>
        <w:pStyle w:val="Heading5"/>
      </w:pPr>
      <w:bookmarkStart w:id="116" w:name="_Toc189743105"/>
      <w:r>
        <w:rPr>
          <w:rStyle w:val="CharSectno"/>
        </w:rPr>
        <w:t>56</w:t>
      </w:r>
      <w:r>
        <w:t>.</w:t>
      </w:r>
      <w:r>
        <w:tab/>
        <w:t xml:space="preserve">Meaning of </w:t>
      </w:r>
      <w:r>
        <w:rPr>
          <w:i/>
        </w:rPr>
        <w:t>arbitration</w:t>
      </w:r>
      <w:r>
        <w:t> — FLA s. 10L</w:t>
      </w:r>
      <w:bookmarkEnd w:id="116"/>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lastRenderedPageBreak/>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7" w:name="_Toc189743106"/>
      <w:r>
        <w:rPr>
          <w:rStyle w:val="CharSectno"/>
        </w:rPr>
        <w:t>57</w:t>
      </w:r>
      <w:r>
        <w:t>.</w:t>
      </w:r>
      <w:r>
        <w:tab/>
        <w:t xml:space="preserve">Meaning of </w:t>
      </w:r>
      <w:r>
        <w:rPr>
          <w:i/>
        </w:rPr>
        <w:t>arbitrator</w:t>
      </w:r>
      <w:r>
        <w:t> — FLA s. 10M</w:t>
      </w:r>
      <w:bookmarkEnd w:id="117"/>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8" w:name="_Toc189743107"/>
      <w:r>
        <w:rPr>
          <w:rStyle w:val="CharSectno"/>
        </w:rPr>
        <w:t>58</w:t>
      </w:r>
      <w:r>
        <w:rPr>
          <w:bCs/>
        </w:rPr>
        <w:t>.</w:t>
      </w:r>
      <w:r>
        <w:rPr>
          <w:bCs/>
        </w:rPr>
        <w:tab/>
        <w:t>Arbitrators may charge fees for their services — FLA s. 10N</w:t>
      </w:r>
      <w:bookmarkEnd w:id="118"/>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9" w:name="_Toc189743108"/>
      <w:r>
        <w:rPr>
          <w:rStyle w:val="CharSectno"/>
        </w:rPr>
        <w:t>59</w:t>
      </w:r>
      <w:r>
        <w:t>.</w:t>
      </w:r>
      <w:r>
        <w:tab/>
        <w:t>Immunity of arbitrators — FLA s. 10P</w:t>
      </w:r>
      <w:bookmarkEnd w:id="11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rStyle w:val="CharDivText"/>
        </w:rPr>
      </w:pPr>
      <w:bookmarkStart w:id="120" w:name="_Toc184389684"/>
      <w:bookmarkStart w:id="121" w:name="_Toc184389889"/>
      <w:bookmarkStart w:id="122" w:name="_Toc184390094"/>
      <w:bookmarkStart w:id="123" w:name="_Toc189653804"/>
      <w:bookmarkStart w:id="124" w:name="_Toc189743109"/>
      <w:r>
        <w:rPr>
          <w:rStyle w:val="CharDivNo"/>
        </w:rPr>
        <w:lastRenderedPageBreak/>
        <w:t>Division 4</w:t>
      </w:r>
      <w:r>
        <w:t> — </w:t>
      </w:r>
      <w:r>
        <w:rPr>
          <w:rStyle w:val="CharDivText"/>
        </w:rPr>
        <w:t>Post</w:t>
      </w:r>
      <w:r>
        <w:rPr>
          <w:rStyle w:val="CharDivText"/>
        </w:rPr>
        <w:noBreakHyphen/>
        <w:t>separation parenting programs</w:t>
      </w:r>
      <w:bookmarkEnd w:id="120"/>
      <w:bookmarkEnd w:id="121"/>
      <w:bookmarkEnd w:id="122"/>
      <w:bookmarkEnd w:id="123"/>
      <w:bookmarkEnd w:id="124"/>
    </w:p>
    <w:p>
      <w:pPr>
        <w:pStyle w:val="Footnoteheading"/>
      </w:pPr>
      <w:r>
        <w:tab/>
        <w:t>[Heading inserted: No. 49 of 2024 s. 18.]</w:t>
      </w:r>
    </w:p>
    <w:p>
      <w:pPr>
        <w:pStyle w:val="Heading5"/>
      </w:pPr>
      <w:bookmarkStart w:id="125" w:name="_Toc184390095"/>
      <w:bookmarkStart w:id="126" w:name="_Toc189743110"/>
      <w:r>
        <w:rPr>
          <w:rStyle w:val="CharSectno"/>
        </w:rPr>
        <w:t>59A</w:t>
      </w:r>
      <w:r>
        <w:t>.</w:t>
      </w:r>
      <w:r>
        <w:tab/>
        <w:t>Admissibility of communications in post</w:t>
      </w:r>
      <w:r>
        <w:noBreakHyphen/>
        <w:t>separation parenting programs — FLA s. 10PA</w:t>
      </w:r>
      <w:bookmarkEnd w:id="125"/>
      <w:bookmarkEnd w:id="126"/>
    </w:p>
    <w:p>
      <w:pPr>
        <w:pStyle w:val="Subsection"/>
      </w:pPr>
      <w:r>
        <w:tab/>
        <w:t>(1)</w:t>
      </w:r>
      <w:r>
        <w:tab/>
        <w:t>Evidence of anything said, or of any admission made, by a person attending a post</w:t>
      </w:r>
      <w:r>
        <w:noBreakHyphen/>
        <w:t>separation parenting program is not admissible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of a Territory, or by the consent of the parties, to hear evidence.</w:t>
      </w:r>
    </w:p>
    <w:p>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Subsection"/>
      </w:pPr>
      <w:r>
        <w:tab/>
        <w:t>(3)</w:t>
      </w:r>
      <w:r>
        <w:tab/>
        <w:t>For the purposes of subsection (2), the admissions and disclosures are the following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Footnotesection"/>
      </w:pPr>
      <w:r>
        <w:tab/>
        <w:t>[Section 59A inserted: No. 49 of 2024 s. 18.]</w:t>
      </w:r>
    </w:p>
    <w:p>
      <w:pPr>
        <w:pStyle w:val="Heading2"/>
      </w:pPr>
      <w:bookmarkStart w:id="127" w:name="_Toc189558287"/>
      <w:bookmarkStart w:id="128" w:name="_Toc189653806"/>
      <w:bookmarkStart w:id="129" w:name="_Toc189743111"/>
      <w:r>
        <w:rPr>
          <w:rStyle w:val="CharPartNo"/>
        </w:rPr>
        <w:lastRenderedPageBreak/>
        <w:t>Part 4A</w:t>
      </w:r>
      <w:r>
        <w:rPr>
          <w:b w:val="0"/>
        </w:rPr>
        <w:t> </w:t>
      </w:r>
      <w:r>
        <w:t>—</w:t>
      </w:r>
      <w:r>
        <w:rPr>
          <w:b w:val="0"/>
        </w:rPr>
        <w:t> </w:t>
      </w:r>
      <w:r>
        <w:rPr>
          <w:rStyle w:val="CharPartText"/>
        </w:rPr>
        <w:t>Family consultants</w:t>
      </w:r>
      <w:bookmarkEnd w:id="127"/>
      <w:bookmarkEnd w:id="128"/>
      <w:bookmarkEnd w:id="129"/>
    </w:p>
    <w:p>
      <w:pPr>
        <w:pStyle w:val="Footnoteheading"/>
      </w:pPr>
      <w:r>
        <w:tab/>
        <w:t>[Heading inserted: No. 35 of 2006 s. 115.]</w:t>
      </w:r>
    </w:p>
    <w:p>
      <w:pPr>
        <w:pStyle w:val="Heading3"/>
      </w:pPr>
      <w:bookmarkStart w:id="130" w:name="_Toc189558288"/>
      <w:bookmarkStart w:id="131" w:name="_Toc189653807"/>
      <w:bookmarkStart w:id="132" w:name="_Toc189743112"/>
      <w:r>
        <w:rPr>
          <w:rStyle w:val="CharDivNo"/>
        </w:rPr>
        <w:t>Division 1</w:t>
      </w:r>
      <w:r>
        <w:t> — </w:t>
      </w:r>
      <w:r>
        <w:rPr>
          <w:rStyle w:val="CharDivText"/>
        </w:rPr>
        <w:t>About family consultants</w:t>
      </w:r>
      <w:bookmarkEnd w:id="130"/>
      <w:bookmarkEnd w:id="131"/>
      <w:bookmarkEnd w:id="132"/>
    </w:p>
    <w:p>
      <w:pPr>
        <w:pStyle w:val="Footnoteheading"/>
      </w:pPr>
      <w:r>
        <w:tab/>
        <w:t>[Heading inserted: No. 35 of 2006 s. 115.]</w:t>
      </w:r>
    </w:p>
    <w:p>
      <w:pPr>
        <w:pStyle w:val="Heading5"/>
      </w:pPr>
      <w:bookmarkStart w:id="133" w:name="_Toc189743113"/>
      <w:r>
        <w:rPr>
          <w:rStyle w:val="CharSectno"/>
        </w:rPr>
        <w:t>60</w:t>
      </w:r>
      <w:r>
        <w:rPr>
          <w:bCs/>
        </w:rPr>
        <w:t>.</w:t>
      </w:r>
      <w:r>
        <w:rPr>
          <w:bCs/>
        </w:rPr>
        <w:tab/>
        <w:t>Functions of family consultants — FLA s. 11A</w:t>
      </w:r>
      <w:bookmarkEnd w:id="13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34" w:name="_Toc189743114"/>
      <w:r>
        <w:t>61.</w:t>
      </w:r>
      <w:r>
        <w:tab/>
        <w:t>Term used: family consultant — FLA s. 11B</w:t>
      </w:r>
      <w:bookmarkEnd w:id="134"/>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35" w:name="_Toc189743115"/>
      <w:r>
        <w:rPr>
          <w:rStyle w:val="CharSectno"/>
        </w:rPr>
        <w:lastRenderedPageBreak/>
        <w:t>62</w:t>
      </w:r>
      <w:r>
        <w:t>.</w:t>
      </w:r>
      <w:r>
        <w:tab/>
        <w:t>Admissibility of communications with family consultants and referrals from family consultants — FLA s. 11C</w:t>
      </w:r>
      <w:bookmarkEnd w:id="135"/>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a child who has not attained the age of 18 years has been abused or is at risk of abuse.</w:t>
      </w:r>
    </w:p>
    <w:p>
      <w:pPr>
        <w:pStyle w:val="Subsection"/>
      </w:pPr>
      <w:r>
        <w:tab/>
        <w:t>(4)</w:t>
      </w:r>
      <w:r>
        <w:tab/>
        <w:t>Subsection (3) does not apply if, in the opinion of the court, there is sufficient evidence of the admission or disclosure available to the court from other sources.</w:t>
      </w:r>
    </w:p>
    <w:p>
      <w:pPr>
        <w:pStyle w:val="Footnotesection"/>
      </w:pPr>
      <w:r>
        <w:tab/>
        <w:t>[Section 62 inserted: No. 35 of 2006 s. 115; amended: No. 49 of 2024 s. 19.]</w:t>
      </w:r>
    </w:p>
    <w:p>
      <w:pPr>
        <w:pStyle w:val="Ednotesection"/>
      </w:pPr>
      <w:r>
        <w:lastRenderedPageBreak/>
        <w:t>[</w:t>
      </w:r>
      <w:r>
        <w:rPr>
          <w:b/>
          <w:bCs/>
        </w:rPr>
        <w:t>62A.</w:t>
      </w:r>
      <w:r>
        <w:tab/>
        <w:t>Deleted: No. 35 of 2006 s. 115.]</w:t>
      </w:r>
    </w:p>
    <w:p>
      <w:pPr>
        <w:pStyle w:val="Heading5"/>
      </w:pPr>
      <w:bookmarkStart w:id="136" w:name="_Toc189743116"/>
      <w:r>
        <w:rPr>
          <w:rStyle w:val="CharSectno"/>
        </w:rPr>
        <w:t>63</w:t>
      </w:r>
      <w:r>
        <w:t>.</w:t>
      </w:r>
      <w:r>
        <w:tab/>
        <w:t>Immunity of family consultants — FLA s. 11D</w:t>
      </w:r>
      <w:bookmarkEnd w:id="136"/>
    </w:p>
    <w:p>
      <w:pPr>
        <w:pStyle w:val="Subsection"/>
      </w:pPr>
      <w:r>
        <w:tab/>
        <w:t>(1)</w:t>
      </w:r>
      <w:r>
        <w:tab/>
        <w:t>A family consultant has, in performing their functions as a family consultant, the same protection and immunity as a judge has in performing the functions of a judge.</w:t>
      </w:r>
    </w:p>
    <w:p>
      <w:pPr>
        <w:pStyle w:val="Subsection"/>
      </w:pPr>
      <w:r>
        <w:tab/>
        <w:t>(2)</w:t>
      </w:r>
      <w:r>
        <w:tab/>
        <w:t>However, if a family consultant is also a family report writer, that protection and immunity —</w:t>
      </w:r>
    </w:p>
    <w:p>
      <w:pPr>
        <w:pStyle w:val="Indenta"/>
      </w:pPr>
      <w:r>
        <w:tab/>
        <w:t>(a)</w:t>
      </w:r>
      <w:r>
        <w:tab/>
        <w:t>does not relieve the family consultant of their obligations under regulations made for the purposes of section 65AC; and</w:t>
      </w:r>
    </w:p>
    <w:p>
      <w:pPr>
        <w:pStyle w:val="Indenta"/>
      </w:pPr>
      <w:r>
        <w:tab/>
        <w:t>(b)</w:t>
      </w:r>
      <w:r>
        <w:tab/>
        <w:t>does not extend to action taken to enforce such regulations.</w:t>
      </w:r>
    </w:p>
    <w:p>
      <w:pPr>
        <w:pStyle w:val="Footnotesection"/>
      </w:pPr>
      <w:r>
        <w:tab/>
        <w:t>[Section 63 inserted: No. 35 of 2006 s. 115; amended: No. 49 of 2024 s. 20.]</w:t>
      </w:r>
    </w:p>
    <w:p>
      <w:pPr>
        <w:pStyle w:val="Heading3"/>
      </w:pPr>
      <w:bookmarkStart w:id="137" w:name="_Toc189558293"/>
      <w:bookmarkStart w:id="138" w:name="_Toc189653812"/>
      <w:bookmarkStart w:id="139" w:name="_Toc189743117"/>
      <w:r>
        <w:rPr>
          <w:rStyle w:val="CharDivNo"/>
        </w:rPr>
        <w:t>Division 2</w:t>
      </w:r>
      <w:r>
        <w:t> — </w:t>
      </w:r>
      <w:r>
        <w:rPr>
          <w:rStyle w:val="CharDivText"/>
        </w:rPr>
        <w:t>Courts’ use of family consultants</w:t>
      </w:r>
      <w:bookmarkEnd w:id="137"/>
      <w:bookmarkEnd w:id="138"/>
      <w:bookmarkEnd w:id="139"/>
    </w:p>
    <w:p>
      <w:pPr>
        <w:pStyle w:val="Footnoteheading"/>
      </w:pPr>
      <w:r>
        <w:tab/>
        <w:t>[Heading inserted: No. 35 of 2006 s. 115.]</w:t>
      </w:r>
    </w:p>
    <w:p>
      <w:pPr>
        <w:pStyle w:val="Heading5"/>
      </w:pPr>
      <w:bookmarkStart w:id="140" w:name="_Toc189743118"/>
      <w:r>
        <w:rPr>
          <w:rStyle w:val="CharSectno"/>
        </w:rPr>
        <w:t>64</w:t>
      </w:r>
      <w:r>
        <w:t>.</w:t>
      </w:r>
      <w:r>
        <w:tab/>
        <w:t>Courts to consider seeking advice from family consultants — FLA s. 11E</w:t>
      </w:r>
      <w:bookmarkEnd w:id="14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lastRenderedPageBreak/>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141" w:name="_Toc189743119"/>
      <w:r>
        <w:rPr>
          <w:rStyle w:val="CharSectno"/>
        </w:rPr>
        <w:t>65</w:t>
      </w:r>
      <w:r>
        <w:t>.</w:t>
      </w:r>
      <w:r>
        <w:tab/>
        <w:t>Court may order parties to attend, or arrange for child to attend, appointments with family consultant — FLA s. 11F</w:t>
      </w:r>
      <w:bookmarkEnd w:id="141"/>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lastRenderedPageBreak/>
        <w:tab/>
        <w:t>[Section 65 inserted: No. 35 of 2006 s. 115; amended: No. 13 of 2013 s. 23.]</w:t>
      </w:r>
    </w:p>
    <w:p>
      <w:pPr>
        <w:pStyle w:val="Heading5"/>
      </w:pPr>
      <w:bookmarkStart w:id="142" w:name="_Toc189743120"/>
      <w:r>
        <w:rPr>
          <w:rStyle w:val="CharSectno"/>
        </w:rPr>
        <w:t>65A</w:t>
      </w:r>
      <w:r>
        <w:t>.</w:t>
      </w:r>
      <w:r>
        <w:tab/>
        <w:t>Consequences of failure to comply with order under section 65 — FLA s. 11G</w:t>
      </w:r>
      <w:bookmarkEnd w:id="142"/>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43" w:name="_Toc184389689"/>
      <w:bookmarkStart w:id="144" w:name="_Toc184389894"/>
      <w:bookmarkStart w:id="145" w:name="_Toc184390099"/>
      <w:bookmarkStart w:id="146" w:name="_Toc189653816"/>
      <w:bookmarkStart w:id="147" w:name="_Toc189743121"/>
      <w:r>
        <w:rPr>
          <w:rStyle w:val="CharPartNo"/>
        </w:rPr>
        <w:lastRenderedPageBreak/>
        <w:t>Part 4AA</w:t>
      </w:r>
      <w:r>
        <w:rPr>
          <w:rStyle w:val="CharDivNo"/>
        </w:rPr>
        <w:t> </w:t>
      </w:r>
      <w:r>
        <w:t>—</w:t>
      </w:r>
      <w:r>
        <w:rPr>
          <w:rStyle w:val="CharDivText"/>
        </w:rPr>
        <w:t> </w:t>
      </w:r>
      <w:r>
        <w:rPr>
          <w:rStyle w:val="CharPartText"/>
        </w:rPr>
        <w:t>Family report writers</w:t>
      </w:r>
      <w:bookmarkEnd w:id="143"/>
      <w:bookmarkEnd w:id="144"/>
      <w:bookmarkEnd w:id="145"/>
      <w:bookmarkEnd w:id="146"/>
      <w:bookmarkEnd w:id="147"/>
    </w:p>
    <w:p>
      <w:pPr>
        <w:pStyle w:val="Footnoteheading"/>
      </w:pPr>
      <w:r>
        <w:tab/>
        <w:t>[Heading inserted: No. 49 of 2024 s. 21.]</w:t>
      </w:r>
    </w:p>
    <w:p>
      <w:pPr>
        <w:pStyle w:val="Heading5"/>
      </w:pPr>
      <w:bookmarkStart w:id="148" w:name="_Toc184390100"/>
      <w:bookmarkStart w:id="149" w:name="_Toc189743122"/>
      <w:r>
        <w:rPr>
          <w:rStyle w:val="CharSectno"/>
        </w:rPr>
        <w:t>65AA</w:t>
      </w:r>
      <w:r>
        <w:t>.</w:t>
      </w:r>
      <w:r>
        <w:tab/>
        <w:t>Family report writers — FLA s. 11H</w:t>
      </w:r>
      <w:bookmarkEnd w:id="148"/>
      <w:bookmarkEnd w:id="149"/>
    </w:p>
    <w:p>
      <w:pPr>
        <w:pStyle w:val="Subsection"/>
      </w:pPr>
      <w:r>
        <w:tab/>
      </w:r>
      <w:r>
        <w:tab/>
        <w:t xml:space="preserve">Any individual who prepares a designated family report is a </w:t>
      </w:r>
      <w:r>
        <w:rPr>
          <w:rStyle w:val="CharDefText"/>
        </w:rPr>
        <w:t>family report writer</w:t>
      </w:r>
      <w:r>
        <w:t>.</w:t>
      </w:r>
    </w:p>
    <w:p>
      <w:pPr>
        <w:pStyle w:val="Footnotesection"/>
      </w:pPr>
      <w:r>
        <w:tab/>
        <w:t>[Section 65AA inserted: No. 49 of 2024 s. 21.]</w:t>
      </w:r>
    </w:p>
    <w:p>
      <w:pPr>
        <w:pStyle w:val="Heading5"/>
      </w:pPr>
      <w:bookmarkStart w:id="150" w:name="_Toc184390101"/>
      <w:bookmarkStart w:id="151" w:name="_Toc189743123"/>
      <w:r>
        <w:rPr>
          <w:rStyle w:val="CharSectno"/>
        </w:rPr>
        <w:t>65AB</w:t>
      </w:r>
      <w:r>
        <w:t>.</w:t>
      </w:r>
      <w:r>
        <w:tab/>
        <w:t>Designated family reports — FLA s. 11J</w:t>
      </w:r>
      <w:bookmarkEnd w:id="150"/>
      <w:bookmarkEnd w:id="151"/>
    </w:p>
    <w:p>
      <w:pPr>
        <w:pStyle w:val="Subsection"/>
      </w:pPr>
      <w:r>
        <w:tab/>
        <w:t>(1)</w:t>
      </w:r>
      <w:r>
        <w:tab/>
        <w:t xml:space="preserve">A report that relates to a child is a </w:t>
      </w:r>
      <w:r>
        <w:rPr>
          <w:rStyle w:val="CharDefText"/>
        </w:rPr>
        <w:t>designated family report</w:t>
      </w:r>
      <w:r>
        <w:rPr>
          <w:bCs/>
          <w:iCs/>
        </w:rPr>
        <w:t xml:space="preserve"> </w:t>
      </w:r>
      <w:r>
        <w:t>if —</w:t>
      </w:r>
    </w:p>
    <w:p>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Indenta"/>
      </w:pPr>
      <w:r>
        <w:tab/>
        <w:t>(b)</w:t>
      </w:r>
      <w:r>
        <w:tab/>
        <w:t>the report sets out the expert views and advice of the report’s preparer on parenting arrangements for the purposes of parenting orders being made by a court in relation to the child; and</w:t>
      </w:r>
    </w:p>
    <w:p>
      <w:pPr>
        <w:pStyle w:val="Indenta"/>
      </w:pPr>
      <w:r>
        <w:tab/>
        <w:t>(c)</w:t>
      </w:r>
      <w:r>
        <w:tab/>
        <w:t>the report is both —</w:t>
      </w:r>
    </w:p>
    <w:p>
      <w:pPr>
        <w:pStyle w:val="Indenti"/>
      </w:pPr>
      <w:r>
        <w:tab/>
        <w:t>(i)</w:t>
      </w:r>
      <w:r>
        <w:tab/>
        <w:t>covered by subsection (2); and</w:t>
      </w:r>
    </w:p>
    <w:p>
      <w:pPr>
        <w:pStyle w:val="Indenti"/>
      </w:pPr>
      <w:r>
        <w:tab/>
        <w:t>(ii)</w:t>
      </w:r>
      <w:r>
        <w:tab/>
        <w:t>not excluded by regulations made for the purposes of this paragraph.</w:t>
      </w:r>
    </w:p>
    <w:p>
      <w:pPr>
        <w:pStyle w:val="Subsection"/>
      </w:pPr>
      <w:r>
        <w:tab/>
        <w:t>(2)</w:t>
      </w:r>
      <w:r>
        <w:tab/>
        <w:t>This subsection covers the following reports —</w:t>
      </w:r>
    </w:p>
    <w:p>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Indenta"/>
      </w:pPr>
      <w:r>
        <w:tab/>
        <w:t>(b)</w:t>
      </w:r>
      <w:r>
        <w:tab/>
        <w:t>a report prepared by a family consultant at the direction of the court under section 73(2);</w:t>
      </w:r>
    </w:p>
    <w:p>
      <w:pPr>
        <w:pStyle w:val="Indenta"/>
      </w:pPr>
      <w:r>
        <w:lastRenderedPageBreak/>
        <w:tab/>
        <w:t>(c)</w:t>
      </w:r>
      <w:r>
        <w:tab/>
        <w:t>a report about a child prepared for the use of an independent children’s lawyer as mentioned in section 166(2);</w:t>
      </w:r>
    </w:p>
    <w:p>
      <w:pPr>
        <w:pStyle w:val="Indenta"/>
      </w:pPr>
      <w:r>
        <w:tab/>
        <w:t>(d)</w:t>
      </w:r>
      <w:r>
        <w:tab/>
        <w:t>any other report prepared for parties to proceedings before a court, or for a court for the purposes of proceedings before the court.</w:t>
      </w:r>
    </w:p>
    <w:p>
      <w:pPr>
        <w:pStyle w:val="Footnotesection"/>
      </w:pPr>
      <w:r>
        <w:tab/>
        <w:t>[Section 65AB inserted: No. 49 of 2024 s. 21.]</w:t>
      </w:r>
    </w:p>
    <w:p>
      <w:pPr>
        <w:pStyle w:val="Heading5"/>
      </w:pPr>
      <w:bookmarkStart w:id="152" w:name="_Toc184390102"/>
      <w:bookmarkStart w:id="153" w:name="_Toc189743124"/>
      <w:r>
        <w:rPr>
          <w:rStyle w:val="CharSectno"/>
        </w:rPr>
        <w:t>65AC</w:t>
      </w:r>
      <w:r>
        <w:t>.</w:t>
      </w:r>
      <w:r>
        <w:tab/>
        <w:t>Regulations prescribing standards and requirements for family report writers — FLA s. 11K</w:t>
      </w:r>
      <w:bookmarkEnd w:id="152"/>
      <w:bookmarkEnd w:id="153"/>
    </w:p>
    <w:p>
      <w:pPr>
        <w:pStyle w:val="Subsection"/>
      </w:pPr>
      <w:r>
        <w:tab/>
        <w:t>(1)</w:t>
      </w:r>
      <w:r>
        <w:tab/>
        <w:t>The regulations may make provision for, and in relation to —</w:t>
      </w:r>
    </w:p>
    <w:p>
      <w:pPr>
        <w:pStyle w:val="Indenta"/>
      </w:pPr>
      <w:r>
        <w:tab/>
        <w:t>(a)</w:t>
      </w:r>
      <w:r>
        <w:tab/>
        <w:t>standards and requirements that family report writers, or a class or classes of family report writers, must comply with in connection with the role of preparing designated family reports; and</w:t>
      </w:r>
    </w:p>
    <w:p>
      <w:pPr>
        <w:pStyle w:val="Indenta"/>
      </w:pPr>
      <w:r>
        <w:tab/>
        <w:t>(b)</w:t>
      </w:r>
      <w:r>
        <w:tab/>
        <w:t>consequences of non</w:t>
      </w:r>
      <w:r>
        <w:noBreakHyphen/>
        <w:t>compliance with prescribed standards and requirements.</w:t>
      </w:r>
    </w:p>
    <w:p>
      <w:pPr>
        <w:pStyle w:val="Subsection"/>
      </w:pPr>
      <w:r>
        <w:tab/>
        <w:t>(2)</w:t>
      </w:r>
      <w:r>
        <w:tab/>
        <w:t>Without limiting subsection (1)(a), regulations made for the purposes of that paragraph may deal with any or all of the following matters —</w:t>
      </w:r>
    </w:p>
    <w:p>
      <w:pPr>
        <w:pStyle w:val="Indenta"/>
      </w:pPr>
      <w:r>
        <w:tab/>
        <w:t>(a)</w:t>
      </w:r>
      <w:r>
        <w:tab/>
        <w:t>recognition, monitoring and enforcement of compliance with prescribed standards and requirements;</w:t>
      </w:r>
    </w:p>
    <w:p>
      <w:pPr>
        <w:pStyle w:val="Indenta"/>
      </w:pPr>
      <w:r>
        <w:tab/>
        <w:t>(b)</w:t>
      </w:r>
      <w:r>
        <w:tab/>
        <w:t xml:space="preserve">the person or persons responsible for that recognition, monitoring and enforcement (each such person is a </w:t>
      </w:r>
      <w:r>
        <w:rPr>
          <w:rStyle w:val="CharDefText"/>
        </w:rPr>
        <w:t>regulator</w:t>
      </w:r>
      <w:r>
        <w:t>);</w:t>
      </w:r>
    </w:p>
    <w:p>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Indenta"/>
      </w:pPr>
      <w:r>
        <w:tab/>
        <w:t>(d)</w:t>
      </w:r>
      <w:r>
        <w:tab/>
        <w:t>circumstances in which a regulator may collect, use and share information and documents for the purposes of meeting the regulator’s responsibilities;</w:t>
      </w:r>
    </w:p>
    <w:p>
      <w:pPr>
        <w:pStyle w:val="Indenta"/>
      </w:pPr>
      <w:r>
        <w:lastRenderedPageBreak/>
        <w:tab/>
        <w:t>(e)</w:t>
      </w:r>
      <w:r>
        <w:tab/>
        <w:t>review of decisions that affect recognition of a family report writer’s compliance;</w:t>
      </w:r>
    </w:p>
    <w:p>
      <w:pPr>
        <w:pStyle w:val="Indenta"/>
      </w:pPr>
      <w:r>
        <w:tab/>
        <w:t>(f)</w:t>
      </w:r>
      <w:r>
        <w:tab/>
        <w:t>processes for dealing with persons who make false or misleading representations about a family report writer’s compliance;</w:t>
      </w:r>
    </w:p>
    <w:p>
      <w:pPr>
        <w:pStyle w:val="Indenta"/>
      </w:pPr>
      <w:r>
        <w:tab/>
        <w:t>(g)</w:t>
      </w:r>
      <w:r>
        <w:tab/>
        <w:t>processes for handling complaints involving family report writers;</w:t>
      </w:r>
    </w:p>
    <w:p>
      <w:pPr>
        <w:pStyle w:val="Indenta"/>
      </w:pPr>
      <w:r>
        <w:tab/>
        <w:t>(h)</w:t>
      </w:r>
      <w:r>
        <w:tab/>
        <w:t>training for family report writers;</w:t>
      </w:r>
    </w:p>
    <w:p>
      <w:pPr>
        <w:pStyle w:val="Indenta"/>
      </w:pPr>
      <w:r>
        <w:tab/>
        <w:t>(i)</w:t>
      </w:r>
      <w:r>
        <w:tab/>
        <w:t>the charging of fees, to family report writers, for services provided to them in connection with recognition, and maintenance of recognition, of their compliance;</w:t>
      </w:r>
    </w:p>
    <w:p>
      <w:pPr>
        <w:pStyle w:val="Indenta"/>
      </w:pPr>
      <w:r>
        <w:tab/>
        <w:t>(j)</w:t>
      </w:r>
      <w:r>
        <w:tab/>
        <w:t>publication of the names of family report writers who are recognised as complying with prescribed standards and requirements;</w:t>
      </w:r>
    </w:p>
    <w:p>
      <w:pPr>
        <w:pStyle w:val="Indenta"/>
      </w:pPr>
      <w:r>
        <w:tab/>
        <w:t>(k)</w:t>
      </w:r>
      <w:r>
        <w:tab/>
        <w:t>publication of information about the named family report writers for the purposes of informing the court, parties to proceedings and the public about any or all of the following —</w:t>
      </w:r>
    </w:p>
    <w:p>
      <w:pPr>
        <w:pStyle w:val="Indenti"/>
      </w:pPr>
      <w:r>
        <w:tab/>
        <w:t>(i)</w:t>
      </w:r>
      <w:r>
        <w:tab/>
        <w:t>their qualifications, training and experience;</w:t>
      </w:r>
    </w:p>
    <w:p>
      <w:pPr>
        <w:pStyle w:val="Indenti"/>
      </w:pPr>
      <w:r>
        <w:tab/>
        <w:t>(ii)</w:t>
      </w:r>
      <w:r>
        <w:tab/>
        <w:t>their availability;</w:t>
      </w:r>
    </w:p>
    <w:p>
      <w:pPr>
        <w:pStyle w:val="Indenti"/>
      </w:pPr>
      <w:r>
        <w:tab/>
        <w:t>(iii)</w:t>
      </w:r>
      <w:r>
        <w:tab/>
        <w:t>the fees they charge;</w:t>
      </w:r>
    </w:p>
    <w:p>
      <w:pPr>
        <w:pStyle w:val="Indenti"/>
      </w:pPr>
      <w:r>
        <w:tab/>
        <w:t>(iv)</w:t>
      </w:r>
      <w:r>
        <w:tab/>
        <w:t>their compliance status, including in relation to particular standards or requirements;</w:t>
      </w:r>
    </w:p>
    <w:p>
      <w:pPr>
        <w:pStyle w:val="Indenti"/>
      </w:pPr>
      <w:r>
        <w:tab/>
        <w:t>(v)</w:t>
      </w:r>
      <w:r>
        <w:tab/>
        <w:t>any relevant memberships of professional associations, registration or employment;</w:t>
      </w:r>
    </w:p>
    <w:p>
      <w:pPr>
        <w:pStyle w:val="Indenti"/>
      </w:pPr>
      <w:r>
        <w:tab/>
        <w:t>(vi)</w:t>
      </w:r>
      <w:r>
        <w:tab/>
        <w:t>any other matters relevant to their role of preparing designated family reports;</w:t>
      </w:r>
    </w:p>
    <w:p>
      <w:pPr>
        <w:pStyle w:val="Indenta"/>
      </w:pPr>
      <w:r>
        <w:tab/>
        <w:t>(l)</w:t>
      </w:r>
      <w:r>
        <w:tab/>
        <w:t>standards and requirements in relation to the content of designated family reports.</w:t>
      </w:r>
    </w:p>
    <w:p>
      <w:pPr>
        <w:pStyle w:val="Subsection"/>
      </w:pPr>
      <w:r>
        <w:tab/>
        <w:t>(3)</w:t>
      </w:r>
      <w:r>
        <w:tab/>
        <w:t xml:space="preserve">Regulations dealing with the matter mentioned in subsection (2)(k) must not require or allow the publication of </w:t>
      </w:r>
      <w:r>
        <w:lastRenderedPageBreak/>
        <w:t xml:space="preserve">personal information (as defined in the </w:t>
      </w:r>
      <w:r>
        <w:rPr>
          <w:i/>
        </w:rPr>
        <w:t>Privacy Act 1988</w:t>
      </w:r>
      <w:r>
        <w:rPr>
          <w:iCs/>
        </w:rPr>
        <w:t xml:space="preserve"> (Commonwealth</w:t>
      </w:r>
      <w:r>
        <w:t>) section 6(1)) about any child or other individual to whom a report relates.</w:t>
      </w:r>
    </w:p>
    <w:p>
      <w:pPr>
        <w:pStyle w:val="Subsection"/>
      </w:pPr>
      <w:r>
        <w:tab/>
        <w:t>(4)</w:t>
      </w:r>
      <w:r>
        <w:tab/>
        <w:t xml:space="preserve">Without limiting subsection (1)(b), regulations made for the purposes of that paragraph may do any or all of the following — </w:t>
      </w:r>
    </w:p>
    <w:p>
      <w:pPr>
        <w:pStyle w:val="Indenta"/>
      </w:pPr>
      <w:r>
        <w:tab/>
        <w:t>(a)</w:t>
      </w:r>
      <w:r>
        <w:tab/>
        <w:t>prescribe offences, the penalties for which do not exceed $9 390;</w:t>
      </w:r>
    </w:p>
    <w:p>
      <w:pPr>
        <w:pStyle w:val="Indenta"/>
      </w:pPr>
      <w:r>
        <w:tab/>
        <w:t>(b)</w:t>
      </w:r>
      <w:r>
        <w:tab/>
        <w:t>provide for suspension or cancellation of recognition of compliance;</w:t>
      </w:r>
    </w:p>
    <w:p>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Indenta"/>
      </w:pPr>
      <w:r>
        <w:tab/>
        <w:t>(d)</w:t>
      </w:r>
      <w:r>
        <w:tab/>
        <w:t>prohibit the preparation of designated family reports by family report writers who are not recognised.</w:t>
      </w:r>
    </w:p>
    <w:p>
      <w:pPr>
        <w:pStyle w:val="Footnotesection"/>
      </w:pPr>
      <w:r>
        <w:tab/>
        <w:t>[Section 65AC inserted: No. 49 of 2024 s. 21.]</w:t>
      </w:r>
    </w:p>
    <w:p>
      <w:pPr>
        <w:pStyle w:val="Heading5"/>
      </w:pPr>
      <w:bookmarkStart w:id="154" w:name="_Toc184390103"/>
      <w:bookmarkStart w:id="155" w:name="_Toc189743125"/>
      <w:r>
        <w:rPr>
          <w:rStyle w:val="CharSectno"/>
        </w:rPr>
        <w:t>65AD</w:t>
      </w:r>
      <w:r>
        <w:t>.</w:t>
      </w:r>
      <w:r>
        <w:tab/>
        <w:t>Disclosure by court to regulator — FLA s. 11L</w:t>
      </w:r>
      <w:bookmarkEnd w:id="154"/>
      <w:bookmarkEnd w:id="155"/>
    </w:p>
    <w:p>
      <w:pPr>
        <w:pStyle w:val="Subsection"/>
      </w:pPr>
      <w:r>
        <w:tab/>
      </w:r>
      <w:r>
        <w:tab/>
        <w:t xml:space="preserve">A court may disclose any of the following to a regulator, for the purposes of the regulator performing the regulator’s functions under the regulations — </w:t>
      </w:r>
    </w:p>
    <w:p>
      <w:pPr>
        <w:pStyle w:val="Indenta"/>
      </w:pPr>
      <w:r>
        <w:tab/>
        <w:t>(a)</w:t>
      </w:r>
      <w:r>
        <w:tab/>
        <w:t>a designated family report prepared for or at the direction of the court, or for a party to proceedings before the court;</w:t>
      </w:r>
    </w:p>
    <w:p>
      <w:pPr>
        <w:pStyle w:val="Indenta"/>
      </w:pPr>
      <w:r>
        <w:tab/>
        <w:t>(b)</w:t>
      </w:r>
      <w:r>
        <w:tab/>
        <w:t>a final order made by the court in proceedings for which a designated family report was prepared.</w:t>
      </w:r>
    </w:p>
    <w:p>
      <w:pPr>
        <w:pStyle w:val="Footnotesection"/>
      </w:pPr>
      <w:r>
        <w:tab/>
        <w:t>[Section 65AD inserted: No. 49 of 2024 s. 21.]</w:t>
      </w:r>
    </w:p>
    <w:p>
      <w:pPr>
        <w:pStyle w:val="Heading5"/>
      </w:pPr>
      <w:bookmarkStart w:id="156" w:name="_Toc184390104"/>
      <w:bookmarkStart w:id="157" w:name="_Toc189743126"/>
      <w:r>
        <w:rPr>
          <w:rStyle w:val="CharSectno"/>
        </w:rPr>
        <w:t>65AE</w:t>
      </w:r>
      <w:r>
        <w:t>.</w:t>
      </w:r>
      <w:r>
        <w:tab/>
        <w:t>Immunity of regulator — FLA s. 11M</w:t>
      </w:r>
      <w:bookmarkEnd w:id="156"/>
      <w:bookmarkEnd w:id="157"/>
    </w:p>
    <w:p>
      <w:pPr>
        <w:pStyle w:val="Subsection"/>
      </w:pPr>
      <w:r>
        <w:tab/>
      </w:r>
      <w:r>
        <w:tab/>
        <w:t xml:space="preserve">A regulator is not liable in civil or criminal proceedings for or in relation to anything done or omitted to be done, in good faith, in the performance or exercise, or purported performance or </w:t>
      </w:r>
      <w:r>
        <w:lastRenderedPageBreak/>
        <w:t>exercise, of the regulator’s functions or powers under regulations made for the purposes of section 65AC.</w:t>
      </w:r>
    </w:p>
    <w:p>
      <w:pPr>
        <w:pStyle w:val="Footnotesection"/>
      </w:pPr>
      <w:r>
        <w:tab/>
        <w:t>[Section 65AE inserted: No. 49 of 2024 s. 21.]</w:t>
      </w:r>
    </w:p>
    <w:p>
      <w:pPr>
        <w:pStyle w:val="Heading2"/>
      </w:pPr>
      <w:bookmarkStart w:id="158" w:name="_Toc189558297"/>
      <w:bookmarkStart w:id="159" w:name="_Toc189653822"/>
      <w:bookmarkStart w:id="160" w:name="_Toc189743127"/>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8"/>
      <w:bookmarkEnd w:id="159"/>
      <w:bookmarkEnd w:id="160"/>
    </w:p>
    <w:p>
      <w:pPr>
        <w:pStyle w:val="Footnoteheading"/>
      </w:pPr>
      <w:r>
        <w:tab/>
        <w:t>[Heading inserted: No. 35 of 2006 s. 115.]</w:t>
      </w:r>
    </w:p>
    <w:p>
      <w:pPr>
        <w:pStyle w:val="Heading3"/>
        <w:spacing w:before="260"/>
      </w:pPr>
      <w:bookmarkStart w:id="161" w:name="_Toc189558298"/>
      <w:bookmarkStart w:id="162" w:name="_Toc189653823"/>
      <w:bookmarkStart w:id="163" w:name="_Toc189743128"/>
      <w:r>
        <w:rPr>
          <w:rStyle w:val="CharDivNo"/>
        </w:rPr>
        <w:t>Division 1</w:t>
      </w:r>
      <w:r>
        <w:t> — </w:t>
      </w:r>
      <w:r>
        <w:rPr>
          <w:rStyle w:val="CharDivText"/>
        </w:rPr>
        <w:t>Introduction</w:t>
      </w:r>
      <w:bookmarkEnd w:id="161"/>
      <w:bookmarkEnd w:id="162"/>
      <w:bookmarkEnd w:id="163"/>
    </w:p>
    <w:p>
      <w:pPr>
        <w:pStyle w:val="Footnoteheading"/>
      </w:pPr>
      <w:r>
        <w:tab/>
        <w:t>[Heading inserted: No. 35 of 2006 s. 115.]</w:t>
      </w:r>
    </w:p>
    <w:p>
      <w:pPr>
        <w:pStyle w:val="Heading5"/>
        <w:spacing w:before="240"/>
      </w:pPr>
      <w:bookmarkStart w:id="164" w:name="_Toc189743129"/>
      <w:r>
        <w:rPr>
          <w:rStyle w:val="CharSectno"/>
        </w:rPr>
        <w:t>65B</w:t>
      </w:r>
      <w:r>
        <w:t>.</w:t>
      </w:r>
      <w:r>
        <w:tab/>
        <w:t>Objects of this Part — FLA s. 12A</w:t>
      </w:r>
      <w:bookmarkEnd w:id="16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65" w:name="_Toc189558300"/>
      <w:bookmarkStart w:id="166" w:name="_Toc189653825"/>
      <w:bookmarkStart w:id="167" w:name="_Toc189743130"/>
      <w:r>
        <w:rPr>
          <w:rStyle w:val="CharDivNo"/>
        </w:rPr>
        <w:lastRenderedPageBreak/>
        <w:t>Division 2</w:t>
      </w:r>
      <w:r>
        <w:t> — </w:t>
      </w:r>
      <w:r>
        <w:rPr>
          <w:rStyle w:val="CharDivText"/>
        </w:rPr>
        <w:t>Kind of information to be provided</w:t>
      </w:r>
      <w:bookmarkEnd w:id="165"/>
      <w:bookmarkEnd w:id="166"/>
      <w:bookmarkEnd w:id="167"/>
    </w:p>
    <w:p>
      <w:pPr>
        <w:pStyle w:val="Footnoteheading"/>
        <w:keepNext/>
        <w:keepLines/>
      </w:pPr>
      <w:r>
        <w:tab/>
        <w:t>[Heading inserted: No. 35 of 2006 s. 115.]</w:t>
      </w:r>
    </w:p>
    <w:p>
      <w:pPr>
        <w:pStyle w:val="Heading5"/>
      </w:pPr>
      <w:bookmarkStart w:id="168" w:name="_Toc189743131"/>
      <w:r>
        <w:rPr>
          <w:rStyle w:val="CharSectno"/>
        </w:rPr>
        <w:t>65C</w:t>
      </w:r>
      <w:r>
        <w:t>.</w:t>
      </w:r>
      <w:r>
        <w:tab/>
        <w:t>Prescribed information about non</w:t>
      </w:r>
      <w:r>
        <w:noBreakHyphen/>
        <w:t>court based family services and court’s processes and services — FLA s. 12B</w:t>
      </w:r>
      <w:bookmarkEnd w:id="168"/>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69" w:name="_Toc189743132"/>
      <w:r>
        <w:rPr>
          <w:rStyle w:val="CharSectno"/>
        </w:rPr>
        <w:t>65D</w:t>
      </w:r>
      <w:r>
        <w:t>.</w:t>
      </w:r>
      <w:r>
        <w:tab/>
        <w:t>Prescribed information about reconciliation — FLA s. 12C</w:t>
      </w:r>
      <w:bookmarkEnd w:id="169"/>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70" w:name="_Toc189743133"/>
      <w:r>
        <w:rPr>
          <w:rStyle w:val="CharSectno"/>
        </w:rPr>
        <w:lastRenderedPageBreak/>
        <w:t>65E</w:t>
      </w:r>
      <w:r>
        <w:t>.</w:t>
      </w:r>
      <w:r>
        <w:tab/>
        <w:t>Prescribed information about Part 5 proceedings —FLA s. 12D</w:t>
      </w:r>
      <w:bookmarkEnd w:id="17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71" w:name="_Toc189558304"/>
      <w:bookmarkStart w:id="172" w:name="_Toc189653829"/>
      <w:bookmarkStart w:id="173" w:name="_Toc189743134"/>
      <w:r>
        <w:rPr>
          <w:rStyle w:val="CharDivNo"/>
        </w:rPr>
        <w:t>Division 3</w:t>
      </w:r>
      <w:r>
        <w:t> — </w:t>
      </w:r>
      <w:r>
        <w:rPr>
          <w:rStyle w:val="CharDivText"/>
        </w:rPr>
        <w:t>Who must provide information and when</w:t>
      </w:r>
      <w:bookmarkEnd w:id="171"/>
      <w:bookmarkEnd w:id="172"/>
      <w:bookmarkEnd w:id="173"/>
    </w:p>
    <w:p>
      <w:pPr>
        <w:pStyle w:val="Footnoteheading"/>
      </w:pPr>
      <w:r>
        <w:tab/>
        <w:t>[Heading inserted: No. 35 of 2006 s. 115.]</w:t>
      </w:r>
    </w:p>
    <w:p>
      <w:pPr>
        <w:pStyle w:val="Heading5"/>
      </w:pPr>
      <w:bookmarkStart w:id="174" w:name="_Toc189743135"/>
      <w:r>
        <w:rPr>
          <w:rStyle w:val="CharSectno"/>
        </w:rPr>
        <w:t>65F</w:t>
      </w:r>
      <w:r>
        <w:t>.</w:t>
      </w:r>
      <w:r>
        <w:tab/>
        <w:t>Obligations on legal practitioners — FLA s. 12E</w:t>
      </w:r>
      <w:bookmarkEnd w:id="174"/>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75" w:name="_Toc189743136"/>
      <w:r>
        <w:rPr>
          <w:rStyle w:val="CharSectno"/>
        </w:rPr>
        <w:t>65G</w:t>
      </w:r>
      <w:r>
        <w:t>.</w:t>
      </w:r>
      <w:r>
        <w:tab/>
        <w:t>Obligations on executive manager — FLA s. 12F</w:t>
      </w:r>
      <w:bookmarkEnd w:id="175"/>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 and</w:t>
      </w:r>
    </w:p>
    <w:p>
      <w:pPr>
        <w:pStyle w:val="Indenta"/>
      </w:pPr>
      <w:r>
        <w:tab/>
        <w:t>(c)</w:t>
      </w:r>
      <w:r>
        <w:tab/>
        <w:t>section 65E.</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 amended: No. 49 of 2024 s. 22.]</w:t>
      </w:r>
    </w:p>
    <w:p>
      <w:pPr>
        <w:pStyle w:val="Heading5"/>
      </w:pPr>
      <w:bookmarkStart w:id="176" w:name="_Toc189743137"/>
      <w:r>
        <w:rPr>
          <w:rStyle w:val="CharSectno"/>
        </w:rPr>
        <w:t>65H</w:t>
      </w:r>
      <w:r>
        <w:t>.</w:t>
      </w:r>
      <w:r>
        <w:tab/>
        <w:t>Obligations on family counsellors, family dispute resolution practitioners and arbitrators — FLA s. 12G</w:t>
      </w:r>
      <w:bookmarkEnd w:id="176"/>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lastRenderedPageBreak/>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77" w:name="_Toc189558308"/>
      <w:bookmarkStart w:id="178" w:name="_Toc189653833"/>
      <w:bookmarkStart w:id="179" w:name="_Toc189743138"/>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77"/>
      <w:bookmarkEnd w:id="178"/>
      <w:bookmarkEnd w:id="179"/>
    </w:p>
    <w:p>
      <w:pPr>
        <w:pStyle w:val="Footnoteheading"/>
      </w:pPr>
      <w:r>
        <w:tab/>
        <w:t>[Heading inserted: No. 35 of 2006 s. 115.]</w:t>
      </w:r>
    </w:p>
    <w:p>
      <w:pPr>
        <w:pStyle w:val="Heading3"/>
      </w:pPr>
      <w:bookmarkStart w:id="180" w:name="_Toc189558309"/>
      <w:bookmarkStart w:id="181" w:name="_Toc189653834"/>
      <w:bookmarkStart w:id="182" w:name="_Toc189743139"/>
      <w:r>
        <w:rPr>
          <w:rStyle w:val="CharDivNo"/>
        </w:rPr>
        <w:t>Division 1</w:t>
      </w:r>
      <w:r>
        <w:t> — </w:t>
      </w:r>
      <w:r>
        <w:rPr>
          <w:rStyle w:val="CharDivText"/>
        </w:rPr>
        <w:t>Introduction</w:t>
      </w:r>
      <w:bookmarkEnd w:id="180"/>
      <w:bookmarkEnd w:id="181"/>
      <w:bookmarkEnd w:id="182"/>
    </w:p>
    <w:p>
      <w:pPr>
        <w:pStyle w:val="Footnoteheading"/>
      </w:pPr>
      <w:r>
        <w:tab/>
        <w:t>[Heading inserted: No. 35 of 2006 s. 115.]</w:t>
      </w:r>
    </w:p>
    <w:p>
      <w:pPr>
        <w:pStyle w:val="Heading5"/>
      </w:pPr>
      <w:bookmarkStart w:id="183" w:name="_Toc189743140"/>
      <w:r>
        <w:rPr>
          <w:rStyle w:val="CharSectno"/>
        </w:rPr>
        <w:t>65I</w:t>
      </w:r>
      <w:r>
        <w:t>.</w:t>
      </w:r>
      <w:r>
        <w:tab/>
        <w:t>Objects of this Part — FLA s. 13A</w:t>
      </w:r>
      <w:bookmarkEnd w:id="18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84" w:name="_Toc189558311"/>
      <w:bookmarkStart w:id="185" w:name="_Toc189653836"/>
      <w:bookmarkStart w:id="186" w:name="_Toc189743141"/>
      <w:r>
        <w:rPr>
          <w:rStyle w:val="CharDivNo"/>
        </w:rPr>
        <w:t>Division 2</w:t>
      </w:r>
      <w:r>
        <w:t> — </w:t>
      </w:r>
      <w:r>
        <w:rPr>
          <w:rStyle w:val="CharDivText"/>
        </w:rPr>
        <w:t>Help with reconciliation</w:t>
      </w:r>
      <w:bookmarkEnd w:id="184"/>
      <w:bookmarkEnd w:id="185"/>
      <w:bookmarkEnd w:id="186"/>
    </w:p>
    <w:p>
      <w:pPr>
        <w:pStyle w:val="Footnoteheading"/>
        <w:spacing w:before="100"/>
      </w:pPr>
      <w:r>
        <w:tab/>
        <w:t>[Heading inserted: No. 35 of 2006 s. 115.]</w:t>
      </w:r>
    </w:p>
    <w:p>
      <w:pPr>
        <w:pStyle w:val="Heading5"/>
      </w:pPr>
      <w:bookmarkStart w:id="187" w:name="_Toc189743142"/>
      <w:r>
        <w:rPr>
          <w:rStyle w:val="CharSectno"/>
        </w:rPr>
        <w:t>65J</w:t>
      </w:r>
      <w:r>
        <w:t>.</w:t>
      </w:r>
      <w:r>
        <w:tab/>
        <w:t>Court to accommodate possible reconciliations — FLA s. 13B</w:t>
      </w:r>
      <w:bookmarkEnd w:id="187"/>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88" w:name="_Toc189558313"/>
      <w:bookmarkStart w:id="189" w:name="_Toc189653838"/>
      <w:bookmarkStart w:id="190" w:name="_Toc189743143"/>
      <w:r>
        <w:rPr>
          <w:rStyle w:val="CharDivNo"/>
        </w:rPr>
        <w:t>Division 3 </w:t>
      </w:r>
      <w:r>
        <w:t>— </w:t>
      </w:r>
      <w:r>
        <w:rPr>
          <w:rStyle w:val="CharDivText"/>
        </w:rPr>
        <w:t>Referrals to family counselling, family dispute resolution and other family services</w:t>
      </w:r>
      <w:bookmarkEnd w:id="188"/>
      <w:bookmarkEnd w:id="189"/>
      <w:bookmarkEnd w:id="190"/>
    </w:p>
    <w:p>
      <w:pPr>
        <w:pStyle w:val="Footnoteheading"/>
        <w:spacing w:before="100"/>
      </w:pPr>
      <w:r>
        <w:tab/>
        <w:t>[Heading inserted: No. 35 of 2006 s. 115.]</w:t>
      </w:r>
    </w:p>
    <w:p>
      <w:pPr>
        <w:pStyle w:val="Heading5"/>
        <w:spacing w:before="180"/>
      </w:pPr>
      <w:bookmarkStart w:id="191" w:name="_Toc189743144"/>
      <w:r>
        <w:rPr>
          <w:rStyle w:val="CharSectno"/>
        </w:rPr>
        <w:t>65K</w:t>
      </w:r>
      <w:r>
        <w:t>.</w:t>
      </w:r>
      <w:r>
        <w:tab/>
        <w:t>Court may refer parties to family counselling, family dispute resolution and other family services — FLA s. 13C</w:t>
      </w:r>
      <w:bookmarkEnd w:id="19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lastRenderedPageBreak/>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92" w:name="_Toc189743145"/>
      <w:r>
        <w:rPr>
          <w:rStyle w:val="CharSectno"/>
        </w:rPr>
        <w:t>65L</w:t>
      </w:r>
      <w:r>
        <w:t>.</w:t>
      </w:r>
      <w:r>
        <w:tab/>
        <w:t>Consequences of failure to comply with order under section 65K — FLA s. 13D</w:t>
      </w:r>
      <w:bookmarkEnd w:id="19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lastRenderedPageBreak/>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93" w:name="_Toc189558316"/>
      <w:bookmarkStart w:id="194" w:name="_Toc189653841"/>
      <w:bookmarkStart w:id="195" w:name="_Toc189743146"/>
      <w:r>
        <w:rPr>
          <w:rStyle w:val="CharDivNo"/>
        </w:rPr>
        <w:t>Division 4</w:t>
      </w:r>
      <w:r>
        <w:t> — </w:t>
      </w:r>
      <w:r>
        <w:rPr>
          <w:rStyle w:val="CharDivText"/>
        </w:rPr>
        <w:t>Court’s role in relation to arbitration of disputes</w:t>
      </w:r>
      <w:bookmarkEnd w:id="193"/>
      <w:bookmarkEnd w:id="194"/>
      <w:bookmarkEnd w:id="195"/>
    </w:p>
    <w:p>
      <w:pPr>
        <w:pStyle w:val="Footnoteheading"/>
      </w:pPr>
      <w:r>
        <w:tab/>
        <w:t>[Heading inserted: No. 35 of 2006 s. 115.]</w:t>
      </w:r>
    </w:p>
    <w:p>
      <w:pPr>
        <w:pStyle w:val="Heading5"/>
      </w:pPr>
      <w:bookmarkStart w:id="196" w:name="_Toc189743147"/>
      <w:r>
        <w:rPr>
          <w:rStyle w:val="CharSectno"/>
        </w:rPr>
        <w:t>65M</w:t>
      </w:r>
      <w:r>
        <w:t>.</w:t>
      </w:r>
      <w:r>
        <w:tab/>
        <w:t>Court may refer Part 5A proceedings to arbitration — FLA s. 13E</w:t>
      </w:r>
      <w:bookmarkEnd w:id="196"/>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97" w:name="_Toc189743148"/>
      <w:r>
        <w:rPr>
          <w:rStyle w:val="CharSectno"/>
        </w:rPr>
        <w:t>65N</w:t>
      </w:r>
      <w:r>
        <w:t>.</w:t>
      </w:r>
      <w:r>
        <w:tab/>
        <w:t>Court may make orders to facilitate arbitration of certain disputes — FLA s. 13F</w:t>
      </w:r>
      <w:bookmarkEnd w:id="197"/>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98" w:name="_Toc189743149"/>
      <w:r>
        <w:rPr>
          <w:rStyle w:val="CharSectno"/>
        </w:rPr>
        <w:lastRenderedPageBreak/>
        <w:t>65O</w:t>
      </w:r>
      <w:r>
        <w:t>.</w:t>
      </w:r>
      <w:r>
        <w:tab/>
        <w:t>Court may determine questions of law referred by arbitrator — FLA s. 13G</w:t>
      </w:r>
      <w:bookmarkEnd w:id="19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99" w:name="_Toc189743150"/>
      <w:r>
        <w:rPr>
          <w:rStyle w:val="CharSectno"/>
        </w:rPr>
        <w:t>65P</w:t>
      </w:r>
      <w:r>
        <w:t>.</w:t>
      </w:r>
      <w:r>
        <w:tab/>
        <w:t>Awards made in arbitration may be registered in court — FLA s. 13H</w:t>
      </w:r>
      <w:bookmarkEnd w:id="199"/>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00" w:name="_Toc189743151"/>
      <w:r>
        <w:rPr>
          <w:rStyle w:val="CharSectno"/>
        </w:rPr>
        <w:lastRenderedPageBreak/>
        <w:t>65Q</w:t>
      </w:r>
      <w:r>
        <w:t>.</w:t>
      </w:r>
      <w:r>
        <w:tab/>
        <w:t>Court can review registered awards — FLA s. 13J</w:t>
      </w:r>
      <w:bookmarkEnd w:id="200"/>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01" w:name="_Toc189743152"/>
      <w:r>
        <w:rPr>
          <w:rStyle w:val="CharSectno"/>
        </w:rPr>
        <w:t>65R</w:t>
      </w:r>
      <w:r>
        <w:t>.</w:t>
      </w:r>
      <w:r>
        <w:tab/>
        <w:t>Court may set aside registered awards — FLA s. 13K</w:t>
      </w:r>
      <w:bookmarkEnd w:id="201"/>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lastRenderedPageBreak/>
        <w:tab/>
        <w:t>[Section 65R inserted: No. 35 of 2006 s. 115.]</w:t>
      </w:r>
    </w:p>
    <w:p>
      <w:pPr>
        <w:pStyle w:val="Heading2"/>
      </w:pPr>
      <w:bookmarkStart w:id="202" w:name="_Toc189558323"/>
      <w:bookmarkStart w:id="203" w:name="_Toc189653848"/>
      <w:bookmarkStart w:id="204" w:name="_Toc189743153"/>
      <w:r>
        <w:rPr>
          <w:rStyle w:val="CharPartNo"/>
        </w:rPr>
        <w:lastRenderedPageBreak/>
        <w:t>Part 5</w:t>
      </w:r>
      <w:r>
        <w:t> — </w:t>
      </w:r>
      <w:r>
        <w:rPr>
          <w:rStyle w:val="CharPartText"/>
        </w:rPr>
        <w:t>Children</w:t>
      </w:r>
      <w:bookmarkEnd w:id="202"/>
      <w:bookmarkEnd w:id="203"/>
      <w:bookmarkEnd w:id="204"/>
    </w:p>
    <w:p>
      <w:pPr>
        <w:pStyle w:val="Heading3"/>
        <w:rPr>
          <w:snapToGrid w:val="0"/>
        </w:rPr>
      </w:pPr>
      <w:bookmarkStart w:id="205" w:name="_Toc189558324"/>
      <w:bookmarkStart w:id="206" w:name="_Toc189653849"/>
      <w:bookmarkStart w:id="207" w:name="_Toc189743154"/>
      <w:r>
        <w:rPr>
          <w:rStyle w:val="CharDivNo"/>
        </w:rPr>
        <w:t>Division 1</w:t>
      </w:r>
      <w:r>
        <w:rPr>
          <w:snapToGrid w:val="0"/>
        </w:rPr>
        <w:t> — </w:t>
      </w:r>
      <w:r>
        <w:rPr>
          <w:rStyle w:val="CharDivText"/>
        </w:rPr>
        <w:t>Introductory</w:t>
      </w:r>
      <w:bookmarkEnd w:id="205"/>
      <w:bookmarkEnd w:id="206"/>
      <w:bookmarkEnd w:id="207"/>
      <w:r>
        <w:rPr>
          <w:b w:val="0"/>
          <w:sz w:val="24"/>
        </w:rPr>
        <w:t xml:space="preserve"> </w:t>
      </w:r>
    </w:p>
    <w:p>
      <w:pPr>
        <w:pStyle w:val="Heading4"/>
      </w:pPr>
      <w:bookmarkStart w:id="208" w:name="_Toc189558325"/>
      <w:bookmarkStart w:id="209" w:name="_Toc189653850"/>
      <w:bookmarkStart w:id="210" w:name="_Toc189743155"/>
      <w:r>
        <w:t>Subdivision 1 — Objects</w:t>
      </w:r>
      <w:bookmarkEnd w:id="208"/>
      <w:bookmarkEnd w:id="209"/>
      <w:bookmarkEnd w:id="210"/>
    </w:p>
    <w:p>
      <w:pPr>
        <w:pStyle w:val="Footnoteheading"/>
      </w:pPr>
      <w:r>
        <w:tab/>
        <w:t>[Heading inserted: No. 35 of 2006 s. 81; amended: No. 49 of 2024 s. 23.]</w:t>
      </w:r>
    </w:p>
    <w:p>
      <w:pPr>
        <w:pStyle w:val="Heading5"/>
      </w:pPr>
      <w:bookmarkStart w:id="211" w:name="_Toc184390108"/>
      <w:bookmarkStart w:id="212" w:name="_Toc189743156"/>
      <w:r>
        <w:rPr>
          <w:rStyle w:val="CharSectno"/>
        </w:rPr>
        <w:t>66</w:t>
      </w:r>
      <w:r>
        <w:t>.</w:t>
      </w:r>
      <w:r>
        <w:tab/>
        <w:t>Objects of Part — FLA s. 60B</w:t>
      </w:r>
      <w:bookmarkEnd w:id="211"/>
      <w:bookmarkEnd w:id="212"/>
    </w:p>
    <w:p>
      <w:pPr>
        <w:pStyle w:val="Subsection"/>
      </w:pPr>
      <w:r>
        <w:tab/>
      </w:r>
      <w:r>
        <w:tab/>
        <w:t>The objects of this Part are —</w:t>
      </w:r>
    </w:p>
    <w:p>
      <w:pPr>
        <w:pStyle w:val="Indenta"/>
      </w:pPr>
      <w:r>
        <w:tab/>
        <w:t>(a)</w:t>
      </w:r>
      <w:r>
        <w:tab/>
        <w:t>to ensure that the best interests of children are met, including by ensuring their safety; and</w:t>
      </w:r>
    </w:p>
    <w:p>
      <w:pPr>
        <w:pStyle w:val="Indenta"/>
      </w:pPr>
      <w:r>
        <w:tab/>
        <w:t>(b)</w:t>
      </w:r>
      <w:r>
        <w:tab/>
        <w:t>to give effect to the Convention on the Rights of the Child done at New York on 20 November 1989 as ratified by Australia at 17 December 1990.</w:t>
      </w:r>
    </w:p>
    <w:p>
      <w:pPr>
        <w:pStyle w:val="PermNoteHeading"/>
      </w:pPr>
      <w:r>
        <w:tab/>
        <w:t>Note for this section:</w:t>
      </w:r>
    </w:p>
    <w:p>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t>
      </w:r>
      <w:hyperlink r:id="rId21" w:history="1">
        <w:r>
          <w:rPr>
            <w:rStyle w:val="Hyperlink"/>
            <w:sz w:val="18"/>
          </w:rPr>
          <w:t>www.austlii.edu.au</w:t>
        </w:r>
      </w:hyperlink>
      <w:r>
        <w:t>).</w:t>
      </w:r>
    </w:p>
    <w:p>
      <w:pPr>
        <w:pStyle w:val="Footnotesection"/>
      </w:pPr>
      <w:r>
        <w:tab/>
        <w:t>[Section 66 inserted: No. 49 of 2024 s. 24.]</w:t>
      </w:r>
    </w:p>
    <w:p>
      <w:pPr>
        <w:pStyle w:val="Heading4"/>
      </w:pPr>
      <w:bookmarkStart w:id="213" w:name="_Toc189558327"/>
      <w:bookmarkStart w:id="214" w:name="_Toc189653852"/>
      <w:bookmarkStart w:id="215" w:name="_Toc189743157"/>
      <w:r>
        <w:t>Subdivision 2 — Best interests of the child: court proceedings</w:t>
      </w:r>
      <w:bookmarkEnd w:id="213"/>
      <w:bookmarkEnd w:id="214"/>
      <w:bookmarkEnd w:id="215"/>
    </w:p>
    <w:p>
      <w:pPr>
        <w:pStyle w:val="Footnoteheading"/>
        <w:spacing w:before="80"/>
      </w:pPr>
      <w:r>
        <w:tab/>
        <w:t>[Heading inserted: No. 13 of 2013 s. 9.]</w:t>
      </w:r>
    </w:p>
    <w:p>
      <w:pPr>
        <w:pStyle w:val="Heading5"/>
      </w:pPr>
      <w:bookmarkStart w:id="216" w:name="_Toc189743158"/>
      <w:r>
        <w:rPr>
          <w:rStyle w:val="CharSectno"/>
        </w:rPr>
        <w:t>66A</w:t>
      </w:r>
      <w:r>
        <w:t>.</w:t>
      </w:r>
      <w:r>
        <w:tab/>
        <w:t>Child’s best interests paramount consideration in making parenting order — FLA s. 60CA</w:t>
      </w:r>
      <w:bookmarkEnd w:id="216"/>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217" w:name="_Toc189743159"/>
      <w:r>
        <w:rPr>
          <w:rStyle w:val="CharSectno"/>
        </w:rPr>
        <w:lastRenderedPageBreak/>
        <w:t>66B</w:t>
      </w:r>
      <w:r>
        <w:t>.</w:t>
      </w:r>
      <w:r>
        <w:tab/>
        <w:t>Proceedings to which Subdivision applies — FLA s. 60CB</w:t>
      </w:r>
      <w:bookmarkEnd w:id="217"/>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18" w:name="_Toc184390110"/>
      <w:bookmarkStart w:id="219" w:name="_Toc189743160"/>
      <w:r>
        <w:rPr>
          <w:rStyle w:val="CharSectno"/>
        </w:rPr>
        <w:t>66C</w:t>
      </w:r>
      <w:r>
        <w:t>.</w:t>
      </w:r>
      <w:r>
        <w:tab/>
        <w:t>How a court determines what is in child’s best interests — FLA s. 60CC</w:t>
      </w:r>
      <w:bookmarkEnd w:id="218"/>
      <w:bookmarkEnd w:id="219"/>
    </w:p>
    <w:p>
      <w:pPr>
        <w:pStyle w:val="Subsection"/>
      </w:pPr>
      <w:r>
        <w:tab/>
        <w:t>(1)</w:t>
      </w:r>
      <w:r>
        <w:tab/>
        <w:t>Subject to subsection (4), in determining what is in the child’s best interests, the court must —</w:t>
      </w:r>
    </w:p>
    <w:p>
      <w:pPr>
        <w:pStyle w:val="Indenta"/>
      </w:pPr>
      <w:r>
        <w:tab/>
        <w:t>(a)</w:t>
      </w:r>
      <w:r>
        <w:tab/>
        <w:t>consider the matters set out in subsection (2); and</w:t>
      </w:r>
    </w:p>
    <w:p>
      <w:pPr>
        <w:pStyle w:val="Indenta"/>
      </w:pPr>
      <w:r>
        <w:tab/>
        <w:t>(b)</w:t>
      </w:r>
      <w:r>
        <w:tab/>
        <w:t>if the child is an Aboriginal or Torres Strait Islander child — also consider the matters set out in subsection (4).</w:t>
      </w:r>
    </w:p>
    <w:p>
      <w:pPr>
        <w:pStyle w:val="Subsection"/>
      </w:pPr>
      <w:r>
        <w:tab/>
        <w:t>(2)</w:t>
      </w:r>
      <w:r>
        <w:tab/>
        <w:t>For the purposes of subsection (1)(a), the court must consider the following matters —</w:t>
      </w:r>
    </w:p>
    <w:p>
      <w:pPr>
        <w:pStyle w:val="Indenta"/>
      </w:pPr>
      <w:r>
        <w:tab/>
        <w:t>(a)</w:t>
      </w:r>
      <w:r>
        <w:tab/>
        <w:t>what arrangements would promote the safety (including safety from being subjected to, or exposed to, family violence, abuse, neglect, or other harm) of —</w:t>
      </w:r>
    </w:p>
    <w:p>
      <w:pPr>
        <w:pStyle w:val="Indenti"/>
      </w:pPr>
      <w:r>
        <w:tab/>
        <w:t>(i)</w:t>
      </w:r>
      <w:r>
        <w:tab/>
        <w:t>the child; and</w:t>
      </w:r>
    </w:p>
    <w:p>
      <w:pPr>
        <w:pStyle w:val="Indenti"/>
      </w:pPr>
      <w:r>
        <w:tab/>
        <w:t>(ii)</w:t>
      </w:r>
      <w:r>
        <w:tab/>
        <w:t>each person who has care of the child (whether or not a person has parental responsibility for the child);</w:t>
      </w:r>
    </w:p>
    <w:p>
      <w:pPr>
        <w:pStyle w:val="Indenta"/>
      </w:pPr>
      <w:r>
        <w:tab/>
        <w:t>(b)</w:t>
      </w:r>
      <w:r>
        <w:tab/>
        <w:t>any views expressed by the child;</w:t>
      </w:r>
    </w:p>
    <w:p>
      <w:pPr>
        <w:pStyle w:val="Indenta"/>
      </w:pPr>
      <w:r>
        <w:tab/>
        <w:t>(c)</w:t>
      </w:r>
      <w:r>
        <w:tab/>
        <w:t>the developmental, psychological, emotional and cultural needs of the child;</w:t>
      </w:r>
    </w:p>
    <w:p>
      <w:pPr>
        <w:pStyle w:val="Indenta"/>
      </w:pPr>
      <w:r>
        <w:tab/>
        <w:t>(d)</w:t>
      </w:r>
      <w:r>
        <w:tab/>
        <w:t>the capacity of each person who has or is proposed to have parental responsibility for the child to provide for the child’s developmental, psychological, emotional and cultural needs;</w:t>
      </w:r>
    </w:p>
    <w:p>
      <w:pPr>
        <w:pStyle w:val="Indenta"/>
      </w:pPr>
      <w:r>
        <w:lastRenderedPageBreak/>
        <w:tab/>
        <w:t>(e)</w:t>
      </w:r>
      <w:r>
        <w:tab/>
        <w:t>the benefit to the child of being able to have a relationship with the child’s parents, and other people who are significant to the child, where it is safe to do so;</w:t>
      </w:r>
    </w:p>
    <w:p>
      <w:pPr>
        <w:pStyle w:val="Indenta"/>
      </w:pPr>
      <w:r>
        <w:tab/>
        <w:t>(f)</w:t>
      </w:r>
      <w:r>
        <w:tab/>
        <w:t>anything else that is relevant to the particular circumstances of the child.</w:t>
      </w:r>
    </w:p>
    <w:p>
      <w:pPr>
        <w:pStyle w:val="Subsection"/>
      </w:pPr>
      <w:r>
        <w:tab/>
        <w:t>(3)</w:t>
      </w:r>
      <w:r>
        <w:tab/>
        <w:t>In considering the matters set out in subsection (2)(a), the court must include consideration of —</w:t>
      </w:r>
    </w:p>
    <w:p>
      <w:pPr>
        <w:pStyle w:val="Indenta"/>
      </w:pPr>
      <w:r>
        <w:tab/>
        <w:t>(a)</w:t>
      </w:r>
      <w:r>
        <w:tab/>
        <w:t>any history of family violence, abuse or neglect involving the child or a person caring for the child (whether or not the person had parental responsibility for the child); and</w:t>
      </w:r>
    </w:p>
    <w:p>
      <w:pPr>
        <w:pStyle w:val="Indenta"/>
      </w:pPr>
      <w:r>
        <w:tab/>
        <w:t>(b)</w:t>
      </w:r>
      <w:r>
        <w:tab/>
        <w:t>any family violence order that applies or has applied to the child or a member of the child’s family.</w:t>
      </w:r>
    </w:p>
    <w:p>
      <w:pPr>
        <w:pStyle w:val="Subsection"/>
      </w:pPr>
      <w:r>
        <w:tab/>
        <w:t>(4)</w:t>
      </w:r>
      <w:r>
        <w:tab/>
        <w:t>For the purposes of subsection (1)(b), the court must consider the following matters —</w:t>
      </w:r>
    </w:p>
    <w:p>
      <w:pPr>
        <w:pStyle w:val="Indenta"/>
      </w:pPr>
      <w:r>
        <w:tab/>
        <w:t>(a)</w:t>
      </w:r>
      <w:r>
        <w:tab/>
        <w:t>the child’s right to enjoy the child’s Aboriginal or Torres Strait Islander culture, by having the support, opportunity and encouragement necessary —</w:t>
      </w:r>
    </w:p>
    <w:p>
      <w:pPr>
        <w:pStyle w:val="Indenti"/>
      </w:pPr>
      <w:r>
        <w:tab/>
        <w:t>(i)</w:t>
      </w:r>
      <w:r>
        <w:tab/>
        <w:t>to connect with, and maintain their connection with, members of their family and with their community, culture, country and language; and</w:t>
      </w:r>
    </w:p>
    <w:p>
      <w:pPr>
        <w:pStyle w:val="Indenti"/>
      </w:pPr>
      <w:r>
        <w:tab/>
        <w:t>(ii)</w:t>
      </w:r>
      <w:r>
        <w:tab/>
        <w:t>to explore the full extent of that culture, consistent with the child’s age and developmental level and the child’s views; and</w:t>
      </w:r>
    </w:p>
    <w:p>
      <w:pPr>
        <w:pStyle w:val="Indenti"/>
      </w:pPr>
      <w:r>
        <w:tab/>
        <w:t>(iii)</w:t>
      </w:r>
      <w:r>
        <w:tab/>
        <w:t>to develop a positive appreciation of that culture;</w:t>
      </w:r>
    </w:p>
    <w:p>
      <w:pPr>
        <w:pStyle w:val="Indenta"/>
      </w:pPr>
      <w:r>
        <w:tab/>
        <w:t>(b)</w:t>
      </w:r>
      <w:r>
        <w:tab/>
        <w:t>the likely impact any proposed parenting order under this Part will have on that right.</w:t>
      </w:r>
    </w:p>
    <w:p>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Footnotesection"/>
      </w:pPr>
      <w:r>
        <w:tab/>
        <w:t>[Section 66C inserted: No. 49 of 2024 s. 25.]</w:t>
      </w:r>
    </w:p>
    <w:p>
      <w:pPr>
        <w:pStyle w:val="Heading5"/>
      </w:pPr>
      <w:bookmarkStart w:id="220" w:name="_Toc189743161"/>
      <w:r>
        <w:rPr>
          <w:rStyle w:val="CharSectno"/>
        </w:rPr>
        <w:lastRenderedPageBreak/>
        <w:t>66D</w:t>
      </w:r>
      <w:r>
        <w:t>.</w:t>
      </w:r>
      <w:r>
        <w:tab/>
        <w:t>How views of child are expressed — FLA s. 60CD</w:t>
      </w:r>
      <w:bookmarkEnd w:id="220"/>
    </w:p>
    <w:p>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 amended: No. 49 of 2024 s. 26.]</w:t>
      </w:r>
    </w:p>
    <w:p>
      <w:pPr>
        <w:pStyle w:val="Heading5"/>
      </w:pPr>
      <w:bookmarkStart w:id="221" w:name="_Toc189743162"/>
      <w:r>
        <w:rPr>
          <w:rStyle w:val="CharSectno"/>
        </w:rPr>
        <w:t>66E</w:t>
      </w:r>
      <w:r>
        <w:t>.</w:t>
      </w:r>
      <w:r>
        <w:tab/>
        <w:t>Children not required to express views — FLA s. 60CE</w:t>
      </w:r>
      <w:bookmarkEnd w:id="221"/>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22" w:name="_Toc189743163"/>
      <w:r>
        <w:rPr>
          <w:rStyle w:val="CharSectno"/>
        </w:rPr>
        <w:t>66F</w:t>
      </w:r>
      <w:r>
        <w:t>.</w:t>
      </w:r>
      <w:r>
        <w:tab/>
        <w:t>Informing court of relevant family violence orders — FLA</w:t>
      </w:r>
      <w:r>
        <w:rPr>
          <w:b w:val="0"/>
        </w:rPr>
        <w:t> </w:t>
      </w:r>
      <w:r>
        <w:t>s. 60CF</w:t>
      </w:r>
      <w:bookmarkEnd w:id="22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lastRenderedPageBreak/>
        <w:tab/>
        <w:t>[Section 66F inserted: No. 35 of 2006 s. 83.]</w:t>
      </w:r>
    </w:p>
    <w:p>
      <w:pPr>
        <w:pStyle w:val="Heading5"/>
      </w:pPr>
      <w:bookmarkStart w:id="223" w:name="_Toc189743164"/>
      <w:r>
        <w:rPr>
          <w:rStyle w:val="CharSectno"/>
        </w:rPr>
        <w:t>66G</w:t>
      </w:r>
      <w:r>
        <w:t>.</w:t>
      </w:r>
      <w:r>
        <w:tab/>
        <w:t>Court to consider risk of family violence — FLA s. 60CG</w:t>
      </w:r>
      <w:bookmarkEnd w:id="223"/>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24" w:name="_Toc189743165"/>
      <w:r>
        <w:rPr>
          <w:rStyle w:val="CharSectno"/>
        </w:rPr>
        <w:t>66HA</w:t>
      </w:r>
      <w:r>
        <w:t>.</w:t>
      </w:r>
      <w:r>
        <w:tab/>
        <w:t>Informing court of care arrangements under child welfare laws — FLA s. 60CH</w:t>
      </w:r>
      <w:bookmarkEnd w:id="224"/>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25" w:name="_Toc189743166"/>
      <w:r>
        <w:rPr>
          <w:rStyle w:val="CharSectno"/>
        </w:rPr>
        <w:lastRenderedPageBreak/>
        <w:t>66HB</w:t>
      </w:r>
      <w:r>
        <w:t>.</w:t>
      </w:r>
      <w:r>
        <w:tab/>
        <w:t>Informing court of notifications to, and investigations by, information sharing agencies — FLA s. 60CI</w:t>
      </w:r>
      <w:bookmarkEnd w:id="225"/>
    </w:p>
    <w:p>
      <w:pPr>
        <w:pStyle w:val="Ednotesubsection"/>
      </w:pPr>
      <w:r>
        <w:tab/>
        <w:t>[(1)</w:t>
      </w:r>
      <w:r>
        <w:tab/>
        <w:t>deleted]</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an information sharing agency; or</w:t>
      </w:r>
    </w:p>
    <w:p>
      <w:pPr>
        <w:pStyle w:val="Indenti"/>
      </w:pPr>
      <w:r>
        <w:tab/>
        <w:t>(ii)</w:t>
      </w:r>
      <w:r>
        <w:tab/>
        <w:t>an investigation, inquiry or assessment (however described) by an information sharing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an information sharing agency; or</w:t>
      </w:r>
    </w:p>
    <w:p>
      <w:pPr>
        <w:pStyle w:val="Indenti"/>
        <w:spacing w:before="60"/>
      </w:pPr>
      <w:r>
        <w:tab/>
        <w:t>(ii)</w:t>
      </w:r>
      <w:r>
        <w:tab/>
        <w:t>an investigation, inquiry or assessment (however described) by an information sharing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lastRenderedPageBreak/>
        <w:tab/>
        <w:t>[Section 66HB inserted: No. 13 of 2013 s. 11; amended: No. 49 of 2024 s. 27.]</w:t>
      </w:r>
    </w:p>
    <w:p>
      <w:pPr>
        <w:pStyle w:val="Heading4"/>
      </w:pPr>
      <w:bookmarkStart w:id="226" w:name="_Toc189558337"/>
      <w:bookmarkStart w:id="227" w:name="_Toc189653862"/>
      <w:bookmarkStart w:id="228" w:name="_Toc189743167"/>
      <w:r>
        <w:t>Subdivision 3A — Best interests of the child: adviser’s obligations</w:t>
      </w:r>
      <w:bookmarkEnd w:id="226"/>
      <w:bookmarkEnd w:id="227"/>
      <w:bookmarkEnd w:id="228"/>
    </w:p>
    <w:p>
      <w:pPr>
        <w:pStyle w:val="Footnoteheading"/>
      </w:pPr>
      <w:r>
        <w:tab/>
        <w:t>[Heading inserted: No. 13 of 2013 s. 12.]</w:t>
      </w:r>
    </w:p>
    <w:p>
      <w:pPr>
        <w:pStyle w:val="Heading5"/>
      </w:pPr>
      <w:bookmarkStart w:id="229" w:name="_Toc189743168"/>
      <w:r>
        <w:rPr>
          <w:rStyle w:val="CharSectno"/>
        </w:rPr>
        <w:t>66HC</w:t>
      </w:r>
      <w:r>
        <w:t>.</w:t>
      </w:r>
      <w:r>
        <w:tab/>
        <w:t>Adviser’s obligations in relation to best interests of child — FLA s. 60D</w:t>
      </w:r>
      <w:bookmarkEnd w:id="229"/>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encourage the person to act in the child’s best interests by applying the considerations set out in section 66C(2) and (4).</w:t>
      </w:r>
    </w:p>
    <w:p>
      <w:pPr>
        <w:pStyle w:val="Footnotesection"/>
      </w:pPr>
      <w:r>
        <w:tab/>
        <w:t>[Section 66HC inserted: No. 13 of 2013 s. 12; amended: No. 49 of 2024 s. 28.]</w:t>
      </w:r>
    </w:p>
    <w:p>
      <w:pPr>
        <w:pStyle w:val="Heading4"/>
      </w:pPr>
      <w:bookmarkStart w:id="230" w:name="_Toc189558339"/>
      <w:bookmarkStart w:id="231" w:name="_Toc189653864"/>
      <w:bookmarkStart w:id="232" w:name="_Toc189743169"/>
      <w:r>
        <w:t>Subdivision 3 — Family dispute resolution</w:t>
      </w:r>
      <w:bookmarkEnd w:id="230"/>
      <w:bookmarkEnd w:id="231"/>
      <w:bookmarkEnd w:id="232"/>
    </w:p>
    <w:p>
      <w:pPr>
        <w:pStyle w:val="Footnoteheading"/>
      </w:pPr>
      <w:r>
        <w:tab/>
        <w:t>[Heading inserted: No. 35 of 2006 s. 83.]</w:t>
      </w:r>
    </w:p>
    <w:p>
      <w:pPr>
        <w:pStyle w:val="Heading5"/>
      </w:pPr>
      <w:bookmarkStart w:id="233" w:name="_Toc189743170"/>
      <w:r>
        <w:rPr>
          <w:rStyle w:val="CharSectno"/>
        </w:rPr>
        <w:t>66H</w:t>
      </w:r>
      <w:r>
        <w:t>.</w:t>
      </w:r>
      <w:r>
        <w:tab/>
        <w:t>Attending family dispute resolution before applying for Part 5 Order — FLA s. 60I</w:t>
      </w:r>
      <w:bookmarkEnd w:id="233"/>
    </w:p>
    <w:p>
      <w:pPr>
        <w:pStyle w:val="Ednotesubsection"/>
      </w:pPr>
      <w:r>
        <w:tab/>
        <w:t>[(1)</w:t>
      </w:r>
      <w:r>
        <w:tab/>
        <w:t>deleted]</w:t>
      </w:r>
    </w:p>
    <w:p>
      <w:pPr>
        <w:pStyle w:val="Subsection"/>
      </w:pPr>
      <w:r>
        <w:tab/>
        <w:t>(2)</w:t>
      </w:r>
      <w:r>
        <w:tab/>
        <w:t xml:space="preserve">The object of this section is to ensure that all persons who have a dispute about matters that may be dealt with by a Part 5 Order </w:t>
      </w:r>
      <w:r>
        <w:lastRenderedPageBreak/>
        <w:t>make a genuine effort to resolve that dispute by family dispute resolution before the Part 5 Order is applied for.</w:t>
      </w:r>
    </w:p>
    <w:p>
      <w:pPr>
        <w:pStyle w:val="Ednotesubsection"/>
      </w:pPr>
      <w:r>
        <w:tab/>
        <w:t>[(3)-(5)</w:t>
      </w:r>
      <w:r>
        <w:tab/>
        <w:t>deleted]</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lastRenderedPageBreak/>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lastRenderedPageBreak/>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 amended: No. 49 of 2024 s. 29.]</w:t>
      </w:r>
    </w:p>
    <w:p>
      <w:pPr>
        <w:pStyle w:val="Heading5"/>
      </w:pPr>
      <w:bookmarkStart w:id="234" w:name="_Toc189743171"/>
      <w:r>
        <w:rPr>
          <w:rStyle w:val="CharSectno"/>
        </w:rPr>
        <w:t>66I</w:t>
      </w:r>
      <w:r>
        <w:t>.</w:t>
      </w:r>
      <w:r>
        <w:tab/>
        <w:t>Family dispute resolution not attended because of child abuse or family violence — FLA s. 60J</w:t>
      </w:r>
      <w:bookmarkEnd w:id="234"/>
    </w:p>
    <w:p>
      <w:pPr>
        <w:pStyle w:val="Subsection"/>
      </w:pPr>
      <w:r>
        <w:tab/>
        <w:t>(1)</w:t>
      </w:r>
      <w:r>
        <w:tab/>
        <w:t>Subsection (1A) applies if —</w:t>
      </w:r>
    </w:p>
    <w:p>
      <w:pPr>
        <w:pStyle w:val="Indenta"/>
      </w:pPr>
      <w:r>
        <w:tab/>
        <w:t>(a)</w:t>
      </w:r>
      <w:r>
        <w:tab/>
        <w:t>an application is made for a Part 5 Order in relation to a child; and</w:t>
      </w:r>
    </w:p>
    <w:p>
      <w:pPr>
        <w:pStyle w:val="Indenta"/>
      </w:pPr>
      <w:r>
        <w:tab/>
        <w:t>(b)</w:t>
      </w:r>
      <w:r>
        <w:tab/>
        <w:t>section 66H(6) does not apply to the application because the court is satisfied that there are reasonable grounds to believe that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(1A)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A failure to comply with subsection (1A) in relation to proceedings on an application for a Part 5 Order does not affect the validity of —</w:t>
      </w:r>
    </w:p>
    <w:p>
      <w:pPr>
        <w:pStyle w:val="Indenta"/>
      </w:pPr>
      <w:r>
        <w:tab/>
        <w:t>(a)</w:t>
      </w:r>
      <w:r>
        <w:tab/>
        <w:t>those proceedings; or</w:t>
      </w:r>
    </w:p>
    <w:p>
      <w:pPr>
        <w:pStyle w:val="Indenta"/>
      </w:pPr>
      <w:r>
        <w:tab/>
        <w:t>(b)</w:t>
      </w:r>
      <w:r>
        <w:tab/>
        <w:t>any order made in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 amended: No. 49 of 2024 s. 30.]</w:t>
      </w:r>
    </w:p>
    <w:p>
      <w:pPr>
        <w:pStyle w:val="Ednotesection"/>
      </w:pPr>
      <w:r>
        <w:t>[</w:t>
      </w:r>
      <w:r>
        <w:rPr>
          <w:b/>
        </w:rPr>
        <w:t>66J.</w:t>
      </w:r>
      <w:r>
        <w:tab/>
        <w:t>Deleted: No. 13 of 2013 s. 13.]</w:t>
      </w:r>
    </w:p>
    <w:p>
      <w:pPr>
        <w:pStyle w:val="Heading3"/>
        <w:rPr>
          <w:snapToGrid w:val="0"/>
        </w:rPr>
      </w:pPr>
      <w:bookmarkStart w:id="235" w:name="_Toc189558342"/>
      <w:bookmarkStart w:id="236" w:name="_Toc189653867"/>
      <w:bookmarkStart w:id="237" w:name="_Toc189743172"/>
      <w:r>
        <w:rPr>
          <w:rStyle w:val="CharDivNo"/>
        </w:rPr>
        <w:t>Division 2</w:t>
      </w:r>
      <w:r>
        <w:rPr>
          <w:snapToGrid w:val="0"/>
        </w:rPr>
        <w:t> — </w:t>
      </w:r>
      <w:r>
        <w:rPr>
          <w:rStyle w:val="CharDivText"/>
        </w:rPr>
        <w:t>Parental responsibility</w:t>
      </w:r>
      <w:bookmarkEnd w:id="235"/>
      <w:bookmarkEnd w:id="236"/>
      <w:bookmarkEnd w:id="237"/>
      <w:r>
        <w:rPr>
          <w:rStyle w:val="CharDivText"/>
        </w:rPr>
        <w:t xml:space="preserve"> </w:t>
      </w:r>
    </w:p>
    <w:p>
      <w:pPr>
        <w:pStyle w:val="Heading5"/>
        <w:rPr>
          <w:snapToGrid w:val="0"/>
        </w:rPr>
      </w:pPr>
      <w:bookmarkStart w:id="238" w:name="_Toc189743173"/>
      <w:r>
        <w:rPr>
          <w:rStyle w:val="CharSectno"/>
        </w:rPr>
        <w:t>67</w:t>
      </w:r>
      <w:r>
        <w:rPr>
          <w:snapToGrid w:val="0"/>
        </w:rPr>
        <w:t>.</w:t>
      </w:r>
      <w:r>
        <w:rPr>
          <w:snapToGrid w:val="0"/>
        </w:rPr>
        <w:tab/>
        <w:t>What this Division does — FLA s. 61A</w:t>
      </w:r>
      <w:bookmarkEnd w:id="238"/>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lastRenderedPageBreak/>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39" w:name="_Toc189743174"/>
      <w:r>
        <w:rPr>
          <w:rStyle w:val="CharSectno"/>
        </w:rPr>
        <w:t>68</w:t>
      </w:r>
      <w:r>
        <w:rPr>
          <w:snapToGrid w:val="0"/>
        </w:rPr>
        <w:t>.</w:t>
      </w:r>
      <w:r>
        <w:rPr>
          <w:snapToGrid w:val="0"/>
        </w:rPr>
        <w:tab/>
        <w:t>Term used: parental responsibility — FLA s. 61B</w:t>
      </w:r>
      <w:bookmarkEnd w:id="23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0" w:name="_Toc189743175"/>
      <w:r>
        <w:rPr>
          <w:rStyle w:val="CharSectno"/>
        </w:rPr>
        <w:t>69</w:t>
      </w:r>
      <w:r>
        <w:rPr>
          <w:snapToGrid w:val="0"/>
        </w:rPr>
        <w:t>.</w:t>
      </w:r>
      <w:r>
        <w:rPr>
          <w:snapToGrid w:val="0"/>
        </w:rPr>
        <w:tab/>
        <w:t>Each parent has parental responsibility (subject to court orders) — FLA s. 61C</w:t>
      </w:r>
      <w:bookmarkEnd w:id="240"/>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pPr>
      <w:bookmarkStart w:id="241" w:name="_Toc184390117"/>
      <w:bookmarkStart w:id="242" w:name="_Toc189743176"/>
      <w:r>
        <w:rPr>
          <w:rStyle w:val="CharSectno"/>
        </w:rPr>
        <w:t>69A</w:t>
      </w:r>
      <w:r>
        <w:t>.</w:t>
      </w:r>
      <w:r>
        <w:tab/>
        <w:t>Consultation between parents on major long</w:t>
      </w:r>
      <w:r>
        <w:noBreakHyphen/>
        <w:t>term issues — FLA s. 61CA</w:t>
      </w:r>
      <w:bookmarkEnd w:id="241"/>
      <w:bookmarkEnd w:id="242"/>
    </w:p>
    <w:p>
      <w:pPr>
        <w:pStyle w:val="Subsection"/>
      </w:pPr>
      <w:r>
        <w:tab/>
      </w:r>
      <w:r>
        <w:tab/>
        <w:t>If it is safe to do so, and subject to any court orders, the parents of a child who is not yet 18 are encouraged —</w:t>
      </w:r>
    </w:p>
    <w:p>
      <w:pPr>
        <w:pStyle w:val="Indenta"/>
      </w:pPr>
      <w:r>
        <w:tab/>
        <w:t>(a)</w:t>
      </w:r>
      <w:r>
        <w:tab/>
        <w:t>to consult each other about major long</w:t>
      </w:r>
      <w:r>
        <w:noBreakHyphen/>
        <w:t>term issues in relation to the child; and</w:t>
      </w:r>
    </w:p>
    <w:p>
      <w:pPr>
        <w:pStyle w:val="Indenta"/>
      </w:pPr>
      <w:r>
        <w:tab/>
        <w:t>(b)</w:t>
      </w:r>
      <w:r>
        <w:tab/>
        <w:t>in doing so, to have regard to the best interests of the child as the paramount consideration.</w:t>
      </w:r>
    </w:p>
    <w:p>
      <w:pPr>
        <w:pStyle w:val="Footnotesection"/>
        <w:rPr>
          <w:snapToGrid/>
        </w:rPr>
      </w:pPr>
      <w:r>
        <w:tab/>
        <w:t>[Section 69A inserted: No. 49 of 2024 s. 31.]</w:t>
      </w:r>
    </w:p>
    <w:p>
      <w:pPr>
        <w:pStyle w:val="Heading5"/>
        <w:rPr>
          <w:snapToGrid w:val="0"/>
        </w:rPr>
      </w:pPr>
      <w:bookmarkStart w:id="243" w:name="_Toc189743177"/>
      <w:r>
        <w:rPr>
          <w:rStyle w:val="CharSectno"/>
        </w:rPr>
        <w:lastRenderedPageBreak/>
        <w:t>70</w:t>
      </w:r>
      <w:r>
        <w:rPr>
          <w:snapToGrid w:val="0"/>
        </w:rPr>
        <w:t>.</w:t>
      </w:r>
      <w:r>
        <w:rPr>
          <w:snapToGrid w:val="0"/>
        </w:rPr>
        <w:tab/>
        <w:t>Parenting orders and parental responsibility — FLA s. 61D</w:t>
      </w:r>
      <w:bookmarkEnd w:id="243"/>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Footnotesection"/>
        <w:rPr>
          <w:snapToGrid/>
        </w:rPr>
      </w:pPr>
      <w:r>
        <w:tab/>
        <w:t>[Section 70 amended: No. 49 of 2024 s. 32.]</w:t>
      </w:r>
    </w:p>
    <w:p>
      <w:pPr>
        <w:pStyle w:val="Heading5"/>
      </w:pPr>
      <w:bookmarkStart w:id="244" w:name="_Toc184390120"/>
      <w:bookmarkStart w:id="245" w:name="_Toc189743178"/>
      <w:r>
        <w:rPr>
          <w:rStyle w:val="CharSectno"/>
        </w:rPr>
        <w:t>70A</w:t>
      </w:r>
      <w:r>
        <w:t>.</w:t>
      </w:r>
      <w:r>
        <w:tab/>
        <w:t>Effect of parenting order that provides for joint decision</w:t>
      </w:r>
      <w:r>
        <w:noBreakHyphen/>
        <w:t>making about major long</w:t>
      </w:r>
      <w:r>
        <w:noBreakHyphen/>
        <w:t>term issues — FLA s. 61DAA</w:t>
      </w:r>
      <w:bookmarkEnd w:id="244"/>
      <w:bookmarkEnd w:id="245"/>
    </w:p>
    <w:p>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Indenta"/>
      </w:pPr>
      <w:r>
        <w:tab/>
        <w:t>(a)</w:t>
      </w:r>
      <w:r>
        <w:tab/>
        <w:t>to consult each other person in relation to each such decision; and</w:t>
      </w:r>
    </w:p>
    <w:p>
      <w:pPr>
        <w:pStyle w:val="Indenta"/>
      </w:pPr>
      <w:r>
        <w:tab/>
        <w:t>(b)</w:t>
      </w:r>
      <w:r>
        <w:tab/>
        <w:t>to make a genuine effort to come to a joint decision.</w:t>
      </w:r>
    </w:p>
    <w:p>
      <w:pPr>
        <w:pStyle w:val="Subsection"/>
      </w:pPr>
      <w:r>
        <w:tab/>
        <w:t>(2)</w:t>
      </w:r>
      <w:r>
        <w:tab/>
        <w:t>To avoid doubt, this section does not require any other person to establish, before acting on a decision about the child communicated by one of those persons, that the decision has been made jointly.</w:t>
      </w:r>
    </w:p>
    <w:p>
      <w:pPr>
        <w:pStyle w:val="Footnotesection"/>
      </w:pPr>
      <w:r>
        <w:tab/>
        <w:t>[Section 70A inserted: No. 49 of 2024 s. 33.]</w:t>
      </w:r>
    </w:p>
    <w:p>
      <w:pPr>
        <w:pStyle w:val="Heading5"/>
      </w:pPr>
      <w:bookmarkStart w:id="246" w:name="_Toc184390121"/>
      <w:bookmarkStart w:id="247" w:name="_Toc189743179"/>
      <w:r>
        <w:rPr>
          <w:rStyle w:val="CharSectno"/>
        </w:rPr>
        <w:lastRenderedPageBreak/>
        <w:t>70B</w:t>
      </w:r>
      <w:r>
        <w:t>.</w:t>
      </w:r>
      <w:r>
        <w:tab/>
        <w:t>No need to consult on issues that are not major long</w:t>
      </w:r>
      <w:r>
        <w:noBreakHyphen/>
        <w:t>term issues — FLA s. 61DAB</w:t>
      </w:r>
      <w:bookmarkEnd w:id="246"/>
      <w:bookmarkEnd w:id="247"/>
    </w:p>
    <w:p>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Subsection"/>
      </w:pPr>
      <w:r>
        <w:tab/>
        <w:t>(2)</w:t>
      </w:r>
      <w:r>
        <w:tab/>
        <w:t>For the purposes of subsection (1), this subsection applies to a person who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t>(3)</w:t>
      </w:r>
      <w:r>
        <w:tab/>
        <w:t>Subsection (1) applies subject to any provision to the contrary made by a parenting order.</w:t>
      </w:r>
    </w:p>
    <w:p>
      <w:pPr>
        <w:pStyle w:val="Footnotesection"/>
      </w:pPr>
      <w:r>
        <w:tab/>
        <w:t>[Section 70B inserted: No. 49 of 2024 s. 33.]</w:t>
      </w:r>
    </w:p>
    <w:p>
      <w:pPr>
        <w:pStyle w:val="Heading5"/>
        <w:rPr>
          <w:snapToGrid w:val="0"/>
        </w:rPr>
      </w:pPr>
      <w:bookmarkStart w:id="248" w:name="_Toc189743180"/>
      <w:r>
        <w:rPr>
          <w:rStyle w:val="CharSectno"/>
        </w:rPr>
        <w:t>71</w:t>
      </w:r>
      <w:r>
        <w:rPr>
          <w:snapToGrid w:val="0"/>
        </w:rPr>
        <w:t>.</w:t>
      </w:r>
      <w:r>
        <w:rPr>
          <w:snapToGrid w:val="0"/>
        </w:rPr>
        <w:tab/>
        <w:t>Appointment and responsibilities of guardian</w:t>
      </w:r>
      <w:bookmarkEnd w:id="248"/>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49" w:name="_Toc189743181"/>
      <w:r>
        <w:rPr>
          <w:rStyle w:val="CharSectno"/>
        </w:rPr>
        <w:t>71A</w:t>
      </w:r>
      <w:r>
        <w:t>.</w:t>
      </w:r>
      <w:r>
        <w:tab/>
        <w:t>Application to Aboriginal or Torres Strait Islander children — FLA s. 61F</w:t>
      </w:r>
      <w:bookmarkEnd w:id="249"/>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50" w:name="_Toc189558351"/>
      <w:bookmarkStart w:id="251" w:name="_Toc189653877"/>
      <w:bookmarkStart w:id="252" w:name="_Toc189743182"/>
      <w:r>
        <w:rPr>
          <w:rStyle w:val="CharDivNo"/>
        </w:rPr>
        <w:lastRenderedPageBreak/>
        <w:t>Division 3</w:t>
      </w:r>
      <w:r>
        <w:t> — </w:t>
      </w:r>
      <w:r>
        <w:rPr>
          <w:rStyle w:val="CharDivText"/>
        </w:rPr>
        <w:t>Reports relating to children under 18</w:t>
      </w:r>
      <w:bookmarkEnd w:id="250"/>
      <w:bookmarkEnd w:id="251"/>
      <w:bookmarkEnd w:id="252"/>
    </w:p>
    <w:p>
      <w:pPr>
        <w:pStyle w:val="Footnoteheading"/>
      </w:pPr>
      <w:r>
        <w:tab/>
        <w:t>[Heading inserted: No. 35 of 2006 s. 116.]</w:t>
      </w:r>
    </w:p>
    <w:p>
      <w:pPr>
        <w:pStyle w:val="Heading5"/>
      </w:pPr>
      <w:bookmarkStart w:id="253" w:name="_Toc189743183"/>
      <w:r>
        <w:rPr>
          <w:rStyle w:val="CharSectno"/>
        </w:rPr>
        <w:t>72</w:t>
      </w:r>
      <w:r>
        <w:t>.</w:t>
      </w:r>
      <w:r>
        <w:tab/>
        <w:t>Court’s obligation to inform people to whom orders under this Part apply about family counselling, family dispute resolution and other family services — FLA s. 62B</w:t>
      </w:r>
      <w:bookmarkEnd w:id="25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54" w:name="_Toc189743184"/>
      <w:r>
        <w:rPr>
          <w:rStyle w:val="CharSectno"/>
        </w:rPr>
        <w:t>73</w:t>
      </w:r>
      <w:r>
        <w:rPr>
          <w:snapToGrid w:val="0"/>
        </w:rPr>
        <w:t>.</w:t>
      </w:r>
      <w:r>
        <w:rPr>
          <w:snapToGrid w:val="0"/>
        </w:rPr>
        <w:tab/>
        <w:t>Reports by family consultants — FLA s. 62G</w:t>
      </w:r>
      <w:bookmarkEnd w:id="25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lastRenderedPageBreak/>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55" w:name="_Toc189558354"/>
      <w:bookmarkStart w:id="256" w:name="_Toc189653880"/>
      <w:bookmarkStart w:id="257" w:name="_Toc189743185"/>
      <w:r>
        <w:rPr>
          <w:rStyle w:val="CharDivNo"/>
        </w:rPr>
        <w:t>Division 4</w:t>
      </w:r>
      <w:r>
        <w:rPr>
          <w:snapToGrid w:val="0"/>
        </w:rPr>
        <w:t> — </w:t>
      </w:r>
      <w:r>
        <w:rPr>
          <w:rStyle w:val="CharDivText"/>
        </w:rPr>
        <w:t>Parenting plans</w:t>
      </w:r>
      <w:bookmarkEnd w:id="255"/>
      <w:bookmarkEnd w:id="256"/>
      <w:bookmarkEnd w:id="257"/>
      <w:r>
        <w:rPr>
          <w:rStyle w:val="CharDivText"/>
        </w:rPr>
        <w:t xml:space="preserve"> </w:t>
      </w:r>
    </w:p>
    <w:p>
      <w:pPr>
        <w:pStyle w:val="Heading5"/>
        <w:rPr>
          <w:snapToGrid w:val="0"/>
        </w:rPr>
      </w:pPr>
      <w:bookmarkStart w:id="258" w:name="_Toc189743186"/>
      <w:r>
        <w:rPr>
          <w:rStyle w:val="CharSectno"/>
        </w:rPr>
        <w:t>74</w:t>
      </w:r>
      <w:r>
        <w:rPr>
          <w:snapToGrid w:val="0"/>
        </w:rPr>
        <w:t>.</w:t>
      </w:r>
      <w:r>
        <w:rPr>
          <w:snapToGrid w:val="0"/>
        </w:rPr>
        <w:tab/>
        <w:t>What this Division does — FLA s. 63A</w:t>
      </w:r>
      <w:bookmarkEnd w:id="258"/>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59" w:name="_Toc189743187"/>
      <w:r>
        <w:rPr>
          <w:rStyle w:val="CharSectno"/>
        </w:rPr>
        <w:lastRenderedPageBreak/>
        <w:t>75</w:t>
      </w:r>
      <w:r>
        <w:t>.</w:t>
      </w:r>
      <w:r>
        <w:tab/>
        <w:t>Parents encouraged to reach agreement — FLA s. 63B</w:t>
      </w:r>
      <w:bookmarkEnd w:id="259"/>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60" w:name="_Toc189743188"/>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60"/>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lastRenderedPageBreak/>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61" w:name="_Toc189743189"/>
      <w:r>
        <w:rPr>
          <w:rStyle w:val="CharSectno"/>
        </w:rPr>
        <w:t>77</w:t>
      </w:r>
      <w:r>
        <w:rPr>
          <w:snapToGrid w:val="0"/>
        </w:rPr>
        <w:t>.</w:t>
      </w:r>
      <w:r>
        <w:rPr>
          <w:snapToGrid w:val="0"/>
        </w:rPr>
        <w:tab/>
        <w:t>Parenting plans may include child support provisions —FLA s. 63CAA</w:t>
      </w:r>
      <w:bookmarkEnd w:id="26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2" w:name="_Toc189743190"/>
      <w:r>
        <w:rPr>
          <w:rStyle w:val="CharSectno"/>
        </w:rPr>
        <w:t>78</w:t>
      </w:r>
      <w:r>
        <w:t>.</w:t>
      </w:r>
      <w:r>
        <w:tab/>
        <w:t>Parenting plan may be varied or revoked by further written agreement — FLA s. 63D</w:t>
      </w:r>
      <w:bookmarkEnd w:id="262"/>
    </w:p>
    <w:p>
      <w:pPr>
        <w:pStyle w:val="Subsection"/>
      </w:pPr>
      <w:r>
        <w:tab/>
      </w:r>
      <w:r>
        <w:tab/>
        <w:t>A parenting plan, other than a plan to which section 78B applies, may be varied or revoked by agreement in writing between the parties to the plan.</w:t>
      </w:r>
    </w:p>
    <w:p>
      <w:pPr>
        <w:pStyle w:val="Footnotesection"/>
      </w:pPr>
      <w:r>
        <w:lastRenderedPageBreak/>
        <w:tab/>
        <w:t>[Section 78 inserted: No. 35 of 2006 s. 8.]</w:t>
      </w:r>
    </w:p>
    <w:p>
      <w:pPr>
        <w:pStyle w:val="Heading5"/>
      </w:pPr>
      <w:bookmarkStart w:id="263" w:name="_Toc189743191"/>
      <w:r>
        <w:rPr>
          <w:rStyle w:val="CharSectno"/>
        </w:rPr>
        <w:t>78A</w:t>
      </w:r>
      <w:r>
        <w:t>.</w:t>
      </w:r>
      <w:r>
        <w:tab/>
        <w:t>Obligations of advisers — FLA s. 63DA</w:t>
      </w:r>
      <w:bookmarkEnd w:id="263"/>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Ednotepara"/>
        <w:spacing w:before="80"/>
      </w:pPr>
      <w:r>
        <w:tab/>
        <w:t>[(a)-(c)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lastRenderedPageBreak/>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Ednotesubsection"/>
      </w:pPr>
      <w:r>
        <w:tab/>
        <w:t>[(3), (4)</w:t>
      </w:r>
      <w:r>
        <w:tab/>
        <w:t>deleted]</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 No. 49 of 2024 s. 34.]</w:t>
      </w:r>
    </w:p>
    <w:p>
      <w:pPr>
        <w:pStyle w:val="Heading5"/>
        <w:spacing w:before="240"/>
      </w:pPr>
      <w:bookmarkStart w:id="264" w:name="_Toc189743192"/>
      <w:r>
        <w:rPr>
          <w:rStyle w:val="CharSectno"/>
        </w:rPr>
        <w:t>78B</w:t>
      </w:r>
      <w:r>
        <w:t>.</w:t>
      </w:r>
      <w:r>
        <w:tab/>
        <w:t>Registered parenting plans — FLA s. 63DB</w:t>
      </w:r>
      <w:bookmarkEnd w:id="26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lastRenderedPageBreak/>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65" w:name="_Toc189743193"/>
      <w:r>
        <w:rPr>
          <w:rStyle w:val="CharSectno"/>
        </w:rPr>
        <w:t>79</w:t>
      </w:r>
      <w:r>
        <w:t>.</w:t>
      </w:r>
      <w:r>
        <w:tab/>
        <w:t>Registration of revocation of registered parenting plan — FLA s. 63E</w:t>
      </w:r>
      <w:bookmarkEnd w:id="265"/>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lastRenderedPageBreak/>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66" w:name="_Toc189743194"/>
      <w:r>
        <w:rPr>
          <w:rStyle w:val="CharSectno"/>
        </w:rPr>
        <w:t>80</w:t>
      </w:r>
      <w:r>
        <w:rPr>
          <w:snapToGrid w:val="0"/>
        </w:rPr>
        <w:t>.</w:t>
      </w:r>
      <w:r>
        <w:rPr>
          <w:snapToGrid w:val="0"/>
        </w:rPr>
        <w:tab/>
        <w:t>Child welfare provisions of registered parenting plans — FLA s. 63F</w:t>
      </w:r>
      <w:bookmarkEnd w:id="266"/>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67" w:name="_Toc189743195"/>
      <w:r>
        <w:rPr>
          <w:rStyle w:val="CharSectno"/>
        </w:rPr>
        <w:t>81</w:t>
      </w:r>
      <w:r>
        <w:rPr>
          <w:snapToGrid w:val="0"/>
        </w:rPr>
        <w:t>.</w:t>
      </w:r>
      <w:r>
        <w:rPr>
          <w:snapToGrid w:val="0"/>
        </w:rPr>
        <w:tab/>
        <w:t>Child maintenance provisions of registered parenting plans — FLA s. 63G</w:t>
      </w:r>
      <w:bookmarkEnd w:id="26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68" w:name="_Toc189743196"/>
      <w:r>
        <w:rPr>
          <w:rStyle w:val="CharSectno"/>
        </w:rPr>
        <w:t>82</w:t>
      </w:r>
      <w:r>
        <w:rPr>
          <w:snapToGrid w:val="0"/>
        </w:rPr>
        <w:t>.</w:t>
      </w:r>
      <w:r>
        <w:rPr>
          <w:snapToGrid w:val="0"/>
        </w:rPr>
        <w:tab/>
        <w:t>Court’s powers to set aside, discharge, vary, suspend or revive registered parenting plans — FLA s. 63H</w:t>
      </w:r>
      <w:bookmarkEnd w:id="26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69" w:name="_Toc189558366"/>
      <w:bookmarkStart w:id="270" w:name="_Toc189653892"/>
      <w:bookmarkStart w:id="271" w:name="_Toc189743197"/>
      <w:r>
        <w:rPr>
          <w:rStyle w:val="CharDivNo"/>
        </w:rPr>
        <w:lastRenderedPageBreak/>
        <w:t>Division 5</w:t>
      </w:r>
      <w:r>
        <w:rPr>
          <w:snapToGrid w:val="0"/>
        </w:rPr>
        <w:t> — </w:t>
      </w:r>
      <w:r>
        <w:rPr>
          <w:rStyle w:val="CharDivText"/>
        </w:rPr>
        <w:t>Parenting orders — what they are</w:t>
      </w:r>
      <w:bookmarkEnd w:id="269"/>
      <w:bookmarkEnd w:id="270"/>
      <w:bookmarkEnd w:id="271"/>
      <w:r>
        <w:rPr>
          <w:rStyle w:val="CharDivText"/>
        </w:rPr>
        <w:t xml:space="preserve"> </w:t>
      </w:r>
    </w:p>
    <w:p>
      <w:pPr>
        <w:pStyle w:val="Heading5"/>
        <w:rPr>
          <w:snapToGrid w:val="0"/>
        </w:rPr>
      </w:pPr>
      <w:bookmarkStart w:id="272" w:name="_Toc189743198"/>
      <w:r>
        <w:rPr>
          <w:rStyle w:val="CharSectno"/>
        </w:rPr>
        <w:t>83</w:t>
      </w:r>
      <w:r>
        <w:rPr>
          <w:snapToGrid w:val="0"/>
        </w:rPr>
        <w:t>.</w:t>
      </w:r>
      <w:r>
        <w:rPr>
          <w:snapToGrid w:val="0"/>
        </w:rPr>
        <w:tab/>
        <w:t>What this Division does — FLA s. 64A</w:t>
      </w:r>
      <w:bookmarkEnd w:id="27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73" w:name="_Toc189743199"/>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3"/>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lastRenderedPageBreak/>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lastRenderedPageBreak/>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74" w:name="_Toc189743200"/>
      <w:r>
        <w:rPr>
          <w:rStyle w:val="CharSectno"/>
        </w:rPr>
        <w:t>85</w:t>
      </w:r>
      <w:r>
        <w:rPr>
          <w:snapToGrid w:val="0"/>
        </w:rPr>
        <w:t>.</w:t>
      </w:r>
      <w:r>
        <w:rPr>
          <w:snapToGrid w:val="0"/>
        </w:rPr>
        <w:tab/>
        <w:t>Parenting orders may be made in favour of parents or other persons — FLA s. 64C</w:t>
      </w:r>
      <w:bookmarkEnd w:id="27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75" w:name="_Toc189743201"/>
      <w:r>
        <w:rPr>
          <w:rStyle w:val="CharSectno"/>
        </w:rPr>
        <w:t>85A</w:t>
      </w:r>
      <w:r>
        <w:t>.</w:t>
      </w:r>
      <w:r>
        <w:tab/>
        <w:t>Parenting orders subject to later parenting plans — FLA s. 64D</w:t>
      </w:r>
      <w:bookmarkEnd w:id="27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lastRenderedPageBreak/>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76" w:name="_Toc189558371"/>
      <w:bookmarkStart w:id="277" w:name="_Toc189653897"/>
      <w:bookmarkStart w:id="278" w:name="_Toc189743202"/>
      <w:r>
        <w:rPr>
          <w:rStyle w:val="CharDivNo"/>
        </w:rPr>
        <w:t>Division 6</w:t>
      </w:r>
      <w:r>
        <w:rPr>
          <w:snapToGrid w:val="0"/>
        </w:rPr>
        <w:t> — </w:t>
      </w:r>
      <w:r>
        <w:rPr>
          <w:rStyle w:val="CharDivText"/>
        </w:rPr>
        <w:t>Parenting orders other than child maintenance orders</w:t>
      </w:r>
      <w:bookmarkEnd w:id="276"/>
      <w:bookmarkEnd w:id="277"/>
      <w:bookmarkEnd w:id="278"/>
      <w:r>
        <w:rPr>
          <w:rStyle w:val="CharDivText"/>
        </w:rPr>
        <w:t xml:space="preserve"> </w:t>
      </w:r>
    </w:p>
    <w:p>
      <w:pPr>
        <w:pStyle w:val="Heading4"/>
        <w:rPr>
          <w:snapToGrid w:val="0"/>
        </w:rPr>
      </w:pPr>
      <w:bookmarkStart w:id="279" w:name="_Toc189558372"/>
      <w:bookmarkStart w:id="280" w:name="_Toc189653898"/>
      <w:bookmarkStart w:id="281" w:name="_Toc189743203"/>
      <w:r>
        <w:rPr>
          <w:snapToGrid w:val="0"/>
        </w:rPr>
        <w:t>Subdivision 1 — Introductory</w:t>
      </w:r>
      <w:bookmarkEnd w:id="279"/>
      <w:bookmarkEnd w:id="280"/>
      <w:bookmarkEnd w:id="281"/>
      <w:r>
        <w:rPr>
          <w:snapToGrid w:val="0"/>
        </w:rPr>
        <w:t xml:space="preserve"> </w:t>
      </w:r>
    </w:p>
    <w:p>
      <w:pPr>
        <w:pStyle w:val="Heading5"/>
        <w:rPr>
          <w:snapToGrid w:val="0"/>
        </w:rPr>
      </w:pPr>
      <w:bookmarkStart w:id="282" w:name="_Toc189743204"/>
      <w:r>
        <w:rPr>
          <w:rStyle w:val="CharSectno"/>
        </w:rPr>
        <w:t>86</w:t>
      </w:r>
      <w:r>
        <w:rPr>
          <w:snapToGrid w:val="0"/>
        </w:rPr>
        <w:t>.</w:t>
      </w:r>
      <w:r>
        <w:rPr>
          <w:snapToGrid w:val="0"/>
        </w:rPr>
        <w:tab/>
        <w:t>What this Division does — FLA s. 65A</w:t>
      </w:r>
      <w:bookmarkEnd w:id="282"/>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Ednotepara"/>
      </w:pPr>
      <w:r>
        <w:tab/>
        <w:t>[(b), (c)</w:t>
      </w:r>
      <w:r>
        <w:tab/>
        <w:t>deleted]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 No. 49 of 2024 s. 35.]</w:t>
      </w:r>
    </w:p>
    <w:p>
      <w:pPr>
        <w:pStyle w:val="Heading5"/>
      </w:pPr>
      <w:bookmarkStart w:id="283" w:name="_Toc189743205"/>
      <w:r>
        <w:rPr>
          <w:rStyle w:val="CharSectno"/>
        </w:rPr>
        <w:lastRenderedPageBreak/>
        <w:t>86A</w:t>
      </w:r>
      <w:r>
        <w:t>.</w:t>
      </w:r>
      <w:r>
        <w:tab/>
        <w:t>Child’s best interests paramount consideration in making a parenting order — FLA s. 65AA</w:t>
      </w:r>
      <w:bookmarkEnd w:id="283"/>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84" w:name="_Toc189743206"/>
      <w:r>
        <w:rPr>
          <w:rStyle w:val="CharSectno"/>
        </w:rPr>
        <w:t>87</w:t>
      </w:r>
      <w:r>
        <w:rPr>
          <w:snapToGrid w:val="0"/>
        </w:rPr>
        <w:t>.</w:t>
      </w:r>
      <w:r>
        <w:rPr>
          <w:snapToGrid w:val="0"/>
        </w:rPr>
        <w:tab/>
        <w:t>Division does not apply to child maintenance orders — FLA s. 65B</w:t>
      </w:r>
      <w:bookmarkEnd w:id="28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85" w:name="_Toc189558376"/>
      <w:bookmarkStart w:id="286" w:name="_Toc189653902"/>
      <w:bookmarkStart w:id="287" w:name="_Toc189743207"/>
      <w:r>
        <w:rPr>
          <w:snapToGrid w:val="0"/>
        </w:rPr>
        <w:t>Subdivision 2 — Applying for and making parenting orders</w:t>
      </w:r>
      <w:bookmarkEnd w:id="285"/>
      <w:bookmarkEnd w:id="286"/>
      <w:bookmarkEnd w:id="287"/>
      <w:r>
        <w:rPr>
          <w:snapToGrid w:val="0"/>
        </w:rPr>
        <w:t xml:space="preserve"> </w:t>
      </w:r>
    </w:p>
    <w:p>
      <w:pPr>
        <w:pStyle w:val="Heading5"/>
        <w:rPr>
          <w:snapToGrid w:val="0"/>
        </w:rPr>
      </w:pPr>
      <w:bookmarkStart w:id="288" w:name="_Toc189743208"/>
      <w:r>
        <w:rPr>
          <w:rStyle w:val="CharSectno"/>
        </w:rPr>
        <w:t>88</w:t>
      </w:r>
      <w:r>
        <w:rPr>
          <w:snapToGrid w:val="0"/>
        </w:rPr>
        <w:t>.</w:t>
      </w:r>
      <w:r>
        <w:rPr>
          <w:snapToGrid w:val="0"/>
        </w:rPr>
        <w:tab/>
        <w:t>Who may apply for a parenting order — FLA s. 65C</w:t>
      </w:r>
      <w:bookmarkEnd w:id="28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89" w:name="_Toc189743209"/>
      <w:r>
        <w:rPr>
          <w:rStyle w:val="CharSectno"/>
        </w:rPr>
        <w:lastRenderedPageBreak/>
        <w:t>89</w:t>
      </w:r>
      <w:r>
        <w:rPr>
          <w:snapToGrid w:val="0"/>
        </w:rPr>
        <w:t>.</w:t>
      </w:r>
      <w:r>
        <w:rPr>
          <w:snapToGrid w:val="0"/>
        </w:rPr>
        <w:tab/>
        <w:t>Court’s power to make parenting order — FLA s. 65D</w:t>
      </w:r>
      <w:bookmarkEnd w:id="289"/>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pPr>
        <w:pStyle w:val="Ednotesubsection"/>
      </w:pPr>
      <w:r>
        <w:tab/>
        <w:t>[(3)</w:t>
      </w:r>
      <w:r>
        <w:tab/>
        <w:t>deleted]</w:t>
      </w:r>
    </w:p>
    <w:p>
      <w:pPr>
        <w:pStyle w:val="Footnotesection"/>
      </w:pPr>
      <w:r>
        <w:tab/>
        <w:t>[Section 89 amended: No. 25 of 2002 s. 7; No. 35 of 2006 s. 94 and 100; No. 49 of 2024 s. 36.]</w:t>
      </w:r>
    </w:p>
    <w:p>
      <w:pPr>
        <w:pStyle w:val="Heading5"/>
      </w:pPr>
      <w:bookmarkStart w:id="290" w:name="_Toc184390126"/>
      <w:bookmarkStart w:id="291" w:name="_Toc189743210"/>
      <w:r>
        <w:rPr>
          <w:rStyle w:val="CharSectno"/>
        </w:rPr>
        <w:t>89AAA</w:t>
      </w:r>
      <w:r>
        <w:t>.</w:t>
      </w:r>
      <w:r>
        <w:tab/>
        <w:t>Reconsideration of final parenting orders — FLA s. 65DAAA</w:t>
      </w:r>
      <w:bookmarkEnd w:id="290"/>
      <w:bookmarkEnd w:id="291"/>
    </w:p>
    <w:p>
      <w:pPr>
        <w:pStyle w:val="Subsection"/>
      </w:pPr>
      <w:r>
        <w:tab/>
        <w:t>(1)</w:t>
      </w:r>
      <w:r>
        <w:tab/>
        <w:t xml:space="preserve">If a final parenting order is in force in relation to a child, a court must not reconsider the final parenting order unless — </w:t>
      </w:r>
    </w:p>
    <w:p>
      <w:pPr>
        <w:pStyle w:val="Indenta"/>
      </w:pPr>
      <w:r>
        <w:tab/>
        <w:t>(a)</w:t>
      </w:r>
      <w:r>
        <w:tab/>
        <w:t>the court has considered whether there has been a significant change of circumstances since the final parenting order was made; and</w:t>
      </w:r>
    </w:p>
    <w:p>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Indenta"/>
      </w:pPr>
      <w:r>
        <w:tab/>
        <w:t>(a)</w:t>
      </w:r>
      <w:r>
        <w:tab/>
        <w:t>the reasons for the final parenting order and the material on which it was based;</w:t>
      </w:r>
    </w:p>
    <w:p>
      <w:pPr>
        <w:pStyle w:val="Indenta"/>
      </w:pPr>
      <w:r>
        <w:tab/>
        <w:t>(b)</w:t>
      </w:r>
      <w:r>
        <w:tab/>
        <w:t>whether there is any material available that was not available to the court that made the final parenting order;</w:t>
      </w:r>
    </w:p>
    <w:p>
      <w:pPr>
        <w:pStyle w:val="Indenta"/>
      </w:pPr>
      <w:r>
        <w:lastRenderedPageBreak/>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pPr>
        <w:pStyle w:val="Indenta"/>
      </w:pPr>
      <w:r>
        <w:tab/>
        <w:t>(d)</w:t>
      </w:r>
      <w:r>
        <w:tab/>
        <w:t>any potential benefit, or detriment, to the child that might result from reconsidering the final parenting order.</w:t>
      </w:r>
    </w:p>
    <w:p>
      <w:pPr>
        <w:pStyle w:val="Subsection"/>
      </w:pPr>
      <w:r>
        <w:tab/>
        <w:t>(3)</w:t>
      </w:r>
      <w:r>
        <w:tab/>
        <w:t>Despite subsection (1), the court may reconsider a final parenting order with the agreement or consent of all the parties to that order.</w:t>
      </w:r>
    </w:p>
    <w:p>
      <w:pPr>
        <w:pStyle w:val="Subsection"/>
      </w:pPr>
      <w:r>
        <w:tab/>
        <w:t>(4)</w:t>
      </w:r>
      <w:r>
        <w:tab/>
        <w:t>The failure of a court to comply with subsection (1) does not affect the validity of any order made by the court.</w:t>
      </w:r>
    </w:p>
    <w:p>
      <w:pPr>
        <w:pStyle w:val="Footnotesection"/>
      </w:pPr>
      <w:r>
        <w:tab/>
        <w:t>[Section 89AAA inserted: No. 49 of 2024 s. 37.]</w:t>
      </w:r>
    </w:p>
    <w:p>
      <w:pPr>
        <w:pStyle w:val="Ednotesection"/>
      </w:pPr>
      <w:r>
        <w:t>[</w:t>
      </w:r>
      <w:r>
        <w:rPr>
          <w:b/>
          <w:bCs/>
        </w:rPr>
        <w:t>89AA.</w:t>
      </w:r>
      <w:r>
        <w:tab/>
        <w:t>Deleted: No. 49 of 2024 s. 38.]</w:t>
      </w:r>
    </w:p>
    <w:p>
      <w:pPr>
        <w:pStyle w:val="Heading5"/>
      </w:pPr>
      <w:bookmarkStart w:id="292" w:name="_Toc189743211"/>
      <w:r>
        <w:rPr>
          <w:rStyle w:val="CharSectno"/>
        </w:rPr>
        <w:t>89AB</w:t>
      </w:r>
      <w:r>
        <w:t>.</w:t>
      </w:r>
      <w:r>
        <w:tab/>
        <w:t>Court to have regard to parenting plans — FLA s. 65DAB</w:t>
      </w:r>
      <w:bookmarkEnd w:id="292"/>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Ednotesection"/>
        <w:tabs>
          <w:tab w:val="left" w:pos="1512"/>
        </w:tabs>
      </w:pPr>
      <w:r>
        <w:t>[</w:t>
      </w:r>
      <w:r>
        <w:rPr>
          <w:b/>
          <w:bCs/>
        </w:rPr>
        <w:t>89AC, 89AD.</w:t>
      </w:r>
      <w:r>
        <w:rPr>
          <w:b/>
          <w:bCs/>
        </w:rPr>
        <w:tab/>
      </w:r>
      <w:r>
        <w:t>Deleted: No. 49 of 2024 s. 39.]</w:t>
      </w:r>
    </w:p>
    <w:p>
      <w:pPr>
        <w:pStyle w:val="Heading5"/>
      </w:pPr>
      <w:bookmarkStart w:id="293" w:name="_Toc189743212"/>
      <w:r>
        <w:rPr>
          <w:rStyle w:val="CharSectno"/>
        </w:rPr>
        <w:t>89A</w:t>
      </w:r>
      <w:r>
        <w:t>.</w:t>
      </w:r>
      <w:r>
        <w:tab/>
        <w:t>Parenting orders — FLA s. 65DA</w:t>
      </w:r>
      <w:bookmarkEnd w:id="293"/>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lastRenderedPageBreak/>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94" w:name="_Toc189743213"/>
      <w:r>
        <w:rPr>
          <w:rStyle w:val="CharSectno"/>
        </w:rPr>
        <w:lastRenderedPageBreak/>
        <w:t>91</w:t>
      </w:r>
      <w:r>
        <w:rPr>
          <w:snapToGrid w:val="0"/>
        </w:rPr>
        <w:t>.</w:t>
      </w:r>
      <w:r>
        <w:rPr>
          <w:snapToGrid w:val="0"/>
        </w:rPr>
        <w:tab/>
        <w:t>General requirements for counselling before parenting order made — FLA s. 65F</w:t>
      </w:r>
      <w:bookmarkEnd w:id="29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t>[(4)</w:t>
      </w:r>
      <w:r>
        <w:tab/>
        <w:t>deleted]</w:t>
      </w:r>
    </w:p>
    <w:p>
      <w:pPr>
        <w:pStyle w:val="Footnotesection"/>
      </w:pPr>
      <w:r>
        <w:tab/>
        <w:t>[Section 91 amended: No. 35 of 2006 s. 46 and 119; No. 49 of 2024 s. 40.]</w:t>
      </w:r>
    </w:p>
    <w:p>
      <w:pPr>
        <w:pStyle w:val="Heading5"/>
        <w:rPr>
          <w:snapToGrid w:val="0"/>
        </w:rPr>
      </w:pPr>
      <w:bookmarkStart w:id="295" w:name="_Toc189743214"/>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9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lastRenderedPageBreak/>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96" w:name="_Toc189743215"/>
      <w:r>
        <w:rPr>
          <w:rStyle w:val="CharSectno"/>
        </w:rPr>
        <w:t>93</w:t>
      </w:r>
      <w:r>
        <w:rPr>
          <w:snapToGrid w:val="0"/>
        </w:rPr>
        <w:t>.</w:t>
      </w:r>
      <w:r>
        <w:rPr>
          <w:snapToGrid w:val="0"/>
        </w:rPr>
        <w:tab/>
        <w:t>Children who are 18 or over or who have married or entered de facto relationships — FLA s. 65H</w:t>
      </w:r>
      <w:bookmarkEnd w:id="29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lastRenderedPageBreak/>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97" w:name="_Toc189743216"/>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9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98" w:name="_Toc189743217"/>
      <w:r>
        <w:rPr>
          <w:rStyle w:val="CharSectno"/>
        </w:rPr>
        <w:t>95</w:t>
      </w:r>
      <w:r>
        <w:rPr>
          <w:snapToGrid w:val="0"/>
        </w:rPr>
        <w:t>.</w:t>
      </w:r>
      <w:r>
        <w:rPr>
          <w:snapToGrid w:val="0"/>
        </w:rPr>
        <w:tab/>
        <w:t>Family consultants may be required to supervise or assist compliance with parenting orders — FLA s. 65L</w:t>
      </w:r>
      <w:bookmarkEnd w:id="29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lastRenderedPageBreak/>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99" w:name="_Toc189743218"/>
      <w:r>
        <w:rPr>
          <w:rStyle w:val="CharSectno"/>
        </w:rPr>
        <w:t>95A</w:t>
      </w:r>
      <w:r>
        <w:t>.</w:t>
      </w:r>
      <w:r>
        <w:tab/>
        <w:t>Court may order attendance at post</w:t>
      </w:r>
      <w:r>
        <w:noBreakHyphen/>
        <w:t>separation parenting program — FLA s. 65LA</w:t>
      </w:r>
      <w:bookmarkEnd w:id="299"/>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00" w:name="_Toc189743219"/>
      <w:r>
        <w:rPr>
          <w:rStyle w:val="CharSectno"/>
        </w:rPr>
        <w:t>95B</w:t>
      </w:r>
      <w:r>
        <w:t>.</w:t>
      </w:r>
      <w:r>
        <w:tab/>
        <w:t>Conditions for providers of post</w:t>
      </w:r>
      <w:r>
        <w:noBreakHyphen/>
        <w:t>separation parenting programs — FLA s. 65LB</w:t>
      </w:r>
      <w:bookmarkEnd w:id="300"/>
    </w:p>
    <w:p>
      <w:pPr>
        <w:pStyle w:val="Subsection"/>
      </w:pPr>
      <w:r>
        <w:tab/>
        <w:t>(1)</w:t>
      </w:r>
      <w:r>
        <w:tab/>
        <w:t xml:space="preserve">An organisation meets the conditions in this section if — </w:t>
      </w:r>
    </w:p>
    <w:p>
      <w:pPr>
        <w:pStyle w:val="Indenta"/>
      </w:pPr>
      <w:r>
        <w:lastRenderedPageBreak/>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Ednotesubdivision"/>
      </w:pPr>
      <w:bookmarkStart w:id="301" w:name="_Toc189558391"/>
      <w:r>
        <w:lastRenderedPageBreak/>
        <w:t>[Subdivisions 3 and 4 (s. 96-105) deleted: No. 49 of 2024 s. 41.]</w:t>
      </w:r>
    </w:p>
    <w:p>
      <w:pPr>
        <w:pStyle w:val="Heading4"/>
        <w:rPr>
          <w:snapToGrid w:val="0"/>
        </w:rPr>
      </w:pPr>
      <w:bookmarkStart w:id="302" w:name="_Toc189558404"/>
      <w:bookmarkStart w:id="303" w:name="_Toc189653915"/>
      <w:bookmarkStart w:id="304" w:name="_Toc189743220"/>
      <w:bookmarkEnd w:id="301"/>
      <w:r>
        <w:rPr>
          <w:snapToGrid w:val="0"/>
        </w:rPr>
        <w:t>Subdivision 5 — Obligations under parenting orders relating to taking or sending children from Western Australia to places outside Australia</w:t>
      </w:r>
      <w:bookmarkEnd w:id="302"/>
      <w:bookmarkEnd w:id="303"/>
      <w:bookmarkEnd w:id="304"/>
      <w:r>
        <w:rPr>
          <w:snapToGrid w:val="0"/>
        </w:rPr>
        <w:t xml:space="preserve"> </w:t>
      </w:r>
    </w:p>
    <w:p>
      <w:pPr>
        <w:pStyle w:val="Heading5"/>
        <w:rPr>
          <w:snapToGrid w:val="0"/>
        </w:rPr>
      </w:pPr>
      <w:bookmarkStart w:id="305" w:name="_Toc189743221"/>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05"/>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pPr>
        <w:pStyle w:val="Footnotesection"/>
      </w:pPr>
      <w:r>
        <w:tab/>
        <w:t>[Section 106 amended: No. 35 of 2006 s. 154; No. 49 of 2024 s. 42.]</w:t>
      </w:r>
    </w:p>
    <w:p>
      <w:pPr>
        <w:pStyle w:val="Heading5"/>
      </w:pPr>
      <w:bookmarkStart w:id="306" w:name="_Toc184390133"/>
      <w:bookmarkStart w:id="307" w:name="_Toc189743222"/>
      <w:r>
        <w:rPr>
          <w:rStyle w:val="CharSectno"/>
        </w:rPr>
        <w:t>107</w:t>
      </w:r>
      <w:r>
        <w:t>.</w:t>
      </w:r>
      <w:r>
        <w:tab/>
        <w:t>Obligations if certain parenting orders have been made: taking or sending child outside Australia — FLA s. 65Y</w:t>
      </w:r>
      <w:bookmarkEnd w:id="306"/>
      <w:bookmarkEnd w:id="307"/>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lastRenderedPageBreak/>
        <w:tab/>
        <w:t>(c)</w:t>
      </w:r>
      <w:r>
        <w:tab/>
        <w:t>the child is not taken or sent, or attempted to be taken or sent, from the State to a place outside Australia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Indenta"/>
      </w:pPr>
      <w:r>
        <w:tab/>
      </w:r>
      <w:r>
        <w:tab/>
        <w:t>and</w:t>
      </w:r>
    </w:p>
    <w:p>
      <w:pPr>
        <w:pStyle w:val="Indenta"/>
      </w:pPr>
      <w:r>
        <w:tab/>
        <w:t>(d)</w:t>
      </w:r>
      <w:r>
        <w:tab/>
        <w:t xml:space="preserve">the person — </w:t>
      </w:r>
    </w:p>
    <w:p>
      <w:pPr>
        <w:pStyle w:val="Indenti"/>
      </w:pPr>
      <w:r>
        <w:tab/>
        <w:t>(i)</w:t>
      </w:r>
      <w:r>
        <w:tab/>
        <w:t>is or was a party to the proceedings in which the parenting order was made; or</w:t>
      </w:r>
    </w:p>
    <w:p>
      <w:pPr>
        <w:pStyle w:val="Indenti"/>
      </w:pPr>
      <w:r>
        <w:tab/>
        <w:t>(ii)</w:t>
      </w:r>
      <w:r>
        <w:tab/>
        <w:t>is acting on behalf of, or at the request of, a person who is or was a party to the proceedings in which the parenting order was made.</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 inserted: No. 49 of 2024 s. 43.]</w:t>
      </w:r>
    </w:p>
    <w:p>
      <w:pPr>
        <w:pStyle w:val="Heading5"/>
      </w:pPr>
      <w:bookmarkStart w:id="308" w:name="_Toc184390134"/>
      <w:bookmarkStart w:id="309" w:name="_Toc189743223"/>
      <w:r>
        <w:rPr>
          <w:rStyle w:val="CharSectno"/>
        </w:rPr>
        <w:lastRenderedPageBreak/>
        <w:t>107A</w:t>
      </w:r>
      <w:r>
        <w:t>.</w:t>
      </w:r>
      <w:r>
        <w:tab/>
        <w:t>Obligations if certain parenting orders have been made: retaining child outside Australia — FLA s. 65YA</w:t>
      </w:r>
      <w:bookmarkEnd w:id="308"/>
      <w:bookmarkEnd w:id="309"/>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 xml:space="preserve">the child has been taken or sent from the State to a place outside Australia, by or on behalf of a party to the proceedings in which the parenting order was made —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 xml:space="preserve">the person — </w:t>
      </w:r>
    </w:p>
    <w:p>
      <w:pPr>
        <w:pStyle w:val="Indenti"/>
      </w:pPr>
      <w:r>
        <w:tab/>
        <w:t>(i)</w:t>
      </w:r>
      <w:r>
        <w:tab/>
        <w:t>was a party to the proceedings in which the parenting order was made; or</w:t>
      </w:r>
    </w:p>
    <w:p>
      <w:pPr>
        <w:pStyle w:val="Indenti"/>
      </w:pPr>
      <w:r>
        <w:tab/>
        <w:t>(ii)</w:t>
      </w:r>
      <w:r>
        <w:tab/>
        <w:t>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lastRenderedPageBreak/>
        <w:tab/>
        <w:t>(2)</w:t>
      </w:r>
      <w:r>
        <w:tab/>
        <w:t xml:space="preserve">Subsection (1) does not apply if — </w:t>
      </w:r>
    </w:p>
    <w:p>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107A inserted: No. 49 of 2024 s. 43.]</w:t>
      </w:r>
    </w:p>
    <w:p>
      <w:pPr>
        <w:pStyle w:val="Heading5"/>
      </w:pPr>
      <w:bookmarkStart w:id="310" w:name="_Toc184390135"/>
      <w:bookmarkStart w:id="311" w:name="_Toc189743224"/>
      <w:r>
        <w:rPr>
          <w:rStyle w:val="CharSectno"/>
        </w:rPr>
        <w:t>108</w:t>
      </w:r>
      <w:r>
        <w:t>.</w:t>
      </w:r>
      <w:r>
        <w:tab/>
        <w:t>Obligations if proceedings for the making of certain parenting orders are pending: taking or sending child outside Australia — FLA s. 65Z</w:t>
      </w:r>
      <w:bookmarkEnd w:id="310"/>
      <w:bookmarkEnd w:id="311"/>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 xml:space="preserve">the child is not taken or sent, or attempted to be taken or sent, from the State to a place outside Australia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(d)</w:t>
      </w:r>
      <w:r>
        <w:tab/>
        <w:t xml:space="preserve">the person is — </w:t>
      </w:r>
    </w:p>
    <w:p>
      <w:pPr>
        <w:pStyle w:val="Indenti"/>
      </w:pPr>
      <w:r>
        <w:lastRenderedPageBreak/>
        <w:tab/>
        <w:t>(i)</w:t>
      </w:r>
      <w:r>
        <w:tab/>
        <w:t>a party to the Part 5 proceedings; or</w:t>
      </w:r>
    </w:p>
    <w:p>
      <w:pPr>
        <w:pStyle w:val="Indenti"/>
      </w:pPr>
      <w:r>
        <w:tab/>
        <w:t>(ii)</w:t>
      </w:r>
      <w:r>
        <w:tab/>
        <w:t>acting on behalf of, or at the request of, a person who is a party to the Part 5 proceedings.</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 inserted: No. 49 of 2024 s. 43.]</w:t>
      </w:r>
    </w:p>
    <w:p>
      <w:pPr>
        <w:pStyle w:val="Heading5"/>
      </w:pPr>
      <w:bookmarkStart w:id="312" w:name="_Toc184390136"/>
      <w:bookmarkStart w:id="313" w:name="_Toc189743225"/>
      <w:r>
        <w:rPr>
          <w:rStyle w:val="CharSectno"/>
        </w:rPr>
        <w:t>108A</w:t>
      </w:r>
      <w:r>
        <w:t>.</w:t>
      </w:r>
      <w:r>
        <w:tab/>
        <w:t>Obligations if proceedings for the making of certain parenting orders are pending: retaining child outside Australia — FLA s. 65ZAA</w:t>
      </w:r>
      <w:bookmarkEnd w:id="312"/>
      <w:bookmarkEnd w:id="313"/>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Indenta"/>
      </w:pPr>
      <w:r>
        <w:tab/>
        <w:t>(b)</w:t>
      </w:r>
      <w:r>
        <w:tab/>
        <w:t xml:space="preserve">the child has been taken or sent from the State to a place outside Australia by or on behalf of a party to the Part 5 proceedings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w:t>
      </w:r>
      <w:r>
        <w:lastRenderedPageBreak/>
        <w:t xml:space="preserve">Family Law Act Part VII or under a law of any other State or a Territory, after the institution of the Part 5 proceedings;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the person is a party to the Part 5 proceedings, or 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108A inserted: No. 49 of 2024 s. 43.]</w:t>
      </w:r>
    </w:p>
    <w:p>
      <w:pPr>
        <w:pStyle w:val="Heading5"/>
        <w:rPr>
          <w:snapToGrid w:val="0"/>
        </w:rPr>
      </w:pPr>
      <w:bookmarkStart w:id="314" w:name="_Toc189743226"/>
      <w:r>
        <w:rPr>
          <w:rStyle w:val="CharSectno"/>
        </w:rPr>
        <w:t>109</w:t>
      </w:r>
      <w:r>
        <w:rPr>
          <w:snapToGrid w:val="0"/>
        </w:rPr>
        <w:t>.</w:t>
      </w:r>
      <w:r>
        <w:rPr>
          <w:snapToGrid w:val="0"/>
        </w:rPr>
        <w:tab/>
        <w:t>Obligations of owners etc. of aircraft and vessels if certain parenting orders made — FLA s. 65ZA</w:t>
      </w:r>
      <w:bookmarkEnd w:id="314"/>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a parenting order to which this Subdivision applies is in force in relation to a child; and</w:t>
      </w:r>
    </w:p>
    <w:p>
      <w:pPr>
        <w:pStyle w:val="Indenta"/>
      </w:pPr>
      <w:r>
        <w:tab/>
        <w:t>(b)</w:t>
      </w:r>
      <w:r>
        <w:tab/>
        <w:t>the first person is a captain, owner or charterer of an aircraft or vessel; and</w:t>
      </w:r>
    </w:p>
    <w:p>
      <w:pPr>
        <w:pStyle w:val="Indenta"/>
      </w:pPr>
      <w:r>
        <w:lastRenderedPageBreak/>
        <w:tab/>
        <w:t>(c)</w:t>
      </w:r>
      <w:r>
        <w:tab/>
        <w:t xml:space="preserve">another person (the </w:t>
      </w:r>
      <w:r>
        <w:rPr>
          <w:rStyle w:val="CharDefText"/>
        </w:rPr>
        <w:t>carer</w:t>
      </w:r>
      <w:r>
        <w:t xml:space="preserve">) in whose favour the parenting order was made has served on the first person a statutory declaration that — </w:t>
      </w:r>
    </w:p>
    <w:p>
      <w:pPr>
        <w:pStyle w:val="Indenti"/>
      </w:pPr>
      <w:r>
        <w:tab/>
        <w:t>(i)</w:t>
      </w:r>
      <w:r>
        <w:tab/>
        <w:t>relates to the parenting order;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pPr>
        <w:pStyle w:val="Penstart"/>
      </w:pPr>
      <w:r>
        <w:tab/>
        <w:t>Penalty for this subsection: a fine of $18 780.</w:t>
      </w:r>
    </w:p>
    <w:p>
      <w:pPr>
        <w:pStyle w:val="Ednotesubsection"/>
      </w:pPr>
      <w:r>
        <w:tab/>
        <w:t>[(2), (3)</w:t>
      </w:r>
      <w:r>
        <w:tab/>
        <w:t>deleted]</w:t>
      </w:r>
    </w:p>
    <w:p>
      <w:pPr>
        <w:pStyle w:val="Subsection"/>
        <w:rPr>
          <w:snapToGrid w:val="0"/>
        </w:rPr>
      </w:pPr>
      <w:r>
        <w:rPr>
          <w:snapToGrid w:val="0"/>
        </w:rPr>
        <w:tab/>
        <w:t>(4)</w:t>
      </w:r>
      <w:r>
        <w:rPr>
          <w:snapToGrid w:val="0"/>
        </w:rPr>
        <w:tab/>
      </w:r>
      <w:r>
        <w:t>The statutory declaration</w:t>
      </w:r>
      <w:r>
        <w:rPr>
          <w:snapToGrid w:val="0"/>
        </w:rPr>
        <w:t xml:space="preserve">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lastRenderedPageBreak/>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 No. 49 of 2024 s. 44.]</w:t>
      </w:r>
    </w:p>
    <w:p>
      <w:pPr>
        <w:pStyle w:val="Heading5"/>
        <w:rPr>
          <w:snapToGrid w:val="0"/>
        </w:rPr>
      </w:pPr>
      <w:bookmarkStart w:id="315" w:name="_Toc189743227"/>
      <w:r>
        <w:rPr>
          <w:rStyle w:val="CharSectno"/>
        </w:rPr>
        <w:t>110</w:t>
      </w:r>
      <w:r>
        <w:rPr>
          <w:snapToGrid w:val="0"/>
        </w:rPr>
        <w:t>.</w:t>
      </w:r>
      <w:r>
        <w:rPr>
          <w:snapToGrid w:val="0"/>
        </w:rPr>
        <w:tab/>
        <w:t>Obligations of owners etc. of aircraft and vessels if proceedings for making of certain parenting orders are pending — FLA s. 65ZB</w:t>
      </w:r>
      <w:bookmarkEnd w:id="315"/>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first person is a captain, owner or charterer of an aircraft or vessel; and</w:t>
      </w:r>
    </w:p>
    <w:p>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pPr>
        <w:pStyle w:val="Indenti"/>
      </w:pPr>
      <w:r>
        <w:tab/>
        <w:t>(i)</w:t>
      </w:r>
      <w:r>
        <w:tab/>
        <w:t>relates to the Part 5 proceedings;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lastRenderedPageBreak/>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Penstart"/>
      </w:pPr>
      <w:r>
        <w:tab/>
        <w:t>Penalty for this subsection: a fine of $18 780.</w:t>
      </w:r>
    </w:p>
    <w:p>
      <w:pPr>
        <w:pStyle w:val="Ednotesubsection"/>
      </w:pPr>
      <w:r>
        <w:tab/>
        <w:t>[(2), (3)</w:t>
      </w:r>
      <w:r>
        <w:tab/>
        <w:t>deleted]</w:t>
      </w:r>
    </w:p>
    <w:p>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 No. 49 of 2024 s. 45.]</w:t>
      </w:r>
    </w:p>
    <w:p>
      <w:pPr>
        <w:pStyle w:val="Heading5"/>
        <w:rPr>
          <w:snapToGrid w:val="0"/>
        </w:rPr>
      </w:pPr>
      <w:bookmarkStart w:id="316" w:name="_Toc189743228"/>
      <w:r>
        <w:rPr>
          <w:rStyle w:val="CharSectno"/>
        </w:rPr>
        <w:t>111</w:t>
      </w:r>
      <w:r>
        <w:rPr>
          <w:snapToGrid w:val="0"/>
        </w:rPr>
        <w:t>.</w:t>
      </w:r>
      <w:r>
        <w:rPr>
          <w:snapToGrid w:val="0"/>
        </w:rPr>
        <w:tab/>
        <w:t>General provisions applicable to sections 109 and 110 — FLA s. 65ZC(1) and (2)</w:t>
      </w:r>
      <w:bookmarkEnd w:id="316"/>
      <w:r>
        <w:rPr>
          <w:snapToGrid w:val="0"/>
        </w:rPr>
        <w:t xml:space="preserve"> </w:t>
      </w:r>
    </w:p>
    <w:p>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w:t>
      </w:r>
      <w:r>
        <w:rPr>
          <w:snapToGrid w:val="0"/>
        </w:rPr>
        <w:lastRenderedPageBreak/>
        <w:t>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pPr>
      <w:r>
        <w:tab/>
        <w:t>[Section 111 amended: No. 49 of 2024 s. 46.]</w:t>
      </w:r>
    </w:p>
    <w:p>
      <w:pPr>
        <w:pStyle w:val="Heading5"/>
        <w:rPr>
          <w:snapToGrid w:val="0"/>
        </w:rPr>
      </w:pPr>
      <w:bookmarkStart w:id="317" w:name="_Toc189743229"/>
      <w:r>
        <w:rPr>
          <w:rStyle w:val="CharSectno"/>
        </w:rPr>
        <w:t>112</w:t>
      </w:r>
      <w:r>
        <w:rPr>
          <w:snapToGrid w:val="0"/>
        </w:rPr>
        <w:t>.</w:t>
      </w:r>
      <w:r>
        <w:rPr>
          <w:snapToGrid w:val="0"/>
        </w:rPr>
        <w:tab/>
        <w:t>No double jeopardy — FLA s. 65ZC(3)</w:t>
      </w:r>
      <w:bookmarkEnd w:id="317"/>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18" w:name="_Toc189558412"/>
      <w:bookmarkStart w:id="319" w:name="_Toc189653925"/>
      <w:bookmarkStart w:id="320" w:name="_Toc189743230"/>
      <w:r>
        <w:rPr>
          <w:rStyle w:val="CharDivNo"/>
          <w:rFonts w:ascii="Times" w:hAnsi="Times"/>
        </w:rPr>
        <w:t>Division 7</w:t>
      </w:r>
      <w:r>
        <w:rPr>
          <w:rFonts w:ascii="Times" w:hAnsi="Times"/>
          <w:snapToGrid w:val="0"/>
        </w:rPr>
        <w:t> — </w:t>
      </w:r>
      <w:r>
        <w:rPr>
          <w:rStyle w:val="CharDivText"/>
          <w:rFonts w:ascii="Times" w:hAnsi="Times"/>
        </w:rPr>
        <w:t>Child maintenance orders</w:t>
      </w:r>
      <w:bookmarkEnd w:id="318"/>
      <w:bookmarkEnd w:id="319"/>
      <w:bookmarkEnd w:id="320"/>
      <w:r>
        <w:rPr>
          <w:rStyle w:val="CharDivText"/>
          <w:rFonts w:ascii="Times" w:hAnsi="Times"/>
        </w:rPr>
        <w:t xml:space="preserve"> </w:t>
      </w:r>
    </w:p>
    <w:p>
      <w:pPr>
        <w:pStyle w:val="Heading4"/>
        <w:rPr>
          <w:rFonts w:ascii="Times" w:hAnsi="Times"/>
          <w:snapToGrid w:val="0"/>
        </w:rPr>
      </w:pPr>
      <w:bookmarkStart w:id="321" w:name="_Toc189558413"/>
      <w:bookmarkStart w:id="322" w:name="_Toc189653926"/>
      <w:bookmarkStart w:id="323" w:name="_Toc189743231"/>
      <w:r>
        <w:rPr>
          <w:rFonts w:ascii="Times" w:hAnsi="Times"/>
          <w:snapToGrid w:val="0"/>
        </w:rPr>
        <w:t>Subdivision 1 — What this Division does</w:t>
      </w:r>
      <w:bookmarkEnd w:id="321"/>
      <w:bookmarkEnd w:id="322"/>
      <w:bookmarkEnd w:id="323"/>
      <w:r>
        <w:rPr>
          <w:rFonts w:ascii="Times" w:hAnsi="Times"/>
          <w:snapToGrid w:val="0"/>
        </w:rPr>
        <w:t xml:space="preserve"> </w:t>
      </w:r>
    </w:p>
    <w:p>
      <w:pPr>
        <w:pStyle w:val="Heading5"/>
        <w:spacing w:before="180"/>
        <w:rPr>
          <w:rFonts w:ascii="Times" w:hAnsi="Times"/>
          <w:snapToGrid w:val="0"/>
        </w:rPr>
      </w:pPr>
      <w:bookmarkStart w:id="324" w:name="_Toc189743232"/>
      <w:r>
        <w:rPr>
          <w:rStyle w:val="CharSectno"/>
          <w:rFonts w:ascii="Times" w:hAnsi="Times"/>
        </w:rPr>
        <w:t>113</w:t>
      </w:r>
      <w:r>
        <w:rPr>
          <w:rFonts w:ascii="Times" w:hAnsi="Times"/>
          <w:snapToGrid w:val="0"/>
        </w:rPr>
        <w:t>.</w:t>
      </w:r>
      <w:r>
        <w:rPr>
          <w:rFonts w:ascii="Times" w:hAnsi="Times"/>
          <w:snapToGrid w:val="0"/>
        </w:rPr>
        <w:tab/>
        <w:t>What this Division does — FLA s. 66A</w:t>
      </w:r>
      <w:bookmarkEnd w:id="324"/>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lastRenderedPageBreak/>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25" w:name="_Toc189558415"/>
      <w:bookmarkStart w:id="326" w:name="_Toc189653928"/>
      <w:bookmarkStart w:id="327" w:name="_Toc189743233"/>
      <w:r>
        <w:rPr>
          <w:rFonts w:ascii="Times" w:hAnsi="Times"/>
          <w:snapToGrid w:val="0"/>
        </w:rPr>
        <w:t>Subdivision 2 — Objects and principles</w:t>
      </w:r>
      <w:bookmarkEnd w:id="325"/>
      <w:bookmarkEnd w:id="326"/>
      <w:bookmarkEnd w:id="327"/>
      <w:r>
        <w:rPr>
          <w:rFonts w:ascii="Times" w:hAnsi="Times"/>
          <w:snapToGrid w:val="0"/>
        </w:rPr>
        <w:t xml:space="preserve"> </w:t>
      </w:r>
    </w:p>
    <w:p>
      <w:pPr>
        <w:pStyle w:val="Heading5"/>
        <w:spacing w:before="180"/>
        <w:rPr>
          <w:rFonts w:ascii="Times" w:hAnsi="Times"/>
          <w:snapToGrid w:val="0"/>
        </w:rPr>
      </w:pPr>
      <w:bookmarkStart w:id="328" w:name="_Toc189743234"/>
      <w:r>
        <w:rPr>
          <w:rStyle w:val="CharSectno"/>
          <w:rFonts w:ascii="Times" w:hAnsi="Times"/>
        </w:rPr>
        <w:t>114</w:t>
      </w:r>
      <w:r>
        <w:rPr>
          <w:rFonts w:ascii="Times" w:hAnsi="Times"/>
          <w:snapToGrid w:val="0"/>
        </w:rPr>
        <w:t>.</w:t>
      </w:r>
      <w:r>
        <w:rPr>
          <w:rFonts w:ascii="Times" w:hAnsi="Times"/>
          <w:snapToGrid w:val="0"/>
        </w:rPr>
        <w:tab/>
        <w:t>Objects — FLA s. 66B</w:t>
      </w:r>
      <w:bookmarkEnd w:id="328"/>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29" w:name="_Toc189743235"/>
      <w:r>
        <w:rPr>
          <w:rStyle w:val="CharSectno"/>
        </w:rPr>
        <w:t>115</w:t>
      </w:r>
      <w:r>
        <w:rPr>
          <w:snapToGrid w:val="0"/>
        </w:rPr>
        <w:t>.</w:t>
      </w:r>
      <w:r>
        <w:rPr>
          <w:snapToGrid w:val="0"/>
        </w:rPr>
        <w:tab/>
        <w:t>Principles: parents have primary duty to maintain — FLA s. 66C</w:t>
      </w:r>
      <w:bookmarkEnd w:id="32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lastRenderedPageBreak/>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30" w:name="_Toc189743236"/>
      <w:r>
        <w:rPr>
          <w:rStyle w:val="CharSectno"/>
        </w:rPr>
        <w:t>116</w:t>
      </w:r>
      <w:r>
        <w:rPr>
          <w:snapToGrid w:val="0"/>
        </w:rPr>
        <w:t>.</w:t>
      </w:r>
      <w:r>
        <w:rPr>
          <w:snapToGrid w:val="0"/>
        </w:rPr>
        <w:tab/>
        <w:t>Principles: when step</w:t>
      </w:r>
      <w:r>
        <w:rPr>
          <w:snapToGrid w:val="0"/>
        </w:rPr>
        <w:noBreakHyphen/>
        <w:t>parents have duty to maintain — FLA s. 66D</w:t>
      </w:r>
      <w:bookmarkEnd w:id="33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31" w:name="_Toc189558419"/>
      <w:bookmarkStart w:id="332" w:name="_Toc189653932"/>
      <w:bookmarkStart w:id="333" w:name="_Toc189743237"/>
      <w:r>
        <w:rPr>
          <w:snapToGrid w:val="0"/>
        </w:rPr>
        <w:t>Subdivision 3 — Relationship with Child Support (Assessment) Act</w:t>
      </w:r>
      <w:bookmarkEnd w:id="331"/>
      <w:bookmarkEnd w:id="332"/>
      <w:bookmarkEnd w:id="333"/>
      <w:r>
        <w:rPr>
          <w:snapToGrid w:val="0"/>
        </w:rPr>
        <w:t xml:space="preserve"> </w:t>
      </w:r>
    </w:p>
    <w:p>
      <w:pPr>
        <w:pStyle w:val="Heading5"/>
        <w:keepNext w:val="0"/>
        <w:keepLines w:val="0"/>
        <w:spacing w:before="240"/>
        <w:rPr>
          <w:snapToGrid w:val="0"/>
        </w:rPr>
      </w:pPr>
      <w:bookmarkStart w:id="334" w:name="_Toc189743238"/>
      <w:r>
        <w:rPr>
          <w:rStyle w:val="CharSectno"/>
        </w:rPr>
        <w:t>117</w:t>
      </w:r>
      <w:r>
        <w:rPr>
          <w:snapToGrid w:val="0"/>
        </w:rPr>
        <w:t>.</w:t>
      </w:r>
      <w:r>
        <w:rPr>
          <w:snapToGrid w:val="0"/>
        </w:rPr>
        <w:tab/>
        <w:t>Child maintenance order not to be made etc. if application for administrative assessment of child support could be made — FLA s. 66E</w:t>
      </w:r>
      <w:bookmarkEnd w:id="334"/>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xml:space="preserve">) if an application could properly be made, at that time, under the Child Support (Assessment) Act for </w:t>
      </w:r>
      <w:r>
        <w:rPr>
          <w:snapToGrid w:val="0"/>
        </w:rPr>
        <w:lastRenderedPageBreak/>
        <w:t>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35" w:name="_Toc189558421"/>
      <w:bookmarkStart w:id="336" w:name="_Toc189653934"/>
      <w:bookmarkStart w:id="337" w:name="_Toc189743239"/>
      <w:r>
        <w:rPr>
          <w:snapToGrid w:val="0"/>
        </w:rPr>
        <w:t>Subdivision 4 — Applying for and making child maintenance orders</w:t>
      </w:r>
      <w:bookmarkEnd w:id="335"/>
      <w:bookmarkEnd w:id="336"/>
      <w:bookmarkEnd w:id="337"/>
      <w:r>
        <w:rPr>
          <w:snapToGrid w:val="0"/>
        </w:rPr>
        <w:t xml:space="preserve"> </w:t>
      </w:r>
    </w:p>
    <w:p>
      <w:pPr>
        <w:pStyle w:val="Heading5"/>
        <w:rPr>
          <w:snapToGrid w:val="0"/>
        </w:rPr>
      </w:pPr>
      <w:bookmarkStart w:id="338" w:name="_Toc189743240"/>
      <w:r>
        <w:rPr>
          <w:rStyle w:val="CharSectno"/>
        </w:rPr>
        <w:t>118</w:t>
      </w:r>
      <w:r>
        <w:rPr>
          <w:snapToGrid w:val="0"/>
        </w:rPr>
        <w:t>.</w:t>
      </w:r>
      <w:r>
        <w:rPr>
          <w:snapToGrid w:val="0"/>
        </w:rPr>
        <w:tab/>
        <w:t>Who may apply for child maintenance order — FLA s. 66F</w:t>
      </w:r>
      <w:bookmarkEnd w:id="338"/>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lastRenderedPageBreak/>
        <w:tab/>
        <w:t>[Section 118 amended: No. 25 of 2002 s. 57.]</w:t>
      </w:r>
    </w:p>
    <w:p>
      <w:pPr>
        <w:pStyle w:val="Heading5"/>
        <w:spacing w:before="260"/>
        <w:rPr>
          <w:snapToGrid w:val="0"/>
        </w:rPr>
      </w:pPr>
      <w:bookmarkStart w:id="339" w:name="_Toc189743241"/>
      <w:r>
        <w:rPr>
          <w:rStyle w:val="CharSectno"/>
        </w:rPr>
        <w:t>119</w:t>
      </w:r>
      <w:r>
        <w:rPr>
          <w:snapToGrid w:val="0"/>
        </w:rPr>
        <w:t>.</w:t>
      </w:r>
      <w:r>
        <w:rPr>
          <w:snapToGrid w:val="0"/>
        </w:rPr>
        <w:tab/>
        <w:t>Court’s power to make child maintenance order — FLA s. 66G</w:t>
      </w:r>
      <w:bookmarkEnd w:id="339"/>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40" w:name="_Toc189743242"/>
      <w:r>
        <w:rPr>
          <w:rStyle w:val="CharSectno"/>
        </w:rPr>
        <w:t>120</w:t>
      </w:r>
      <w:r>
        <w:rPr>
          <w:snapToGrid w:val="0"/>
        </w:rPr>
        <w:t>.</w:t>
      </w:r>
      <w:r>
        <w:rPr>
          <w:snapToGrid w:val="0"/>
        </w:rPr>
        <w:tab/>
        <w:t>Approach to be taken in proceedings for child maintenance order — FLA s. 66H</w:t>
      </w:r>
      <w:bookmarkEnd w:id="340"/>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41" w:name="_Toc189743243"/>
      <w:r>
        <w:rPr>
          <w:rStyle w:val="CharSectno"/>
        </w:rPr>
        <w:t>121</w:t>
      </w:r>
      <w:r>
        <w:rPr>
          <w:snapToGrid w:val="0"/>
        </w:rPr>
        <w:t>.</w:t>
      </w:r>
      <w:r>
        <w:rPr>
          <w:snapToGrid w:val="0"/>
        </w:rPr>
        <w:tab/>
        <w:t>Matters to be taken into account in considering financial support necessary for maintenance of child — FLA s. 66J</w:t>
      </w:r>
      <w:bookmarkEnd w:id="34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lastRenderedPageBreak/>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42" w:name="_Toc189743244"/>
      <w:r>
        <w:rPr>
          <w:rStyle w:val="CharSectno"/>
        </w:rPr>
        <w:lastRenderedPageBreak/>
        <w:t>122</w:t>
      </w:r>
      <w:r>
        <w:rPr>
          <w:snapToGrid w:val="0"/>
        </w:rPr>
        <w:t>.</w:t>
      </w:r>
      <w:r>
        <w:rPr>
          <w:snapToGrid w:val="0"/>
        </w:rPr>
        <w:tab/>
        <w:t>Matters to be taken into account in determining contribution that should be made by party etc. — FLA s. 66K</w:t>
      </w:r>
      <w:bookmarkEnd w:id="342"/>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 xml:space="preserve">In taking into account the direct and indirect costs incurred by the parent or other person with whom the child lives in providing care for the child, a court must have regard to the </w:t>
      </w:r>
      <w:r>
        <w:rPr>
          <w:snapToGrid w:val="0"/>
        </w:rPr>
        <w:lastRenderedPageBreak/>
        <w:t>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43" w:name="_Toc189743245"/>
      <w:r>
        <w:rPr>
          <w:rStyle w:val="CharSectno"/>
        </w:rPr>
        <w:t>123</w:t>
      </w:r>
      <w:r>
        <w:rPr>
          <w:snapToGrid w:val="0"/>
        </w:rPr>
        <w:t>.</w:t>
      </w:r>
      <w:r>
        <w:rPr>
          <w:snapToGrid w:val="0"/>
        </w:rPr>
        <w:tab/>
        <w:t>Children who are 18 or over — FLA s. 66L</w:t>
      </w:r>
      <w:bookmarkEnd w:id="343"/>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lastRenderedPageBreak/>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44" w:name="_Toc189743246"/>
      <w:r>
        <w:rPr>
          <w:rStyle w:val="CharSectno"/>
        </w:rPr>
        <w:t>124</w:t>
      </w:r>
      <w:r>
        <w:rPr>
          <w:snapToGrid w:val="0"/>
        </w:rPr>
        <w:t>.</w:t>
      </w:r>
      <w:r>
        <w:rPr>
          <w:snapToGrid w:val="0"/>
        </w:rPr>
        <w:tab/>
        <w:t>When step</w:t>
      </w:r>
      <w:r>
        <w:rPr>
          <w:snapToGrid w:val="0"/>
        </w:rPr>
        <w:noBreakHyphen/>
        <w:t>parents have duty to maintain — FLA s. 66M</w:t>
      </w:r>
      <w:bookmarkEnd w:id="344"/>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lastRenderedPageBreak/>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45" w:name="_Toc189743247"/>
      <w:r>
        <w:rPr>
          <w:rStyle w:val="CharSectno"/>
        </w:rPr>
        <w:t>125</w:t>
      </w:r>
      <w:r>
        <w:rPr>
          <w:snapToGrid w:val="0"/>
        </w:rPr>
        <w:t>.</w:t>
      </w:r>
      <w:r>
        <w:rPr>
          <w:snapToGrid w:val="0"/>
        </w:rPr>
        <w:tab/>
        <w:t>Determining financial contribution of step</w:t>
      </w:r>
      <w:r>
        <w:rPr>
          <w:snapToGrid w:val="0"/>
        </w:rPr>
        <w:noBreakHyphen/>
        <w:t>parent — FLA s. 66N</w:t>
      </w:r>
      <w:bookmarkEnd w:id="34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46" w:name="_Toc189558430"/>
      <w:bookmarkStart w:id="347" w:name="_Toc189653943"/>
      <w:bookmarkStart w:id="348" w:name="_Toc189743248"/>
      <w:r>
        <w:rPr>
          <w:snapToGrid w:val="0"/>
        </w:rPr>
        <w:t>Subdivision 5 — Other aspects of court powers</w:t>
      </w:r>
      <w:bookmarkEnd w:id="346"/>
      <w:bookmarkEnd w:id="347"/>
      <w:bookmarkEnd w:id="348"/>
      <w:r>
        <w:rPr>
          <w:snapToGrid w:val="0"/>
        </w:rPr>
        <w:t xml:space="preserve"> </w:t>
      </w:r>
    </w:p>
    <w:p>
      <w:pPr>
        <w:pStyle w:val="Heading5"/>
        <w:rPr>
          <w:snapToGrid w:val="0"/>
        </w:rPr>
      </w:pPr>
      <w:bookmarkStart w:id="349" w:name="_Toc189743249"/>
      <w:r>
        <w:rPr>
          <w:rStyle w:val="CharSectno"/>
        </w:rPr>
        <w:t>126</w:t>
      </w:r>
      <w:r>
        <w:rPr>
          <w:snapToGrid w:val="0"/>
        </w:rPr>
        <w:t>.</w:t>
      </w:r>
      <w:r>
        <w:rPr>
          <w:snapToGrid w:val="0"/>
        </w:rPr>
        <w:tab/>
        <w:t>General powers of court — FLA s. 66P</w:t>
      </w:r>
      <w:bookmarkEnd w:id="349"/>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lastRenderedPageBreak/>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50" w:name="_Toc189743250"/>
      <w:r>
        <w:rPr>
          <w:rStyle w:val="CharSectno"/>
        </w:rPr>
        <w:t>127</w:t>
      </w:r>
      <w:r>
        <w:rPr>
          <w:snapToGrid w:val="0"/>
        </w:rPr>
        <w:t>.</w:t>
      </w:r>
      <w:r>
        <w:rPr>
          <w:snapToGrid w:val="0"/>
        </w:rPr>
        <w:tab/>
        <w:t>Urgent child maintenance orders — FLA s. 66Q</w:t>
      </w:r>
      <w:bookmarkEnd w:id="350"/>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1" w:name="_Toc189743251"/>
      <w:r>
        <w:rPr>
          <w:rStyle w:val="CharSectno"/>
        </w:rPr>
        <w:lastRenderedPageBreak/>
        <w:t>128</w:t>
      </w:r>
      <w:r>
        <w:rPr>
          <w:snapToGrid w:val="0"/>
        </w:rPr>
        <w:t>.</w:t>
      </w:r>
      <w:r>
        <w:rPr>
          <w:snapToGrid w:val="0"/>
        </w:rPr>
        <w:tab/>
        <w:t>Modification of child maintenance orders — FLA s. 66S</w:t>
      </w:r>
      <w:bookmarkEnd w:id="35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lastRenderedPageBreak/>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that, since the first order was made or last varied, the cost of living has changed to such an extent as to justify </w:t>
      </w:r>
      <w:r>
        <w:rPr>
          <w:snapToGrid w:val="0"/>
        </w:rPr>
        <w:lastRenderedPageBreak/>
        <w:t>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lastRenderedPageBreak/>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52" w:name="_Toc189558434"/>
      <w:bookmarkStart w:id="353" w:name="_Toc189653947"/>
      <w:bookmarkStart w:id="354" w:name="_Toc189743252"/>
      <w:r>
        <w:t>Subdivision 5A — Varying the maintenance of certain children</w:t>
      </w:r>
      <w:bookmarkEnd w:id="352"/>
      <w:bookmarkEnd w:id="353"/>
      <w:bookmarkEnd w:id="354"/>
    </w:p>
    <w:p>
      <w:pPr>
        <w:pStyle w:val="Footnoteheading"/>
        <w:keepNext/>
        <w:tabs>
          <w:tab w:val="left" w:pos="851"/>
        </w:tabs>
      </w:pPr>
      <w:r>
        <w:tab/>
        <w:t>[Heading inserted: No. 25 of 2002 s. 60.]</w:t>
      </w:r>
    </w:p>
    <w:p>
      <w:pPr>
        <w:pStyle w:val="Heading5"/>
        <w:spacing w:before="240"/>
      </w:pPr>
      <w:bookmarkStart w:id="355" w:name="_Toc189743253"/>
      <w:r>
        <w:rPr>
          <w:rStyle w:val="CharSectno"/>
        </w:rPr>
        <w:t>128A</w:t>
      </w:r>
      <w:r>
        <w:t>.</w:t>
      </w:r>
      <w:r>
        <w:tab/>
        <w:t>Varying maintenance of certain children — FLA s. 66SA</w:t>
      </w:r>
      <w:bookmarkEnd w:id="35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lastRenderedPageBreak/>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56" w:name="_Toc189558436"/>
      <w:bookmarkStart w:id="357" w:name="_Toc189653949"/>
      <w:bookmarkStart w:id="358" w:name="_Toc189743254"/>
      <w:r>
        <w:rPr>
          <w:snapToGrid w:val="0"/>
        </w:rPr>
        <w:t>Subdivision 6 — When child maintenance orders stop being in force</w:t>
      </w:r>
      <w:bookmarkEnd w:id="356"/>
      <w:bookmarkEnd w:id="357"/>
      <w:bookmarkEnd w:id="358"/>
      <w:r>
        <w:rPr>
          <w:snapToGrid w:val="0"/>
        </w:rPr>
        <w:t xml:space="preserve"> </w:t>
      </w:r>
    </w:p>
    <w:p>
      <w:pPr>
        <w:pStyle w:val="Heading5"/>
        <w:rPr>
          <w:snapToGrid w:val="0"/>
        </w:rPr>
      </w:pPr>
      <w:bookmarkStart w:id="359" w:name="_Toc189743255"/>
      <w:r>
        <w:rPr>
          <w:rStyle w:val="CharSectno"/>
        </w:rPr>
        <w:t>129</w:t>
      </w:r>
      <w:r>
        <w:rPr>
          <w:snapToGrid w:val="0"/>
        </w:rPr>
        <w:t>.</w:t>
      </w:r>
      <w:r>
        <w:rPr>
          <w:snapToGrid w:val="0"/>
        </w:rPr>
        <w:tab/>
        <w:t>Effect of child turning 18 — FLA s. 66T</w:t>
      </w:r>
      <w:bookmarkEnd w:id="35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60" w:name="_Toc189743256"/>
      <w:r>
        <w:rPr>
          <w:rStyle w:val="CharSectno"/>
        </w:rPr>
        <w:t>130</w:t>
      </w:r>
      <w:r>
        <w:rPr>
          <w:snapToGrid w:val="0"/>
        </w:rPr>
        <w:t>.</w:t>
      </w:r>
      <w:r>
        <w:rPr>
          <w:snapToGrid w:val="0"/>
        </w:rPr>
        <w:tab/>
        <w:t>Effect of death of child, person liable to pay or person entitled to receive — FLA s. 66U</w:t>
      </w:r>
      <w:bookmarkEnd w:id="36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lastRenderedPageBreak/>
        <w:tab/>
        <w:t>(b)</w:t>
      </w:r>
      <w:r>
        <w:rPr>
          <w:snapToGrid w:val="0"/>
        </w:rPr>
        <w:tab/>
        <w:t>the order specifies the person who is to receive the payments after that death.</w:t>
      </w:r>
    </w:p>
    <w:p>
      <w:pPr>
        <w:pStyle w:val="Heading5"/>
        <w:spacing w:before="260"/>
        <w:rPr>
          <w:snapToGrid w:val="0"/>
        </w:rPr>
      </w:pPr>
      <w:bookmarkStart w:id="361" w:name="_Toc189743257"/>
      <w:r>
        <w:rPr>
          <w:rStyle w:val="CharSectno"/>
        </w:rPr>
        <w:t>131</w:t>
      </w:r>
      <w:r>
        <w:rPr>
          <w:snapToGrid w:val="0"/>
        </w:rPr>
        <w:t>.</w:t>
      </w:r>
      <w:r>
        <w:rPr>
          <w:snapToGrid w:val="0"/>
        </w:rPr>
        <w:tab/>
        <w:t>Effect of adoption, marriage or entering into de facto relationship — FLA s. 66V</w:t>
      </w:r>
      <w:bookmarkEnd w:id="36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62" w:name="_Toc189743258"/>
      <w:r>
        <w:rPr>
          <w:rStyle w:val="CharSectno"/>
        </w:rPr>
        <w:t>131A</w:t>
      </w:r>
      <w:r>
        <w:t>.</w:t>
      </w:r>
      <w:r>
        <w:tab/>
        <w:t>Children who are 18 or over: change of circumstances — FLA s. 66VA</w:t>
      </w:r>
      <w:bookmarkEnd w:id="36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lastRenderedPageBreak/>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63" w:name="_Toc189743259"/>
      <w:r>
        <w:rPr>
          <w:rStyle w:val="CharSectno"/>
        </w:rPr>
        <w:t>132</w:t>
      </w:r>
      <w:r>
        <w:t>.</w:t>
      </w:r>
      <w:r>
        <w:tab/>
        <w:t>Recovery of arrears — FLA s. 66W</w:t>
      </w:r>
      <w:bookmarkEnd w:id="36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64" w:name="_Toc189558442"/>
      <w:bookmarkStart w:id="365" w:name="_Toc189653955"/>
      <w:bookmarkStart w:id="366" w:name="_Toc189743260"/>
      <w:r>
        <w:t>Subdivision 7 — Recovery of amounts paid under maintenance orders</w:t>
      </w:r>
      <w:bookmarkEnd w:id="364"/>
      <w:bookmarkEnd w:id="365"/>
      <w:bookmarkEnd w:id="366"/>
    </w:p>
    <w:p>
      <w:pPr>
        <w:pStyle w:val="Footnotesection"/>
      </w:pPr>
      <w:r>
        <w:tab/>
        <w:t>[Heading inserted: No. 35 of 2006 s. 62.]</w:t>
      </w:r>
    </w:p>
    <w:p>
      <w:pPr>
        <w:pStyle w:val="Heading5"/>
        <w:spacing w:before="180"/>
      </w:pPr>
      <w:bookmarkStart w:id="367" w:name="_Toc189743261"/>
      <w:r>
        <w:rPr>
          <w:rStyle w:val="CharSectno"/>
        </w:rPr>
        <w:t>132A</w:t>
      </w:r>
      <w:r>
        <w:t>.</w:t>
      </w:r>
      <w:r>
        <w:tab/>
        <w:t>Recovery of amounts paid, and property transferred or settled, under maintenance orders — FLA s. 66X</w:t>
      </w:r>
      <w:bookmarkEnd w:id="367"/>
    </w:p>
    <w:p>
      <w:pPr>
        <w:pStyle w:val="Subsection"/>
      </w:pPr>
      <w:r>
        <w:tab/>
        <w:t>(1)</w:t>
      </w:r>
      <w:r>
        <w:tab/>
        <w:t xml:space="preserve">This section applies if — </w:t>
      </w:r>
    </w:p>
    <w:p>
      <w:pPr>
        <w:pStyle w:val="Indenta"/>
        <w:spacing w:before="70"/>
      </w:pPr>
      <w:r>
        <w:lastRenderedPageBreak/>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 xml:space="preserve">A court may only order the repayment of an amount that is less than the amount, or the sum of the amounts, referred to in subsection (1)(b)(i), or the return of an amount that is less than </w:t>
      </w:r>
      <w:r>
        <w:lastRenderedPageBreak/>
        <w:t>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68" w:name="_Toc189558444"/>
      <w:bookmarkStart w:id="369" w:name="_Toc189653957"/>
      <w:bookmarkStart w:id="370" w:name="_Toc189743262"/>
      <w:r>
        <w:rPr>
          <w:rStyle w:val="CharDivNo"/>
        </w:rPr>
        <w:lastRenderedPageBreak/>
        <w:t>Division 8</w:t>
      </w:r>
      <w:r>
        <w:rPr>
          <w:snapToGrid w:val="0"/>
        </w:rPr>
        <w:t> — </w:t>
      </w:r>
      <w:r>
        <w:rPr>
          <w:rStyle w:val="CharDivText"/>
        </w:rPr>
        <w:t>Other matters relating to children</w:t>
      </w:r>
      <w:bookmarkEnd w:id="368"/>
      <w:bookmarkEnd w:id="369"/>
      <w:bookmarkEnd w:id="370"/>
      <w:r>
        <w:rPr>
          <w:rStyle w:val="CharDivText"/>
        </w:rPr>
        <w:t xml:space="preserve"> </w:t>
      </w:r>
    </w:p>
    <w:p>
      <w:pPr>
        <w:pStyle w:val="Heading4"/>
        <w:rPr>
          <w:snapToGrid w:val="0"/>
        </w:rPr>
      </w:pPr>
      <w:bookmarkStart w:id="371" w:name="_Toc189558445"/>
      <w:bookmarkStart w:id="372" w:name="_Toc189653958"/>
      <w:bookmarkStart w:id="373" w:name="_Toc189743263"/>
      <w:r>
        <w:rPr>
          <w:snapToGrid w:val="0"/>
        </w:rPr>
        <w:t>Subdivision 1 — What this Division does</w:t>
      </w:r>
      <w:bookmarkEnd w:id="371"/>
      <w:bookmarkEnd w:id="372"/>
      <w:bookmarkEnd w:id="373"/>
      <w:r>
        <w:rPr>
          <w:snapToGrid w:val="0"/>
        </w:rPr>
        <w:t xml:space="preserve"> </w:t>
      </w:r>
    </w:p>
    <w:p>
      <w:pPr>
        <w:pStyle w:val="Heading5"/>
        <w:rPr>
          <w:snapToGrid w:val="0"/>
        </w:rPr>
      </w:pPr>
      <w:bookmarkStart w:id="374" w:name="_Toc189743264"/>
      <w:r>
        <w:rPr>
          <w:rStyle w:val="CharSectno"/>
        </w:rPr>
        <w:t>133</w:t>
      </w:r>
      <w:r>
        <w:rPr>
          <w:snapToGrid w:val="0"/>
        </w:rPr>
        <w:t>.</w:t>
      </w:r>
      <w:r>
        <w:rPr>
          <w:snapToGrid w:val="0"/>
        </w:rPr>
        <w:tab/>
        <w:t>What this Division does — FLA s. 67A</w:t>
      </w:r>
      <w:bookmarkEnd w:id="37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pPr>
      <w:r>
        <w:tab/>
        <w:t>(ca)</w:t>
      </w:r>
      <w:r>
        <w:tab/>
        <w:t>orders for information in child</w:t>
      </w:r>
      <w:r>
        <w:noBreakHyphen/>
        <w:t>related proceedings (Subdivision 4A);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 No. 49 of 2024 s. 47.]</w:t>
      </w:r>
    </w:p>
    <w:p>
      <w:pPr>
        <w:pStyle w:val="Heading4"/>
        <w:rPr>
          <w:snapToGrid w:val="0"/>
        </w:rPr>
      </w:pPr>
      <w:bookmarkStart w:id="375" w:name="_Toc189558447"/>
      <w:bookmarkStart w:id="376" w:name="_Toc189653960"/>
      <w:bookmarkStart w:id="377" w:name="_Toc189743265"/>
      <w:r>
        <w:rPr>
          <w:snapToGrid w:val="0"/>
        </w:rPr>
        <w:t>Subdivision 2 — </w:t>
      </w:r>
      <w:r>
        <w:t>Liability of parent not married to child’s mother to contribute towards child bearing expenses</w:t>
      </w:r>
      <w:bookmarkEnd w:id="375"/>
      <w:bookmarkEnd w:id="376"/>
      <w:bookmarkEnd w:id="377"/>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78" w:name="_Toc189743266"/>
      <w:r>
        <w:rPr>
          <w:rStyle w:val="CharSectno"/>
        </w:rPr>
        <w:t>135</w:t>
      </w:r>
      <w:r>
        <w:rPr>
          <w:snapToGrid w:val="0"/>
        </w:rPr>
        <w:t>.</w:t>
      </w:r>
      <w:r>
        <w:rPr>
          <w:snapToGrid w:val="0"/>
        </w:rPr>
        <w:tab/>
        <w:t>Father liable to contribute towards maintenance and expenses of mother — FLA s. 67B</w:t>
      </w:r>
      <w:bookmarkEnd w:id="378"/>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lastRenderedPageBreak/>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79" w:name="_Toc189743267"/>
      <w:r>
        <w:rPr>
          <w:rStyle w:val="CharSectno"/>
        </w:rPr>
        <w:t>136</w:t>
      </w:r>
      <w:r>
        <w:rPr>
          <w:snapToGrid w:val="0"/>
        </w:rPr>
        <w:t>.</w:t>
      </w:r>
      <w:r>
        <w:rPr>
          <w:snapToGrid w:val="0"/>
        </w:rPr>
        <w:tab/>
        <w:t>Matters to be taken into account in proceedings under Subdivision — FLA s. 67C</w:t>
      </w:r>
      <w:bookmarkEnd w:id="379"/>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lastRenderedPageBreak/>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80" w:name="_Toc189743268"/>
      <w:r>
        <w:rPr>
          <w:rStyle w:val="CharSectno"/>
        </w:rPr>
        <w:t>137</w:t>
      </w:r>
      <w:r>
        <w:rPr>
          <w:snapToGrid w:val="0"/>
        </w:rPr>
        <w:t>.</w:t>
      </w:r>
      <w:r>
        <w:rPr>
          <w:snapToGrid w:val="0"/>
        </w:rPr>
        <w:tab/>
        <w:t>Powers of court in proceedings under Subdivision — FLA s. 67D</w:t>
      </w:r>
      <w:bookmarkEnd w:id="38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lastRenderedPageBreak/>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81" w:name="_Toc189743269"/>
      <w:r>
        <w:rPr>
          <w:rStyle w:val="CharSectno"/>
        </w:rPr>
        <w:t>138</w:t>
      </w:r>
      <w:r>
        <w:rPr>
          <w:snapToGrid w:val="0"/>
        </w:rPr>
        <w:t>.</w:t>
      </w:r>
      <w:r>
        <w:rPr>
          <w:snapToGrid w:val="0"/>
        </w:rPr>
        <w:tab/>
        <w:t>Urgent orders — FLA s. 67E</w:t>
      </w:r>
      <w:bookmarkEnd w:id="381"/>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2" w:name="_Toc189743270"/>
      <w:r>
        <w:rPr>
          <w:rStyle w:val="CharSectno"/>
        </w:rPr>
        <w:t>139</w:t>
      </w:r>
      <w:r>
        <w:rPr>
          <w:snapToGrid w:val="0"/>
        </w:rPr>
        <w:t>.</w:t>
      </w:r>
      <w:r>
        <w:rPr>
          <w:snapToGrid w:val="0"/>
        </w:rPr>
        <w:tab/>
        <w:t>Who may institute proceedings — FLA s. 67F</w:t>
      </w:r>
      <w:bookmarkEnd w:id="38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83" w:name="_Toc189743271"/>
      <w:r>
        <w:rPr>
          <w:rStyle w:val="CharSectno"/>
        </w:rPr>
        <w:lastRenderedPageBreak/>
        <w:t>140</w:t>
      </w:r>
      <w:r>
        <w:rPr>
          <w:snapToGrid w:val="0"/>
        </w:rPr>
        <w:t>.</w:t>
      </w:r>
      <w:r>
        <w:rPr>
          <w:snapToGrid w:val="0"/>
        </w:rPr>
        <w:tab/>
        <w:t>Time limit for institution of proceedings — FLA s. 67G</w:t>
      </w:r>
      <w:bookmarkEnd w:id="383"/>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84" w:name="_Toc189743272"/>
      <w:r>
        <w:rPr>
          <w:rStyle w:val="CharSectno"/>
        </w:rPr>
        <w:t>141</w:t>
      </w:r>
      <w:r>
        <w:rPr>
          <w:snapToGrid w:val="0"/>
        </w:rPr>
        <w:t>.</w:t>
      </w:r>
      <w:r>
        <w:rPr>
          <w:snapToGrid w:val="0"/>
        </w:rPr>
        <w:tab/>
        <w:t>Orders for, and unspent, child bearing expenses</w:t>
      </w:r>
      <w:bookmarkEnd w:id="38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lastRenderedPageBreak/>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85" w:name="_Toc189558455"/>
      <w:bookmarkStart w:id="386" w:name="_Toc189653968"/>
      <w:bookmarkStart w:id="387" w:name="_Toc189743273"/>
      <w:r>
        <w:rPr>
          <w:snapToGrid w:val="0"/>
        </w:rPr>
        <w:t>Subdivision 3 — Location and recovery of children</w:t>
      </w:r>
      <w:bookmarkEnd w:id="385"/>
      <w:bookmarkEnd w:id="386"/>
      <w:bookmarkEnd w:id="387"/>
      <w:r>
        <w:rPr>
          <w:snapToGrid w:val="0"/>
        </w:rPr>
        <w:t xml:space="preserve"> </w:t>
      </w:r>
    </w:p>
    <w:p>
      <w:pPr>
        <w:pStyle w:val="Ednotesection"/>
      </w:pPr>
      <w:r>
        <w:t>[</w:t>
      </w:r>
      <w:r>
        <w:rPr>
          <w:b/>
          <w:bCs/>
        </w:rPr>
        <w:t>142.</w:t>
      </w:r>
      <w:r>
        <w:tab/>
        <w:t>Deleted: No. 35 of 2006 s. 175.]</w:t>
      </w:r>
    </w:p>
    <w:p>
      <w:pPr>
        <w:pStyle w:val="Heading5"/>
        <w:rPr>
          <w:snapToGrid w:val="0"/>
        </w:rPr>
      </w:pPr>
      <w:bookmarkStart w:id="388" w:name="_Toc189743274"/>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88"/>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89" w:name="_Toc189743275"/>
      <w:r>
        <w:rPr>
          <w:rStyle w:val="CharSectno"/>
        </w:rPr>
        <w:t>144</w:t>
      </w:r>
      <w:r>
        <w:rPr>
          <w:snapToGrid w:val="0"/>
        </w:rPr>
        <w:t>.</w:t>
      </w:r>
      <w:r>
        <w:rPr>
          <w:snapToGrid w:val="0"/>
        </w:rPr>
        <w:tab/>
        <w:t>Who may apply for location order — FLA s. 67K</w:t>
      </w:r>
      <w:bookmarkEnd w:id="38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lastRenderedPageBreak/>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90" w:name="_Toc189743276"/>
      <w:r>
        <w:rPr>
          <w:rStyle w:val="CharSectno"/>
        </w:rPr>
        <w:t>145</w:t>
      </w:r>
      <w:r>
        <w:rPr>
          <w:snapToGrid w:val="0"/>
        </w:rPr>
        <w:t>.</w:t>
      </w:r>
      <w:r>
        <w:rPr>
          <w:snapToGrid w:val="0"/>
        </w:rPr>
        <w:tab/>
        <w:t>Child’s best interests paramount consideration in making location order — FLA s. 67L</w:t>
      </w:r>
      <w:bookmarkEnd w:id="390"/>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91" w:name="_Toc189743277"/>
      <w:r>
        <w:rPr>
          <w:rStyle w:val="CharSectno"/>
        </w:rPr>
        <w:t>146</w:t>
      </w:r>
      <w:r>
        <w:rPr>
          <w:snapToGrid w:val="0"/>
        </w:rPr>
        <w:t>.</w:t>
      </w:r>
      <w:r>
        <w:rPr>
          <w:snapToGrid w:val="0"/>
        </w:rPr>
        <w:tab/>
        <w:t>Provisions about location orders, other than State information orders — FLA s. 67M</w:t>
      </w:r>
      <w:bookmarkEnd w:id="391"/>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92" w:name="_Toc189743278"/>
      <w:r>
        <w:rPr>
          <w:rStyle w:val="CharSectno"/>
        </w:rPr>
        <w:lastRenderedPageBreak/>
        <w:t>147</w:t>
      </w:r>
      <w:r>
        <w:rPr>
          <w:snapToGrid w:val="0"/>
        </w:rPr>
        <w:t>.</w:t>
      </w:r>
      <w:r>
        <w:rPr>
          <w:snapToGrid w:val="0"/>
        </w:rPr>
        <w:tab/>
        <w:t>Provisions about State information orders — FLA s. 67N</w:t>
      </w:r>
      <w:bookmarkEnd w:id="392"/>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lastRenderedPageBreak/>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93" w:name="_Toc189743279"/>
      <w:r>
        <w:rPr>
          <w:rStyle w:val="CharSectno"/>
        </w:rPr>
        <w:t>148</w:t>
      </w:r>
      <w:r>
        <w:rPr>
          <w:snapToGrid w:val="0"/>
        </w:rPr>
        <w:t>.</w:t>
      </w:r>
      <w:r>
        <w:rPr>
          <w:snapToGrid w:val="0"/>
        </w:rPr>
        <w:tab/>
        <w:t>Information provided under location order not to be disclosed except to limited persons — FLA s. 67P</w:t>
      </w:r>
      <w:bookmarkEnd w:id="393"/>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94" w:name="_Toc189743280"/>
      <w:r>
        <w:rPr>
          <w:rStyle w:val="CharSectno"/>
        </w:rPr>
        <w:t>149</w:t>
      </w:r>
      <w:r>
        <w:rPr>
          <w:snapToGrid w:val="0"/>
        </w:rPr>
        <w:t>.</w:t>
      </w:r>
      <w:r>
        <w:rPr>
          <w:snapToGrid w:val="0"/>
        </w:rPr>
        <w:tab/>
        <w:t xml:space="preserve">Meaning of </w:t>
      </w:r>
      <w:r>
        <w:rPr>
          <w:i/>
        </w:rPr>
        <w:t>recovery order</w:t>
      </w:r>
      <w:r>
        <w:rPr>
          <w:snapToGrid w:val="0"/>
        </w:rPr>
        <w:t> — FLA s. 67Q</w:t>
      </w:r>
      <w:bookmarkEnd w:id="39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lastRenderedPageBreak/>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95" w:name="_Toc189743281"/>
      <w:r>
        <w:rPr>
          <w:rStyle w:val="CharSectno"/>
        </w:rPr>
        <w:t>150</w:t>
      </w:r>
      <w:r>
        <w:rPr>
          <w:snapToGrid w:val="0"/>
        </w:rPr>
        <w:t>.</w:t>
      </w:r>
      <w:r>
        <w:rPr>
          <w:snapToGrid w:val="0"/>
        </w:rPr>
        <w:tab/>
        <w:t>How recovery orders authorise or direct people — FLA s. 67R</w:t>
      </w:r>
      <w:bookmarkEnd w:id="39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lastRenderedPageBreak/>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96" w:name="_Toc189743282"/>
      <w:r>
        <w:rPr>
          <w:rStyle w:val="CharSectno"/>
        </w:rPr>
        <w:t>151</w:t>
      </w:r>
      <w:r>
        <w:rPr>
          <w:snapToGrid w:val="0"/>
        </w:rPr>
        <w:t>.</w:t>
      </w:r>
      <w:r>
        <w:rPr>
          <w:snapToGrid w:val="0"/>
        </w:rPr>
        <w:tab/>
        <w:t>How recovery orders to stop and search etc. name or describe vehicles, places etc. — FLA s. 67S</w:t>
      </w:r>
      <w:bookmarkEnd w:id="396"/>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97" w:name="_Toc189743283"/>
      <w:r>
        <w:rPr>
          <w:rStyle w:val="CharSectno"/>
        </w:rPr>
        <w:t>152</w:t>
      </w:r>
      <w:r>
        <w:rPr>
          <w:snapToGrid w:val="0"/>
        </w:rPr>
        <w:t>.</w:t>
      </w:r>
      <w:r>
        <w:rPr>
          <w:snapToGrid w:val="0"/>
        </w:rPr>
        <w:tab/>
        <w:t>Who may apply for recovery order — FLA s. 67T</w:t>
      </w:r>
      <w:bookmarkEnd w:id="397"/>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lastRenderedPageBreak/>
        <w:tab/>
        <w:t>[Section 152 amended: No. 25 of 2002 s. 65; No. 35 of 2006 s. 161.]</w:t>
      </w:r>
    </w:p>
    <w:p>
      <w:pPr>
        <w:pStyle w:val="Heading5"/>
        <w:spacing w:before="180"/>
        <w:rPr>
          <w:snapToGrid w:val="0"/>
        </w:rPr>
      </w:pPr>
      <w:bookmarkStart w:id="398" w:name="_Toc189743284"/>
      <w:r>
        <w:rPr>
          <w:rStyle w:val="CharSectno"/>
        </w:rPr>
        <w:t>153</w:t>
      </w:r>
      <w:r>
        <w:rPr>
          <w:snapToGrid w:val="0"/>
        </w:rPr>
        <w:t>.</w:t>
      </w:r>
      <w:r>
        <w:rPr>
          <w:snapToGrid w:val="0"/>
        </w:rPr>
        <w:tab/>
        <w:t>Court’s power to make recovery order — FLA s. 67U</w:t>
      </w:r>
      <w:bookmarkEnd w:id="398"/>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99" w:name="_Toc189743285"/>
      <w:r>
        <w:rPr>
          <w:rStyle w:val="CharSectno"/>
        </w:rPr>
        <w:t>154</w:t>
      </w:r>
      <w:r>
        <w:rPr>
          <w:snapToGrid w:val="0"/>
        </w:rPr>
        <w:t>.</w:t>
      </w:r>
      <w:r>
        <w:rPr>
          <w:snapToGrid w:val="0"/>
        </w:rPr>
        <w:tab/>
        <w:t>Child’s best interests paramount consideration in making recovery order — FLA s. 67V</w:t>
      </w:r>
      <w:bookmarkEnd w:id="399"/>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00" w:name="_Toc189743286"/>
      <w:r>
        <w:rPr>
          <w:rStyle w:val="CharSectno"/>
        </w:rPr>
        <w:t>155</w:t>
      </w:r>
      <w:r>
        <w:rPr>
          <w:snapToGrid w:val="0"/>
        </w:rPr>
        <w:t>.</w:t>
      </w:r>
      <w:r>
        <w:rPr>
          <w:snapToGrid w:val="0"/>
        </w:rPr>
        <w:tab/>
        <w:t>Duration of recovery order — FLA s. 67W</w:t>
      </w:r>
      <w:bookmarkEnd w:id="400"/>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01" w:name="_Toc189743287"/>
      <w:r>
        <w:rPr>
          <w:rStyle w:val="CharSectno"/>
        </w:rPr>
        <w:t>156</w:t>
      </w:r>
      <w:r>
        <w:rPr>
          <w:snapToGrid w:val="0"/>
        </w:rPr>
        <w:t>.</w:t>
      </w:r>
      <w:r>
        <w:rPr>
          <w:snapToGrid w:val="0"/>
        </w:rPr>
        <w:tab/>
        <w:t>Persons not to prevent or hinder taking of action under recovery order — FLA s. 67X</w:t>
      </w:r>
      <w:bookmarkEnd w:id="401"/>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lastRenderedPageBreak/>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02" w:name="_Toc189743288"/>
      <w:r>
        <w:rPr>
          <w:rStyle w:val="CharSectno"/>
        </w:rPr>
        <w:t>157</w:t>
      </w:r>
      <w:r>
        <w:rPr>
          <w:snapToGrid w:val="0"/>
        </w:rPr>
        <w:t>.</w:t>
      </w:r>
      <w:r>
        <w:rPr>
          <w:snapToGrid w:val="0"/>
        </w:rPr>
        <w:tab/>
        <w:t>Obligation to notify persons of child’s return — FLA s. 67Y</w:t>
      </w:r>
      <w:bookmarkEnd w:id="402"/>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03" w:name="_Toc189558471"/>
      <w:bookmarkStart w:id="404" w:name="_Toc189653984"/>
      <w:bookmarkStart w:id="405" w:name="_Toc189743289"/>
      <w:r>
        <w:t>Subdivision 4 — Allegations of child abuse and family violence</w:t>
      </w:r>
      <w:bookmarkEnd w:id="403"/>
      <w:bookmarkEnd w:id="404"/>
      <w:bookmarkEnd w:id="405"/>
    </w:p>
    <w:p>
      <w:pPr>
        <w:pStyle w:val="Footnoteheading"/>
        <w:spacing w:before="100"/>
      </w:pPr>
      <w:r>
        <w:tab/>
        <w:t xml:space="preserve">[Heading inserted: </w:t>
      </w:r>
      <w:r>
        <w:rPr>
          <w:spacing w:val="-6"/>
        </w:rPr>
        <w:t>No. 13 of 2013 s. </w:t>
      </w:r>
      <w:r>
        <w:t>16.]</w:t>
      </w:r>
    </w:p>
    <w:p>
      <w:pPr>
        <w:pStyle w:val="Heading5"/>
        <w:rPr>
          <w:snapToGrid w:val="0"/>
        </w:rPr>
      </w:pPr>
      <w:bookmarkStart w:id="406" w:name="_Toc189743290"/>
      <w:r>
        <w:rPr>
          <w:rStyle w:val="CharSectno"/>
        </w:rPr>
        <w:t>158</w:t>
      </w:r>
      <w:r>
        <w:rPr>
          <w:snapToGrid w:val="0"/>
        </w:rPr>
        <w:t>.</w:t>
      </w:r>
      <w:r>
        <w:rPr>
          <w:snapToGrid w:val="0"/>
        </w:rPr>
        <w:tab/>
        <w:t xml:space="preserve">Meaning of </w:t>
      </w:r>
      <w:r>
        <w:rPr>
          <w:i/>
          <w:snapToGrid w:val="0"/>
        </w:rPr>
        <w:t>registrar</w:t>
      </w:r>
      <w:bookmarkEnd w:id="406"/>
    </w:p>
    <w:p>
      <w:pPr>
        <w:pStyle w:val="Subsection"/>
        <w:rPr>
          <w:snapToGrid w:val="0"/>
        </w:rPr>
      </w:pPr>
      <w:r>
        <w:rPr>
          <w:snapToGrid w:val="0"/>
        </w:rPr>
        <w:tab/>
      </w:r>
      <w:r>
        <w:rPr>
          <w:snapToGrid w:val="0"/>
        </w:rPr>
        <w:tab/>
        <w:t>In this Subdivision — </w:t>
      </w:r>
    </w:p>
    <w:p>
      <w:pPr>
        <w:pStyle w:val="Defstart"/>
      </w:pPr>
      <w:r>
        <w:lastRenderedPageBreak/>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407" w:name="_Toc189743291"/>
      <w:r>
        <w:rPr>
          <w:rStyle w:val="CharSectno"/>
        </w:rPr>
        <w:t>159</w:t>
      </w:r>
      <w:r>
        <w:rPr>
          <w:snapToGrid w:val="0"/>
        </w:rPr>
        <w:t>.</w:t>
      </w:r>
      <w:r>
        <w:rPr>
          <w:snapToGrid w:val="0"/>
        </w:rPr>
        <w:tab/>
        <w:t>Where interested person in proceedings makes allegation of child abuse — FLA s. 67Z</w:t>
      </w:r>
      <w:bookmarkEnd w:id="407"/>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 xml:space="preserve">If a registrar notifies the CEO under subsection (2) the registrar may make such disclosures of other information as the registrar </w:t>
      </w:r>
      <w:r>
        <w:rPr>
          <w:snapToGrid w:val="0"/>
        </w:rPr>
        <w:lastRenderedPageBreak/>
        <w:t>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408" w:name="_Toc189743292"/>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408"/>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 or</w:t>
      </w:r>
    </w:p>
    <w:p>
      <w:pPr>
        <w:pStyle w:val="Indenta"/>
      </w:pPr>
      <w:r>
        <w:tab/>
        <w:t>(g)</w:t>
      </w:r>
      <w:r>
        <w:tab/>
        <w:t>a family report writer who is recognised, in accordance with regulations made for the purposes of section 65AC, as complying with prescribed standards and requirements.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lastRenderedPageBreak/>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 No. 49 of 2024 s. 48.]</w:t>
      </w:r>
    </w:p>
    <w:p>
      <w:pPr>
        <w:pStyle w:val="Heading5"/>
        <w:rPr>
          <w:snapToGrid w:val="0"/>
        </w:rPr>
      </w:pPr>
      <w:bookmarkStart w:id="409" w:name="_Toc189743293"/>
      <w:r>
        <w:rPr>
          <w:rStyle w:val="CharSectno"/>
        </w:rPr>
        <w:t>161</w:t>
      </w:r>
      <w:r>
        <w:rPr>
          <w:snapToGrid w:val="0"/>
        </w:rPr>
        <w:t>.</w:t>
      </w:r>
      <w:r>
        <w:rPr>
          <w:snapToGrid w:val="0"/>
        </w:rPr>
        <w:tab/>
        <w:t>No liability for notification under section 159 or 160 — FLA s. 67ZB</w:t>
      </w:r>
      <w:bookmarkEnd w:id="409"/>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lastRenderedPageBreak/>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410" w:name="_Toc189743294"/>
      <w:r>
        <w:rPr>
          <w:rStyle w:val="CharSectno"/>
        </w:rPr>
        <w:t>162A</w:t>
      </w:r>
      <w:r>
        <w:t>.</w:t>
      </w:r>
      <w:r>
        <w:tab/>
        <w:t>Where interested person makes allegation of family violence — FLA s. 67ZBA</w:t>
      </w:r>
      <w:bookmarkEnd w:id="410"/>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lastRenderedPageBreak/>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411" w:name="_Toc189743295"/>
      <w:r>
        <w:rPr>
          <w:rStyle w:val="CharSectno"/>
        </w:rPr>
        <w:t>162B</w:t>
      </w:r>
      <w:r>
        <w:t>.</w:t>
      </w:r>
      <w:r>
        <w:tab/>
        <w:t>Court to take prompt action in relation to allegations of child abuse or family violence — FLA s. 67ZBB</w:t>
      </w:r>
      <w:bookmarkEnd w:id="411"/>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lastRenderedPageBreak/>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 xml:space="preserve">Without limiting subsection (2)(a)(i), the court must consider whether orders should be made under section 162D or 162E to </w:t>
      </w:r>
      <w:r>
        <w:lastRenderedPageBreak/>
        <w:t>obtain particulars, documents or information from information sharing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 amended: No. 49 of 2024 s. 49.]</w:t>
      </w:r>
    </w:p>
    <w:p>
      <w:pPr>
        <w:pStyle w:val="Heading4"/>
      </w:pPr>
      <w:bookmarkStart w:id="412" w:name="_Toc184389734"/>
      <w:bookmarkStart w:id="413" w:name="_Toc184389939"/>
      <w:bookmarkStart w:id="414" w:name="_Toc184390144"/>
      <w:bookmarkStart w:id="415" w:name="_Toc189653991"/>
      <w:bookmarkStart w:id="416" w:name="_Toc189743296"/>
      <w:r>
        <w:t>Subdivision 4A — Orders for information in child</w:t>
      </w:r>
      <w:r>
        <w:noBreakHyphen/>
        <w:t>related proceedings</w:t>
      </w:r>
      <w:bookmarkEnd w:id="412"/>
      <w:bookmarkEnd w:id="413"/>
      <w:bookmarkEnd w:id="414"/>
      <w:bookmarkEnd w:id="415"/>
      <w:bookmarkEnd w:id="416"/>
    </w:p>
    <w:p>
      <w:pPr>
        <w:pStyle w:val="Footnoteheading"/>
      </w:pPr>
      <w:r>
        <w:tab/>
        <w:t>[Heading inserted: No. 49 of 2024 s. 50.]</w:t>
      </w:r>
    </w:p>
    <w:p>
      <w:pPr>
        <w:pStyle w:val="Heading5"/>
      </w:pPr>
      <w:bookmarkStart w:id="417" w:name="_Toc184390145"/>
      <w:bookmarkStart w:id="418" w:name="_Toc189743297"/>
      <w:r>
        <w:rPr>
          <w:rStyle w:val="CharSectno"/>
        </w:rPr>
        <w:t>162C</w:t>
      </w:r>
      <w:r>
        <w:t>.</w:t>
      </w:r>
      <w:r>
        <w:tab/>
        <w:t xml:space="preserve">Meaning of </w:t>
      </w:r>
      <w:r>
        <w:rPr>
          <w:i/>
        </w:rPr>
        <w:t>information sharing agency</w:t>
      </w:r>
      <w:r>
        <w:t> — FLA s. 67ZBC</w:t>
      </w:r>
      <w:bookmarkEnd w:id="417"/>
      <w:bookmarkEnd w:id="418"/>
    </w:p>
    <w:p>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Footnotesection"/>
      </w:pPr>
      <w:r>
        <w:tab/>
        <w:t>[Section 162C inserted: No. 49 of 2024 s. 50.]</w:t>
      </w:r>
    </w:p>
    <w:p>
      <w:pPr>
        <w:pStyle w:val="Heading5"/>
      </w:pPr>
      <w:bookmarkStart w:id="419" w:name="_Toc184390146"/>
      <w:bookmarkStart w:id="420" w:name="_Toc189743298"/>
      <w:r>
        <w:rPr>
          <w:rStyle w:val="CharSectno"/>
        </w:rPr>
        <w:t>162D</w:t>
      </w:r>
      <w:r>
        <w:t>.</w:t>
      </w:r>
      <w:r>
        <w:tab/>
        <w:t>Order to provide particulars of documents or information relating to certain matters — FLA s. 67ZBD</w:t>
      </w:r>
      <w:bookmarkEnd w:id="419"/>
      <w:bookmarkEnd w:id="420"/>
    </w:p>
    <w:p>
      <w:pPr>
        <w:pStyle w:val="Subsection"/>
      </w:pPr>
      <w:r>
        <w:tab/>
        <w:t>(1)</w:t>
      </w:r>
      <w:r>
        <w:tab/>
        <w:t>A court may make an order, in child</w:t>
      </w:r>
      <w:r>
        <w:noBreakHyphen/>
        <w:t>related proceedings, requiring an information sharing agency to —</w:t>
      </w:r>
    </w:p>
    <w:p>
      <w:pPr>
        <w:pStyle w:val="Indenta"/>
      </w:pPr>
      <w:r>
        <w:tab/>
        <w:t>(a)</w:t>
      </w:r>
      <w:r>
        <w:tab/>
        <w:t>inform the court whether the agency has in its possession or control any documents or information relating to a matter mentioned in subsection (2); and</w:t>
      </w:r>
    </w:p>
    <w:p>
      <w:pPr>
        <w:pStyle w:val="Indenta"/>
      </w:pPr>
      <w:r>
        <w:tab/>
        <w:t>(b)</w:t>
      </w:r>
      <w:r>
        <w:tab/>
        <w:t>if it has — give the court particulars of the documents or information.</w:t>
      </w:r>
    </w:p>
    <w:p>
      <w:pPr>
        <w:pStyle w:val="Subsection"/>
      </w:pPr>
      <w:r>
        <w:lastRenderedPageBreak/>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child.</w:t>
      </w:r>
    </w:p>
    <w:p>
      <w:pPr>
        <w:pStyle w:val="Subsection"/>
      </w:pPr>
      <w:r>
        <w:tab/>
        <w:t>(6)</w:t>
      </w:r>
      <w:r>
        <w:tab/>
        <w:t>The agency may, on its own initiative —</w:t>
      </w:r>
    </w:p>
    <w:p>
      <w:pPr>
        <w:pStyle w:val="Indenta"/>
      </w:pPr>
      <w:r>
        <w:tab/>
        <w:t>(a)</w:t>
      </w:r>
      <w:r>
        <w:tab/>
        <w:t>produce to the court any documents the particulars of which are required by the order; or</w:t>
      </w:r>
    </w:p>
    <w:p>
      <w:pPr>
        <w:pStyle w:val="Indenta"/>
        <w:keepNext/>
      </w:pPr>
      <w:r>
        <w:lastRenderedPageBreak/>
        <w:tab/>
        <w:t>(b)</w:t>
      </w:r>
      <w:r>
        <w:tab/>
        <w:t>give to the court any information the particulars of which are required by the order; or</w:t>
      </w:r>
    </w:p>
    <w:p>
      <w:pPr>
        <w:pStyle w:val="Indenta"/>
      </w:pPr>
      <w:r>
        <w:tab/>
        <w:t>(c)</w:t>
      </w:r>
      <w:r>
        <w:tab/>
        <w:t>give to the court any other particulars that the agency considers useful to characterise documents or information particulars of which are required by the order.</w:t>
      </w:r>
    </w:p>
    <w:p>
      <w:pPr>
        <w:pStyle w:val="Subsection"/>
      </w:pPr>
      <w:r>
        <w:tab/>
        <w:t>(7)</w:t>
      </w:r>
      <w:r>
        <w:tab/>
        <w:t>If the agency produces a document or gives information or particulars on its own initiative under subsection (6), the agency must consider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A written law has no effect to the extent that it would, apart from this subsection, hinder or prevent the agency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162D inserted: No. 49 of 2024 s. 50.]</w:t>
      </w:r>
    </w:p>
    <w:p>
      <w:pPr>
        <w:pStyle w:val="Heading5"/>
      </w:pPr>
      <w:bookmarkStart w:id="421" w:name="_Toc184390147"/>
      <w:bookmarkStart w:id="422" w:name="_Toc189743299"/>
      <w:r>
        <w:rPr>
          <w:rStyle w:val="CharSectno"/>
        </w:rPr>
        <w:t>162E</w:t>
      </w:r>
      <w:r>
        <w:t>.</w:t>
      </w:r>
      <w:r>
        <w:tab/>
        <w:t>Order to provide documents or information relating to certain matters — FLA s. 67ZBE</w:t>
      </w:r>
      <w:bookmarkEnd w:id="421"/>
      <w:bookmarkEnd w:id="422"/>
    </w:p>
    <w:p>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lastRenderedPageBreak/>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other child.</w:t>
      </w:r>
    </w:p>
    <w:p>
      <w:pPr>
        <w:pStyle w:val="Subsection"/>
      </w:pPr>
      <w:r>
        <w:tab/>
        <w:t>(6)</w:t>
      </w:r>
      <w:r>
        <w:tab/>
        <w:t>The agency may, on its own initiative —</w:t>
      </w:r>
    </w:p>
    <w:p>
      <w:pPr>
        <w:pStyle w:val="Indenta"/>
      </w:pPr>
      <w:r>
        <w:tab/>
        <w:t>(a)</w:t>
      </w:r>
      <w:r>
        <w:tab/>
        <w:t>produce to the court other documents, or give the court other information, in the agency’s possession or control that, in the agency’s opinion, relates to a matter mentioned in subsection (2); or</w:t>
      </w:r>
    </w:p>
    <w:p>
      <w:pPr>
        <w:pStyle w:val="Indenta"/>
      </w:pPr>
      <w:r>
        <w:tab/>
        <w:t>(b)</w:t>
      </w:r>
      <w:r>
        <w:tab/>
        <w:t>give to the court particulars of those other documents or information.</w:t>
      </w:r>
    </w:p>
    <w:p>
      <w:pPr>
        <w:pStyle w:val="Subsection"/>
      </w:pPr>
      <w:r>
        <w:lastRenderedPageBreak/>
        <w:tab/>
        <w:t>(7)</w:t>
      </w:r>
      <w:r>
        <w:tab/>
        <w:t xml:space="preserve">If the agency produces a document or gives information or particulars on its own initiative under subsection (6), the agency must consider —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 xml:space="preserve">A written law has no effect to the extent that it would, apart from this subsection, hinder or prevent the agency —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162E inserted: No. 49 of 2024 s. 50.]</w:t>
      </w:r>
    </w:p>
    <w:p>
      <w:pPr>
        <w:pStyle w:val="Heading5"/>
      </w:pPr>
      <w:bookmarkStart w:id="423" w:name="_Toc184390148"/>
      <w:bookmarkStart w:id="424" w:name="_Toc189743300"/>
      <w:r>
        <w:rPr>
          <w:rStyle w:val="CharSectno"/>
        </w:rPr>
        <w:t>162F</w:t>
      </w:r>
      <w:r>
        <w:t>.</w:t>
      </w:r>
      <w:r>
        <w:tab/>
        <w:t>Disclosure of protected material — FLA s. 67ZBF</w:t>
      </w:r>
      <w:bookmarkEnd w:id="423"/>
      <w:bookmarkEnd w:id="424"/>
    </w:p>
    <w:p>
      <w:pPr>
        <w:pStyle w:val="Subsection"/>
      </w:pPr>
      <w:r>
        <w:tab/>
        <w:t>(1)</w:t>
      </w:r>
      <w:r>
        <w:tab/>
        <w:t>An order made under section 162D or 162E does not require, but allows, an information sharing agency to —</w:t>
      </w:r>
    </w:p>
    <w:p>
      <w:pPr>
        <w:pStyle w:val="Indenta"/>
      </w:pPr>
      <w:r>
        <w:tab/>
        <w:t>(a)</w:t>
      </w:r>
      <w:r>
        <w:tab/>
        <w:t>give the court particulars of a document or information, to the extent that the particulars would reveal protected material; or</w:t>
      </w:r>
    </w:p>
    <w:p>
      <w:pPr>
        <w:pStyle w:val="Indenta"/>
      </w:pPr>
      <w:r>
        <w:tab/>
        <w:t>(b)</w:t>
      </w:r>
      <w:r>
        <w:tab/>
        <w:t>produce a document to the court, to the extent that the document contains protected material; or</w:t>
      </w:r>
    </w:p>
    <w:p>
      <w:pPr>
        <w:pStyle w:val="Indenta"/>
      </w:pPr>
      <w:r>
        <w:tab/>
        <w:t>(c)</w:t>
      </w:r>
      <w:r>
        <w:tab/>
        <w:t>give the court information that is protected material.</w:t>
      </w:r>
    </w:p>
    <w:p>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Indenta"/>
      </w:pPr>
      <w:r>
        <w:tab/>
        <w:t>(a)</w:t>
      </w:r>
      <w:r>
        <w:tab/>
        <w:t>that the agency has not provided, or, that in the agency’s opinion it is not required to provide, certain particulars, documents or information; and</w:t>
      </w:r>
    </w:p>
    <w:p>
      <w:pPr>
        <w:pStyle w:val="Indenta"/>
      </w:pPr>
      <w:r>
        <w:lastRenderedPageBreak/>
        <w:tab/>
        <w:t>(b)</w:t>
      </w:r>
      <w:r>
        <w:tab/>
        <w:t>in the agency’s opinion, which of subsections (3)(a) to (c) apply to the particulars, document or information.</w:t>
      </w:r>
    </w:p>
    <w:p>
      <w:pPr>
        <w:pStyle w:val="Subsection"/>
      </w:pPr>
      <w:r>
        <w:tab/>
        <w:t>(3)</w:t>
      </w:r>
      <w:r>
        <w:tab/>
      </w:r>
      <w:r>
        <w:rPr>
          <w:rStyle w:val="CharDefText"/>
        </w:rPr>
        <w:t>Protected material</w:t>
      </w:r>
      <w:r>
        <w:t xml:space="preserve"> is information — </w:t>
      </w:r>
    </w:p>
    <w:p>
      <w:pPr>
        <w:pStyle w:val="Indenta"/>
      </w:pPr>
      <w:r>
        <w:tab/>
        <w:t>(a)</w:t>
      </w:r>
      <w:r>
        <w:tab/>
        <w:t>that is the subject of legal professional privilege; or</w:t>
      </w:r>
    </w:p>
    <w:p>
      <w:pPr>
        <w:pStyle w:val="Indenta"/>
      </w:pPr>
      <w:r>
        <w:tab/>
        <w:t>(b)</w:t>
      </w:r>
      <w:r>
        <w:tab/>
        <w:t>that discloses, or would enable a person to ascertain, the identity of a person who communicated information to the agency in confidence; or</w:t>
      </w:r>
    </w:p>
    <w:p>
      <w:pPr>
        <w:pStyle w:val="Indenta"/>
      </w:pPr>
      <w:r>
        <w:tab/>
        <w:t>(c)</w:t>
      </w:r>
      <w:r>
        <w:tab/>
        <w:t xml:space="preserve">the disclosure of which would — </w:t>
      </w:r>
    </w:p>
    <w:p>
      <w:pPr>
        <w:pStyle w:val="Indenti"/>
      </w:pPr>
      <w:r>
        <w:tab/>
        <w:t>(i)</w:t>
      </w:r>
      <w:r>
        <w:tab/>
        <w:t>endanger a person’s life or present an unreasonable risk of harm to a person; or</w:t>
      </w:r>
    </w:p>
    <w:p>
      <w:pPr>
        <w:pStyle w:val="Indenti"/>
      </w:pPr>
      <w:r>
        <w:tab/>
        <w:t>(ii)</w:t>
      </w:r>
      <w:r>
        <w:tab/>
        <w:t>prejudice legal proceedings (including proceedings in a tribunal and a coronial inquiry, investigation and inquest); or</w:t>
      </w:r>
    </w:p>
    <w:p>
      <w:pPr>
        <w:pStyle w:val="Indenti"/>
      </w:pPr>
      <w:r>
        <w:tab/>
        <w:t>(iii)</w:t>
      </w:r>
      <w:r>
        <w:tab/>
        <w:t>contravene a court order or law that, disregarding sections 162D(8) and 162E(8), would restrict the publication or other disclosure of information in connection with legal proceedings; or</w:t>
      </w:r>
    </w:p>
    <w:p>
      <w:pPr>
        <w:pStyle w:val="Indenti"/>
      </w:pPr>
      <w:r>
        <w:tab/>
        <w:t>(iv)</w:t>
      </w:r>
      <w:r>
        <w:tab/>
        <w:t>be contrary to the public interest.</w:t>
      </w:r>
    </w:p>
    <w:p>
      <w:pPr>
        <w:pStyle w:val="Footnotesection"/>
      </w:pPr>
      <w:r>
        <w:tab/>
        <w:t>[Section 162F inserted: No. 49 of 2024 s. 50.]</w:t>
      </w:r>
    </w:p>
    <w:p>
      <w:pPr>
        <w:pStyle w:val="Heading5"/>
      </w:pPr>
      <w:bookmarkStart w:id="425" w:name="_Toc184390149"/>
      <w:bookmarkStart w:id="426" w:name="_Toc189743301"/>
      <w:r>
        <w:rPr>
          <w:rStyle w:val="CharSectno"/>
        </w:rPr>
        <w:t>162G</w:t>
      </w:r>
      <w:r>
        <w:t>.</w:t>
      </w:r>
      <w:r>
        <w:tab/>
        <w:t>Advice to court about risk of disclosure — FLA s. 67ZBG</w:t>
      </w:r>
      <w:bookmarkEnd w:id="425"/>
      <w:bookmarkEnd w:id="426"/>
    </w:p>
    <w:p>
      <w:pPr>
        <w:pStyle w:val="Subsection"/>
      </w:pPr>
      <w:r>
        <w:tab/>
        <w:t>(1)</w:t>
      </w:r>
      <w:r>
        <w:tab/>
        <w:t>This section applies if, under an order made under section 162D or 162E, or under section 162D(6) or 162E(6), an information sharing agency —</w:t>
      </w:r>
    </w:p>
    <w:p>
      <w:pPr>
        <w:pStyle w:val="Indenta"/>
      </w:pPr>
      <w:r>
        <w:tab/>
        <w:t>(a)</w:t>
      </w:r>
      <w:r>
        <w:tab/>
        <w:t>gives the court particulars of a document or information; or</w:t>
      </w:r>
    </w:p>
    <w:p>
      <w:pPr>
        <w:pStyle w:val="Indenta"/>
      </w:pPr>
      <w:r>
        <w:tab/>
        <w:t>(b)</w:t>
      </w:r>
      <w:r>
        <w:tab/>
        <w:t>produces documents to the court; or</w:t>
      </w:r>
    </w:p>
    <w:p>
      <w:pPr>
        <w:pStyle w:val="Indenta"/>
      </w:pPr>
      <w:r>
        <w:tab/>
        <w:t>(c)</w:t>
      </w:r>
      <w:r>
        <w:tab/>
        <w:t>gives the court information.</w:t>
      </w:r>
    </w:p>
    <w:p>
      <w:pPr>
        <w:pStyle w:val="Subsection"/>
      </w:pPr>
      <w:r>
        <w:tab/>
        <w:t>(2)</w:t>
      </w:r>
      <w:r>
        <w:tab/>
        <w:t>The agency must advise the court about any risks the court should consider when disclosing the particulars, documents or information, including any risk to —</w:t>
      </w:r>
    </w:p>
    <w:p>
      <w:pPr>
        <w:pStyle w:val="Indenta"/>
      </w:pPr>
      <w:r>
        <w:lastRenderedPageBreak/>
        <w:tab/>
        <w:t>(a)</w:t>
      </w:r>
      <w:r>
        <w:tab/>
        <w:t>a party to the proceedings; or</w:t>
      </w:r>
    </w:p>
    <w:p>
      <w:pPr>
        <w:pStyle w:val="Indenta"/>
      </w:pPr>
      <w:r>
        <w:tab/>
        <w:t>(b)</w:t>
      </w:r>
      <w:r>
        <w:tab/>
        <w:t>a child to whom the proceedings relate; or</w:t>
      </w:r>
    </w:p>
    <w:p>
      <w:pPr>
        <w:pStyle w:val="Indenta"/>
      </w:pPr>
      <w:r>
        <w:tab/>
        <w:t>(c)</w:t>
      </w:r>
      <w:r>
        <w:tab/>
        <w:t>a person who communicated information to the agency in confidence; or</w:t>
      </w:r>
    </w:p>
    <w:p>
      <w:pPr>
        <w:pStyle w:val="Indenta"/>
      </w:pPr>
      <w:r>
        <w:tab/>
        <w:t>(d)</w:t>
      </w:r>
      <w:r>
        <w:tab/>
        <w:t>any other person.</w:t>
      </w:r>
    </w:p>
    <w:p>
      <w:pPr>
        <w:pStyle w:val="Footnotesection"/>
      </w:pPr>
      <w:r>
        <w:tab/>
        <w:t>[Section 162G inserted: No. 49 of 2024 s. 50.]</w:t>
      </w:r>
    </w:p>
    <w:p>
      <w:pPr>
        <w:pStyle w:val="Heading5"/>
      </w:pPr>
      <w:bookmarkStart w:id="427" w:name="_Toc184390150"/>
      <w:bookmarkStart w:id="428" w:name="_Toc189743302"/>
      <w:r>
        <w:rPr>
          <w:rStyle w:val="CharSectno"/>
        </w:rPr>
        <w:t>162H</w:t>
      </w:r>
      <w:r>
        <w:t>.</w:t>
      </w:r>
      <w:r>
        <w:tab/>
        <w:t>Admission of particulars, documents or information into evidence — FLA s. 67ZBH</w:t>
      </w:r>
      <w:bookmarkEnd w:id="427"/>
      <w:bookmarkEnd w:id="428"/>
    </w:p>
    <w:p>
      <w:pPr>
        <w:pStyle w:val="Subsection"/>
      </w:pPr>
      <w:r>
        <w:tab/>
        <w:t>(1)</w:t>
      </w:r>
      <w:r>
        <w:tab/>
        <w:t>The court must admit into evidence any particulars, documents or information provided under an order made under section 162D or 162E, or under section 162D(6) or 162E(6), on which the court intends to rely.</w:t>
      </w:r>
    </w:p>
    <w:p>
      <w:pPr>
        <w:pStyle w:val="Subsection"/>
      </w:pPr>
      <w:r>
        <w:tab/>
        <w:t>(2)</w:t>
      </w:r>
      <w:r>
        <w:tab/>
        <w:t>Subsection (3) applies if a particular, a document or information is or relates to —</w:t>
      </w:r>
    </w:p>
    <w:p>
      <w:pPr>
        <w:pStyle w:val="Indenta"/>
      </w:pPr>
      <w:r>
        <w:tab/>
        <w:t>(a)</w:t>
      </w:r>
      <w:r>
        <w:tab/>
        <w:t>a notification to the agency of suspected child abuse</w:t>
      </w:r>
      <w:r>
        <w:rPr>
          <w:iCs/>
        </w:rPr>
        <w:t xml:space="preserve"> </w:t>
      </w:r>
      <w:r>
        <w:t>or family violence; or</w:t>
      </w:r>
    </w:p>
    <w:p>
      <w:pPr>
        <w:pStyle w:val="Indenta"/>
      </w:pPr>
      <w:r>
        <w:tab/>
        <w:t>(b)</w:t>
      </w:r>
      <w:r>
        <w:tab/>
        <w:t>an assessment by the agency of investigations into a notification of that kind or the findings or outcomes of those investigations; or</w:t>
      </w:r>
    </w:p>
    <w:p>
      <w:pPr>
        <w:pStyle w:val="Indenta"/>
      </w:pPr>
      <w:r>
        <w:tab/>
        <w:t>(c)</w:t>
      </w:r>
      <w:r>
        <w:tab/>
        <w:t>a report commissioned by the agency in the course of investigating a notification of that kind.</w:t>
      </w:r>
    </w:p>
    <w:p>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Indenta"/>
      </w:pPr>
      <w:r>
        <w:tab/>
        <w:t>(a)</w:t>
      </w:r>
      <w:r>
        <w:tab/>
        <w:t>the notifier consents to the disclosure; or</w:t>
      </w:r>
    </w:p>
    <w:p>
      <w:pPr>
        <w:pStyle w:val="Indenta"/>
      </w:pPr>
      <w:r>
        <w:tab/>
        <w:t>(b)</w:t>
      </w:r>
      <w:r>
        <w:tab/>
        <w:t>the notifier is a party to the proceedings; or</w:t>
      </w:r>
    </w:p>
    <w:p>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Subsection"/>
      </w:pPr>
      <w:r>
        <w:lastRenderedPageBreak/>
        <w:tab/>
        <w:t>(4)</w:t>
      </w:r>
      <w:r>
        <w:tab/>
        <w:t>Before making a disclosure for the reasons set out in subsection (3)(b) or (c), the court must —</w:t>
      </w:r>
    </w:p>
    <w:p>
      <w:pPr>
        <w:pStyle w:val="Indenta"/>
      </w:pPr>
      <w:r>
        <w:tab/>
        <w:t>(a)</w:t>
      </w:r>
      <w:r>
        <w:tab/>
        <w:t>ensure that the agency is notified about the intended disclosure and given an opportunity to respond; and</w:t>
      </w:r>
    </w:p>
    <w:p>
      <w:pPr>
        <w:pStyle w:val="Indenta"/>
      </w:pPr>
      <w:r>
        <w:tab/>
        <w:t>(b)</w:t>
      </w:r>
      <w:r>
        <w:tab/>
        <w:t>have regard to any advice given to the court under section 162G.</w:t>
      </w:r>
    </w:p>
    <w:p>
      <w:pPr>
        <w:pStyle w:val="Subsection"/>
      </w:pPr>
      <w:r>
        <w:tab/>
        <w:t>(5)</w:t>
      </w:r>
      <w:r>
        <w:tab/>
        <w:t>The court is not required to admit into evidence any particulars, documents or information that the court only intends to rely on to assist in case management.</w:t>
      </w:r>
    </w:p>
    <w:p>
      <w:pPr>
        <w:pStyle w:val="Footnotesection"/>
      </w:pPr>
      <w:r>
        <w:tab/>
        <w:t>[Section 162H inserted: No. 49 of 2024 s. 50.]</w:t>
      </w:r>
    </w:p>
    <w:p>
      <w:pPr>
        <w:pStyle w:val="Heading5"/>
      </w:pPr>
      <w:bookmarkStart w:id="429" w:name="_Toc184390151"/>
      <w:bookmarkStart w:id="430" w:name="_Toc189743303"/>
      <w:r>
        <w:rPr>
          <w:rStyle w:val="CharSectno"/>
        </w:rPr>
        <w:t>162I</w:t>
      </w:r>
      <w:r>
        <w:t>.</w:t>
      </w:r>
      <w:r>
        <w:tab/>
        <w:t>Information sharing agencies and court must have regard to information sharing safeguards — FLA s. 67ZBI</w:t>
      </w:r>
      <w:bookmarkEnd w:id="429"/>
      <w:bookmarkEnd w:id="430"/>
    </w:p>
    <w:p>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Subsection"/>
      </w:pPr>
      <w:r>
        <w:tab/>
        <w:t>(3)</w:t>
      </w:r>
      <w:r>
        <w:tab/>
        <w:t xml:space="preserve">For the purposes of subsection (2), </w:t>
      </w:r>
      <w:r>
        <w:rPr>
          <w:rStyle w:val="CharDefText"/>
        </w:rPr>
        <w:t>use</w:t>
      </w:r>
      <w:r>
        <w:t xml:space="preserve"> includes handle, store and access.</w:t>
      </w:r>
    </w:p>
    <w:p>
      <w:pPr>
        <w:pStyle w:val="Footnotesection"/>
      </w:pPr>
      <w:r>
        <w:tab/>
        <w:t>[Section 162I inserted: No. 49 of 2024 s. 50.]</w:t>
      </w:r>
    </w:p>
    <w:p>
      <w:pPr>
        <w:pStyle w:val="Heading5"/>
      </w:pPr>
      <w:bookmarkStart w:id="431" w:name="_Toc184390152"/>
      <w:bookmarkStart w:id="432" w:name="_Toc189743304"/>
      <w:r>
        <w:rPr>
          <w:rStyle w:val="CharSectno"/>
        </w:rPr>
        <w:t>162J</w:t>
      </w:r>
      <w:r>
        <w:t>.</w:t>
      </w:r>
      <w:r>
        <w:tab/>
        <w:t>When orders may be made — FLA s. 67ZBJ</w:t>
      </w:r>
      <w:bookmarkEnd w:id="431"/>
      <w:bookmarkEnd w:id="432"/>
    </w:p>
    <w:p>
      <w:pPr>
        <w:pStyle w:val="Subsection"/>
      </w:pPr>
      <w:r>
        <w:tab/>
        <w:t>(1)</w:t>
      </w:r>
      <w:r>
        <w:tab/>
        <w:t>A court may make an order under section 162D or 162E at any time after the commencement of child</w:t>
      </w:r>
      <w:r>
        <w:noBreakHyphen/>
        <w:t>related proceedings and before making final orders.</w:t>
      </w:r>
    </w:p>
    <w:p>
      <w:pPr>
        <w:pStyle w:val="Subsection"/>
      </w:pPr>
      <w:r>
        <w:lastRenderedPageBreak/>
        <w:tab/>
        <w:t>(2)</w:t>
      </w:r>
      <w:r>
        <w:tab/>
        <w:t>A court may make an order under section 162E in relation to an information sharing agency without first making an order under section 162D in relation to that agency.</w:t>
      </w:r>
    </w:p>
    <w:p>
      <w:pPr>
        <w:pStyle w:val="Footnotesection"/>
      </w:pPr>
      <w:r>
        <w:tab/>
        <w:t>[Section 162J inserted: No. 49 of 2024 s. 50.]</w:t>
      </w:r>
    </w:p>
    <w:p>
      <w:pPr>
        <w:pStyle w:val="Heading5"/>
      </w:pPr>
      <w:bookmarkStart w:id="433" w:name="_Toc184390153"/>
      <w:bookmarkStart w:id="434" w:name="_Toc189743305"/>
      <w:r>
        <w:rPr>
          <w:rStyle w:val="CharSectno"/>
        </w:rPr>
        <w:t>162K</w:t>
      </w:r>
      <w:r>
        <w:t>.</w:t>
      </w:r>
      <w:r>
        <w:tab/>
        <w:t>Subpoena in respect of certain documents or information — FLA s. 67ZBK</w:t>
      </w:r>
      <w:bookmarkEnd w:id="433"/>
      <w:bookmarkEnd w:id="434"/>
    </w:p>
    <w:p>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Footnotesection"/>
      </w:pPr>
      <w:r>
        <w:tab/>
        <w:t>[Section 162K inserted: No. 49 of 2024 s. 50.]</w:t>
      </w:r>
    </w:p>
    <w:p>
      <w:pPr>
        <w:pStyle w:val="Heading4"/>
        <w:rPr>
          <w:snapToGrid w:val="0"/>
        </w:rPr>
      </w:pPr>
      <w:bookmarkStart w:id="435" w:name="_Toc189558478"/>
      <w:bookmarkStart w:id="436" w:name="_Toc189654001"/>
      <w:bookmarkStart w:id="437" w:name="_Toc189743306"/>
      <w:r>
        <w:rPr>
          <w:snapToGrid w:val="0"/>
        </w:rPr>
        <w:t>Subdivision 5 — Other orders about children</w:t>
      </w:r>
      <w:bookmarkEnd w:id="435"/>
      <w:bookmarkEnd w:id="436"/>
      <w:bookmarkEnd w:id="437"/>
      <w:r>
        <w:rPr>
          <w:snapToGrid w:val="0"/>
        </w:rPr>
        <w:t xml:space="preserve"> </w:t>
      </w:r>
    </w:p>
    <w:p>
      <w:pPr>
        <w:pStyle w:val="Heading5"/>
        <w:rPr>
          <w:snapToGrid w:val="0"/>
        </w:rPr>
      </w:pPr>
      <w:bookmarkStart w:id="438" w:name="_Toc189743307"/>
      <w:r>
        <w:rPr>
          <w:rStyle w:val="CharSectno"/>
        </w:rPr>
        <w:t>162</w:t>
      </w:r>
      <w:r>
        <w:rPr>
          <w:snapToGrid w:val="0"/>
        </w:rPr>
        <w:t>.</w:t>
      </w:r>
      <w:r>
        <w:rPr>
          <w:snapToGrid w:val="0"/>
        </w:rPr>
        <w:tab/>
        <w:t>Orders relating to welfare of children — FLA s. 67ZC</w:t>
      </w:r>
      <w:bookmarkEnd w:id="43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439" w:name="_Toc184390155"/>
      <w:bookmarkStart w:id="440" w:name="_Toc189743308"/>
      <w:r>
        <w:rPr>
          <w:rStyle w:val="CharSectno"/>
        </w:rPr>
        <w:t>163</w:t>
      </w:r>
      <w:r>
        <w:t>.</w:t>
      </w:r>
      <w:r>
        <w:tab/>
        <w:t>Orders for delivery of travel documents — FLA s. 67ZD</w:t>
      </w:r>
      <w:bookmarkEnd w:id="439"/>
      <w:bookmarkEnd w:id="440"/>
    </w:p>
    <w:p>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Indenta"/>
      </w:pPr>
      <w:r>
        <w:tab/>
        <w:t>(a)</w:t>
      </w:r>
      <w:r>
        <w:tab/>
        <w:t xml:space="preserve">any Australian travel document (as defined in the </w:t>
      </w:r>
      <w:r>
        <w:rPr>
          <w:i/>
        </w:rPr>
        <w:t>Australian Passports Act 2005</w:t>
      </w:r>
      <w:r>
        <w:t xml:space="preserve"> (Commonwealth) </w:t>
      </w:r>
      <w:r>
        <w:lastRenderedPageBreak/>
        <w:t>section 6(1)) that has been issued to the child or any other person concerned;</w:t>
      </w:r>
    </w:p>
    <w:p>
      <w:pPr>
        <w:pStyle w:val="Indenta"/>
      </w:pPr>
      <w:r>
        <w:tab/>
        <w:t>(b)</w:t>
      </w:r>
      <w:r>
        <w:tab/>
        <w:t>any passport or other travel document that has been issued to the child or any other person concerned by or on behalf of the government of a foreign country.</w:t>
      </w:r>
    </w:p>
    <w:p>
      <w:pPr>
        <w:pStyle w:val="Footnotesection"/>
      </w:pPr>
      <w:r>
        <w:tab/>
        <w:t>[Section 163 inserted: No. 49 of 2024 s. 51.]</w:t>
      </w:r>
    </w:p>
    <w:p>
      <w:pPr>
        <w:pStyle w:val="Heading3"/>
      </w:pPr>
      <w:bookmarkStart w:id="441" w:name="_Toc189558481"/>
      <w:bookmarkStart w:id="442" w:name="_Toc189654004"/>
      <w:bookmarkStart w:id="443" w:name="_Toc189743309"/>
      <w:r>
        <w:rPr>
          <w:rStyle w:val="CharDivNo"/>
        </w:rPr>
        <w:t>Division 9 </w:t>
      </w:r>
      <w:r>
        <w:t>— </w:t>
      </w:r>
      <w:r>
        <w:rPr>
          <w:rStyle w:val="CharDivText"/>
        </w:rPr>
        <w:t>Independent representation of child’s interests</w:t>
      </w:r>
      <w:bookmarkEnd w:id="441"/>
      <w:bookmarkEnd w:id="442"/>
      <w:bookmarkEnd w:id="443"/>
    </w:p>
    <w:p>
      <w:pPr>
        <w:pStyle w:val="Footnoteheading"/>
      </w:pPr>
      <w:r>
        <w:tab/>
        <w:t>[Heading inserted: No. 35 of 2006 s. 137.]</w:t>
      </w:r>
    </w:p>
    <w:p>
      <w:pPr>
        <w:pStyle w:val="Heading5"/>
      </w:pPr>
      <w:bookmarkStart w:id="444" w:name="_Toc189743310"/>
      <w:r>
        <w:rPr>
          <w:rStyle w:val="CharSectno"/>
        </w:rPr>
        <w:t>164</w:t>
      </w:r>
      <w:r>
        <w:t>.</w:t>
      </w:r>
      <w:r>
        <w:tab/>
        <w:t>Court order for independent representation of child’s interests — FLA s. 68L</w:t>
      </w:r>
      <w:bookmarkEnd w:id="444"/>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Ednotesubsection"/>
      </w:pPr>
      <w:r>
        <w:lastRenderedPageBreak/>
        <w:tab/>
        <w:t>[(4), (5)</w:t>
      </w:r>
      <w:r>
        <w:tab/>
        <w:t>deleted]</w:t>
      </w:r>
    </w:p>
    <w:p>
      <w:pPr>
        <w:pStyle w:val="Footnotesection"/>
      </w:pPr>
      <w:r>
        <w:tab/>
        <w:t>[Section 164 inserted: No. 35 of 2006 s. 137; amended: No. 49 of 2024 s. 52.]</w:t>
      </w:r>
    </w:p>
    <w:p>
      <w:pPr>
        <w:pStyle w:val="Heading5"/>
      </w:pPr>
      <w:bookmarkStart w:id="445" w:name="_Toc189743311"/>
      <w:r>
        <w:rPr>
          <w:rStyle w:val="CharSectno"/>
        </w:rPr>
        <w:t>165</w:t>
      </w:r>
      <w:r>
        <w:t>.</w:t>
      </w:r>
      <w:r>
        <w:tab/>
        <w:t>Role of independent children’s lawyer — FLA s. 68LA</w:t>
      </w:r>
      <w:bookmarkEnd w:id="445"/>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lastRenderedPageBreak/>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(5A)</w:t>
      </w:r>
      <w:r>
        <w:tab/>
        <w:t>Subject to subsection (5C), the independent children’s lawyer must perform the following duties (not necessarily at the same time) —</w:t>
      </w:r>
    </w:p>
    <w:p>
      <w:pPr>
        <w:pStyle w:val="Indenta"/>
      </w:pPr>
      <w:r>
        <w:tab/>
        <w:t>(a)</w:t>
      </w:r>
      <w:r>
        <w:tab/>
        <w:t>meet with the child;</w:t>
      </w:r>
    </w:p>
    <w:p>
      <w:pPr>
        <w:pStyle w:val="Indenta"/>
      </w:pPr>
      <w:r>
        <w:tab/>
        <w:t>(b)</w:t>
      </w:r>
      <w:r>
        <w:tab/>
        <w:t>provide the child with an opportunity to express any views in relation to the matters to which the proceedings relate.</w:t>
      </w:r>
    </w:p>
    <w:p>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Indenta"/>
      </w:pPr>
      <w:r>
        <w:tab/>
        <w:t>(a)</w:t>
      </w:r>
      <w:r>
        <w:tab/>
        <w:t>when, how often and how meetings with the child take place;</w:t>
      </w:r>
    </w:p>
    <w:p>
      <w:pPr>
        <w:pStyle w:val="Indenta"/>
      </w:pPr>
      <w:r>
        <w:tab/>
        <w:t>(b)</w:t>
      </w:r>
      <w:r>
        <w:tab/>
        <w:t>when, how often and how the child is provided with an opportunity to express views.</w:t>
      </w:r>
    </w:p>
    <w:p>
      <w:pPr>
        <w:pStyle w:val="Subsection"/>
      </w:pPr>
      <w:r>
        <w:tab/>
        <w:t>(5C)</w:t>
      </w:r>
      <w:r>
        <w:tab/>
        <w:t>The independent children’s lawyer is not required to perform a duty if —</w:t>
      </w:r>
    </w:p>
    <w:p>
      <w:pPr>
        <w:pStyle w:val="Indenta"/>
      </w:pPr>
      <w:r>
        <w:tab/>
        <w:t>(a)</w:t>
      </w:r>
      <w:r>
        <w:tab/>
        <w:t>the child is under 5 years of age; or</w:t>
      </w:r>
    </w:p>
    <w:p>
      <w:pPr>
        <w:pStyle w:val="Indenta"/>
      </w:pPr>
      <w:r>
        <w:lastRenderedPageBreak/>
        <w:tab/>
        <w:t>(b)</w:t>
      </w:r>
      <w:r>
        <w:tab/>
        <w:t>the child does not want to meet with the independent children’s lawyer, or express their views (as the case requires); or</w:t>
      </w:r>
    </w:p>
    <w:p>
      <w:pPr>
        <w:pStyle w:val="Indenta"/>
      </w:pPr>
      <w:r>
        <w:tab/>
        <w:t>(c)</w:t>
      </w:r>
      <w:r>
        <w:tab/>
        <w:t>there are exceptional circumstances that justify not performing the duty.</w:t>
      </w:r>
    </w:p>
    <w:p>
      <w:pPr>
        <w:pStyle w:val="Subsection"/>
      </w:pPr>
      <w:r>
        <w:tab/>
        <w:t>(5D)</w:t>
      </w:r>
      <w:r>
        <w:tab/>
        <w:t>Without limiting subsection (5C)(c), exceptional circumstances for the purposes of that paragraph include that performing the duty would —</w:t>
      </w:r>
    </w:p>
    <w:p>
      <w:pPr>
        <w:pStyle w:val="Indenta"/>
      </w:pPr>
      <w:r>
        <w:tab/>
        <w:t>(a)</w:t>
      </w:r>
      <w:r>
        <w:tab/>
        <w:t>expose the child to a risk of physical or psychological harm that cannot be safely managed; or</w:t>
      </w:r>
    </w:p>
    <w:p>
      <w:pPr>
        <w:pStyle w:val="Indenta"/>
      </w:pPr>
      <w:r>
        <w:tab/>
        <w:t>(b)</w:t>
      </w:r>
      <w:r>
        <w:tab/>
        <w:t>have a significant adverse effect on the wellbeing of the child.</w:t>
      </w:r>
    </w:p>
    <w:p>
      <w:pPr>
        <w:pStyle w:val="Subsection"/>
      </w:pPr>
      <w:r>
        <w:tab/>
        <w:t>(5E)</w:t>
      </w:r>
      <w:r>
        <w:tab/>
        <w:t>If the independent children’s lawyer proposes not to perform a duty because of subsection (5C)(c), the court must do the following before making final orders —</w:t>
      </w:r>
    </w:p>
    <w:p>
      <w:pPr>
        <w:pStyle w:val="Indenta"/>
      </w:pPr>
      <w:r>
        <w:tab/>
        <w:t>(a)</w:t>
      </w:r>
      <w:r>
        <w:tab/>
        <w:t>determine whether it is satisfied that exceptional circumstances exist that justify not performing the duty;</w:t>
      </w:r>
    </w:p>
    <w:p>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lastRenderedPageBreak/>
        <w:tab/>
        <w:t>(8)</w:t>
      </w:r>
      <w:r>
        <w:tab/>
        <w:t>Subsection (7) applies even if the disclosure is made against the wishes of the child.</w:t>
      </w:r>
    </w:p>
    <w:p>
      <w:pPr>
        <w:pStyle w:val="Footnotesection"/>
      </w:pPr>
      <w:r>
        <w:tab/>
        <w:t>[Section 165 inserted: No. 35 of 2006 s. 137; amended: No. 49 of 2024 s. 53.]</w:t>
      </w:r>
    </w:p>
    <w:p>
      <w:pPr>
        <w:pStyle w:val="Heading5"/>
      </w:pPr>
      <w:bookmarkStart w:id="446" w:name="_Toc189743312"/>
      <w:r>
        <w:rPr>
          <w:rStyle w:val="CharSectno"/>
        </w:rPr>
        <w:t>166</w:t>
      </w:r>
      <w:r>
        <w:t>.</w:t>
      </w:r>
      <w:r>
        <w:tab/>
        <w:t>Order that child be made available for examination — FLA s. 68M</w:t>
      </w:r>
      <w:bookmarkEnd w:id="44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47" w:name="_Toc189558485"/>
      <w:bookmarkStart w:id="448" w:name="_Toc189654008"/>
      <w:bookmarkStart w:id="449" w:name="_Toc189743313"/>
      <w:r>
        <w:rPr>
          <w:rStyle w:val="CharDivNo"/>
        </w:rPr>
        <w:lastRenderedPageBreak/>
        <w:t>Division 10</w:t>
      </w:r>
      <w:r>
        <w:t> — </w:t>
      </w:r>
      <w:r>
        <w:rPr>
          <w:rStyle w:val="CharDivText"/>
        </w:rPr>
        <w:t>Family violence</w:t>
      </w:r>
      <w:bookmarkEnd w:id="447"/>
      <w:bookmarkEnd w:id="448"/>
      <w:bookmarkEnd w:id="449"/>
    </w:p>
    <w:p>
      <w:pPr>
        <w:pStyle w:val="Footnoteheading"/>
        <w:keepNext/>
      </w:pPr>
      <w:r>
        <w:tab/>
        <w:t>[Heading inserted: No. 35 of 2006 s. 142(1).]</w:t>
      </w:r>
    </w:p>
    <w:p>
      <w:pPr>
        <w:pStyle w:val="Heading5"/>
      </w:pPr>
      <w:bookmarkStart w:id="450" w:name="_Toc189743314"/>
      <w:r>
        <w:rPr>
          <w:rStyle w:val="CharSectno"/>
        </w:rPr>
        <w:t>173</w:t>
      </w:r>
      <w:r>
        <w:t>.</w:t>
      </w:r>
      <w:r>
        <w:tab/>
        <w:t>Purposes of this Division — FLA s. 68N</w:t>
      </w:r>
      <w:bookmarkEnd w:id="450"/>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in section 66.</w:t>
      </w:r>
    </w:p>
    <w:p>
      <w:pPr>
        <w:pStyle w:val="Footnotesection"/>
      </w:pPr>
      <w:r>
        <w:tab/>
        <w:t>[Section 173 inserted: No. 35 of 2006 s. 142(1); amended: No. 49 of 2024 s. 54.]</w:t>
      </w:r>
    </w:p>
    <w:p>
      <w:pPr>
        <w:pStyle w:val="Heading5"/>
      </w:pPr>
      <w:bookmarkStart w:id="451" w:name="_Toc189743315"/>
      <w:r>
        <w:rPr>
          <w:rStyle w:val="CharSectno"/>
        </w:rPr>
        <w:t>174</w:t>
      </w:r>
      <w:r>
        <w:t>.</w:t>
      </w:r>
      <w:r>
        <w:tab/>
        <w:t>Obligations of court making an order or granting an injunction under this Act that is inconsistent with an existing family violence order — FLA s. 68P</w:t>
      </w:r>
      <w:bookmarkEnd w:id="451"/>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lastRenderedPageBreak/>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lastRenderedPageBreak/>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(2A)</w:t>
      </w:r>
      <w:r>
        <w:tab/>
        <w:t xml:space="preserve">Subsection (2)(c)(iii) does not apply to a child if the court is satisfied that it is in the child’s best interests not to receive an explanation of the order or injunction. </w:t>
      </w:r>
    </w:p>
    <w:p>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Subsection"/>
      </w:pPr>
      <w:r>
        <w:tab/>
        <w:t>(4)</w:t>
      </w:r>
      <w:r>
        <w:tab/>
        <w:t>Failure to comply with this section does not affect the validity of the order or injunction.</w:t>
      </w:r>
    </w:p>
    <w:p>
      <w:pPr>
        <w:pStyle w:val="Footnotesection"/>
      </w:pPr>
      <w:r>
        <w:tab/>
        <w:t>[Section 174 inserted: No. 35 of 2006 s. 142(1); amended: No. 49 of 2024 s. 55.]</w:t>
      </w:r>
    </w:p>
    <w:p>
      <w:pPr>
        <w:pStyle w:val="Heading5"/>
      </w:pPr>
      <w:bookmarkStart w:id="452" w:name="_Toc189743316"/>
      <w:r>
        <w:rPr>
          <w:rStyle w:val="CharSectno"/>
        </w:rPr>
        <w:t>175</w:t>
      </w:r>
      <w:r>
        <w:t>.</w:t>
      </w:r>
      <w:r>
        <w:tab/>
        <w:t>Relationship of order or injunction made under this Act with existing inconsistent family violence order — FLA s. 68Q</w:t>
      </w:r>
      <w:bookmarkEnd w:id="452"/>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lastRenderedPageBreak/>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53" w:name="_Toc189743317"/>
      <w:r>
        <w:rPr>
          <w:rStyle w:val="CharSectno"/>
        </w:rPr>
        <w:t>176</w:t>
      </w:r>
      <w:r>
        <w:t>.</w:t>
      </w:r>
      <w:r>
        <w:tab/>
        <w:t>Power of court making family violence order to revive, vary, discharge or suspend an existing order, injunction or arrangement under this Act — FLA s. 68R</w:t>
      </w:r>
      <w:bookmarkEnd w:id="45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lastRenderedPageBreak/>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spending time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lastRenderedPageBreak/>
        <w:tab/>
        <w:t>[Section 176 inserted: No. 35 of 2006 s. 142(1); amended: No. 49 of 2024 s. 56.]</w:t>
      </w:r>
    </w:p>
    <w:p>
      <w:pPr>
        <w:pStyle w:val="Heading5"/>
      </w:pPr>
      <w:bookmarkStart w:id="454" w:name="_Toc189743318"/>
      <w:r>
        <w:rPr>
          <w:rStyle w:val="CharSectno"/>
        </w:rPr>
        <w:t>177</w:t>
      </w:r>
      <w:r>
        <w:t>.</w:t>
      </w:r>
      <w:r>
        <w:tab/>
        <w:t>Application of Act and rules when exercising section 176 power — FLA s. 68S</w:t>
      </w:r>
      <w:bookmarkEnd w:id="45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66C(2)(b);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 amended: No. 49 of 2024 s. 57.]</w:t>
      </w:r>
    </w:p>
    <w:p>
      <w:pPr>
        <w:pStyle w:val="Heading5"/>
      </w:pPr>
      <w:bookmarkStart w:id="455" w:name="_Toc189743319"/>
      <w:r>
        <w:rPr>
          <w:rStyle w:val="CharSectno"/>
        </w:rPr>
        <w:t>178</w:t>
      </w:r>
      <w:r>
        <w:t>.</w:t>
      </w:r>
      <w:r>
        <w:tab/>
        <w:t>Special provisions relating to proceedings to make interim (or interim variation of) family violence order — FLA s. 68T</w:t>
      </w:r>
      <w:bookmarkEnd w:id="455"/>
    </w:p>
    <w:p>
      <w:pPr>
        <w:pStyle w:val="Subsection"/>
      </w:pPr>
      <w:r>
        <w:tab/>
        <w:t>(1)</w:t>
      </w:r>
      <w:r>
        <w:tab/>
        <w:t xml:space="preserve">If, in proceedings to make an interim family violence order or an interim variation of a family violence order, the court </w:t>
      </w:r>
      <w:r>
        <w:lastRenderedPageBreak/>
        <w:t xml:space="preserve">revives, varies or suspends an order, injunction or arrangement under section 176, that revival, variation or suspension ceases to have effect at the earliest of — </w:t>
      </w:r>
    </w:p>
    <w:p>
      <w:pPr>
        <w:pStyle w:val="Indenta"/>
      </w:pPr>
      <w:r>
        <w:tab/>
        <w:t>(a)</w:t>
      </w:r>
      <w:r>
        <w:tab/>
        <w:t>the time the interim order stops being in force; and</w:t>
      </w:r>
    </w:p>
    <w:p>
      <w:pPr>
        <w:pStyle w:val="Indenta"/>
      </w:pPr>
      <w:r>
        <w:tab/>
        <w:t>(b)</w:t>
      </w:r>
      <w:r>
        <w:tab/>
        <w:t xml:space="preserve">the time specified in the interim order as the time at which the revival, variation or suspension ceases to have effect; and </w:t>
      </w:r>
    </w:p>
    <w:p>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Subsection"/>
      </w:pPr>
      <w:r>
        <w:tab/>
        <w:t>(2)</w:t>
      </w:r>
      <w:r>
        <w:tab/>
        <w:t>No appeal lies in relation to the revival, variation or suspension.</w:t>
      </w:r>
    </w:p>
    <w:p>
      <w:pPr>
        <w:pStyle w:val="Footnotesection"/>
      </w:pPr>
      <w:r>
        <w:tab/>
        <w:t>[Section 178 inserted: No. 35 of 2006 s. 142(1); amended: No. 49 of 2024 s. 58.]</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56" w:name="_Toc189558492"/>
      <w:bookmarkStart w:id="457" w:name="_Toc189654015"/>
      <w:bookmarkStart w:id="458" w:name="_Toc189743320"/>
      <w:r>
        <w:rPr>
          <w:rStyle w:val="CharDivNo"/>
        </w:rPr>
        <w:t>Division 11</w:t>
      </w:r>
      <w:r>
        <w:rPr>
          <w:snapToGrid w:val="0"/>
        </w:rPr>
        <w:t> — </w:t>
      </w:r>
      <w:r>
        <w:rPr>
          <w:rStyle w:val="CharDivText"/>
        </w:rPr>
        <w:t>Proceedings, parentage presumptions and evidence and jurisdiction as to child welfare laws</w:t>
      </w:r>
      <w:bookmarkEnd w:id="456"/>
      <w:bookmarkEnd w:id="457"/>
      <w:bookmarkEnd w:id="458"/>
      <w:r>
        <w:rPr>
          <w:rStyle w:val="CharDivText"/>
        </w:rPr>
        <w:t xml:space="preserve"> </w:t>
      </w:r>
    </w:p>
    <w:p>
      <w:pPr>
        <w:pStyle w:val="Heading4"/>
        <w:rPr>
          <w:snapToGrid w:val="0"/>
        </w:rPr>
      </w:pPr>
      <w:bookmarkStart w:id="459" w:name="_Toc189558493"/>
      <w:bookmarkStart w:id="460" w:name="_Toc189654016"/>
      <w:bookmarkStart w:id="461" w:name="_Toc189743321"/>
      <w:r>
        <w:rPr>
          <w:snapToGrid w:val="0"/>
        </w:rPr>
        <w:t>Subdivision 1 — What this Division does</w:t>
      </w:r>
      <w:bookmarkEnd w:id="459"/>
      <w:bookmarkEnd w:id="460"/>
      <w:bookmarkEnd w:id="461"/>
      <w:r>
        <w:rPr>
          <w:snapToGrid w:val="0"/>
        </w:rPr>
        <w:t xml:space="preserve"> </w:t>
      </w:r>
    </w:p>
    <w:p>
      <w:pPr>
        <w:pStyle w:val="Heading5"/>
        <w:spacing w:before="260"/>
        <w:rPr>
          <w:snapToGrid w:val="0"/>
        </w:rPr>
      </w:pPr>
      <w:bookmarkStart w:id="462" w:name="_Toc189743322"/>
      <w:r>
        <w:rPr>
          <w:rStyle w:val="CharSectno"/>
        </w:rPr>
        <w:t>183</w:t>
      </w:r>
      <w:r>
        <w:rPr>
          <w:snapToGrid w:val="0"/>
        </w:rPr>
        <w:t>.</w:t>
      </w:r>
      <w:r>
        <w:rPr>
          <w:snapToGrid w:val="0"/>
        </w:rPr>
        <w:tab/>
        <w:t>What this Division does — FLA s. 69A</w:t>
      </w:r>
      <w:bookmarkEnd w:id="46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63" w:name="_Toc189558495"/>
      <w:bookmarkStart w:id="464" w:name="_Toc189654018"/>
      <w:bookmarkStart w:id="465" w:name="_Toc189743323"/>
      <w:r>
        <w:rPr>
          <w:snapToGrid w:val="0"/>
        </w:rPr>
        <w:lastRenderedPageBreak/>
        <w:t>Subdivision 2 — Institution of proceedings</w:t>
      </w:r>
      <w:bookmarkEnd w:id="463"/>
      <w:bookmarkEnd w:id="464"/>
      <w:bookmarkEnd w:id="465"/>
      <w:r>
        <w:rPr>
          <w:snapToGrid w:val="0"/>
        </w:rPr>
        <w:t xml:space="preserve"> </w:t>
      </w:r>
    </w:p>
    <w:p>
      <w:pPr>
        <w:pStyle w:val="Heading5"/>
        <w:spacing w:before="260"/>
        <w:rPr>
          <w:snapToGrid w:val="0"/>
        </w:rPr>
      </w:pPr>
      <w:bookmarkStart w:id="466" w:name="_Toc189743324"/>
      <w:r>
        <w:rPr>
          <w:rStyle w:val="CharSectno"/>
        </w:rPr>
        <w:t>184</w:t>
      </w:r>
      <w:r>
        <w:rPr>
          <w:snapToGrid w:val="0"/>
        </w:rPr>
        <w:t>.</w:t>
      </w:r>
      <w:r>
        <w:rPr>
          <w:snapToGrid w:val="0"/>
        </w:rPr>
        <w:tab/>
        <w:t>Certain proceedings to be instituted only under this Act — FLA s. 69B</w:t>
      </w:r>
      <w:bookmarkEnd w:id="466"/>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67" w:name="_Toc189743325"/>
      <w:r>
        <w:rPr>
          <w:rStyle w:val="CharSectno"/>
        </w:rPr>
        <w:t>185</w:t>
      </w:r>
      <w:r>
        <w:rPr>
          <w:snapToGrid w:val="0"/>
        </w:rPr>
        <w:t>.</w:t>
      </w:r>
      <w:r>
        <w:rPr>
          <w:snapToGrid w:val="0"/>
        </w:rPr>
        <w:tab/>
        <w:t>Who may institute proceedings — FLA s. 69C</w:t>
      </w:r>
      <w:bookmarkEnd w:id="467"/>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68" w:name="_Toc189743326"/>
      <w:r>
        <w:rPr>
          <w:rStyle w:val="CharSectno"/>
        </w:rPr>
        <w:t>186</w:t>
      </w:r>
      <w:r>
        <w:rPr>
          <w:snapToGrid w:val="0"/>
        </w:rPr>
        <w:t>.</w:t>
      </w:r>
      <w:r>
        <w:rPr>
          <w:snapToGrid w:val="0"/>
        </w:rPr>
        <w:tab/>
        <w:t>Institution of maintenance proceedings by certain persons — FLA s. 69D</w:t>
      </w:r>
      <w:bookmarkEnd w:id="468"/>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lastRenderedPageBreak/>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69" w:name="_Toc189743327"/>
      <w:r>
        <w:rPr>
          <w:rStyle w:val="CharSectno"/>
        </w:rPr>
        <w:t>187</w:t>
      </w:r>
      <w:r>
        <w:rPr>
          <w:snapToGrid w:val="0"/>
        </w:rPr>
        <w:t>.</w:t>
      </w:r>
      <w:r>
        <w:rPr>
          <w:snapToGrid w:val="0"/>
        </w:rPr>
        <w:tab/>
        <w:t>Applicant may be in contempt — FLA s. 69F</w:t>
      </w:r>
      <w:bookmarkEnd w:id="469"/>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70" w:name="_Toc189558500"/>
      <w:bookmarkStart w:id="471" w:name="_Toc189654023"/>
      <w:bookmarkStart w:id="472" w:name="_Toc189743328"/>
      <w:r>
        <w:rPr>
          <w:snapToGrid w:val="0"/>
        </w:rPr>
        <w:t>Subdivision 3 — Presumptions of parentage</w:t>
      </w:r>
      <w:bookmarkEnd w:id="470"/>
      <w:bookmarkEnd w:id="471"/>
      <w:bookmarkEnd w:id="472"/>
      <w:r>
        <w:rPr>
          <w:snapToGrid w:val="0"/>
        </w:rPr>
        <w:t xml:space="preserve"> </w:t>
      </w:r>
    </w:p>
    <w:p>
      <w:pPr>
        <w:pStyle w:val="Heading5"/>
        <w:rPr>
          <w:snapToGrid w:val="0"/>
        </w:rPr>
      </w:pPr>
      <w:bookmarkStart w:id="473" w:name="_Toc189743329"/>
      <w:r>
        <w:rPr>
          <w:rStyle w:val="CharSectno"/>
        </w:rPr>
        <w:t>188</w:t>
      </w:r>
      <w:r>
        <w:rPr>
          <w:snapToGrid w:val="0"/>
        </w:rPr>
        <w:t>.</w:t>
      </w:r>
      <w:r>
        <w:rPr>
          <w:snapToGrid w:val="0"/>
        </w:rPr>
        <w:tab/>
        <w:t>Presumptions of parentage arising from marriage — FLA s. 69P</w:t>
      </w:r>
      <w:bookmarkEnd w:id="47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lastRenderedPageBreak/>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pPr>
      <w:r>
        <w:tab/>
        <w:t>[Section 188 amended: No. 49 of 2024 s. 59.]</w:t>
      </w:r>
    </w:p>
    <w:p>
      <w:pPr>
        <w:pStyle w:val="Heading5"/>
        <w:rPr>
          <w:snapToGrid w:val="0"/>
        </w:rPr>
      </w:pPr>
      <w:bookmarkStart w:id="474" w:name="_Toc189743330"/>
      <w:r>
        <w:rPr>
          <w:rStyle w:val="CharSectno"/>
        </w:rPr>
        <w:t>189</w:t>
      </w:r>
      <w:r>
        <w:rPr>
          <w:snapToGrid w:val="0"/>
        </w:rPr>
        <w:t>.</w:t>
      </w:r>
      <w:r>
        <w:rPr>
          <w:snapToGrid w:val="0"/>
        </w:rPr>
        <w:tab/>
        <w:t>Presumption of paternity arising from cohabitation — FLA s. 69Q</w:t>
      </w:r>
      <w:bookmarkEnd w:id="474"/>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75" w:name="_Toc189743331"/>
      <w:r>
        <w:rPr>
          <w:rStyle w:val="CharSectno"/>
        </w:rPr>
        <w:t>190</w:t>
      </w:r>
      <w:r>
        <w:rPr>
          <w:snapToGrid w:val="0"/>
        </w:rPr>
        <w:t>.</w:t>
      </w:r>
      <w:r>
        <w:rPr>
          <w:snapToGrid w:val="0"/>
        </w:rPr>
        <w:tab/>
        <w:t>Presumption of parentage arising from registration of birth — FLA s. 69R</w:t>
      </w:r>
      <w:bookmarkEnd w:id="47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76" w:name="_Toc189743332"/>
      <w:r>
        <w:rPr>
          <w:rStyle w:val="CharSectno"/>
        </w:rPr>
        <w:t>191</w:t>
      </w:r>
      <w:r>
        <w:rPr>
          <w:snapToGrid w:val="0"/>
        </w:rPr>
        <w:t>.</w:t>
      </w:r>
      <w:r>
        <w:rPr>
          <w:snapToGrid w:val="0"/>
        </w:rPr>
        <w:tab/>
        <w:t>Presumptions of parentage arising from findings of courts — FLA s. 69S</w:t>
      </w:r>
      <w:bookmarkEnd w:id="476"/>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lastRenderedPageBreak/>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77" w:name="_Toc189743333"/>
      <w:r>
        <w:rPr>
          <w:rStyle w:val="CharSectno"/>
        </w:rPr>
        <w:t>192</w:t>
      </w:r>
      <w:r>
        <w:rPr>
          <w:snapToGrid w:val="0"/>
        </w:rPr>
        <w:t>.</w:t>
      </w:r>
      <w:r>
        <w:rPr>
          <w:snapToGrid w:val="0"/>
        </w:rPr>
        <w:tab/>
        <w:t>Presumption of paternity arising from acknowledgments — FLA s. 69T</w:t>
      </w:r>
      <w:bookmarkEnd w:id="47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478" w:name="_Toc189743334"/>
      <w:r>
        <w:rPr>
          <w:rStyle w:val="CharSectno"/>
        </w:rPr>
        <w:lastRenderedPageBreak/>
        <w:t>193</w:t>
      </w:r>
      <w:r>
        <w:rPr>
          <w:snapToGrid w:val="0"/>
        </w:rPr>
        <w:t>.</w:t>
      </w:r>
      <w:r>
        <w:rPr>
          <w:snapToGrid w:val="0"/>
        </w:rPr>
        <w:tab/>
        <w:t>Rebuttal of presumptions etc. — FLA s. 69U</w:t>
      </w:r>
      <w:bookmarkEnd w:id="478"/>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79" w:name="_Toc189558507"/>
      <w:bookmarkStart w:id="480" w:name="_Toc189654030"/>
      <w:bookmarkStart w:id="481" w:name="_Toc189743335"/>
      <w:r>
        <w:rPr>
          <w:snapToGrid w:val="0"/>
        </w:rPr>
        <w:t>Subdivision 4 — Parentage evidence</w:t>
      </w:r>
      <w:bookmarkEnd w:id="479"/>
      <w:bookmarkEnd w:id="480"/>
      <w:bookmarkEnd w:id="481"/>
      <w:r>
        <w:rPr>
          <w:snapToGrid w:val="0"/>
        </w:rPr>
        <w:t xml:space="preserve"> </w:t>
      </w:r>
    </w:p>
    <w:p>
      <w:pPr>
        <w:pStyle w:val="Heading5"/>
        <w:rPr>
          <w:snapToGrid w:val="0"/>
        </w:rPr>
      </w:pPr>
      <w:bookmarkStart w:id="482" w:name="_Toc189743336"/>
      <w:r>
        <w:rPr>
          <w:rStyle w:val="CharSectno"/>
        </w:rPr>
        <w:t>194</w:t>
      </w:r>
      <w:r>
        <w:rPr>
          <w:snapToGrid w:val="0"/>
        </w:rPr>
        <w:t>.</w:t>
      </w:r>
      <w:r>
        <w:rPr>
          <w:snapToGrid w:val="0"/>
        </w:rPr>
        <w:tab/>
        <w:t>Evidence of parentage — FLA s. 69V</w:t>
      </w:r>
      <w:bookmarkEnd w:id="48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pPr>
      <w:bookmarkStart w:id="483" w:name="_Toc184390165"/>
      <w:bookmarkStart w:id="484" w:name="_Toc189743337"/>
      <w:r>
        <w:rPr>
          <w:rStyle w:val="CharSectno"/>
        </w:rPr>
        <w:t>194A</w:t>
      </w:r>
      <w:r>
        <w:t>.</w:t>
      </w:r>
      <w:r>
        <w:tab/>
        <w:t>Declarations of parentage — FLA s. 69VA</w:t>
      </w:r>
      <w:bookmarkEnd w:id="483"/>
      <w:bookmarkEnd w:id="484"/>
    </w:p>
    <w:p>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Footnotesection"/>
        <w:rPr>
          <w:snapToGrid/>
        </w:rPr>
      </w:pPr>
      <w:r>
        <w:tab/>
        <w:t>[Section 194A inserted: No. 49 of 2024 s. 60.]</w:t>
      </w:r>
    </w:p>
    <w:p>
      <w:pPr>
        <w:pStyle w:val="Heading5"/>
        <w:rPr>
          <w:snapToGrid w:val="0"/>
        </w:rPr>
      </w:pPr>
      <w:bookmarkStart w:id="485" w:name="_Toc189743338"/>
      <w:r>
        <w:rPr>
          <w:rStyle w:val="CharSectno"/>
        </w:rPr>
        <w:t>195</w:t>
      </w:r>
      <w:r>
        <w:rPr>
          <w:snapToGrid w:val="0"/>
        </w:rPr>
        <w:t>.</w:t>
      </w:r>
      <w:r>
        <w:rPr>
          <w:snapToGrid w:val="0"/>
        </w:rPr>
        <w:tab/>
        <w:t>Orders for conducting parentage testing procedures — FLA s. 69W</w:t>
      </w:r>
      <w:bookmarkEnd w:id="485"/>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w:t>
      </w:r>
      <w:r>
        <w:rPr>
          <w:snapToGrid w:val="0"/>
        </w:rPr>
        <w:lastRenderedPageBreak/>
        <w:t xml:space="preserve">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86" w:name="_Toc189743339"/>
      <w:r>
        <w:rPr>
          <w:rStyle w:val="CharSectno"/>
        </w:rPr>
        <w:t>196</w:t>
      </w:r>
      <w:r>
        <w:rPr>
          <w:snapToGrid w:val="0"/>
        </w:rPr>
        <w:t>.</w:t>
      </w:r>
      <w:r>
        <w:rPr>
          <w:snapToGrid w:val="0"/>
        </w:rPr>
        <w:tab/>
        <w:t>Orders associated with parentage testing orders — FLA s. 69X</w:t>
      </w:r>
      <w:bookmarkEnd w:id="486"/>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lastRenderedPageBreak/>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87" w:name="_Toc189743340"/>
      <w:r>
        <w:rPr>
          <w:rStyle w:val="CharSectno"/>
        </w:rPr>
        <w:t>197</w:t>
      </w:r>
      <w:r>
        <w:rPr>
          <w:snapToGrid w:val="0"/>
        </w:rPr>
        <w:t>.</w:t>
      </w:r>
      <w:r>
        <w:rPr>
          <w:snapToGrid w:val="0"/>
        </w:rPr>
        <w:tab/>
        <w:t>Orders directed to persons 18 or over — FLA s. 69Y</w:t>
      </w:r>
      <w:bookmarkEnd w:id="487"/>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88" w:name="_Toc189743341"/>
      <w:r>
        <w:rPr>
          <w:rStyle w:val="CharSectno"/>
        </w:rPr>
        <w:lastRenderedPageBreak/>
        <w:t>198</w:t>
      </w:r>
      <w:r>
        <w:rPr>
          <w:snapToGrid w:val="0"/>
        </w:rPr>
        <w:t>.</w:t>
      </w:r>
      <w:r>
        <w:rPr>
          <w:snapToGrid w:val="0"/>
        </w:rPr>
        <w:tab/>
        <w:t>Orders directed to children under 18 — FLA s. 69Z</w:t>
      </w:r>
      <w:bookmarkEnd w:id="48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89" w:name="_Toc189743342"/>
      <w:r>
        <w:rPr>
          <w:rStyle w:val="CharSectno"/>
        </w:rPr>
        <w:t>199</w:t>
      </w:r>
      <w:r>
        <w:rPr>
          <w:snapToGrid w:val="0"/>
        </w:rPr>
        <w:t>.</w:t>
      </w:r>
      <w:r>
        <w:rPr>
          <w:snapToGrid w:val="0"/>
        </w:rPr>
        <w:tab/>
        <w:t>No liability if parent etc. consents — FLA s. 69ZA</w:t>
      </w:r>
      <w:bookmarkEnd w:id="48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90" w:name="_Toc189743343"/>
      <w:r>
        <w:rPr>
          <w:rStyle w:val="CharSectno"/>
        </w:rPr>
        <w:lastRenderedPageBreak/>
        <w:t>200</w:t>
      </w:r>
      <w:r>
        <w:rPr>
          <w:snapToGrid w:val="0"/>
        </w:rPr>
        <w:t>.</w:t>
      </w:r>
      <w:r>
        <w:rPr>
          <w:snapToGrid w:val="0"/>
        </w:rPr>
        <w:tab/>
        <w:t>Regulations about conducting, and reporting on, parentage testing procedures — FLA s. 69ZB</w:t>
      </w:r>
      <w:bookmarkEnd w:id="490"/>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91" w:name="_Toc189743344"/>
      <w:r>
        <w:rPr>
          <w:rStyle w:val="CharSectno"/>
        </w:rPr>
        <w:t>201</w:t>
      </w:r>
      <w:r>
        <w:rPr>
          <w:snapToGrid w:val="0"/>
        </w:rPr>
        <w:t>.</w:t>
      </w:r>
      <w:r>
        <w:rPr>
          <w:snapToGrid w:val="0"/>
        </w:rPr>
        <w:tab/>
        <w:t>Reports of information obtained may be received in evidence — FLA s. 69ZC</w:t>
      </w:r>
      <w:bookmarkEnd w:id="49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92" w:name="_Toc189558516"/>
      <w:bookmarkStart w:id="493" w:name="_Toc189654040"/>
      <w:bookmarkStart w:id="494" w:name="_Toc189743345"/>
      <w:r>
        <w:rPr>
          <w:snapToGrid w:val="0"/>
        </w:rPr>
        <w:lastRenderedPageBreak/>
        <w:t>Subdivision 5 — Child welfare laws not affected</w:t>
      </w:r>
      <w:bookmarkEnd w:id="492"/>
      <w:bookmarkEnd w:id="493"/>
      <w:bookmarkEnd w:id="494"/>
      <w:r>
        <w:rPr>
          <w:snapToGrid w:val="0"/>
        </w:rPr>
        <w:t xml:space="preserve"> </w:t>
      </w:r>
    </w:p>
    <w:p>
      <w:pPr>
        <w:pStyle w:val="Heading5"/>
        <w:rPr>
          <w:snapToGrid w:val="0"/>
        </w:rPr>
      </w:pPr>
      <w:bookmarkStart w:id="495" w:name="_Toc189743346"/>
      <w:r>
        <w:rPr>
          <w:rStyle w:val="CharSectno"/>
        </w:rPr>
        <w:t>202</w:t>
      </w:r>
      <w:r>
        <w:rPr>
          <w:snapToGrid w:val="0"/>
        </w:rPr>
        <w:t>.</w:t>
      </w:r>
      <w:r>
        <w:rPr>
          <w:snapToGrid w:val="0"/>
        </w:rPr>
        <w:tab/>
        <w:t>Child welfare laws not affected — FLA s. 69ZK</w:t>
      </w:r>
      <w:bookmarkEnd w:id="49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pPr>
      <w:bookmarkStart w:id="496" w:name="_Toc184389757"/>
      <w:bookmarkStart w:id="497" w:name="_Toc184389962"/>
      <w:bookmarkStart w:id="498" w:name="_Toc184390167"/>
      <w:bookmarkStart w:id="499" w:name="_Toc189654042"/>
      <w:bookmarkStart w:id="500" w:name="_Toc189743347"/>
      <w:r>
        <w:lastRenderedPageBreak/>
        <w:t>Subdivision 6 — Short form reasons for decisions relating to interim parenting orders</w:t>
      </w:r>
      <w:bookmarkEnd w:id="496"/>
      <w:bookmarkEnd w:id="497"/>
      <w:bookmarkEnd w:id="498"/>
      <w:bookmarkEnd w:id="499"/>
      <w:bookmarkEnd w:id="500"/>
    </w:p>
    <w:p>
      <w:pPr>
        <w:pStyle w:val="Footnoteheading"/>
        <w:keepNext/>
      </w:pPr>
      <w:r>
        <w:tab/>
        <w:t>[Heading inserted: No. 49 of 2024 s. 61.]</w:t>
      </w:r>
    </w:p>
    <w:p>
      <w:pPr>
        <w:pStyle w:val="Heading5"/>
      </w:pPr>
      <w:bookmarkStart w:id="501" w:name="_Toc184390168"/>
      <w:bookmarkStart w:id="502" w:name="_Toc189743348"/>
      <w:r>
        <w:rPr>
          <w:rStyle w:val="CharSectno"/>
        </w:rPr>
        <w:t>202AA</w:t>
      </w:r>
      <w:r>
        <w:t>.</w:t>
      </w:r>
      <w:r>
        <w:tab/>
        <w:t>Short form reasons for decisions relating to interim parenting orders — FLA s. 69ZL</w:t>
      </w:r>
      <w:bookmarkEnd w:id="501"/>
      <w:bookmarkEnd w:id="502"/>
    </w:p>
    <w:p>
      <w:pPr>
        <w:pStyle w:val="Subsection"/>
      </w:pPr>
      <w:r>
        <w:tab/>
        <w:t>(1)</w:t>
      </w:r>
      <w:r>
        <w:tab/>
        <w:t>A court may give reasons in short form for a decision it makes in relation to an interim parenting order.</w:t>
      </w:r>
    </w:p>
    <w:p>
      <w:pPr>
        <w:pStyle w:val="Subsection"/>
      </w:pPr>
      <w:r>
        <w:tab/>
        <w:t>(2)</w:t>
      </w:r>
      <w:r>
        <w:tab/>
        <w:t>Subsection (1) does not otherwise affect the obligation of a court to give reasons for a decision it makes in relation to any matter arising under this Act.</w:t>
      </w:r>
    </w:p>
    <w:p>
      <w:pPr>
        <w:pStyle w:val="Footnotesection"/>
        <w:rPr>
          <w:snapToGrid/>
        </w:rPr>
      </w:pPr>
      <w:r>
        <w:tab/>
        <w:t>[Section 202AA inserted: No. 49 of 2024 s. 61.]</w:t>
      </w:r>
    </w:p>
    <w:p>
      <w:pPr>
        <w:pStyle w:val="Heading3"/>
        <w:keepLines/>
      </w:pPr>
      <w:bookmarkStart w:id="503" w:name="_Toc189558518"/>
      <w:bookmarkStart w:id="504" w:name="_Toc189654044"/>
      <w:bookmarkStart w:id="505" w:name="_Toc189743349"/>
      <w:r>
        <w:rPr>
          <w:rStyle w:val="CharDivNo"/>
        </w:rPr>
        <w:t>Division 11A</w:t>
      </w:r>
      <w:r>
        <w:t> — </w:t>
      </w:r>
      <w:r>
        <w:rPr>
          <w:rStyle w:val="CharDivText"/>
        </w:rPr>
        <w:t>Principles for conducting child</w:t>
      </w:r>
      <w:r>
        <w:rPr>
          <w:rStyle w:val="CharDivText"/>
        </w:rPr>
        <w:noBreakHyphen/>
        <w:t>related proceedings</w:t>
      </w:r>
      <w:bookmarkEnd w:id="503"/>
      <w:bookmarkEnd w:id="504"/>
      <w:bookmarkEnd w:id="505"/>
    </w:p>
    <w:p>
      <w:pPr>
        <w:pStyle w:val="Footnoteheading"/>
        <w:keepNext/>
        <w:keepLines/>
      </w:pPr>
      <w:r>
        <w:tab/>
        <w:t>[Heading inserted: No. 35 of 2006 s. 105.]</w:t>
      </w:r>
    </w:p>
    <w:p>
      <w:pPr>
        <w:pStyle w:val="Heading4"/>
      </w:pPr>
      <w:bookmarkStart w:id="506" w:name="_Toc189558519"/>
      <w:bookmarkStart w:id="507" w:name="_Toc189654045"/>
      <w:bookmarkStart w:id="508" w:name="_Toc189743350"/>
      <w:r>
        <w:t>Subdivision 1 — Proceedings to which this Division applies</w:t>
      </w:r>
      <w:bookmarkEnd w:id="506"/>
      <w:bookmarkEnd w:id="507"/>
      <w:bookmarkEnd w:id="508"/>
    </w:p>
    <w:p>
      <w:pPr>
        <w:pStyle w:val="Footnoteheading"/>
      </w:pPr>
      <w:r>
        <w:tab/>
        <w:t>[Heading inserted: No. 35 of 2006 s. 105.]</w:t>
      </w:r>
    </w:p>
    <w:p>
      <w:pPr>
        <w:pStyle w:val="Heading5"/>
      </w:pPr>
      <w:bookmarkStart w:id="509" w:name="_Toc189743351"/>
      <w:r>
        <w:rPr>
          <w:rStyle w:val="CharSectno"/>
        </w:rPr>
        <w:t>202A</w:t>
      </w:r>
      <w:r>
        <w:t>.</w:t>
      </w:r>
      <w:r>
        <w:tab/>
        <w:t>Proceedings to which this Division applies — FLA s. 69ZM</w:t>
      </w:r>
      <w:bookmarkEnd w:id="509"/>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lastRenderedPageBreak/>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510" w:name="_Toc189558521"/>
      <w:bookmarkStart w:id="511" w:name="_Toc189654047"/>
      <w:bookmarkStart w:id="512" w:name="_Toc189743352"/>
      <w:r>
        <w:t>Subdivision 2 — Principles for conducting child</w:t>
      </w:r>
      <w:r>
        <w:noBreakHyphen/>
        <w:t>related proceedings</w:t>
      </w:r>
      <w:bookmarkEnd w:id="510"/>
      <w:bookmarkEnd w:id="511"/>
      <w:bookmarkEnd w:id="512"/>
    </w:p>
    <w:p>
      <w:pPr>
        <w:pStyle w:val="Footnoteheading"/>
        <w:keepNext/>
        <w:keepLines/>
      </w:pPr>
      <w:r>
        <w:tab/>
        <w:t>[Heading inserted: No. 35 of 2006 s. 105.]</w:t>
      </w:r>
    </w:p>
    <w:p>
      <w:pPr>
        <w:pStyle w:val="Heading5"/>
      </w:pPr>
      <w:bookmarkStart w:id="513" w:name="_Toc189743353"/>
      <w:r>
        <w:rPr>
          <w:rStyle w:val="CharSectno"/>
        </w:rPr>
        <w:t>202B</w:t>
      </w:r>
      <w:r>
        <w:t>.</w:t>
      </w:r>
      <w:r>
        <w:tab/>
        <w:t>Principles for conducting child</w:t>
      </w:r>
      <w:r>
        <w:noBreakHyphen/>
        <w:t>related proceedings — FLA s. 69ZN</w:t>
      </w:r>
      <w:bookmarkEnd w:id="513"/>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lastRenderedPageBreak/>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514" w:name="_Toc189743354"/>
      <w:r>
        <w:rPr>
          <w:rStyle w:val="CharSectno"/>
        </w:rPr>
        <w:t>202C</w:t>
      </w:r>
      <w:r>
        <w:t>.</w:t>
      </w:r>
      <w:r>
        <w:tab/>
        <w:t>This Division also applies to proceedings in Chambers — FLA s. 69ZO</w:t>
      </w:r>
      <w:bookmarkEnd w:id="514"/>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515" w:name="_Toc189743355"/>
      <w:r>
        <w:rPr>
          <w:rStyle w:val="CharSectno"/>
        </w:rPr>
        <w:t>202D</w:t>
      </w:r>
      <w:r>
        <w:t>.</w:t>
      </w:r>
      <w:r>
        <w:tab/>
        <w:t>Powers under this Division may be exercised on court’s own initiative — FLA s. 69ZP</w:t>
      </w:r>
      <w:bookmarkEnd w:id="515"/>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516" w:name="_Toc189558525"/>
      <w:bookmarkStart w:id="517" w:name="_Toc189654051"/>
      <w:bookmarkStart w:id="518" w:name="_Toc189743356"/>
      <w:r>
        <w:lastRenderedPageBreak/>
        <w:t>Subdivision 3 — Duties and powers related to giving effect to the principles</w:t>
      </w:r>
      <w:bookmarkEnd w:id="516"/>
      <w:bookmarkEnd w:id="517"/>
      <w:bookmarkEnd w:id="518"/>
    </w:p>
    <w:p>
      <w:pPr>
        <w:pStyle w:val="Footnoteheading"/>
        <w:keepNext/>
      </w:pPr>
      <w:r>
        <w:tab/>
        <w:t>[Heading inserted: No. 35 of 2006 s. 105.]</w:t>
      </w:r>
    </w:p>
    <w:p>
      <w:pPr>
        <w:pStyle w:val="Heading5"/>
      </w:pPr>
      <w:bookmarkStart w:id="519" w:name="_Toc189743357"/>
      <w:r>
        <w:rPr>
          <w:rStyle w:val="CharSectno"/>
        </w:rPr>
        <w:t>202E</w:t>
      </w:r>
      <w:r>
        <w:t>.</w:t>
      </w:r>
      <w:r>
        <w:tab/>
        <w:t>General duties — FLA s. 69ZQ</w:t>
      </w:r>
      <w:bookmarkEnd w:id="519"/>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lastRenderedPageBreak/>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520" w:name="_Toc189743358"/>
      <w:r>
        <w:rPr>
          <w:rStyle w:val="CharSectno"/>
        </w:rPr>
        <w:t>202F</w:t>
      </w:r>
      <w:r>
        <w:t>.</w:t>
      </w:r>
      <w:r>
        <w:tab/>
        <w:t>Power to make determinations, findings and orders at any stage of proceedings — FLA s. 69ZR</w:t>
      </w:r>
      <w:bookmarkEnd w:id="520"/>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521" w:name="_Toc189743359"/>
      <w:r>
        <w:rPr>
          <w:rStyle w:val="CharSectno"/>
        </w:rPr>
        <w:t>202G</w:t>
      </w:r>
      <w:r>
        <w:t>.</w:t>
      </w:r>
      <w:r>
        <w:tab/>
        <w:t>Use of family consultants — FLA s. 69ZS</w:t>
      </w:r>
      <w:bookmarkEnd w:id="52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lastRenderedPageBreak/>
        <w:tab/>
        <w:t>[Section 202G inserted: No. 35 of 2006 s. 105.]</w:t>
      </w:r>
    </w:p>
    <w:p>
      <w:pPr>
        <w:pStyle w:val="Heading4"/>
      </w:pPr>
      <w:bookmarkStart w:id="522" w:name="_Toc189558529"/>
      <w:bookmarkStart w:id="523" w:name="_Toc189654055"/>
      <w:bookmarkStart w:id="524" w:name="_Toc189743360"/>
      <w:r>
        <w:t>Subdivision 4 — Matters relating to evidence</w:t>
      </w:r>
      <w:bookmarkEnd w:id="522"/>
      <w:bookmarkEnd w:id="523"/>
      <w:bookmarkEnd w:id="524"/>
    </w:p>
    <w:p>
      <w:pPr>
        <w:pStyle w:val="Footnoteheading"/>
      </w:pPr>
      <w:r>
        <w:tab/>
        <w:t>[Heading inserted: No. 35 of 2006 s. 105.]</w:t>
      </w:r>
    </w:p>
    <w:p>
      <w:pPr>
        <w:pStyle w:val="Heading5"/>
      </w:pPr>
      <w:bookmarkStart w:id="525" w:name="_Toc189743361"/>
      <w:r>
        <w:rPr>
          <w:rStyle w:val="CharSectno"/>
        </w:rPr>
        <w:t>202H</w:t>
      </w:r>
      <w:r>
        <w:t>.</w:t>
      </w:r>
      <w:r>
        <w:tab/>
        <w:t>Rules of evidence not to apply unless court decides — FLA s. 69ZT</w:t>
      </w:r>
      <w:bookmarkEnd w:id="525"/>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lastRenderedPageBreak/>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526" w:name="_Toc189743362"/>
      <w:r>
        <w:rPr>
          <w:rStyle w:val="CharSectno"/>
        </w:rPr>
        <w:t>202J</w:t>
      </w:r>
      <w:r>
        <w:t>.</w:t>
      </w:r>
      <w:r>
        <w:tab/>
        <w:t>Evidence of children — FLA s. 69ZV</w:t>
      </w:r>
      <w:bookmarkEnd w:id="526"/>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lastRenderedPageBreak/>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Ednotesection"/>
      </w:pPr>
      <w:r>
        <w:t>[</w:t>
      </w:r>
      <w:r>
        <w:rPr>
          <w:b/>
          <w:bCs/>
        </w:rPr>
        <w:t>202K.</w:t>
      </w:r>
      <w:r>
        <w:tab/>
        <w:t>Deleted: No. 49 of 2024 s. 62.]</w:t>
      </w:r>
    </w:p>
    <w:p>
      <w:pPr>
        <w:pStyle w:val="Heading5"/>
      </w:pPr>
      <w:bookmarkStart w:id="527" w:name="_Toc189743363"/>
      <w:r>
        <w:rPr>
          <w:rStyle w:val="CharSectno"/>
        </w:rPr>
        <w:t>202L</w:t>
      </w:r>
      <w:r>
        <w:t>.</w:t>
      </w:r>
      <w:r>
        <w:tab/>
        <w:t>Court’s general duties and powers relating to evidence — FLA s. 69ZX</w:t>
      </w:r>
      <w:bookmarkEnd w:id="527"/>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lastRenderedPageBreak/>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528" w:name="_Toc189558534"/>
      <w:bookmarkStart w:id="529" w:name="_Toc189654059"/>
      <w:bookmarkStart w:id="530" w:name="_Toc189743364"/>
      <w:r>
        <w:rPr>
          <w:rStyle w:val="CharDivNo"/>
        </w:rPr>
        <w:lastRenderedPageBreak/>
        <w:t>Division 12</w:t>
      </w:r>
      <w:r>
        <w:rPr>
          <w:snapToGrid w:val="0"/>
        </w:rPr>
        <w:t> — </w:t>
      </w:r>
      <w:r>
        <w:rPr>
          <w:rStyle w:val="CharDivText"/>
        </w:rPr>
        <w:t>State and Territory orders relating to children</w:t>
      </w:r>
      <w:bookmarkEnd w:id="528"/>
      <w:bookmarkEnd w:id="529"/>
      <w:bookmarkEnd w:id="530"/>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531" w:name="_Toc189743365"/>
      <w:r>
        <w:rPr>
          <w:rStyle w:val="CharSectno"/>
        </w:rPr>
        <w:t>204</w:t>
      </w:r>
      <w:r>
        <w:rPr>
          <w:snapToGrid w:val="0"/>
        </w:rPr>
        <w:t>.</w:t>
      </w:r>
      <w:r>
        <w:rPr>
          <w:snapToGrid w:val="0"/>
        </w:rPr>
        <w:tab/>
        <w:t>Registration of State child orders — FLA s. 70C and 70D</w:t>
      </w:r>
      <w:bookmarkEnd w:id="53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32" w:name="_Toc189743366"/>
      <w:r>
        <w:rPr>
          <w:rStyle w:val="CharSectno"/>
        </w:rPr>
        <w:t>205</w:t>
      </w:r>
      <w:r>
        <w:rPr>
          <w:snapToGrid w:val="0"/>
        </w:rPr>
        <w:t>.</w:t>
      </w:r>
      <w:r>
        <w:rPr>
          <w:snapToGrid w:val="0"/>
        </w:rPr>
        <w:tab/>
        <w:t>Effect of registration — FLA s. 70E</w:t>
      </w:r>
      <w:bookmarkEnd w:id="53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33" w:name="_Toc184389761"/>
      <w:bookmarkStart w:id="534" w:name="_Toc184389966"/>
      <w:bookmarkStart w:id="535" w:name="_Toc184390171"/>
      <w:bookmarkStart w:id="536" w:name="_Toc189654062"/>
      <w:bookmarkStart w:id="537" w:name="_Toc189743367"/>
      <w:bookmarkStart w:id="538" w:name="_Toc189558537"/>
      <w:r>
        <w:rPr>
          <w:rStyle w:val="CharDivNo"/>
        </w:rPr>
        <w:t>Division 13</w:t>
      </w:r>
      <w:r>
        <w:t> — </w:t>
      </w:r>
      <w:r>
        <w:rPr>
          <w:rStyle w:val="CharDivText"/>
        </w:rPr>
        <w:t>Orders in proceedings relating to contraventions of child</w:t>
      </w:r>
      <w:r>
        <w:rPr>
          <w:rStyle w:val="CharDivText"/>
        </w:rPr>
        <w:noBreakHyphen/>
        <w:t>related orders</w:t>
      </w:r>
      <w:bookmarkEnd w:id="533"/>
      <w:bookmarkEnd w:id="534"/>
      <w:bookmarkEnd w:id="535"/>
      <w:bookmarkEnd w:id="536"/>
      <w:bookmarkEnd w:id="537"/>
    </w:p>
    <w:p>
      <w:pPr>
        <w:pStyle w:val="Footnoteheading"/>
      </w:pPr>
      <w:r>
        <w:tab/>
        <w:t>[Heading inserted: No. 49 of 2024 s. 63.]</w:t>
      </w:r>
    </w:p>
    <w:p>
      <w:pPr>
        <w:pStyle w:val="Heading4"/>
      </w:pPr>
      <w:bookmarkStart w:id="539" w:name="_Toc184389762"/>
      <w:bookmarkStart w:id="540" w:name="_Toc184389967"/>
      <w:bookmarkStart w:id="541" w:name="_Toc184390172"/>
      <w:bookmarkStart w:id="542" w:name="_Toc189654063"/>
      <w:bookmarkStart w:id="543" w:name="_Toc189743368"/>
      <w:r>
        <w:t>Subdivision 1 — Preliminary</w:t>
      </w:r>
      <w:bookmarkEnd w:id="539"/>
      <w:bookmarkEnd w:id="540"/>
      <w:bookmarkEnd w:id="541"/>
      <w:bookmarkEnd w:id="542"/>
      <w:bookmarkEnd w:id="543"/>
    </w:p>
    <w:p>
      <w:pPr>
        <w:pStyle w:val="Footnoteheading"/>
      </w:pPr>
      <w:r>
        <w:tab/>
        <w:t>[Heading inserted: No. 49 of 2024 s. 63.]</w:t>
      </w:r>
    </w:p>
    <w:p>
      <w:pPr>
        <w:pStyle w:val="Heading5"/>
      </w:pPr>
      <w:bookmarkStart w:id="544" w:name="_Toc184390173"/>
      <w:bookmarkStart w:id="545" w:name="_Toc189743369"/>
      <w:r>
        <w:rPr>
          <w:rStyle w:val="CharSectno"/>
        </w:rPr>
        <w:t>205A</w:t>
      </w:r>
      <w:r>
        <w:t>.</w:t>
      </w:r>
      <w:r>
        <w:tab/>
        <w:t>Simplified outline — FLA s. 70NAA</w:t>
      </w:r>
      <w:bookmarkEnd w:id="544"/>
      <w:bookmarkEnd w:id="545"/>
    </w:p>
    <w:p>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Subsection"/>
      </w:pPr>
      <w:r>
        <w:tab/>
        <w:t>(2)</w:t>
      </w:r>
      <w:r>
        <w:tab/>
        <w:t xml:space="preserve">The court may, at any stage of proceedings (and without having to make a finding about the contravention), make any of the following orders — </w:t>
      </w:r>
    </w:p>
    <w:p>
      <w:pPr>
        <w:pStyle w:val="Indenta"/>
      </w:pPr>
      <w:r>
        <w:tab/>
        <w:t>(a)</w:t>
      </w:r>
      <w:r>
        <w:tab/>
        <w:t>a make</w:t>
      </w:r>
      <w:r>
        <w:noBreakHyphen/>
        <w:t>up time parenting order;</w:t>
      </w:r>
    </w:p>
    <w:p>
      <w:pPr>
        <w:pStyle w:val="Indenta"/>
      </w:pPr>
      <w:r>
        <w:tab/>
        <w:t>(b)</w:t>
      </w:r>
      <w:r>
        <w:tab/>
        <w:t>an order varying or suspending a parenting order;</w:t>
      </w:r>
    </w:p>
    <w:p>
      <w:pPr>
        <w:pStyle w:val="Indenta"/>
      </w:pPr>
      <w:r>
        <w:tab/>
        <w:t>(c)</w:t>
      </w:r>
      <w:r>
        <w:tab/>
        <w:t>an order requiring the respondent and any other party to the proceedings to attend a post</w:t>
      </w:r>
      <w:r>
        <w:noBreakHyphen/>
        <w:t>separation parenting program.</w:t>
      </w:r>
    </w:p>
    <w:p>
      <w:pPr>
        <w:pStyle w:val="Subsection"/>
      </w:pPr>
      <w:r>
        <w:lastRenderedPageBreak/>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Indenta"/>
      </w:pPr>
      <w:r>
        <w:tab/>
        <w:t>(a)</w:t>
      </w:r>
      <w:r>
        <w:tab/>
        <w:t>an order requiring the respondent to enter into a bond;</w:t>
      </w:r>
    </w:p>
    <w:p>
      <w:pPr>
        <w:pStyle w:val="Indenta"/>
      </w:pPr>
      <w:r>
        <w:tab/>
        <w:t>(b)</w:t>
      </w:r>
      <w:r>
        <w:tab/>
        <w:t>an order imposing a fine on the respondent for failing to enter into a bond.</w:t>
      </w:r>
    </w:p>
    <w:p>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Indenta"/>
      </w:pPr>
      <w:r>
        <w:tab/>
        <w:t>(a)</w:t>
      </w:r>
      <w:r>
        <w:tab/>
        <w:t>an order imposing a fine on the respondent;</w:t>
      </w:r>
    </w:p>
    <w:p>
      <w:pPr>
        <w:pStyle w:val="Indenta"/>
      </w:pPr>
      <w:r>
        <w:tab/>
        <w:t>(b)</w:t>
      </w:r>
      <w:r>
        <w:tab/>
        <w:t>an order imposing a sentence of imprisonment on the respondent.</w:t>
      </w:r>
    </w:p>
    <w:p>
      <w:pPr>
        <w:pStyle w:val="Subsection"/>
      </w:pPr>
      <w:r>
        <w:tab/>
        <w:t>(5)</w:t>
      </w:r>
      <w:r>
        <w:tab/>
        <w:t>This Division also sets out ancillary matters relating to terms of imprisonment, the enforcement of bonds and other miscellaneous matters.</w:t>
      </w:r>
    </w:p>
    <w:p>
      <w:pPr>
        <w:pStyle w:val="Footnotesection"/>
      </w:pPr>
      <w:r>
        <w:tab/>
        <w:t>[Section 205A inserted: No. 49 of 2024 s. 63.]</w:t>
      </w:r>
    </w:p>
    <w:p>
      <w:pPr>
        <w:pStyle w:val="Heading5"/>
      </w:pPr>
      <w:bookmarkStart w:id="546" w:name="_Toc184390174"/>
      <w:bookmarkStart w:id="547" w:name="_Toc189743370"/>
      <w:r>
        <w:rPr>
          <w:rStyle w:val="CharSectno"/>
        </w:rPr>
        <w:t>205B</w:t>
      </w:r>
      <w:r>
        <w:t>.</w:t>
      </w:r>
      <w:r>
        <w:tab/>
        <w:t>Objects — FLA s. 70NAB</w:t>
      </w:r>
      <w:bookmarkEnd w:id="546"/>
      <w:bookmarkEnd w:id="547"/>
    </w:p>
    <w:p>
      <w:pPr>
        <w:pStyle w:val="Subsection"/>
      </w:pPr>
      <w:r>
        <w:tab/>
      </w:r>
      <w:r>
        <w:tab/>
        <w:t>The principal objects of this Division are to meet the best interests of children to whom child</w:t>
      </w:r>
      <w:r>
        <w:noBreakHyphen/>
        <w:t>related orders relate by —</w:t>
      </w:r>
    </w:p>
    <w:p>
      <w:pPr>
        <w:pStyle w:val="Indenta"/>
      </w:pPr>
      <w:r>
        <w:tab/>
        <w:t>(a)</w:t>
      </w:r>
      <w:r>
        <w:tab/>
        <w:t>supporting compliance with child</w:t>
      </w:r>
      <w:r>
        <w:noBreakHyphen/>
        <w:t>related orders; and</w:t>
      </w:r>
    </w:p>
    <w:p>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Indenta"/>
      </w:pPr>
      <w:r>
        <w:tab/>
        <w:t>(c)</w:t>
      </w:r>
      <w:r>
        <w:tab/>
        <w:t>deterring non</w:t>
      </w:r>
      <w:r>
        <w:noBreakHyphen/>
        <w:t>compliance with child</w:t>
      </w:r>
      <w:r>
        <w:noBreakHyphen/>
        <w:t>related orders; and</w:t>
      </w:r>
    </w:p>
    <w:p>
      <w:pPr>
        <w:pStyle w:val="Indenta"/>
      </w:pPr>
      <w:r>
        <w:tab/>
        <w:t>(d)</w:t>
      </w:r>
      <w:r>
        <w:tab/>
        <w:t>upholding the authority of the court by enforcing compliance with child</w:t>
      </w:r>
      <w:r>
        <w:noBreakHyphen/>
        <w:t>related orders where a court considers this necessary and appropriate; and</w:t>
      </w:r>
    </w:p>
    <w:p>
      <w:pPr>
        <w:pStyle w:val="Indenta"/>
      </w:pPr>
      <w:r>
        <w:lastRenderedPageBreak/>
        <w:tab/>
        <w:t>(e)</w:t>
      </w:r>
      <w:r>
        <w:tab/>
        <w:t>providing for sanctions for a person who contravenes a child</w:t>
      </w:r>
      <w:r>
        <w:noBreakHyphen/>
        <w:t>related order without reasonable excuse.</w:t>
      </w:r>
    </w:p>
    <w:p>
      <w:pPr>
        <w:pStyle w:val="Footnotesection"/>
      </w:pPr>
      <w:r>
        <w:tab/>
        <w:t>[Section 205B inserted: No. 49 of 2024 s. 63.]</w:t>
      </w:r>
    </w:p>
    <w:p>
      <w:pPr>
        <w:pStyle w:val="Heading5"/>
      </w:pPr>
      <w:bookmarkStart w:id="548" w:name="_Toc184390175"/>
      <w:bookmarkStart w:id="549" w:name="_Toc189743371"/>
      <w:r>
        <w:rPr>
          <w:rStyle w:val="CharSectno"/>
        </w:rPr>
        <w:t>205C</w:t>
      </w:r>
      <w:r>
        <w:t>.</w:t>
      </w:r>
      <w:r>
        <w:tab/>
        <w:t xml:space="preserve">Meaning of </w:t>
      </w:r>
      <w:r>
        <w:rPr>
          <w:i/>
          <w:iCs/>
        </w:rPr>
        <w:t>contravene</w:t>
      </w:r>
      <w:r>
        <w:t xml:space="preserve"> a child</w:t>
      </w:r>
      <w:r>
        <w:noBreakHyphen/>
        <w:t>related order — FLA s. 70NAC</w:t>
      </w:r>
      <w:bookmarkEnd w:id="548"/>
      <w:bookmarkEnd w:id="549"/>
    </w:p>
    <w:p>
      <w:pPr>
        <w:pStyle w:val="Subsection"/>
      </w:pPr>
      <w:r>
        <w:tab/>
        <w:t>(1)</w:t>
      </w:r>
      <w:r>
        <w:tab/>
        <w:t xml:space="preserve">A person </w:t>
      </w:r>
      <w:r>
        <w:rPr>
          <w:rStyle w:val="CharDefText"/>
        </w:rPr>
        <w:t>contravenes</w:t>
      </w:r>
      <w:r>
        <w:t xml:space="preserve"> a child</w:t>
      </w:r>
      <w:r>
        <w:noBreakHyphen/>
        <w:t xml:space="preserve">related order only if — </w:t>
      </w:r>
    </w:p>
    <w:p>
      <w:pPr>
        <w:pStyle w:val="Indenta"/>
      </w:pPr>
      <w:r>
        <w:tab/>
        <w:t>(a)</w:t>
      </w:r>
      <w:r>
        <w:tab/>
        <w:t>the person is a person (other than a child) to whom the order applies and —</w:t>
      </w:r>
    </w:p>
    <w:p>
      <w:pPr>
        <w:pStyle w:val="Indenti"/>
      </w:pPr>
      <w:r>
        <w:tab/>
        <w:t>(i)</w:t>
      </w:r>
      <w:r>
        <w:tab/>
        <w:t>the person intentionally fails to comply with the order; or</w:t>
      </w:r>
    </w:p>
    <w:p>
      <w:pPr>
        <w:pStyle w:val="Indenti"/>
      </w:pPr>
      <w:r>
        <w:tab/>
        <w:t>(ii)</w:t>
      </w:r>
      <w:r>
        <w:tab/>
        <w:t>the person makes no reasonable attempt to comply with the order;</w:t>
      </w:r>
    </w:p>
    <w:p>
      <w:pPr>
        <w:pStyle w:val="Indenta"/>
      </w:pPr>
      <w:r>
        <w:tab/>
      </w:r>
      <w:r>
        <w:tab/>
        <w:t>or</w:t>
      </w:r>
    </w:p>
    <w:p>
      <w:pPr>
        <w:pStyle w:val="Indenta"/>
      </w:pPr>
      <w:r>
        <w:tab/>
        <w:t>(b)</w:t>
      </w:r>
      <w:r>
        <w:tab/>
        <w:t>the person is not a person to whom the order applies, and the person is not a child, but —</w:t>
      </w:r>
    </w:p>
    <w:p>
      <w:pPr>
        <w:pStyle w:val="Indenti"/>
      </w:pPr>
      <w:r>
        <w:tab/>
        <w:t>(i)</w:t>
      </w:r>
      <w:r>
        <w:tab/>
        <w:t>the person intentionally prevents compliance with the order by a person to whom the order applies; or</w:t>
      </w:r>
    </w:p>
    <w:p>
      <w:pPr>
        <w:pStyle w:val="Indenti"/>
      </w:pPr>
      <w:r>
        <w:tab/>
        <w:t>(ii)</w:t>
      </w:r>
      <w:r>
        <w:tab/>
        <w:t>the person aids or abets a contravention of the order by a person to whom the order applies.</w:t>
      </w:r>
    </w:p>
    <w:p>
      <w:pPr>
        <w:pStyle w:val="Subsection"/>
      </w:pPr>
      <w:r>
        <w:tab/>
        <w:t>(2)</w:t>
      </w:r>
      <w:r>
        <w:tab/>
        <w:t xml:space="preserve">Without limiting subsection (1), a person </w:t>
      </w:r>
      <w:r>
        <w:rPr>
          <w:rStyle w:val="CharDefText"/>
        </w:rPr>
        <w:t>contravenes</w:t>
      </w:r>
      <w:r>
        <w:t xml:space="preserve"> a child</w:t>
      </w:r>
      <w:r>
        <w:noBreakHyphen/>
        <w:t>related order if —</w:t>
      </w:r>
    </w:p>
    <w:p>
      <w:pPr>
        <w:pStyle w:val="Indenta"/>
      </w:pPr>
      <w:r>
        <w:tab/>
        <w:t>(a)</w:t>
      </w:r>
      <w:r>
        <w:tab/>
        <w:t>the order provides for a matter set out in an item of the Table in column 1; and</w:t>
      </w:r>
    </w:p>
    <w:p>
      <w:pPr>
        <w:pStyle w:val="Indenta"/>
      </w:pPr>
      <w:r>
        <w:tab/>
        <w:t>(b)</w:t>
      </w:r>
      <w:r>
        <w:tab/>
        <w:t>the person intentionally does a thing set out in that item in column 2.</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tc>
        <w:tc>
          <w:tcPr>
            <w:tcW w:w="3544" w:type="dxa"/>
            <w:noWrap/>
          </w:tcPr>
          <w:p>
            <w:pPr>
              <w:pStyle w:val="TableNAm"/>
              <w:jc w:val="center"/>
              <w:rPr>
                <w:b/>
                <w:bCs/>
              </w:rPr>
            </w:pPr>
            <w:r>
              <w:rPr>
                <w:b/>
                <w:bCs/>
              </w:rPr>
              <w:t>Column 2</w:t>
            </w:r>
          </w:p>
        </w:tc>
      </w:tr>
      <w:tr>
        <w:tc>
          <w:tcPr>
            <w:tcW w:w="709" w:type="dxa"/>
            <w:noWrap/>
          </w:tcPr>
          <w:p>
            <w:pPr>
              <w:pStyle w:val="TableNAm"/>
            </w:pPr>
            <w:r>
              <w:t>1.</w:t>
            </w:r>
          </w:p>
        </w:tc>
        <w:tc>
          <w:tcPr>
            <w:tcW w:w="1843" w:type="dxa"/>
            <w:noWrap/>
          </w:tcPr>
          <w:p>
            <w:pPr>
              <w:pStyle w:val="TableNAm"/>
            </w:pPr>
            <w:r>
              <w:t>With whom a child is to live</w:t>
            </w:r>
          </w:p>
        </w:tc>
        <w:tc>
          <w:tcPr>
            <w:tcW w:w="3544" w:type="dxa"/>
            <w:noWrap/>
          </w:tcPr>
          <w:p>
            <w:pPr>
              <w:pStyle w:val="TableNAm"/>
            </w:pPr>
            <w:r>
              <w:t>Either —</w:t>
            </w:r>
          </w:p>
          <w:p>
            <w:pPr>
              <w:pStyle w:val="TableNAm"/>
              <w:keepNext/>
              <w:ind w:left="567" w:hanging="567"/>
            </w:pPr>
            <w:r>
              <w:t>(a)</w:t>
            </w:r>
            <w:r>
              <w:tab/>
              <w:t>contrary to the order, removes the child from the care of another person; or</w:t>
            </w:r>
          </w:p>
          <w:p>
            <w:pPr>
              <w:pStyle w:val="TableNAm"/>
              <w:keepNext/>
              <w:ind w:left="567" w:hanging="567"/>
            </w:pPr>
            <w:r>
              <w:t>(b)</w:t>
            </w:r>
            <w:r>
              <w:tab/>
              <w:t>contrary to the order, refuses or fails to deliver or return the child to another person.</w:t>
            </w:r>
          </w:p>
        </w:tc>
      </w:tr>
      <w:tr>
        <w:tc>
          <w:tcPr>
            <w:tcW w:w="709" w:type="dxa"/>
            <w:noWrap/>
          </w:tcPr>
          <w:p>
            <w:pPr>
              <w:pStyle w:val="TableNAm"/>
            </w:pPr>
            <w:r>
              <w:t>2.</w:t>
            </w:r>
          </w:p>
        </w:tc>
        <w:tc>
          <w:tcPr>
            <w:tcW w:w="1843" w:type="dxa"/>
            <w:noWrap/>
          </w:tcPr>
          <w:p>
            <w:pPr>
              <w:pStyle w:val="TableNAm"/>
            </w:pPr>
            <w:r>
              <w:t>With whom a child is to spend time</w:t>
            </w:r>
          </w:p>
        </w:tc>
        <w:tc>
          <w:tcPr>
            <w:tcW w:w="3544" w:type="dxa"/>
            <w:noWrap/>
          </w:tcPr>
          <w:p>
            <w:pPr>
              <w:pStyle w:val="TableNAm"/>
            </w:pPr>
            <w:r>
              <w:t>Hinders or prevents another person from spending time with the child in accordance with the order.</w:t>
            </w:r>
          </w:p>
        </w:tc>
      </w:tr>
      <w:tr>
        <w:tc>
          <w:tcPr>
            <w:tcW w:w="709" w:type="dxa"/>
            <w:noWrap/>
          </w:tcPr>
          <w:p>
            <w:pPr>
              <w:pStyle w:val="TableNAm"/>
            </w:pPr>
            <w:r>
              <w:t>3.</w:t>
            </w:r>
          </w:p>
        </w:tc>
        <w:tc>
          <w:tcPr>
            <w:tcW w:w="1843" w:type="dxa"/>
            <w:noWrap/>
          </w:tcPr>
          <w:p>
            <w:pPr>
              <w:pStyle w:val="TableNAm"/>
            </w:pPr>
            <w:r>
              <w:t>With whom a child is to communicate</w:t>
            </w:r>
          </w:p>
        </w:tc>
        <w:tc>
          <w:tcPr>
            <w:tcW w:w="3544" w:type="dxa"/>
            <w:noWrap/>
          </w:tcPr>
          <w:p>
            <w:pPr>
              <w:pStyle w:val="TableNAm"/>
            </w:pPr>
            <w:r>
              <w:t>Hinders or prevents another person from communicating with the child in accordance with the order.</w:t>
            </w:r>
          </w:p>
        </w:tc>
      </w:tr>
      <w:tr>
        <w:tc>
          <w:tcPr>
            <w:tcW w:w="709" w:type="dxa"/>
            <w:noWrap/>
          </w:tcPr>
          <w:p>
            <w:pPr>
              <w:pStyle w:val="TableNAm"/>
            </w:pPr>
            <w:r>
              <w:t>4.</w:t>
            </w:r>
          </w:p>
        </w:tc>
        <w:tc>
          <w:tcPr>
            <w:tcW w:w="1843" w:type="dxa"/>
            <w:noWrap/>
          </w:tcPr>
          <w:p>
            <w:pPr>
              <w:pStyle w:val="TableNAm"/>
            </w:pPr>
            <w:r>
              <w:t>The allocation of parental responsibility for a child to another person</w:t>
            </w:r>
          </w:p>
        </w:tc>
        <w:tc>
          <w:tcPr>
            <w:tcW w:w="3544" w:type="dxa"/>
            <w:noWrap/>
          </w:tcPr>
          <w:p>
            <w:pPr>
              <w:pStyle w:val="TableNAm"/>
            </w:pPr>
            <w:r>
              <w:t>Hinders or prevents the other person from discharging that responsibility in accordance with the order.</w:t>
            </w:r>
          </w:p>
        </w:tc>
      </w:tr>
      <w:tr>
        <w:tc>
          <w:tcPr>
            <w:tcW w:w="709" w:type="dxa"/>
            <w:noWrap/>
          </w:tcPr>
          <w:p>
            <w:pPr>
              <w:pStyle w:val="TableNAm"/>
            </w:pPr>
            <w:r>
              <w:t>5.</w:t>
            </w:r>
          </w:p>
        </w:tc>
        <w:tc>
          <w:tcPr>
            <w:tcW w:w="1843" w:type="dxa"/>
            <w:noWrap/>
          </w:tcPr>
          <w:p>
            <w:pPr>
              <w:pStyle w:val="TableNAm"/>
            </w:pPr>
            <w:r>
              <w:t>The maintenance of a child</w:t>
            </w:r>
          </w:p>
        </w:tc>
        <w:tc>
          <w:tcPr>
            <w:tcW w:w="3544" w:type="dxa"/>
            <w:noWrap/>
          </w:tcPr>
          <w:p>
            <w:pPr>
              <w:pStyle w:val="TableNAm"/>
            </w:pPr>
            <w:r>
              <w:t>Either —</w:t>
            </w:r>
          </w:p>
          <w:p>
            <w:pPr>
              <w:pStyle w:val="TableNAm"/>
              <w:keepNext/>
              <w:ind w:left="567" w:hanging="567"/>
            </w:pPr>
            <w:r>
              <w:t>(a)</w:t>
            </w:r>
            <w:r>
              <w:tab/>
              <w:t>contrary to the order, fails to pay maintenance; or</w:t>
            </w:r>
          </w:p>
          <w:p>
            <w:pPr>
              <w:pStyle w:val="TableNAm"/>
              <w:keepNext/>
              <w:ind w:left="567" w:hanging="567"/>
            </w:pPr>
            <w:r>
              <w:t>(b)</w:t>
            </w:r>
            <w:r>
              <w:tab/>
              <w:t>prevents another person paying maintenance in accordance with the order.</w:t>
            </w:r>
          </w:p>
        </w:tc>
      </w:tr>
    </w:tbl>
    <w:p>
      <w:pPr>
        <w:pStyle w:val="Footnotesection"/>
      </w:pPr>
      <w:bookmarkStart w:id="550" w:name="_Toc184390176"/>
      <w:r>
        <w:lastRenderedPageBreak/>
        <w:tab/>
        <w:t>[Section 205C inserted: No. 49 of 2024 s. 63.]</w:t>
      </w:r>
    </w:p>
    <w:p>
      <w:pPr>
        <w:pStyle w:val="Heading5"/>
      </w:pPr>
      <w:bookmarkStart w:id="551" w:name="_Toc189743372"/>
      <w:r>
        <w:rPr>
          <w:rStyle w:val="CharSectno"/>
        </w:rPr>
        <w:t>205D</w:t>
      </w:r>
      <w:r>
        <w:t>.</w:t>
      </w:r>
      <w:r>
        <w:tab/>
        <w:t xml:space="preserve">Meaning of </w:t>
      </w:r>
      <w:r>
        <w:rPr>
          <w:i/>
          <w:iCs/>
        </w:rPr>
        <w:t>reasonable excuse</w:t>
      </w:r>
      <w:r>
        <w:t xml:space="preserve"> for contravening a child</w:t>
      </w:r>
      <w:r>
        <w:noBreakHyphen/>
        <w:t>related order — FLA s. 70NAD</w:t>
      </w:r>
      <w:bookmarkEnd w:id="550"/>
      <w:bookmarkEnd w:id="551"/>
    </w:p>
    <w:p>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Indenta"/>
      </w:pPr>
      <w:r>
        <w:tab/>
        <w:t>(a)</w:t>
      </w:r>
      <w:r>
        <w:tab/>
        <w:t>the person contravened the order because at the time of the contravention the person did not understand the obligations imposed by the order; and</w:t>
      </w:r>
    </w:p>
    <w:p>
      <w:pPr>
        <w:pStyle w:val="Indenta"/>
      </w:pPr>
      <w:r>
        <w:tab/>
        <w:t>(b)</w:t>
      </w:r>
      <w:r>
        <w:tab/>
        <w:t>a court considers that the person ought to be excused in respect of the contravention.</w:t>
      </w:r>
    </w:p>
    <w:p>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pPr>
        <w:pStyle w:val="Indenta"/>
      </w:pPr>
      <w:r>
        <w:tab/>
        <w:t>(a)</w:t>
      </w:r>
      <w:r>
        <w:tab/>
        <w:t>the obligations imposed on the person by the order; and</w:t>
      </w:r>
    </w:p>
    <w:p>
      <w:pPr>
        <w:pStyle w:val="Indenta"/>
      </w:pPr>
      <w:r>
        <w:tab/>
        <w:t>(b)</w:t>
      </w:r>
      <w:r>
        <w:tab/>
        <w:t>the consequences that may follow if the person contravenes the order again.</w:t>
      </w:r>
    </w:p>
    <w:p>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Indenta"/>
      </w:pPr>
      <w:r>
        <w:tab/>
        <w:t>(b)</w:t>
      </w:r>
      <w:r>
        <w:tab/>
        <w:t>the period of the contravention was not longer than necessary to protect the health or safety of the person, child or other person.</w:t>
      </w:r>
    </w:p>
    <w:p>
      <w:pPr>
        <w:pStyle w:val="Subsection"/>
      </w:pPr>
      <w:r>
        <w:tab/>
        <w:t>(4)</w:t>
      </w:r>
      <w:r>
        <w:tab/>
        <w:t>This section does not limit the circumstances in which a person may have a reasonable excuse for contravening a child</w:t>
      </w:r>
      <w:r>
        <w:noBreakHyphen/>
        <w:t>related order.</w:t>
      </w:r>
    </w:p>
    <w:p>
      <w:pPr>
        <w:pStyle w:val="Footnotesection"/>
      </w:pPr>
      <w:r>
        <w:tab/>
        <w:t>[Section 205D inserted: No. 49 of 2024 s. 63.]</w:t>
      </w:r>
    </w:p>
    <w:p>
      <w:pPr>
        <w:pStyle w:val="Heading5"/>
      </w:pPr>
      <w:bookmarkStart w:id="552" w:name="_Toc184390177"/>
      <w:bookmarkStart w:id="553" w:name="_Toc189743373"/>
      <w:r>
        <w:rPr>
          <w:rStyle w:val="CharSectno"/>
        </w:rPr>
        <w:lastRenderedPageBreak/>
        <w:t>205E</w:t>
      </w:r>
      <w:r>
        <w:t>.</w:t>
      </w:r>
      <w:r>
        <w:tab/>
        <w:t>Burden of proof in relation to reasonable excuse — FLA s. 70NADA</w:t>
      </w:r>
      <w:bookmarkEnd w:id="552"/>
      <w:bookmarkEnd w:id="553"/>
    </w:p>
    <w:p>
      <w:pPr>
        <w:pStyle w:val="Subsection"/>
      </w:pPr>
      <w:r>
        <w:tab/>
      </w:r>
      <w:r>
        <w:tab/>
        <w:t>A person who claims to have a reasonable excuse for contravening a child</w:t>
      </w:r>
      <w:r>
        <w:noBreakHyphen/>
        <w:t>related order has the legal burden of proving the excuse.</w:t>
      </w:r>
    </w:p>
    <w:p>
      <w:pPr>
        <w:pStyle w:val="Footnotesection"/>
      </w:pPr>
      <w:r>
        <w:tab/>
        <w:t>[Section 205E inserted: No. 49 of 2024 s. 63.]</w:t>
      </w:r>
    </w:p>
    <w:p>
      <w:pPr>
        <w:pStyle w:val="Heading5"/>
      </w:pPr>
      <w:bookmarkStart w:id="554" w:name="_Toc184390178"/>
      <w:bookmarkStart w:id="555" w:name="_Toc189743374"/>
      <w:r>
        <w:rPr>
          <w:rStyle w:val="CharSectno"/>
        </w:rPr>
        <w:t>205F</w:t>
      </w:r>
      <w:r>
        <w:t>.</w:t>
      </w:r>
      <w:r>
        <w:tab/>
        <w:t>Standard of proof — FLA s. 70NAE</w:t>
      </w:r>
      <w:bookmarkEnd w:id="554"/>
      <w:bookmarkEnd w:id="555"/>
    </w:p>
    <w:p>
      <w:pPr>
        <w:pStyle w:val="Subsection"/>
      </w:pPr>
      <w:r>
        <w:tab/>
      </w:r>
      <w:r>
        <w:tab/>
        <w:t>The standard of proof to be applied in determining matters in proceedings under this Division (other than section 205K(1)(d)) is proof on the balance of probabilities.</w:t>
      </w:r>
    </w:p>
    <w:p>
      <w:pPr>
        <w:pStyle w:val="Footnotesection"/>
      </w:pPr>
      <w:r>
        <w:tab/>
        <w:t>[Section 205F inserted: No. 49 of 2024 s. 63.]</w:t>
      </w:r>
    </w:p>
    <w:p>
      <w:pPr>
        <w:pStyle w:val="Ednotesection"/>
        <w:ind w:left="890" w:hanging="890"/>
      </w:pPr>
      <w:bookmarkStart w:id="556" w:name="_Toc184389769"/>
      <w:bookmarkStart w:id="557" w:name="_Toc184389974"/>
      <w:bookmarkStart w:id="558" w:name="_Toc184390179"/>
      <w:bookmarkStart w:id="559" w:name="_Toc189654070"/>
      <w:r>
        <w:t>[</w:t>
      </w:r>
      <w:r>
        <w:rPr>
          <w:b/>
          <w:bCs/>
        </w:rPr>
        <w:t>205FA.</w:t>
      </w:r>
      <w:r>
        <w:tab/>
        <w:t>Deleted: No. 35 of 2006 s. 101.]</w:t>
      </w:r>
    </w:p>
    <w:p>
      <w:pPr>
        <w:pStyle w:val="Heading4"/>
      </w:pPr>
      <w:bookmarkStart w:id="560" w:name="_Toc189743375"/>
      <w:r>
        <w:t>Subdivision 2 — Orders relating to contraventions of child</w:t>
      </w:r>
      <w:r>
        <w:noBreakHyphen/>
        <w:t>related orders</w:t>
      </w:r>
      <w:bookmarkEnd w:id="556"/>
      <w:bookmarkEnd w:id="557"/>
      <w:bookmarkEnd w:id="558"/>
      <w:bookmarkEnd w:id="559"/>
      <w:bookmarkEnd w:id="560"/>
    </w:p>
    <w:p>
      <w:pPr>
        <w:pStyle w:val="Footnoteheading"/>
      </w:pPr>
      <w:r>
        <w:tab/>
        <w:t>[Heading inserted: No. 49 of 2024 s. 63.]</w:t>
      </w:r>
    </w:p>
    <w:p>
      <w:pPr>
        <w:pStyle w:val="Heading5"/>
      </w:pPr>
      <w:bookmarkStart w:id="561" w:name="_Toc184390180"/>
      <w:bookmarkStart w:id="562" w:name="_Toc189743376"/>
      <w:r>
        <w:rPr>
          <w:rStyle w:val="CharSectno"/>
        </w:rPr>
        <w:t>205G</w:t>
      </w:r>
      <w:r>
        <w:t>.</w:t>
      </w:r>
      <w:r>
        <w:tab/>
        <w:t>Court may make orders in proceedings relating to contravention of child</w:t>
      </w:r>
      <w:r>
        <w:noBreakHyphen/>
        <w:t>related orders — FLA s. 70NBA</w:t>
      </w:r>
      <w:bookmarkEnd w:id="561"/>
      <w:bookmarkEnd w:id="562"/>
    </w:p>
    <w:p>
      <w:pPr>
        <w:pStyle w:val="Subsection"/>
      </w:pPr>
      <w:r>
        <w:tab/>
        <w:t>(1)</w:t>
      </w:r>
      <w:r>
        <w:tab/>
        <w:t xml:space="preserve">This Subdivision sets out orders that a court exercising jurisdiction in proceedings under this Act may make if — </w:t>
      </w:r>
    </w:p>
    <w:p>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Indenta"/>
      </w:pPr>
      <w:r>
        <w:tab/>
        <w:t>(b)</w:t>
      </w:r>
      <w:r>
        <w:tab/>
        <w:t>a party to the proceedings makes an application for an order under this Subdivision in relation to the issue.</w:t>
      </w:r>
    </w:p>
    <w:p>
      <w:pPr>
        <w:pStyle w:val="Subsection"/>
      </w:pPr>
      <w:r>
        <w:tab/>
        <w:t>(2)</w:t>
      </w:r>
      <w:r>
        <w:tab/>
        <w:t xml:space="preserve">Each of the following is a </w:t>
      </w:r>
      <w:r>
        <w:rPr>
          <w:rStyle w:val="CharDefText"/>
        </w:rPr>
        <w:t>child</w:t>
      </w:r>
      <w:r>
        <w:rPr>
          <w:rStyle w:val="CharDefText"/>
        </w:rPr>
        <w:noBreakHyphen/>
        <w:t>related order</w:t>
      </w:r>
      <w:r>
        <w:t xml:space="preserve"> — </w:t>
      </w:r>
    </w:p>
    <w:p>
      <w:pPr>
        <w:pStyle w:val="Indenta"/>
      </w:pPr>
      <w:r>
        <w:tab/>
        <w:t>(a)</w:t>
      </w:r>
      <w:r>
        <w:tab/>
        <w:t>a parenting order;</w:t>
      </w:r>
    </w:p>
    <w:p>
      <w:pPr>
        <w:pStyle w:val="Indenta"/>
      </w:pPr>
      <w:r>
        <w:tab/>
        <w:t>(b)</w:t>
      </w:r>
      <w:r>
        <w:tab/>
        <w:t>an injunction granted by a court —</w:t>
      </w:r>
    </w:p>
    <w:p>
      <w:pPr>
        <w:pStyle w:val="Indenti"/>
      </w:pPr>
      <w:r>
        <w:tab/>
        <w:t>(i)</w:t>
      </w:r>
      <w:r>
        <w:tab/>
        <w:t>under section 235; or</w:t>
      </w:r>
    </w:p>
    <w:p>
      <w:pPr>
        <w:pStyle w:val="Indenti"/>
      </w:pPr>
      <w:r>
        <w:lastRenderedPageBreak/>
        <w:tab/>
        <w:t>(ii)</w:t>
      </w:r>
      <w:r>
        <w:tab/>
        <w:t>under section 235A in so far as the injunction is for the protection of a child;</w:t>
      </w:r>
    </w:p>
    <w:p>
      <w:pPr>
        <w:pStyle w:val="Indenta"/>
      </w:pPr>
      <w:r>
        <w:tab/>
        <w:t>(c)</w:t>
      </w:r>
      <w:r>
        <w:tab/>
        <w:t>a bond entered into —</w:t>
      </w:r>
    </w:p>
    <w:p>
      <w:pPr>
        <w:pStyle w:val="Indenti"/>
      </w:pPr>
      <w:r>
        <w:tab/>
        <w:t>(i)</w:t>
      </w:r>
      <w:r>
        <w:tab/>
        <w:t>under a parenting order; or</w:t>
      </w:r>
    </w:p>
    <w:p>
      <w:pPr>
        <w:pStyle w:val="Indenti"/>
      </w:pPr>
      <w:r>
        <w:tab/>
        <w:t>(ii)</w:t>
      </w:r>
      <w:r>
        <w:tab/>
        <w:t>under section 205K(1)(a); or</w:t>
      </w:r>
    </w:p>
    <w:p>
      <w:pPr>
        <w:pStyle w:val="Indenti"/>
      </w:pPr>
      <w:r>
        <w:tab/>
        <w:t>(iii)</w:t>
      </w:r>
      <w:r>
        <w:tab/>
        <w:t>for the purposes of section 205N(3);</w:t>
      </w:r>
    </w:p>
    <w:p>
      <w:pPr>
        <w:pStyle w:val="Indenta"/>
      </w:pPr>
      <w:r>
        <w:tab/>
        <w:t>(d)</w:t>
      </w:r>
      <w:r>
        <w:tab/>
        <w:t>an undertaking given to, and accepted by, a court that relates to, or to the making of, an order, injunction or bond referred to in any of paragraphs (a) to (c);</w:t>
      </w:r>
    </w:p>
    <w:p>
      <w:pPr>
        <w:pStyle w:val="Indenta"/>
      </w:pPr>
      <w:r>
        <w:tab/>
        <w:t>(e)</w:t>
      </w:r>
      <w:r>
        <w:tab/>
        <w:t>a subpoena issued under the rules that —</w:t>
      </w:r>
    </w:p>
    <w:p>
      <w:pPr>
        <w:pStyle w:val="Indenti"/>
      </w:pPr>
      <w:r>
        <w:tab/>
        <w:t>(i)</w:t>
      </w:r>
      <w:r>
        <w:tab/>
        <w:t>relates to, or to the making of, an order, injunction or bond referred to in any of paragraphs (a) to (c); and</w:t>
      </w:r>
    </w:p>
    <w:p>
      <w:pPr>
        <w:pStyle w:val="Indenti"/>
      </w:pPr>
      <w:r>
        <w:tab/>
        <w:t>(ii)</w:t>
      </w:r>
      <w:r>
        <w:tab/>
        <w:t>is issued to a party to the proceedings for the order, injunction or bond, as the case may be.</w:t>
      </w:r>
    </w:p>
    <w:p>
      <w:pPr>
        <w:pStyle w:val="Footnotesection"/>
      </w:pPr>
      <w:r>
        <w:tab/>
        <w:t>[Section 205G inserted: No. 49 of 2024 s. 63.]</w:t>
      </w:r>
    </w:p>
    <w:p>
      <w:pPr>
        <w:pStyle w:val="Heading5"/>
      </w:pPr>
      <w:bookmarkStart w:id="563" w:name="_Toc184390181"/>
      <w:bookmarkStart w:id="564" w:name="_Toc189743377"/>
      <w:r>
        <w:rPr>
          <w:rStyle w:val="CharSectno"/>
        </w:rPr>
        <w:t>205H</w:t>
      </w:r>
      <w:r>
        <w:t>.</w:t>
      </w:r>
      <w:r>
        <w:tab/>
        <w:t>Make</w:t>
      </w:r>
      <w:r>
        <w:noBreakHyphen/>
        <w:t>up time parenting orders — FLA s. 70NBB</w:t>
      </w:r>
      <w:bookmarkEnd w:id="563"/>
      <w:bookmarkEnd w:id="564"/>
    </w:p>
    <w:p>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Subsection"/>
      </w:pPr>
      <w:r>
        <w:tab/>
        <w:t>(2)</w:t>
      </w:r>
      <w:r>
        <w:tab/>
        <w:t>The court may make a make</w:t>
      </w:r>
      <w:r>
        <w:noBreakHyphen/>
        <w:t>up time parenting order at any stage of the proceedings.</w:t>
      </w:r>
    </w:p>
    <w:p>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Footnotesection"/>
      </w:pPr>
      <w:r>
        <w:tab/>
        <w:t>[Section 205H inserted: No. 49 of 2024 s. 63.]</w:t>
      </w:r>
    </w:p>
    <w:p>
      <w:pPr>
        <w:pStyle w:val="Heading5"/>
      </w:pPr>
      <w:bookmarkStart w:id="565" w:name="_Toc184390182"/>
      <w:bookmarkStart w:id="566" w:name="_Toc189743378"/>
      <w:r>
        <w:rPr>
          <w:rStyle w:val="CharSectno"/>
        </w:rPr>
        <w:lastRenderedPageBreak/>
        <w:t>205I</w:t>
      </w:r>
      <w:r>
        <w:t>.</w:t>
      </w:r>
      <w:r>
        <w:tab/>
        <w:t>Variation and suspension of child</w:t>
      </w:r>
      <w:r>
        <w:noBreakHyphen/>
        <w:t>related orders that are parenting orders — FLA s. 70NBC</w:t>
      </w:r>
      <w:bookmarkEnd w:id="565"/>
      <w:bookmarkEnd w:id="566"/>
    </w:p>
    <w:p>
      <w:pPr>
        <w:pStyle w:val="Subsection"/>
      </w:pPr>
      <w:r>
        <w:tab/>
        <w:t>(1)</w:t>
      </w:r>
      <w:r>
        <w:tab/>
        <w:t>The court may, at any stage of the proceedings</w:t>
      </w:r>
      <w:r>
        <w:rPr>
          <w:iCs/>
        </w:rPr>
        <w:t>,</w:t>
      </w:r>
      <w:r>
        <w:t xml:space="preserve"> vary a child</w:t>
      </w:r>
      <w:r>
        <w:noBreakHyphen/>
        <w:t>related order that is a parenting order.</w:t>
      </w:r>
    </w:p>
    <w:p>
      <w:pPr>
        <w:pStyle w:val="Subsection"/>
      </w:pPr>
      <w:r>
        <w:tab/>
        <w:t>(2)</w:t>
      </w:r>
      <w:r>
        <w:tab/>
        <w:t>Subsection (1) does not limit the circumstances in which a court having jurisdiction under this Act may vary a child</w:t>
      </w:r>
      <w:r>
        <w:noBreakHyphen/>
        <w:t>related order that is a parenting order.</w:t>
      </w:r>
    </w:p>
    <w:p>
      <w:pPr>
        <w:pStyle w:val="Subsection"/>
      </w:pPr>
      <w:r>
        <w:tab/>
        <w:t>(3)</w:t>
      </w:r>
      <w:r>
        <w:tab/>
        <w:t>The court may, at any stage of the proceedings, suspend for a specified period of time the operation of, or part of the operation of, a child</w:t>
      </w:r>
      <w:r>
        <w:noBreakHyphen/>
        <w:t>related order that is a parenting order.</w:t>
      </w:r>
    </w:p>
    <w:p>
      <w:pPr>
        <w:pStyle w:val="Footnotesection"/>
      </w:pPr>
      <w:r>
        <w:tab/>
        <w:t>[Section 205I inserted: No. 49 of 2024 s. 63.]</w:t>
      </w:r>
    </w:p>
    <w:p>
      <w:pPr>
        <w:pStyle w:val="Heading5"/>
      </w:pPr>
      <w:bookmarkStart w:id="567" w:name="_Toc184390183"/>
      <w:bookmarkStart w:id="568" w:name="_Toc189743379"/>
      <w:r>
        <w:rPr>
          <w:rStyle w:val="CharSectno"/>
        </w:rPr>
        <w:t>205J</w:t>
      </w:r>
      <w:r>
        <w:t>.</w:t>
      </w:r>
      <w:r>
        <w:tab/>
        <w:t>Post</w:t>
      </w:r>
      <w:r>
        <w:noBreakHyphen/>
        <w:t>separation parenting programs — FLA 70NBD</w:t>
      </w:r>
      <w:bookmarkEnd w:id="567"/>
      <w:bookmarkEnd w:id="568"/>
    </w:p>
    <w:p>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Subsection"/>
      </w:pPr>
      <w:r>
        <w:tab/>
        <w:t>(2)</w:t>
      </w:r>
      <w:r>
        <w:tab/>
        <w:t>The executive manager of the court must advise the provider of the program of the making of an order under subsection (1) as soon as reasonably practicable after the order is made.</w:t>
      </w:r>
    </w:p>
    <w:p>
      <w:pPr>
        <w:pStyle w:val="Subsection"/>
      </w:pPr>
      <w:r>
        <w:tab/>
        <w:t>(3)</w:t>
      </w:r>
      <w:r>
        <w:tab/>
        <w:t>The provider of the program must inform the court, and any other party to the proceedings, if —</w:t>
      </w:r>
    </w:p>
    <w:p>
      <w:pPr>
        <w:pStyle w:val="Indenta"/>
      </w:pPr>
      <w:r>
        <w:tab/>
        <w:t>(a)</w:t>
      </w:r>
      <w:r>
        <w:tab/>
        <w:t>the provider considers that a person ordered to attend the program is unsuitable to attend the program; or</w:t>
      </w:r>
    </w:p>
    <w:p>
      <w:pPr>
        <w:pStyle w:val="Indenta"/>
      </w:pPr>
      <w:r>
        <w:tab/>
        <w:t>(b)</w:t>
      </w:r>
      <w:r>
        <w:tab/>
        <w:t>a person ordered to attend the program fails to attend the entire program, or any part of it.</w:t>
      </w:r>
    </w:p>
    <w:p>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Subsection"/>
      </w:pPr>
      <w:r>
        <w:lastRenderedPageBreak/>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Footnotesection"/>
      </w:pPr>
      <w:r>
        <w:tab/>
        <w:t>[Section 205J inserted: No. 49 of 2024 s. 63.]</w:t>
      </w:r>
    </w:p>
    <w:p>
      <w:pPr>
        <w:pStyle w:val="Heading5"/>
      </w:pPr>
      <w:bookmarkStart w:id="569" w:name="_Toc184390184"/>
      <w:bookmarkStart w:id="570" w:name="_Toc189743380"/>
      <w:r>
        <w:rPr>
          <w:rStyle w:val="CharSectno"/>
        </w:rPr>
        <w:t>205K</w:t>
      </w:r>
      <w:r>
        <w:t>.</w:t>
      </w:r>
      <w:r>
        <w:tab/>
        <w:t>Orders where contravention established without reasonable excuse — FLA s. 70NBF</w:t>
      </w:r>
      <w:bookmarkEnd w:id="569"/>
      <w:bookmarkEnd w:id="570"/>
    </w:p>
    <w:p>
      <w:pPr>
        <w:pStyle w:val="Subsection"/>
      </w:pPr>
      <w:r>
        <w:tab/>
        <w:t>(1)</w:t>
      </w:r>
      <w:r>
        <w:tab/>
        <w:t>If the court finds that the respondent has contravened a child</w:t>
      </w:r>
      <w:r>
        <w:noBreakHyphen/>
        <w:t>related order without having a reasonable excuse, the court may make any of the following orders —</w:t>
      </w:r>
    </w:p>
    <w:p>
      <w:pPr>
        <w:pStyle w:val="Indenta"/>
      </w:pPr>
      <w:r>
        <w:tab/>
        <w:t>(a)</w:t>
      </w:r>
      <w:r>
        <w:tab/>
        <w:t>an order requiring the respondent to enter into a bond in accordance with section 205L;</w:t>
      </w:r>
    </w:p>
    <w:p>
      <w:pPr>
        <w:pStyle w:val="Indenta"/>
      </w:pPr>
      <w:r>
        <w:tab/>
        <w:t>(b)</w:t>
      </w:r>
      <w:r>
        <w:tab/>
        <w:t>if an order is made under paragraph (a), and the respondent fails, without having a reasonable excuse, to enter into the bond — an order imposing a fine not exceeding $3 130 on the respondent;</w:t>
      </w:r>
    </w:p>
    <w:p>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Indenta"/>
      </w:pPr>
      <w:r>
        <w:tab/>
        <w:t>(d)</w:t>
      </w:r>
      <w:r>
        <w:tab/>
        <w:t>where the court is satisfied beyond reasonable doubt that the respondent contravened the order —</w:t>
      </w:r>
    </w:p>
    <w:p>
      <w:pPr>
        <w:pStyle w:val="Indenti"/>
      </w:pPr>
      <w:r>
        <w:tab/>
        <w:t>(i)</w:t>
      </w:r>
      <w:r>
        <w:tab/>
        <w:t>an order imposing a fine not exceeding $18 780;</w:t>
      </w:r>
    </w:p>
    <w:p>
      <w:pPr>
        <w:pStyle w:val="Indenti"/>
      </w:pPr>
      <w:r>
        <w:tab/>
        <w:t>(ii)</w:t>
      </w:r>
      <w:r>
        <w:tab/>
        <w:t>an order imposing a term of imprisonment.</w:t>
      </w:r>
    </w:p>
    <w:p>
      <w:pPr>
        <w:pStyle w:val="Subsection"/>
      </w:pPr>
      <w:r>
        <w:tab/>
        <w:t>(2)</w:t>
      </w:r>
      <w:r>
        <w:tab/>
        <w:t>In making an order mentioned in subsection (1), the court must have regard to —</w:t>
      </w:r>
    </w:p>
    <w:p>
      <w:pPr>
        <w:pStyle w:val="Indenta"/>
      </w:pPr>
      <w:r>
        <w:tab/>
        <w:t>(a)</w:t>
      </w:r>
      <w:r>
        <w:tab/>
        <w:t>the likely effects of making the order on any child, or any other person; and</w:t>
      </w:r>
    </w:p>
    <w:p>
      <w:pPr>
        <w:pStyle w:val="Indenta"/>
      </w:pPr>
      <w:r>
        <w:tab/>
        <w:t>(b)</w:t>
      </w:r>
      <w:r>
        <w:tab/>
        <w:t>the seriousness of the contravention.</w:t>
      </w:r>
    </w:p>
    <w:p>
      <w:pPr>
        <w:pStyle w:val="Subsection"/>
      </w:pPr>
      <w:r>
        <w:lastRenderedPageBreak/>
        <w:tab/>
        <w:t>(3)</w:t>
      </w:r>
      <w:r>
        <w:tab/>
        <w:t>Without limiting the matters the court may take into account, the following matters must be taken into account by the court when having regard to the seriousness of the contravention —</w:t>
      </w:r>
    </w:p>
    <w:p>
      <w:pPr>
        <w:pStyle w:val="Indenta"/>
      </w:pPr>
      <w:r>
        <w:tab/>
        <w:t>(a)</w:t>
      </w:r>
      <w:r>
        <w:tab/>
        <w:t>whether a court has previously found that the respondent has contravened a child</w:t>
      </w:r>
      <w:r>
        <w:noBreakHyphen/>
        <w:t>related order without having a reasonable excuse;</w:t>
      </w:r>
    </w:p>
    <w:p>
      <w:pPr>
        <w:pStyle w:val="Indenta"/>
      </w:pPr>
      <w:r>
        <w:tab/>
        <w:t>(b)</w:t>
      </w:r>
      <w:r>
        <w:tab/>
        <w:t>whether the respondent behaved in a way that showed a serious disregard of the respondent’s obligations under the child</w:t>
      </w:r>
      <w:r>
        <w:noBreakHyphen/>
        <w:t>related order mentioned in subsection (1);</w:t>
      </w:r>
    </w:p>
    <w:p>
      <w:pPr>
        <w:pStyle w:val="Indenta"/>
      </w:pPr>
      <w:r>
        <w:tab/>
        <w:t>(c)</w:t>
      </w:r>
      <w:r>
        <w:tab/>
        <w:t>the behaviour of any person with whom the child is to live or spend time under the child</w:t>
      </w:r>
      <w:r>
        <w:noBreakHyphen/>
        <w:t>related order mentioned in subsection (1).</w:t>
      </w:r>
    </w:p>
    <w:p>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Footnotesection"/>
      </w:pPr>
      <w:r>
        <w:tab/>
        <w:t>[Section 205K inserted: No. 49 of 2024 s. 63.]</w:t>
      </w:r>
    </w:p>
    <w:p>
      <w:pPr>
        <w:pStyle w:val="Heading4"/>
      </w:pPr>
      <w:bookmarkStart w:id="571" w:name="_Toc184389775"/>
      <w:bookmarkStart w:id="572" w:name="_Toc184389980"/>
      <w:bookmarkStart w:id="573" w:name="_Toc184390185"/>
      <w:bookmarkStart w:id="574" w:name="_Toc189654076"/>
      <w:bookmarkStart w:id="575" w:name="_Toc189743381"/>
      <w:r>
        <w:t>Subdivision 3 — Further provisions relating to bonds and imprisonment</w:t>
      </w:r>
      <w:bookmarkEnd w:id="571"/>
      <w:bookmarkEnd w:id="572"/>
      <w:bookmarkEnd w:id="573"/>
      <w:bookmarkEnd w:id="574"/>
      <w:bookmarkEnd w:id="575"/>
    </w:p>
    <w:p>
      <w:pPr>
        <w:pStyle w:val="Footnoteheading"/>
      </w:pPr>
      <w:r>
        <w:tab/>
        <w:t>[Heading inserted: No. 49 of 2024 s. 63.]</w:t>
      </w:r>
    </w:p>
    <w:p>
      <w:pPr>
        <w:pStyle w:val="Heading5"/>
      </w:pPr>
      <w:bookmarkStart w:id="576" w:name="_Toc184390186"/>
      <w:bookmarkStart w:id="577" w:name="_Toc189743382"/>
      <w:r>
        <w:rPr>
          <w:rStyle w:val="CharSectno"/>
        </w:rPr>
        <w:t>205L</w:t>
      </w:r>
      <w:r>
        <w:t>.</w:t>
      </w:r>
      <w:r>
        <w:tab/>
        <w:t>Matters relating to bonds — FLA s. 70NCA</w:t>
      </w:r>
      <w:bookmarkEnd w:id="576"/>
      <w:bookmarkEnd w:id="577"/>
    </w:p>
    <w:p>
      <w:pPr>
        <w:pStyle w:val="Subsection"/>
      </w:pPr>
      <w:r>
        <w:tab/>
        <w:t>(1)</w:t>
      </w:r>
      <w:r>
        <w:tab/>
        <w:t>This section sets out requirements relating to bonds that the court may require the respondent to enter into under section 205K(1)(a).</w:t>
      </w:r>
    </w:p>
    <w:p>
      <w:pPr>
        <w:pStyle w:val="Subsection"/>
      </w:pPr>
      <w:r>
        <w:tab/>
        <w:t>(2)</w:t>
      </w:r>
      <w:r>
        <w:tab/>
        <w:t>A bond is to be for a specified period of up to 2 years.</w:t>
      </w:r>
    </w:p>
    <w:p>
      <w:pPr>
        <w:pStyle w:val="Subsection"/>
      </w:pPr>
      <w:r>
        <w:tab/>
        <w:t>(3)</w:t>
      </w:r>
      <w:r>
        <w:tab/>
        <w:t>A bond may be —</w:t>
      </w:r>
    </w:p>
    <w:p>
      <w:pPr>
        <w:pStyle w:val="Indenta"/>
      </w:pPr>
      <w:r>
        <w:tab/>
        <w:t>(a)</w:t>
      </w:r>
      <w:r>
        <w:tab/>
        <w:t>with or without surety; and</w:t>
      </w:r>
    </w:p>
    <w:p>
      <w:pPr>
        <w:pStyle w:val="Indenta"/>
      </w:pPr>
      <w:r>
        <w:tab/>
        <w:t>(b)</w:t>
      </w:r>
      <w:r>
        <w:tab/>
        <w:t>with or without security.</w:t>
      </w:r>
    </w:p>
    <w:p>
      <w:pPr>
        <w:pStyle w:val="Subsection"/>
      </w:pPr>
      <w:r>
        <w:lastRenderedPageBreak/>
        <w:tab/>
        <w:t>(4)</w:t>
      </w:r>
      <w:r>
        <w:tab/>
        <w:t>The conditions that may be imposed on the respondent by a bond include (without limitation) conditions that require the respondent —</w:t>
      </w:r>
    </w:p>
    <w:p>
      <w:pPr>
        <w:pStyle w:val="Indenta"/>
      </w:pPr>
      <w:r>
        <w:tab/>
        <w:t>(a)</w:t>
      </w:r>
      <w:r>
        <w:tab/>
        <w:t>to attend a post</w:t>
      </w:r>
      <w:r>
        <w:noBreakHyphen/>
        <w:t>separation parenting program; or</w:t>
      </w:r>
    </w:p>
    <w:p>
      <w:pPr>
        <w:pStyle w:val="Indenta"/>
      </w:pPr>
      <w:r>
        <w:tab/>
        <w:t>(b)</w:t>
      </w:r>
      <w:r>
        <w:tab/>
        <w:t>to attend an appointment (or a series of appointments) with a family consultant; or</w:t>
      </w:r>
    </w:p>
    <w:p>
      <w:pPr>
        <w:pStyle w:val="Indenta"/>
      </w:pPr>
      <w:r>
        <w:tab/>
        <w:t>(c)</w:t>
      </w:r>
      <w:r>
        <w:tab/>
        <w:t>to attend family counselling; or</w:t>
      </w:r>
    </w:p>
    <w:p>
      <w:pPr>
        <w:pStyle w:val="Indenta"/>
      </w:pPr>
      <w:r>
        <w:tab/>
        <w:t>(d)</w:t>
      </w:r>
      <w:r>
        <w:tab/>
        <w:t>to attend family dispute resolution; or</w:t>
      </w:r>
    </w:p>
    <w:p>
      <w:pPr>
        <w:pStyle w:val="Indenta"/>
      </w:pPr>
      <w:r>
        <w:tab/>
        <w:t>(e)</w:t>
      </w:r>
      <w:r>
        <w:tab/>
        <w:t>to be of good behaviour.</w:t>
      </w:r>
    </w:p>
    <w:p>
      <w:pPr>
        <w:pStyle w:val="Subsection"/>
      </w:pPr>
      <w:r>
        <w:tab/>
        <w:t>(5)</w:t>
      </w:r>
      <w:r>
        <w:tab/>
        <w:t>Before requiring the respondent to enter into a bond, the court must explain to the respondent, in language likely to be readily understood by the respondent —</w:t>
      </w:r>
    </w:p>
    <w:p>
      <w:pPr>
        <w:pStyle w:val="Indenta"/>
      </w:pPr>
      <w:r>
        <w:tab/>
        <w:t>(a)</w:t>
      </w:r>
      <w:r>
        <w:tab/>
        <w:t>the purpose and effect of the proposed requirement; and</w:t>
      </w:r>
    </w:p>
    <w:p>
      <w:pPr>
        <w:pStyle w:val="Indenta"/>
      </w:pPr>
      <w:r>
        <w:tab/>
        <w:t>(b)</w:t>
      </w:r>
      <w:r>
        <w:tab/>
        <w:t>the consequences that may follow if the respondent —</w:t>
      </w:r>
    </w:p>
    <w:p>
      <w:pPr>
        <w:pStyle w:val="Indenti"/>
      </w:pPr>
      <w:r>
        <w:tab/>
        <w:t>(i)</w:t>
      </w:r>
      <w:r>
        <w:tab/>
        <w:t>fails to enter into the bond; or</w:t>
      </w:r>
    </w:p>
    <w:p>
      <w:pPr>
        <w:pStyle w:val="Indenti"/>
      </w:pPr>
      <w:r>
        <w:tab/>
        <w:t>(ii)</w:t>
      </w:r>
      <w:r>
        <w:tab/>
        <w:t>having entered into the bond — fails to act in accordance with the bond.</w:t>
      </w:r>
    </w:p>
    <w:p>
      <w:pPr>
        <w:pStyle w:val="Footnotesection"/>
      </w:pPr>
      <w:r>
        <w:tab/>
        <w:t>[Section 205L inserted: No. 49 of 2024 s. 63.]</w:t>
      </w:r>
    </w:p>
    <w:p>
      <w:pPr>
        <w:pStyle w:val="Heading5"/>
      </w:pPr>
      <w:bookmarkStart w:id="578" w:name="_Toc184390187"/>
      <w:bookmarkStart w:id="579" w:name="_Toc189743383"/>
      <w:r>
        <w:rPr>
          <w:rStyle w:val="CharSectno"/>
        </w:rPr>
        <w:t>205M</w:t>
      </w:r>
      <w:r>
        <w:t>.</w:t>
      </w:r>
      <w:r>
        <w:tab/>
        <w:t>Procedure for enforcing bonds — FLA s. 70NCB</w:t>
      </w:r>
      <w:bookmarkEnd w:id="578"/>
      <w:bookmarkEnd w:id="579"/>
    </w:p>
    <w:p>
      <w:pPr>
        <w:pStyle w:val="Subsection"/>
      </w:pPr>
      <w:r>
        <w:tab/>
        <w:t>(1)</w:t>
      </w:r>
      <w:r>
        <w:tab/>
        <w:t>This section applies if —</w:t>
      </w:r>
    </w:p>
    <w:p>
      <w:pPr>
        <w:pStyle w:val="Indenta"/>
      </w:pPr>
      <w:r>
        <w:tab/>
        <w:t>(a)</w:t>
      </w:r>
      <w:r>
        <w:tab/>
        <w:t>the court finds that the respondent has contravened a child</w:t>
      </w:r>
      <w:r>
        <w:noBreakHyphen/>
        <w:t>related order without having a reasonable excuse; and</w:t>
      </w:r>
    </w:p>
    <w:p>
      <w:pPr>
        <w:pStyle w:val="Indenta"/>
      </w:pPr>
      <w:r>
        <w:tab/>
        <w:t>(b)</w:t>
      </w:r>
      <w:r>
        <w:tab/>
        <w:t>the respondent has entered into a bond in accordance with an order made under section 205K(1)(a); and</w:t>
      </w:r>
    </w:p>
    <w:p>
      <w:pPr>
        <w:pStyle w:val="Indenta"/>
      </w:pPr>
      <w:r>
        <w:tab/>
        <w:t>(c)</w:t>
      </w:r>
      <w:r>
        <w:tab/>
        <w:t>the respondent fails, without having a reasonable excuse, to comply with the bond.</w:t>
      </w:r>
    </w:p>
    <w:p>
      <w:pPr>
        <w:pStyle w:val="Subsection"/>
      </w:pPr>
      <w:r>
        <w:tab/>
        <w:t>(2)</w:t>
      </w:r>
      <w:r>
        <w:tab/>
        <w:t>The court may —</w:t>
      </w:r>
    </w:p>
    <w:p>
      <w:pPr>
        <w:pStyle w:val="Indenta"/>
      </w:pPr>
      <w:r>
        <w:tab/>
        <w:t>(a)</w:t>
      </w:r>
      <w:r>
        <w:tab/>
        <w:t>without prejudice to the continuance of the bond, impose a fine not exceeding $3 130 on the respondent; or</w:t>
      </w:r>
    </w:p>
    <w:p>
      <w:pPr>
        <w:pStyle w:val="Indenta"/>
      </w:pPr>
      <w:r>
        <w:lastRenderedPageBreak/>
        <w:tab/>
        <w:t>(b)</w:t>
      </w:r>
      <w:r>
        <w:tab/>
        <w:t>revoke the bond and deal with the respondent in any manner in which the respondent could have been dealt with for the contravention of the child</w:t>
      </w:r>
      <w:r>
        <w:noBreakHyphen/>
        <w:t>related order if —</w:t>
      </w:r>
    </w:p>
    <w:p>
      <w:pPr>
        <w:pStyle w:val="Indenti"/>
      </w:pPr>
      <w:r>
        <w:tab/>
        <w:t>(i)</w:t>
      </w:r>
      <w:r>
        <w:tab/>
        <w:t>the bond had not been entered into; and</w:t>
      </w:r>
    </w:p>
    <w:p>
      <w:pPr>
        <w:pStyle w:val="Indenti"/>
      </w:pPr>
      <w:r>
        <w:tab/>
        <w:t>(ii)</w:t>
      </w:r>
      <w:r>
        <w:tab/>
        <w:t>the respondent was before the court under this Division in respect of the contravention of the child</w:t>
      </w:r>
      <w:r>
        <w:noBreakHyphen/>
        <w:t>related order.</w:t>
      </w:r>
    </w:p>
    <w:p>
      <w:pPr>
        <w:pStyle w:val="Subsection"/>
      </w:pPr>
      <w:r>
        <w:tab/>
        <w:t>(3)</w:t>
      </w:r>
      <w:r>
        <w:tab/>
        <w:t>Without limiting the matters the court may take into account, the court must take into account the following matters when acting under subsection (2) —</w:t>
      </w:r>
    </w:p>
    <w:p>
      <w:pPr>
        <w:pStyle w:val="Indenta"/>
      </w:pPr>
      <w:r>
        <w:tab/>
        <w:t>(a)</w:t>
      </w:r>
      <w:r>
        <w:tab/>
        <w:t>the fact that the bond was entered into;</w:t>
      </w:r>
    </w:p>
    <w:p>
      <w:pPr>
        <w:pStyle w:val="Indenta"/>
      </w:pPr>
      <w:r>
        <w:tab/>
        <w:t>(b)</w:t>
      </w:r>
      <w:r>
        <w:tab/>
        <w:t>anything done pursuant to the bond;</w:t>
      </w:r>
    </w:p>
    <w:p>
      <w:pPr>
        <w:pStyle w:val="Indenta"/>
      </w:pPr>
      <w:r>
        <w:tab/>
        <w:t>(c)</w:t>
      </w:r>
      <w:r>
        <w:tab/>
        <w:t>any fine imposed, and any other order made, for or in respect of the contravention of the child</w:t>
      </w:r>
      <w:r>
        <w:noBreakHyphen/>
        <w:t>related order.</w:t>
      </w:r>
    </w:p>
    <w:p>
      <w:pPr>
        <w:pStyle w:val="Footnotesection"/>
      </w:pPr>
      <w:r>
        <w:tab/>
        <w:t>[Section 205M inserted: No. 49 of 2024 s. 63.]</w:t>
      </w:r>
    </w:p>
    <w:p>
      <w:pPr>
        <w:pStyle w:val="Heading5"/>
      </w:pPr>
      <w:bookmarkStart w:id="580" w:name="_Toc184390188"/>
      <w:bookmarkStart w:id="581" w:name="_Toc189743384"/>
      <w:r>
        <w:rPr>
          <w:rStyle w:val="CharSectno"/>
        </w:rPr>
        <w:t>205N</w:t>
      </w:r>
      <w:r>
        <w:t>.</w:t>
      </w:r>
      <w:r>
        <w:tab/>
        <w:t>Matters relating to imprisonment — FLA s. 70NCC</w:t>
      </w:r>
      <w:bookmarkEnd w:id="580"/>
      <w:bookmarkEnd w:id="581"/>
    </w:p>
    <w:p>
      <w:pPr>
        <w:pStyle w:val="Subsection"/>
      </w:pPr>
      <w:r>
        <w:tab/>
        <w:t>(1)</w:t>
      </w:r>
      <w:r>
        <w:tab/>
        <w:t>This section applies if a sentence of imprisonment is imposed on the respondent under section 205K(1)(d)(ii).</w:t>
      </w:r>
    </w:p>
    <w:p>
      <w:pPr>
        <w:pStyle w:val="Subsection"/>
      </w:pPr>
      <w:r>
        <w:tab/>
        <w:t>(2)</w:t>
      </w:r>
      <w:r>
        <w:tab/>
        <w:t>The sentence of imprisonment must be expressed to be —</w:t>
      </w:r>
    </w:p>
    <w:p>
      <w:pPr>
        <w:pStyle w:val="Indenta"/>
      </w:pPr>
      <w:r>
        <w:tab/>
        <w:t>(a)</w:t>
      </w:r>
      <w:r>
        <w:tab/>
        <w:t>for a specified period of no more than 12 months; or</w:t>
      </w:r>
    </w:p>
    <w:p>
      <w:pPr>
        <w:pStyle w:val="Indenta"/>
      </w:pPr>
      <w:r>
        <w:tab/>
        <w:t>(b)</w:t>
      </w:r>
      <w:r>
        <w:tab/>
        <w:t>for a period ending at the earlier of —</w:t>
      </w:r>
    </w:p>
    <w:p>
      <w:pPr>
        <w:pStyle w:val="Indenti"/>
      </w:pPr>
      <w:r>
        <w:tab/>
        <w:t>(i)</w:t>
      </w:r>
      <w:r>
        <w:tab/>
        <w:t>the time when the respondent complies with the child</w:t>
      </w:r>
      <w:r>
        <w:noBreakHyphen/>
        <w:t>related order concerned; or</w:t>
      </w:r>
    </w:p>
    <w:p>
      <w:pPr>
        <w:pStyle w:val="Indenti"/>
      </w:pPr>
      <w:r>
        <w:tab/>
        <w:t>(ii)</w:t>
      </w:r>
      <w:r>
        <w:tab/>
        <w:t>the time when the respondent has been imprisoned under the sentence for 12 months, or such lesser period as is specified by the court ordering the sentence.</w:t>
      </w:r>
    </w:p>
    <w:p>
      <w:pPr>
        <w:pStyle w:val="Subsection"/>
      </w:pPr>
      <w:r>
        <w:tab/>
        <w:t>(3)</w:t>
      </w:r>
      <w:r>
        <w:tab/>
        <w:t xml:space="preserve">When sentencing the respondent to imprisonment, the court may direct that, after serving a specified part of the term of imprisonment, the respondent be released upon the respondent </w:t>
      </w:r>
      <w:r>
        <w:lastRenderedPageBreak/>
        <w:t>entering into a bond (with or without surety or security) that the respondent will be of good behaviour for a specified period of up to 2 years.</w:t>
      </w:r>
    </w:p>
    <w:p>
      <w:pPr>
        <w:pStyle w:val="Subsection"/>
      </w:pPr>
      <w:r>
        <w:tab/>
        <w:t>(4)</w:t>
      </w:r>
      <w:r>
        <w:tab/>
        <w:t>The court that sentences the respondent to imprisonment must —</w:t>
      </w:r>
    </w:p>
    <w:p>
      <w:pPr>
        <w:pStyle w:val="Indenta"/>
      </w:pPr>
      <w:r>
        <w:tab/>
        <w:t>(a)</w:t>
      </w:r>
      <w:r>
        <w:tab/>
        <w:t>state the reasons why it is satisfied as mentioned in section 205K(4); and</w:t>
      </w:r>
    </w:p>
    <w:p>
      <w:pPr>
        <w:pStyle w:val="Indenta"/>
      </w:pPr>
      <w:r>
        <w:tab/>
        <w:t>(b)</w:t>
      </w:r>
      <w:r>
        <w:tab/>
        <w:t>cause those reasons to be entered in the records of the court.</w:t>
      </w:r>
    </w:p>
    <w:p>
      <w:pPr>
        <w:pStyle w:val="Subsection"/>
      </w:pPr>
      <w:r>
        <w:tab/>
        <w:t>(5)</w:t>
      </w:r>
      <w:r>
        <w:tab/>
        <w:t>The failure of the court to comply with subsection (4) does not invalidate a sentence.</w:t>
      </w:r>
    </w:p>
    <w:p>
      <w:pPr>
        <w:pStyle w:val="Footnotesection"/>
      </w:pPr>
      <w:r>
        <w:tab/>
        <w:t>[Section 205N inserted: No. 49 of 2024 s. 63.]</w:t>
      </w:r>
    </w:p>
    <w:p>
      <w:pPr>
        <w:pStyle w:val="Heading5"/>
      </w:pPr>
      <w:bookmarkStart w:id="582" w:name="_Toc184390189"/>
      <w:bookmarkStart w:id="583" w:name="_Toc189743385"/>
      <w:r>
        <w:rPr>
          <w:rStyle w:val="CharSectno"/>
        </w:rPr>
        <w:t>205O</w:t>
      </w:r>
      <w:r>
        <w:t>.</w:t>
      </w:r>
      <w:r>
        <w:tab/>
        <w:t>Powers of court in relation to imprisoned person — FLA s. 70NCD</w:t>
      </w:r>
      <w:bookmarkEnd w:id="582"/>
      <w:bookmarkEnd w:id="583"/>
    </w:p>
    <w:p>
      <w:pPr>
        <w:pStyle w:val="Subsection"/>
      </w:pPr>
      <w:r>
        <w:tab/>
        <w:t>(1)</w:t>
      </w:r>
      <w:r>
        <w:tab/>
        <w:t>The court that has sentenced the respondent to imprisonment may order the release of the respondent if it is satisfied that the respondent will, if released, comply with the court’s orders.</w:t>
      </w:r>
    </w:p>
    <w:p>
      <w:pPr>
        <w:pStyle w:val="Subsection"/>
      </w:pPr>
      <w:r>
        <w:tab/>
        <w:t>(2)</w:t>
      </w:r>
      <w:r>
        <w:tab/>
        <w:t>The court that sentences the respondent to imprisonment may —</w:t>
      </w:r>
    </w:p>
    <w:p>
      <w:pPr>
        <w:pStyle w:val="Indenta"/>
      </w:pPr>
      <w:r>
        <w:tab/>
        <w:t>(a)</w:t>
      </w:r>
      <w:r>
        <w:tab/>
        <w:t>suspend the sentence upon the terms and conditions determined by the court; and</w:t>
      </w:r>
    </w:p>
    <w:p>
      <w:pPr>
        <w:pStyle w:val="Indenta"/>
      </w:pPr>
      <w:r>
        <w:tab/>
        <w:t>(b)</w:t>
      </w:r>
      <w:r>
        <w:tab/>
        <w:t>terminate such a suspension.</w:t>
      </w:r>
    </w:p>
    <w:p>
      <w:pPr>
        <w:pStyle w:val="Footnotesection"/>
      </w:pPr>
      <w:r>
        <w:tab/>
        <w:t>[Section 205O inserted: No. 49 of 2024 s. 63.]</w:t>
      </w:r>
    </w:p>
    <w:p>
      <w:pPr>
        <w:pStyle w:val="Heading5"/>
      </w:pPr>
      <w:bookmarkStart w:id="584" w:name="_Toc184390190"/>
      <w:bookmarkStart w:id="585" w:name="_Toc189743386"/>
      <w:r>
        <w:rPr>
          <w:rStyle w:val="CharSectno"/>
        </w:rPr>
        <w:t>205P</w:t>
      </w:r>
      <w:r>
        <w:t>.</w:t>
      </w:r>
      <w:r>
        <w:tab/>
        <w:t>Rules relating to child maintenance orders and child support — FLA s. 70NCE</w:t>
      </w:r>
      <w:bookmarkEnd w:id="584"/>
      <w:bookmarkEnd w:id="585"/>
    </w:p>
    <w:p>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Subsection"/>
      </w:pPr>
      <w:r>
        <w:lastRenderedPageBreak/>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Subsection"/>
      </w:pPr>
      <w:r>
        <w:tab/>
        <w:t>(3)</w:t>
      </w:r>
      <w:r>
        <w:tab/>
        <w:t>The court must not make an order imposing a sentence of imprisonment on the respondent under section 205K(1)(d)(ii) in respect of —</w:t>
      </w:r>
    </w:p>
    <w:p>
      <w:pPr>
        <w:pStyle w:val="Indenta"/>
      </w:pPr>
      <w:r>
        <w:tab/>
        <w:t>(a)</w:t>
      </w:r>
      <w:r>
        <w:tab/>
        <w:t xml:space="preserve">a contravention of an administrative assessment of child support made under the </w:t>
      </w:r>
      <w:r>
        <w:rPr>
          <w:i/>
          <w:iCs/>
        </w:rPr>
        <w:t>Child Support (Assessment) Act 1989</w:t>
      </w:r>
      <w:r>
        <w:t xml:space="preserve"> (Commonwealth); or</w:t>
      </w:r>
    </w:p>
    <w:p>
      <w:pPr>
        <w:pStyle w:val="Indenta"/>
      </w:pPr>
      <w:r>
        <w:tab/>
        <w:t>(b)</w:t>
      </w:r>
      <w:r>
        <w:tab/>
        <w:t>a breach of a child support agreement made under that Act; or</w:t>
      </w:r>
    </w:p>
    <w:p>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Footnotesection"/>
      </w:pPr>
      <w:r>
        <w:tab/>
        <w:t>[Section 205P inserted: No. 49 of 2024 s. 63.]</w:t>
      </w:r>
    </w:p>
    <w:p>
      <w:pPr>
        <w:pStyle w:val="Heading4"/>
      </w:pPr>
      <w:bookmarkStart w:id="586" w:name="_Toc184389781"/>
      <w:bookmarkStart w:id="587" w:name="_Toc184389986"/>
      <w:bookmarkStart w:id="588" w:name="_Toc184390191"/>
      <w:bookmarkStart w:id="589" w:name="_Toc189654082"/>
      <w:bookmarkStart w:id="590" w:name="_Toc189743387"/>
      <w:r>
        <w:t>Subdivision 4 — Miscellaneous</w:t>
      </w:r>
      <w:bookmarkEnd w:id="586"/>
      <w:bookmarkEnd w:id="587"/>
      <w:bookmarkEnd w:id="588"/>
      <w:bookmarkEnd w:id="589"/>
      <w:bookmarkEnd w:id="590"/>
    </w:p>
    <w:p>
      <w:pPr>
        <w:pStyle w:val="Footnoteheading"/>
      </w:pPr>
      <w:bookmarkStart w:id="591" w:name="_Toc184390192"/>
      <w:r>
        <w:tab/>
        <w:t>[Heading inserted: No. 49 of 2024 s. 63.]</w:t>
      </w:r>
    </w:p>
    <w:p>
      <w:pPr>
        <w:pStyle w:val="Heading5"/>
      </w:pPr>
      <w:bookmarkStart w:id="592" w:name="_Toc189743388"/>
      <w:r>
        <w:rPr>
          <w:rStyle w:val="CharSectno"/>
        </w:rPr>
        <w:t>205Q</w:t>
      </w:r>
      <w:r>
        <w:t>.</w:t>
      </w:r>
      <w:r>
        <w:tab/>
        <w:t>Court may issue warrant for arrest of alleged offender — FLA s. 70NDA</w:t>
      </w:r>
      <w:bookmarkEnd w:id="591"/>
      <w:bookmarkEnd w:id="592"/>
    </w:p>
    <w:p>
      <w:pPr>
        <w:pStyle w:val="Subsection"/>
      </w:pPr>
      <w:r>
        <w:tab/>
        <w:t>(1)</w:t>
      </w:r>
      <w:r>
        <w:tab/>
        <w:t>The court may issue a warrant authorising a person to whom it is addressed to arrest the respondent if —</w:t>
      </w:r>
    </w:p>
    <w:p>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Indenta"/>
      </w:pPr>
      <w:r>
        <w:tab/>
        <w:t>(b)</w:t>
      </w:r>
      <w:r>
        <w:tab/>
        <w:t>the court is satisfied that there are reasonable grounds for believing that the respondent has contravened the order on any of the grounds mentioned in any of items 1 to 3 of the Table in section 205C(2); and</w:t>
      </w:r>
    </w:p>
    <w:p>
      <w:pPr>
        <w:pStyle w:val="Indenta"/>
      </w:pPr>
      <w:r>
        <w:lastRenderedPageBreak/>
        <w:tab/>
        <w:t>(c)</w:t>
      </w:r>
      <w:r>
        <w:tab/>
        <w:t>the issue of the warrant is necessary to ensure that the respondent will attend before the court to be dealt with under this Division for the alleged contravention.</w:t>
      </w:r>
    </w:p>
    <w:p>
      <w:pPr>
        <w:pStyle w:val="Subsection"/>
      </w:pPr>
      <w:r>
        <w:tab/>
        <w:t>(2)</w:t>
      </w:r>
      <w:r>
        <w:tab/>
        <w:t>A warrant stops being in force on the date specified in the warrant (which must be no more than 6 months after the issue of the warrant).</w:t>
      </w:r>
    </w:p>
    <w:p>
      <w:pPr>
        <w:pStyle w:val="Footnotesection"/>
      </w:pPr>
      <w:r>
        <w:tab/>
        <w:t>[Section 205Q inserted: No. 49 of 2024 s. 63.]</w:t>
      </w:r>
    </w:p>
    <w:p>
      <w:pPr>
        <w:pStyle w:val="Ednotesection"/>
      </w:pPr>
      <w:bookmarkStart w:id="593" w:name="_Toc184390193"/>
      <w:r>
        <w:t>[</w:t>
      </w:r>
      <w:r>
        <w:rPr>
          <w:b/>
          <w:bCs/>
        </w:rPr>
        <w:t>205QA.</w:t>
      </w:r>
      <w:r>
        <w:tab/>
        <w:t>Deleted: No. 49 of 2024 s. 63.]</w:t>
      </w:r>
    </w:p>
    <w:p>
      <w:pPr>
        <w:pStyle w:val="Heading5"/>
      </w:pPr>
      <w:bookmarkStart w:id="594" w:name="_Toc189743389"/>
      <w:r>
        <w:rPr>
          <w:rStyle w:val="CharSectno"/>
        </w:rPr>
        <w:t>205R</w:t>
      </w:r>
      <w:r>
        <w:t>.</w:t>
      </w:r>
      <w:r>
        <w:tab/>
        <w:t>Relationship between Division and prosecutions for offences under other laws — FLA s. 70NDB</w:t>
      </w:r>
      <w:bookmarkEnd w:id="593"/>
      <w:bookmarkEnd w:id="594"/>
    </w:p>
    <w:p>
      <w:pPr>
        <w:pStyle w:val="Subsection"/>
      </w:pPr>
      <w:r>
        <w:tab/>
        <w:t>(1)</w:t>
      </w:r>
      <w:r>
        <w:tab/>
        <w:t>This section applies if —</w:t>
      </w:r>
    </w:p>
    <w:p>
      <w:pPr>
        <w:pStyle w:val="Indenta"/>
      </w:pPr>
      <w:r>
        <w:tab/>
        <w:t>(a)</w:t>
      </w:r>
      <w:r>
        <w:tab/>
        <w:t>an act or omission by the respondent —</w:t>
      </w:r>
    </w:p>
    <w:p>
      <w:pPr>
        <w:pStyle w:val="Indenti"/>
      </w:pPr>
      <w:r>
        <w:tab/>
        <w:t>(i)</w:t>
      </w:r>
      <w:r>
        <w:tab/>
        <w:t>constitutes an alleged contravention of a child</w:t>
      </w:r>
      <w:r>
        <w:noBreakHyphen/>
        <w:t>related order; and</w:t>
      </w:r>
    </w:p>
    <w:p>
      <w:pPr>
        <w:pStyle w:val="Indenti"/>
      </w:pPr>
      <w:r>
        <w:tab/>
        <w:t>(ii)</w:t>
      </w:r>
      <w:r>
        <w:tab/>
        <w:t>also constitutes an alleged offence under any law;</w:t>
      </w:r>
    </w:p>
    <w:p>
      <w:pPr>
        <w:pStyle w:val="Indenta"/>
      </w:pPr>
      <w:r>
        <w:tab/>
      </w:r>
      <w:r>
        <w:tab/>
        <w:t>and</w:t>
      </w:r>
    </w:p>
    <w:p>
      <w:pPr>
        <w:pStyle w:val="Indenta"/>
      </w:pPr>
      <w:r>
        <w:tab/>
        <w:t>(b)</w:t>
      </w:r>
      <w:r>
        <w:tab/>
        <w:t>the respondent is prosecuted in respect of the offence.</w:t>
      </w:r>
    </w:p>
    <w:p>
      <w:pPr>
        <w:pStyle w:val="Subsection"/>
      </w:pPr>
      <w:r>
        <w:tab/>
        <w:t>(2)</w:t>
      </w:r>
      <w:r>
        <w:tab/>
        <w:t>The court must —</w:t>
      </w:r>
    </w:p>
    <w:p>
      <w:pPr>
        <w:pStyle w:val="Indenta"/>
      </w:pPr>
      <w:r>
        <w:tab/>
        <w:t>(a)</w:t>
      </w:r>
      <w:r>
        <w:tab/>
        <w:t>dismiss proceedings in relation to the alleged contravention of the child</w:t>
      </w:r>
      <w:r>
        <w:noBreakHyphen/>
        <w:t>related order; or</w:t>
      </w:r>
    </w:p>
    <w:p>
      <w:pPr>
        <w:pStyle w:val="Indenta"/>
      </w:pPr>
      <w:r>
        <w:tab/>
        <w:t>(b)</w:t>
      </w:r>
      <w:r>
        <w:tab/>
        <w:t>adjourn those proceedings until the prosecution has been completed.</w:t>
      </w:r>
    </w:p>
    <w:p>
      <w:pPr>
        <w:pStyle w:val="Subsection"/>
      </w:pPr>
      <w:r>
        <w:tab/>
        <w:t>(3)</w:t>
      </w:r>
      <w:r>
        <w:tab/>
        <w:t>Nothing in this Division renders a person liable to be punished twice in respect of the same act or omission.</w:t>
      </w:r>
    </w:p>
    <w:p>
      <w:pPr>
        <w:pStyle w:val="Footnotesection"/>
      </w:pPr>
      <w:r>
        <w:tab/>
        <w:t>[Section 205R inserted: No. 49 of 2024 s. 63.]</w:t>
      </w:r>
    </w:p>
    <w:p>
      <w:pPr>
        <w:pStyle w:val="Heading3"/>
      </w:pPr>
      <w:bookmarkStart w:id="595" w:name="_Toc184389784"/>
      <w:bookmarkStart w:id="596" w:name="_Toc184389989"/>
      <w:bookmarkStart w:id="597" w:name="_Toc184390194"/>
      <w:bookmarkStart w:id="598" w:name="_Toc189654085"/>
      <w:bookmarkStart w:id="599" w:name="_Toc189743390"/>
      <w:r>
        <w:rPr>
          <w:rStyle w:val="CharDivNo"/>
        </w:rPr>
        <w:lastRenderedPageBreak/>
        <w:t>Division 14</w:t>
      </w:r>
      <w:r>
        <w:t> — </w:t>
      </w:r>
      <w:r>
        <w:rPr>
          <w:rStyle w:val="CharDivText"/>
        </w:rPr>
        <w:t>Dealing with people who have been arrested</w:t>
      </w:r>
      <w:bookmarkEnd w:id="595"/>
      <w:bookmarkEnd w:id="596"/>
      <w:bookmarkEnd w:id="597"/>
      <w:bookmarkEnd w:id="598"/>
      <w:bookmarkEnd w:id="599"/>
    </w:p>
    <w:p>
      <w:pPr>
        <w:pStyle w:val="Footnoteheading"/>
        <w:keepNext/>
      </w:pPr>
      <w:r>
        <w:tab/>
        <w:t>[Heading inserted: No. 49 of 2024 s. 63.]</w:t>
      </w:r>
    </w:p>
    <w:p>
      <w:pPr>
        <w:pStyle w:val="Heading4"/>
      </w:pPr>
      <w:bookmarkStart w:id="600" w:name="_Toc184389785"/>
      <w:bookmarkStart w:id="601" w:name="_Toc184389990"/>
      <w:bookmarkStart w:id="602" w:name="_Toc184390195"/>
      <w:bookmarkStart w:id="603" w:name="_Toc189654086"/>
      <w:bookmarkStart w:id="604" w:name="_Toc189743391"/>
      <w:r>
        <w:t>Subdivision 1 — What this Division does</w:t>
      </w:r>
      <w:bookmarkEnd w:id="600"/>
      <w:bookmarkEnd w:id="601"/>
      <w:bookmarkEnd w:id="602"/>
      <w:bookmarkEnd w:id="603"/>
      <w:bookmarkEnd w:id="604"/>
    </w:p>
    <w:p>
      <w:pPr>
        <w:pStyle w:val="Footnoteheading"/>
      </w:pPr>
      <w:r>
        <w:tab/>
        <w:t>[Heading inserted: No. 49 of 2024 s. 63.]</w:t>
      </w:r>
    </w:p>
    <w:p>
      <w:pPr>
        <w:pStyle w:val="Heading5"/>
      </w:pPr>
      <w:bookmarkStart w:id="605" w:name="_Toc184390196"/>
      <w:bookmarkStart w:id="606" w:name="_Toc189743392"/>
      <w:r>
        <w:rPr>
          <w:rStyle w:val="CharSectno"/>
        </w:rPr>
        <w:t>205S</w:t>
      </w:r>
      <w:r>
        <w:t>.</w:t>
      </w:r>
      <w:r>
        <w:tab/>
        <w:t>What this Division does — FLA s. 70P</w:t>
      </w:r>
      <w:bookmarkEnd w:id="605"/>
      <w:bookmarkEnd w:id="606"/>
    </w:p>
    <w:p>
      <w:pPr>
        <w:pStyle w:val="Subsection"/>
      </w:pPr>
      <w:r>
        <w:tab/>
      </w:r>
      <w:r>
        <w:tab/>
        <w:t>This Division is about dealing with people who have been arrested.</w:t>
      </w:r>
    </w:p>
    <w:p>
      <w:pPr>
        <w:pStyle w:val="Footnotesection"/>
      </w:pPr>
      <w:r>
        <w:tab/>
        <w:t>[Section 205S inserted: No. 49 of 2024 s. 63.]</w:t>
      </w:r>
    </w:p>
    <w:p>
      <w:pPr>
        <w:pStyle w:val="Heading4"/>
      </w:pPr>
      <w:bookmarkStart w:id="607" w:name="_Toc184389787"/>
      <w:bookmarkStart w:id="608" w:name="_Toc184389992"/>
      <w:bookmarkStart w:id="609" w:name="_Toc184390197"/>
      <w:bookmarkStart w:id="610" w:name="_Toc189654088"/>
      <w:bookmarkStart w:id="611" w:name="_Toc189743393"/>
      <w:r>
        <w:t>Subdivision 2 — Dealing with people who have been arrested</w:t>
      </w:r>
      <w:bookmarkEnd w:id="607"/>
      <w:bookmarkEnd w:id="608"/>
      <w:bookmarkEnd w:id="609"/>
      <w:bookmarkEnd w:id="610"/>
      <w:bookmarkEnd w:id="611"/>
    </w:p>
    <w:p>
      <w:pPr>
        <w:pStyle w:val="Footnoteheading"/>
      </w:pPr>
      <w:r>
        <w:tab/>
        <w:t>[Heading inserted: No. 49 of 2024 s. 63.]</w:t>
      </w:r>
    </w:p>
    <w:p>
      <w:pPr>
        <w:pStyle w:val="Heading5"/>
      </w:pPr>
      <w:bookmarkStart w:id="612" w:name="_Toc184390198"/>
      <w:bookmarkStart w:id="613" w:name="_Toc189743394"/>
      <w:r>
        <w:rPr>
          <w:rStyle w:val="CharSectno"/>
        </w:rPr>
        <w:t>205SA</w:t>
      </w:r>
      <w:r>
        <w:t>.</w:t>
      </w:r>
      <w:r>
        <w:tab/>
        <w:t>Situation to which this Subdivision applies — FLA s. 70PA</w:t>
      </w:r>
      <w:bookmarkEnd w:id="612"/>
      <w:bookmarkEnd w:id="613"/>
    </w:p>
    <w:p>
      <w:pPr>
        <w:pStyle w:val="Subsection"/>
      </w:pPr>
      <w:r>
        <w:tab/>
      </w:r>
      <w:r>
        <w:tab/>
        <w:t>This Subdivision applies if a person —</w:t>
      </w:r>
    </w:p>
    <w:p>
      <w:pPr>
        <w:pStyle w:val="Indenta"/>
      </w:pPr>
      <w:r>
        <w:tab/>
        <w:t>(a)</w:t>
      </w:r>
      <w:r>
        <w:tab/>
        <w:t>is arrested under a warrant issued under section 205Q(1); or</w:t>
      </w:r>
    </w:p>
    <w:p>
      <w:pPr>
        <w:pStyle w:val="Indenta"/>
      </w:pPr>
      <w:r>
        <w:tab/>
        <w:t>(b)</w:t>
      </w:r>
      <w:r>
        <w:tab/>
        <w:t>is arrested without warrant under a recovery order.</w:t>
      </w:r>
    </w:p>
    <w:p>
      <w:pPr>
        <w:pStyle w:val="Footnotesection"/>
      </w:pPr>
      <w:r>
        <w:tab/>
        <w:t>[Section 205SA inserted: No. 49 of 2024 s. 63.]</w:t>
      </w:r>
    </w:p>
    <w:p>
      <w:pPr>
        <w:pStyle w:val="Heading5"/>
      </w:pPr>
      <w:bookmarkStart w:id="614" w:name="_Toc184390199"/>
      <w:bookmarkStart w:id="615" w:name="_Toc189743395"/>
      <w:r>
        <w:rPr>
          <w:rStyle w:val="CharSectno"/>
        </w:rPr>
        <w:t>205SB</w:t>
      </w:r>
      <w:r>
        <w:t>.</w:t>
      </w:r>
      <w:r>
        <w:tab/>
        <w:t>Arrested person to be brought before court — FLA s. 70PB</w:t>
      </w:r>
      <w:bookmarkEnd w:id="614"/>
      <w:bookmarkEnd w:id="615"/>
    </w:p>
    <w:p>
      <w:pPr>
        <w:pStyle w:val="Subsection"/>
      </w:pPr>
      <w:r>
        <w:tab/>
        <w:t>(1)</w:t>
      </w:r>
      <w:r>
        <w:tab/>
        <w:t>The arresting person must —</w:t>
      </w:r>
    </w:p>
    <w:p>
      <w:pPr>
        <w:pStyle w:val="Indenta"/>
      </w:pPr>
      <w:r>
        <w:tab/>
        <w:t>(a)</w:t>
      </w:r>
      <w:r>
        <w:tab/>
        <w:t>ensure that the alleged offender is brought before a court before the end of the holding period applicable under subsection (4); and</w:t>
      </w:r>
    </w:p>
    <w:p>
      <w:pPr>
        <w:pStyle w:val="Indenta"/>
      </w:pPr>
      <w:r>
        <w:tab/>
        <w:t>(b)</w:t>
      </w:r>
      <w:r>
        <w:tab/>
        <w:t>take all reasonable steps to ensure that, before the alleged offender is brought before a court, the person who applied for the warrant or recovery order is aware —</w:t>
      </w:r>
    </w:p>
    <w:p>
      <w:pPr>
        <w:pStyle w:val="Indenti"/>
      </w:pPr>
      <w:r>
        <w:tab/>
        <w:t>(i)</w:t>
      </w:r>
      <w:r>
        <w:tab/>
        <w:t>that the alleged offender has been arrested; and</w:t>
      </w:r>
    </w:p>
    <w:p>
      <w:pPr>
        <w:pStyle w:val="Indenti"/>
      </w:pPr>
      <w:r>
        <w:lastRenderedPageBreak/>
        <w:tab/>
        <w:t>(ii)</w:t>
      </w:r>
      <w:r>
        <w:tab/>
        <w:t>of the court before which the alleged offender is to be brought.</w:t>
      </w:r>
    </w:p>
    <w:p>
      <w:pPr>
        <w:pStyle w:val="Subsection"/>
      </w:pPr>
      <w:r>
        <w:tab/>
        <w:t>(2)</w:t>
      </w:r>
      <w:r>
        <w:tab/>
        <w:t>The alleged offender must not be released before the end of the holding period except under an order of a court.</w:t>
      </w:r>
    </w:p>
    <w:p>
      <w:pPr>
        <w:pStyle w:val="Subsection"/>
      </w:pPr>
      <w:r>
        <w:tab/>
        <w:t>(3)</w:t>
      </w:r>
      <w:r>
        <w:tab/>
        <w:t>This section does not authorise the holding in custody of the alleged offender after the end of the holding period.</w:t>
      </w:r>
    </w:p>
    <w:p>
      <w:pPr>
        <w:pStyle w:val="Subsection"/>
      </w:pPr>
      <w:r>
        <w:tab/>
        <w:t>(4)</w:t>
      </w:r>
      <w:r>
        <w:tab/>
        <w:t>In this section —</w:t>
      </w:r>
    </w:p>
    <w:p>
      <w:pPr>
        <w:pStyle w:val="Defstart"/>
      </w:pPr>
      <w:r>
        <w:tab/>
      </w:r>
      <w:r>
        <w:rPr>
          <w:rStyle w:val="CharDefText"/>
        </w:rPr>
        <w:t>holding period</w:t>
      </w:r>
      <w:r>
        <w:t>, in relation to the arrest of an alleged offender, is —</w:t>
      </w:r>
    </w:p>
    <w:p>
      <w:pPr>
        <w:pStyle w:val="Defpara"/>
      </w:pPr>
      <w:r>
        <w:tab/>
        <w:t>(a)</w:t>
      </w:r>
      <w:r>
        <w:tab/>
        <w:t>if a Saturday, Sunday or public holiday starts within 24 hours after the arrest of the alleged offender, the longer of the following periods —</w:t>
      </w:r>
    </w:p>
    <w:p>
      <w:pPr>
        <w:pStyle w:val="Defsubpara"/>
      </w:pPr>
      <w:r>
        <w:tab/>
        <w:t>(i)</w:t>
      </w:r>
      <w:r>
        <w:tab/>
        <w:t>the period starting with the arrest and ending 48 hours later;</w:t>
      </w:r>
    </w:p>
    <w:p>
      <w:pPr>
        <w:pStyle w:val="Defsubpara"/>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Footnotesection"/>
      </w:pPr>
      <w:r>
        <w:tab/>
        <w:t>[Section 205SB inserted: No. 49 of 2024 s. 63.]</w:t>
      </w:r>
    </w:p>
    <w:p>
      <w:pPr>
        <w:pStyle w:val="Heading5"/>
      </w:pPr>
      <w:bookmarkStart w:id="616" w:name="_Toc184390200"/>
      <w:bookmarkStart w:id="617" w:name="_Toc189743396"/>
      <w:r>
        <w:rPr>
          <w:rStyle w:val="CharSectno"/>
        </w:rPr>
        <w:t>205SC</w:t>
      </w:r>
      <w:r>
        <w:t>.</w:t>
      </w:r>
      <w:r>
        <w:tab/>
        <w:t>Obligation of court where application before it to deal with contravention — FLA s. 70PC</w:t>
      </w:r>
      <w:bookmarkEnd w:id="616"/>
      <w:bookmarkEnd w:id="617"/>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an application before the court for the alleged offender to be dealt with under Division 13 for the alleged contravention.</w:t>
      </w:r>
    </w:p>
    <w:p>
      <w:pPr>
        <w:pStyle w:val="Subsection"/>
      </w:pPr>
      <w:r>
        <w:lastRenderedPageBreak/>
        <w:tab/>
        <w:t>(2)</w:t>
      </w:r>
      <w:r>
        <w:tab/>
        <w:t>The court must, without delay, proceed to hear and determine the application.</w:t>
      </w:r>
    </w:p>
    <w:p>
      <w:pPr>
        <w:pStyle w:val="Footnotesection"/>
      </w:pPr>
      <w:r>
        <w:tab/>
        <w:t>[Section 205SC inserted: No. 49 of 2024 s. 63.]</w:t>
      </w:r>
    </w:p>
    <w:p>
      <w:pPr>
        <w:pStyle w:val="Heading5"/>
      </w:pPr>
      <w:bookmarkStart w:id="618" w:name="_Toc184390201"/>
      <w:bookmarkStart w:id="619" w:name="_Toc189743397"/>
      <w:r>
        <w:rPr>
          <w:rStyle w:val="CharSectno"/>
        </w:rPr>
        <w:t>205SD</w:t>
      </w:r>
      <w:r>
        <w:t>.</w:t>
      </w:r>
      <w:r>
        <w:tab/>
        <w:t>Obligation of court where no application before it, but application before another court, to deal with contravention — FLA s. 70PD</w:t>
      </w:r>
      <w:bookmarkEnd w:id="618"/>
      <w:bookmarkEnd w:id="619"/>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the court is aware that there is an application before another court for the alleged offender to be dealt with under Division 13 for the alleged contravention.</w:t>
      </w:r>
    </w:p>
    <w:p>
      <w:pPr>
        <w:pStyle w:val="Subsection"/>
      </w:pPr>
      <w:r>
        <w:tab/>
        <w:t>(2)</w:t>
      </w:r>
      <w:r>
        <w:tab/>
        <w:t>The court must, without delay —</w:t>
      </w:r>
    </w:p>
    <w:p>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pPr>
      <w:r>
        <w:tab/>
        <w:t>(3)</w:t>
      </w:r>
      <w:r>
        <w:tab/>
        <w:t>If a court makes an order under subsection (2)(b) for the alleged offender to be brought before another court —</w:t>
      </w:r>
    </w:p>
    <w:p>
      <w:pPr>
        <w:pStyle w:val="Indenta"/>
      </w:pPr>
      <w:r>
        <w:tab/>
        <w:t>(a)</w:t>
      </w:r>
      <w:r>
        <w:tab/>
        <w:t>subject to paragraph (c), the alleged offender may be kept in custody until brought before the other court; and</w:t>
      </w:r>
    </w:p>
    <w:p>
      <w:pPr>
        <w:pStyle w:val="Indenta"/>
      </w:pPr>
      <w:r>
        <w:lastRenderedPageBreak/>
        <w:tab/>
        <w:t>(b)</w:t>
      </w:r>
      <w:r>
        <w:tab/>
        <w:t>if the alleged offender is brought before the other court as required by the order, the other court must, without delay, proceed to hear and determine the application mentioned in subsection (1)(c); and</w:t>
      </w:r>
    </w:p>
    <w:p>
      <w:pPr>
        <w:pStyle w:val="Indenta"/>
      </w:pPr>
      <w:r>
        <w:tab/>
        <w:t>(c)</w:t>
      </w:r>
      <w:r>
        <w:tab/>
        <w:t>if the alleged offender is not brought before the other court as required by the order, the alleged offender must be released without delay.</w:t>
      </w:r>
    </w:p>
    <w:p>
      <w:pPr>
        <w:pStyle w:val="Footnotesection"/>
      </w:pPr>
      <w:r>
        <w:tab/>
        <w:t>[Section 205SD inserted: No. 49 of 2024 s. 63.]</w:t>
      </w:r>
    </w:p>
    <w:p>
      <w:pPr>
        <w:pStyle w:val="Heading5"/>
      </w:pPr>
      <w:bookmarkStart w:id="620" w:name="_Toc184390202"/>
      <w:bookmarkStart w:id="621" w:name="_Toc189743398"/>
      <w:r>
        <w:rPr>
          <w:rStyle w:val="CharSectno"/>
        </w:rPr>
        <w:t>205SE</w:t>
      </w:r>
      <w:r>
        <w:t>.</w:t>
      </w:r>
      <w:r>
        <w:tab/>
        <w:t>Obligation of court where no application before any court to deal with contravention — FLA s. 70PE</w:t>
      </w:r>
      <w:bookmarkEnd w:id="620"/>
      <w:bookmarkEnd w:id="621"/>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so far as the court is aware, there is no application, or no longer any application, before any other court for the alleged offender to be dealt with under Division 13 for the alleged contravention.</w:t>
      </w:r>
    </w:p>
    <w:p>
      <w:pPr>
        <w:pStyle w:val="Subsection"/>
      </w:pPr>
      <w:r>
        <w:tab/>
        <w:t>(2)</w:t>
      </w:r>
      <w:r>
        <w:tab/>
        <w:t>The court must, without delay, order the release of the alleged offender.</w:t>
      </w:r>
    </w:p>
    <w:p>
      <w:pPr>
        <w:pStyle w:val="Footnotesection"/>
      </w:pPr>
      <w:r>
        <w:tab/>
        <w:t>[Section 205SE inserted: No. 49 of 2024 s. 63.]</w:t>
      </w:r>
    </w:p>
    <w:p>
      <w:pPr>
        <w:pStyle w:val="Heading5"/>
      </w:pPr>
      <w:bookmarkStart w:id="622" w:name="_Toc184390203"/>
      <w:bookmarkStart w:id="623" w:name="_Toc189743399"/>
      <w:r>
        <w:rPr>
          <w:rStyle w:val="CharSectno"/>
        </w:rPr>
        <w:t>205SF</w:t>
      </w:r>
      <w:r>
        <w:t>.</w:t>
      </w:r>
      <w:r>
        <w:tab/>
        <w:t>Applications heard as required by section 205SC(2) or 205SD(3)(b) — FLA s. 70PF</w:t>
      </w:r>
      <w:bookmarkEnd w:id="622"/>
      <w:bookmarkEnd w:id="623"/>
    </w:p>
    <w:p>
      <w:pPr>
        <w:pStyle w:val="Subsection"/>
      </w:pPr>
      <w:r>
        <w:tab/>
        <w:t>(1)</w:t>
      </w:r>
      <w:r>
        <w:tab/>
        <w:t>If a court hearing an application as required by section 205SC(2) or 205SD(3)(b) adjourns the hearing, the court must —</w:t>
      </w:r>
    </w:p>
    <w:p>
      <w:pPr>
        <w:pStyle w:val="Indenta"/>
      </w:pPr>
      <w:r>
        <w:tab/>
        <w:t>(a)</w:t>
      </w:r>
      <w:r>
        <w:tab/>
        <w:t>order the alleged offender to be kept in such custody as the court considers appropriate during the adjournment; or</w:t>
      </w:r>
    </w:p>
    <w:p>
      <w:pPr>
        <w:pStyle w:val="Indenta"/>
      </w:pPr>
      <w:r>
        <w:lastRenderedPageBreak/>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Subsection"/>
      </w:pPr>
      <w:r>
        <w:tab/>
        <w:t>(2)</w:t>
      </w:r>
      <w:r>
        <w:tab/>
        <w:t>This section does not authorise the holding in custody of the alleged offender during an adjournment of proceedings that —</w:t>
      </w:r>
    </w:p>
    <w:p>
      <w:pPr>
        <w:pStyle w:val="Indenta"/>
      </w:pPr>
      <w:r>
        <w:tab/>
        <w:t>(a)</w:t>
      </w:r>
      <w:r>
        <w:tab/>
        <w:t>is expressed to be for a period of more than 24 hours; or</w:t>
      </w:r>
    </w:p>
    <w:p>
      <w:pPr>
        <w:pStyle w:val="Indenta"/>
      </w:pPr>
      <w:r>
        <w:tab/>
        <w:t>(b)</w:t>
      </w:r>
      <w:r>
        <w:tab/>
        <w:t>continues for more than 24 hours.</w:t>
      </w:r>
    </w:p>
    <w:p>
      <w:pPr>
        <w:pStyle w:val="Footnotesection"/>
      </w:pPr>
      <w:r>
        <w:tab/>
        <w:t>[Section 205SF inserted: No. 49 of 2024 s. 63.]</w:t>
      </w:r>
    </w:p>
    <w:p>
      <w:pPr>
        <w:pStyle w:val="Ednotesection"/>
      </w:pPr>
      <w:r>
        <w:t>[</w:t>
      </w:r>
      <w:r>
        <w:rPr>
          <w:b/>
          <w:bCs/>
        </w:rPr>
        <w:t>205SG, 205SH.</w:t>
      </w:r>
      <w:r>
        <w:tab/>
        <w:t>Deleted: No. 49 of 2024 s. 63.]</w:t>
      </w:r>
    </w:p>
    <w:p>
      <w:pPr>
        <w:pStyle w:val="Heading2"/>
      </w:pPr>
      <w:bookmarkStart w:id="624" w:name="_Toc189558572"/>
      <w:bookmarkStart w:id="625" w:name="_Toc189654095"/>
      <w:bookmarkStart w:id="626" w:name="_Toc189743400"/>
      <w:bookmarkEnd w:id="538"/>
      <w:r>
        <w:rPr>
          <w:rStyle w:val="CharPartNo"/>
        </w:rPr>
        <w:lastRenderedPageBreak/>
        <w:t>Part 5A </w:t>
      </w:r>
      <w:r>
        <w:t>— </w:t>
      </w:r>
      <w:r>
        <w:rPr>
          <w:rStyle w:val="CharPartText"/>
        </w:rPr>
        <w:t>De facto relationships</w:t>
      </w:r>
      <w:bookmarkEnd w:id="624"/>
      <w:bookmarkEnd w:id="625"/>
      <w:bookmarkEnd w:id="626"/>
    </w:p>
    <w:p>
      <w:pPr>
        <w:pStyle w:val="Footnoteheading"/>
      </w:pPr>
      <w:r>
        <w:tab/>
        <w:t>[Heading inserted: No. 25 of 2002 s. 47.]</w:t>
      </w:r>
    </w:p>
    <w:p>
      <w:pPr>
        <w:pStyle w:val="Heading3"/>
      </w:pPr>
      <w:bookmarkStart w:id="627" w:name="_Toc189558573"/>
      <w:bookmarkStart w:id="628" w:name="_Toc189654096"/>
      <w:bookmarkStart w:id="629" w:name="_Toc189743401"/>
      <w:r>
        <w:rPr>
          <w:rStyle w:val="CharDivNo"/>
        </w:rPr>
        <w:t>Division 1</w:t>
      </w:r>
      <w:r>
        <w:t> — </w:t>
      </w:r>
      <w:r>
        <w:rPr>
          <w:rStyle w:val="CharDivText"/>
        </w:rPr>
        <w:t>Introductory</w:t>
      </w:r>
      <w:bookmarkEnd w:id="627"/>
      <w:bookmarkEnd w:id="628"/>
      <w:bookmarkEnd w:id="629"/>
    </w:p>
    <w:p>
      <w:pPr>
        <w:pStyle w:val="Footnoteheading"/>
      </w:pPr>
      <w:r>
        <w:tab/>
        <w:t>[Heading inserted: No. 25 of 2002 s. 47.]</w:t>
      </w:r>
    </w:p>
    <w:p>
      <w:pPr>
        <w:pStyle w:val="Heading5"/>
      </w:pPr>
      <w:bookmarkStart w:id="630" w:name="_Toc189743402"/>
      <w:r>
        <w:rPr>
          <w:rStyle w:val="CharSectno"/>
        </w:rPr>
        <w:t>205T</w:t>
      </w:r>
      <w:r>
        <w:t>.</w:t>
      </w:r>
      <w:r>
        <w:tab/>
        <w:t>Terms used</w:t>
      </w:r>
      <w:bookmarkEnd w:id="630"/>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631" w:name="_Toc189743403"/>
      <w:r>
        <w:rPr>
          <w:rStyle w:val="CharSectno"/>
        </w:rPr>
        <w:t>205U</w:t>
      </w:r>
      <w:r>
        <w:t>.</w:t>
      </w:r>
      <w:r>
        <w:tab/>
        <w:t>Application of Part generally</w:t>
      </w:r>
      <w:bookmarkEnd w:id="631"/>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632" w:name="_Toc189743404"/>
      <w:r>
        <w:rPr>
          <w:rStyle w:val="CharSectno"/>
        </w:rPr>
        <w:t>205V</w:t>
      </w:r>
      <w:r>
        <w:t>.</w:t>
      </w:r>
      <w:r>
        <w:tab/>
        <w:t>Right to certain civil proceedings limited</w:t>
      </w:r>
      <w:bookmarkEnd w:id="63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633" w:name="_Toc189558577"/>
      <w:bookmarkStart w:id="634" w:name="_Toc189654100"/>
      <w:bookmarkStart w:id="635" w:name="_Toc189743405"/>
      <w:r>
        <w:rPr>
          <w:rStyle w:val="CharDivNo"/>
        </w:rPr>
        <w:lastRenderedPageBreak/>
        <w:t>Division 2</w:t>
      </w:r>
      <w:r>
        <w:t> — </w:t>
      </w:r>
      <w:r>
        <w:rPr>
          <w:rStyle w:val="CharDivText"/>
        </w:rPr>
        <w:t>Property adjustment orders and maintenance orders</w:t>
      </w:r>
      <w:bookmarkEnd w:id="633"/>
      <w:bookmarkEnd w:id="634"/>
      <w:bookmarkEnd w:id="635"/>
    </w:p>
    <w:p>
      <w:pPr>
        <w:pStyle w:val="Footnoteheading"/>
        <w:keepNext/>
      </w:pPr>
      <w:r>
        <w:tab/>
        <w:t>[Heading inserted: No. 25 of 2002 s. 47.]</w:t>
      </w:r>
    </w:p>
    <w:p>
      <w:pPr>
        <w:pStyle w:val="Heading4"/>
      </w:pPr>
      <w:bookmarkStart w:id="636" w:name="_Toc189558578"/>
      <w:bookmarkStart w:id="637" w:name="_Toc189654101"/>
      <w:bookmarkStart w:id="638" w:name="_Toc189743406"/>
      <w:r>
        <w:t>Subdivision 1 — Introductory</w:t>
      </w:r>
      <w:bookmarkEnd w:id="636"/>
      <w:bookmarkEnd w:id="637"/>
      <w:bookmarkEnd w:id="638"/>
    </w:p>
    <w:p>
      <w:pPr>
        <w:pStyle w:val="Footnoteheading"/>
      </w:pPr>
      <w:r>
        <w:tab/>
        <w:t>[Heading inserted: No. 25 of 2002 s. 47.]</w:t>
      </w:r>
    </w:p>
    <w:p>
      <w:pPr>
        <w:pStyle w:val="Heading5"/>
        <w:spacing w:before="180"/>
      </w:pPr>
      <w:bookmarkStart w:id="639" w:name="_Toc189743407"/>
      <w:r>
        <w:rPr>
          <w:rStyle w:val="CharSectno"/>
        </w:rPr>
        <w:t>205W</w:t>
      </w:r>
      <w:r>
        <w:t>.</w:t>
      </w:r>
      <w:r>
        <w:tab/>
        <w:t>This Division does not apply to certain matters covered by binding financial agreements or former financial agreements — FLA s. 71A</w:t>
      </w:r>
      <w:bookmarkEnd w:id="639"/>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640" w:name="_Toc189743408"/>
      <w:r>
        <w:rPr>
          <w:rStyle w:val="CharSectno"/>
        </w:rPr>
        <w:t>205X</w:t>
      </w:r>
      <w:r>
        <w:t>.</w:t>
      </w:r>
      <w:r>
        <w:tab/>
        <w:t>People to whom this Part applies — connection with WA</w:t>
      </w:r>
      <w:bookmarkEnd w:id="640"/>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641" w:name="_Toc189743409"/>
      <w:r>
        <w:rPr>
          <w:rStyle w:val="CharSectno"/>
        </w:rPr>
        <w:t>205Y</w:t>
      </w:r>
      <w:r>
        <w:t>.</w:t>
      </w:r>
      <w:r>
        <w:tab/>
        <w:t>Court not otherwise limited by connection with WA referred to in section 205X</w:t>
      </w:r>
      <w:bookmarkEnd w:id="641"/>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642" w:name="_Toc189743410"/>
      <w:r>
        <w:rPr>
          <w:rStyle w:val="CharSectno"/>
        </w:rPr>
        <w:lastRenderedPageBreak/>
        <w:t>205Z</w:t>
      </w:r>
      <w:r>
        <w:t>.</w:t>
      </w:r>
      <w:r>
        <w:tab/>
        <w:t>Where court may make order under this Division</w:t>
      </w:r>
      <w:bookmarkEnd w:id="642"/>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643" w:name="_Toc189743411"/>
      <w:r>
        <w:rPr>
          <w:rStyle w:val="CharSectno"/>
        </w:rPr>
        <w:t>205ZA</w:t>
      </w:r>
      <w:r>
        <w:t>.</w:t>
      </w:r>
      <w:r>
        <w:tab/>
        <w:t>Declaration of interests in property — FLA s. 78</w:t>
      </w:r>
      <w:bookmarkEnd w:id="64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644" w:name="_Toc189558584"/>
      <w:bookmarkStart w:id="645" w:name="_Toc189654107"/>
      <w:bookmarkStart w:id="646" w:name="_Toc189743412"/>
      <w:r>
        <w:lastRenderedPageBreak/>
        <w:t>Subdivision 2 — Alteration of property interests, and maintenance</w:t>
      </w:r>
      <w:bookmarkEnd w:id="644"/>
      <w:bookmarkEnd w:id="645"/>
      <w:bookmarkEnd w:id="646"/>
    </w:p>
    <w:p>
      <w:pPr>
        <w:pStyle w:val="Footnoteheading"/>
        <w:spacing w:before="100"/>
      </w:pPr>
      <w:r>
        <w:tab/>
        <w:t>[Heading inserted: No. 25 of 2002 s. 47.]</w:t>
      </w:r>
    </w:p>
    <w:p>
      <w:pPr>
        <w:pStyle w:val="Heading5"/>
      </w:pPr>
      <w:bookmarkStart w:id="647" w:name="_Toc189743413"/>
      <w:r>
        <w:rPr>
          <w:rStyle w:val="CharSectno"/>
        </w:rPr>
        <w:t>205ZB</w:t>
      </w:r>
      <w:r>
        <w:t>.</w:t>
      </w:r>
      <w:r>
        <w:tab/>
        <w:t>Applications, and notifications to spouses</w:t>
      </w:r>
      <w:bookmarkEnd w:id="647"/>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648" w:name="_Toc189743414"/>
      <w:r>
        <w:rPr>
          <w:rStyle w:val="CharSectno"/>
        </w:rPr>
        <w:t>205ZC</w:t>
      </w:r>
      <w:r>
        <w:t>.</w:t>
      </w:r>
      <w:r>
        <w:tab/>
        <w:t>Right of de facto partner to maintenance — FLA s. 72</w:t>
      </w:r>
      <w:bookmarkEnd w:id="648"/>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649" w:name="_Toc189743415"/>
      <w:r>
        <w:rPr>
          <w:rStyle w:val="CharSectno"/>
        </w:rPr>
        <w:t>205ZCA</w:t>
      </w:r>
      <w:r>
        <w:t>.</w:t>
      </w:r>
      <w:r>
        <w:tab/>
        <w:t>Powers of court in maintenance proceedings — FLA s. 74</w:t>
      </w:r>
      <w:bookmarkEnd w:id="649"/>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lastRenderedPageBreak/>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650" w:name="_Toc189743416"/>
      <w:r>
        <w:rPr>
          <w:rStyle w:val="CharSectno"/>
        </w:rPr>
        <w:lastRenderedPageBreak/>
        <w:t>205ZD</w:t>
      </w:r>
      <w:r>
        <w:t>.</w:t>
      </w:r>
      <w:r>
        <w:tab/>
        <w:t>Matters to be taken into consideration in relation to maintenance — FLA s. 75</w:t>
      </w:r>
      <w:bookmarkEnd w:id="650"/>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lastRenderedPageBreak/>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lastRenderedPageBreak/>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651" w:name="_Toc189743417"/>
      <w:r>
        <w:rPr>
          <w:rStyle w:val="CharSectno"/>
        </w:rPr>
        <w:t>205ZE</w:t>
      </w:r>
      <w:r>
        <w:t>.</w:t>
      </w:r>
      <w:r>
        <w:tab/>
        <w:t>Urgent de facto partner maintenance cases — FLA s. 77</w:t>
      </w:r>
      <w:bookmarkEnd w:id="651"/>
    </w:p>
    <w:p>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652" w:name="_Toc189743418"/>
      <w:r>
        <w:rPr>
          <w:rStyle w:val="CharSectno"/>
        </w:rPr>
        <w:t>205ZF</w:t>
      </w:r>
      <w:r>
        <w:t>.</w:t>
      </w:r>
      <w:r>
        <w:tab/>
        <w:t>Specifications in orders of payments etc. for de facto maintenance purposes — FLA s. 77A</w:t>
      </w:r>
      <w:bookmarkEnd w:id="652"/>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lastRenderedPageBreak/>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653" w:name="_Toc189743419"/>
      <w:r>
        <w:rPr>
          <w:rStyle w:val="CharSectno"/>
        </w:rPr>
        <w:t>205ZG</w:t>
      </w:r>
      <w:r>
        <w:t>.</w:t>
      </w:r>
      <w:r>
        <w:tab/>
        <w:t>Alteration of property interests — FLA s. 79</w:t>
      </w:r>
      <w:bookmarkEnd w:id="653"/>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lastRenderedPageBreak/>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lastRenderedPageBreak/>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lastRenderedPageBreak/>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lastRenderedPageBreak/>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lastRenderedPageBreak/>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654" w:name="_Toc189743420"/>
      <w:r>
        <w:rPr>
          <w:rStyle w:val="CharSectno"/>
        </w:rPr>
        <w:t>205ZH</w:t>
      </w:r>
      <w:r>
        <w:t>.</w:t>
      </w:r>
      <w:r>
        <w:tab/>
        <w:t>Setting aside of orders altering property interests — FLA s. 79A</w:t>
      </w:r>
      <w:bookmarkEnd w:id="654"/>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lastRenderedPageBreak/>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lastRenderedPageBreak/>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655" w:name="_Toc189743421"/>
      <w:r>
        <w:rPr>
          <w:rStyle w:val="CharSectno"/>
        </w:rPr>
        <w:t>205ZHA</w:t>
      </w:r>
      <w:r>
        <w:t>.</w:t>
      </w:r>
      <w:r>
        <w:tab/>
        <w:t>Notification of criminal confiscation orders etc. — FLA s. 79B</w:t>
      </w:r>
      <w:bookmarkEnd w:id="655"/>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lastRenderedPageBreak/>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656" w:name="_Toc189743422"/>
      <w:r>
        <w:rPr>
          <w:rStyle w:val="CharSectno"/>
        </w:rPr>
        <w:t>205ZHB</w:t>
      </w:r>
      <w:r>
        <w:t>.</w:t>
      </w:r>
      <w:r>
        <w:tab/>
        <w:t>Court to stay proceedings under this Division affected by criminal confiscation order etc. — FLA s. 79C</w:t>
      </w:r>
      <w:bookmarkEnd w:id="656"/>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lastRenderedPageBreak/>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657" w:name="_Toc189743423"/>
      <w:r>
        <w:rPr>
          <w:rStyle w:val="CharSectno"/>
        </w:rPr>
        <w:t>205ZHC</w:t>
      </w:r>
      <w:r>
        <w:t>.</w:t>
      </w:r>
      <w:r>
        <w:tab/>
        <w:t>Lifting a stay — FLA s. 79D</w:t>
      </w:r>
      <w:bookmarkEnd w:id="657"/>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658" w:name="_Toc189743424"/>
      <w:r>
        <w:rPr>
          <w:rStyle w:val="CharSectno"/>
        </w:rPr>
        <w:t>205ZHD</w:t>
      </w:r>
      <w:r>
        <w:t>.</w:t>
      </w:r>
      <w:r>
        <w:tab/>
        <w:t>Intervention by DPP — FLA s. 79E</w:t>
      </w:r>
      <w:bookmarkEnd w:id="658"/>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659" w:name="_Toc189743425"/>
      <w:r>
        <w:rPr>
          <w:rStyle w:val="CharSectno"/>
        </w:rPr>
        <w:t>205ZHE</w:t>
      </w:r>
      <w:r>
        <w:t>.</w:t>
      </w:r>
      <w:r>
        <w:tab/>
        <w:t>Notifying third parties about application — FLA s. 79F</w:t>
      </w:r>
      <w:bookmarkEnd w:id="659"/>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660" w:name="_Toc189743426"/>
      <w:r>
        <w:rPr>
          <w:rStyle w:val="CharSectno"/>
        </w:rPr>
        <w:t>205ZHF</w:t>
      </w:r>
      <w:r>
        <w:t>.</w:t>
      </w:r>
      <w:r>
        <w:tab/>
        <w:t>Notifying bankruptcy trustee etc. about application under section 205ZA, 205ZCA, 205ZG or 205ZH — FLA s. 79G</w:t>
      </w:r>
      <w:bookmarkEnd w:id="660"/>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661" w:name="_Toc189743427"/>
      <w:r>
        <w:rPr>
          <w:rStyle w:val="CharSectno"/>
        </w:rPr>
        <w:t>205ZHG</w:t>
      </w:r>
      <w:r>
        <w:t>.</w:t>
      </w:r>
      <w:r>
        <w:tab/>
        <w:t>Notifying court about bankruptcy etc. — FLA s. 79H</w:t>
      </w:r>
      <w:bookmarkEnd w:id="661"/>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662" w:name="_Toc189743428"/>
      <w:r>
        <w:rPr>
          <w:rStyle w:val="CharSectno"/>
        </w:rPr>
        <w:lastRenderedPageBreak/>
        <w:t>205ZHH</w:t>
      </w:r>
      <w:r>
        <w:t>.</w:t>
      </w:r>
      <w:r>
        <w:tab/>
        <w:t>Notifying non</w:t>
      </w:r>
      <w:r>
        <w:noBreakHyphen/>
        <w:t>bankrupt de facto partner about application under Bankruptcy Act section 139A — FLA s. 79J</w:t>
      </w:r>
      <w:bookmarkEnd w:id="662"/>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663" w:name="_Toc189743429"/>
      <w:r>
        <w:rPr>
          <w:rStyle w:val="CharSectno"/>
        </w:rPr>
        <w:t>205ZI</w:t>
      </w:r>
      <w:r>
        <w:t>.</w:t>
      </w:r>
      <w:r>
        <w:tab/>
        <w:t>General powers of court — FLA s. 80</w:t>
      </w:r>
      <w:bookmarkEnd w:id="663"/>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lastRenderedPageBreak/>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lastRenderedPageBreak/>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664" w:name="_Toc189743430"/>
      <w:r>
        <w:rPr>
          <w:rStyle w:val="CharSectno"/>
        </w:rPr>
        <w:t>205ZJ</w:t>
      </w:r>
      <w:r>
        <w:t>.</w:t>
      </w:r>
      <w:r>
        <w:tab/>
        <w:t>Duty of court to end financial relations of de facto partners — FLA s. 81</w:t>
      </w:r>
      <w:bookmarkEnd w:id="664"/>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665" w:name="_Toc189743431"/>
      <w:r>
        <w:rPr>
          <w:rStyle w:val="CharSectno"/>
        </w:rPr>
        <w:t>205ZK</w:t>
      </w:r>
      <w:r>
        <w:t>.</w:t>
      </w:r>
      <w:r>
        <w:tab/>
        <w:t>Cessation of de facto maintenance orders — FLA s. 82</w:t>
      </w:r>
      <w:bookmarkEnd w:id="66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666" w:name="_Toc189743432"/>
      <w:r>
        <w:rPr>
          <w:rStyle w:val="CharSectno"/>
        </w:rPr>
        <w:lastRenderedPageBreak/>
        <w:t>205ZL</w:t>
      </w:r>
      <w:r>
        <w:t>.</w:t>
      </w:r>
      <w:r>
        <w:tab/>
        <w:t>Modification of de facto maintenance orders — FLA s. 83</w:t>
      </w:r>
      <w:bookmarkEnd w:id="666"/>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lastRenderedPageBreak/>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667" w:name="_Toc189558605"/>
      <w:bookmarkStart w:id="668" w:name="_Toc189654128"/>
      <w:bookmarkStart w:id="669" w:name="_Toc189743433"/>
      <w:r>
        <w:rPr>
          <w:rStyle w:val="CharDivNo"/>
        </w:rPr>
        <w:t>Division 2A</w:t>
      </w:r>
      <w:r>
        <w:t> — </w:t>
      </w:r>
      <w:r>
        <w:rPr>
          <w:rStyle w:val="CharDivText"/>
        </w:rPr>
        <w:t>Orders and injunctions binding third parties</w:t>
      </w:r>
      <w:bookmarkEnd w:id="667"/>
      <w:bookmarkEnd w:id="668"/>
      <w:bookmarkEnd w:id="669"/>
    </w:p>
    <w:p>
      <w:pPr>
        <w:pStyle w:val="Footnotesection"/>
        <w:keepNext/>
        <w:spacing w:before="100"/>
        <w:ind w:left="890" w:hanging="890"/>
      </w:pPr>
      <w:r>
        <w:tab/>
        <w:t>[Heading inserted: No. 35 of 2006 s. 34.]</w:t>
      </w:r>
    </w:p>
    <w:p>
      <w:pPr>
        <w:pStyle w:val="Heading4"/>
      </w:pPr>
      <w:bookmarkStart w:id="670" w:name="_Toc189558606"/>
      <w:bookmarkStart w:id="671" w:name="_Toc189654129"/>
      <w:bookmarkStart w:id="672" w:name="_Toc189743434"/>
      <w:r>
        <w:t>Subdivision 1 — Introductory</w:t>
      </w:r>
      <w:bookmarkEnd w:id="670"/>
      <w:bookmarkEnd w:id="671"/>
      <w:bookmarkEnd w:id="672"/>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673" w:name="_Toc189743435"/>
      <w:r>
        <w:rPr>
          <w:rStyle w:val="CharSectno"/>
        </w:rPr>
        <w:t>205ZLA</w:t>
      </w:r>
      <w:r>
        <w:t>.</w:t>
      </w:r>
      <w:r>
        <w:tab/>
        <w:t>Object of Division — FLA s. 90AA</w:t>
      </w:r>
      <w:bookmarkEnd w:id="673"/>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lastRenderedPageBreak/>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674" w:name="_Toc189743436"/>
      <w:r>
        <w:rPr>
          <w:rStyle w:val="CharSectno"/>
        </w:rPr>
        <w:t>205ZLB</w:t>
      </w:r>
      <w:r>
        <w:t>.</w:t>
      </w:r>
      <w:r>
        <w:tab/>
        <w:t>Term used: third party — FLA s. 90AB</w:t>
      </w:r>
      <w:bookmarkEnd w:id="674"/>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675" w:name="_Toc189743437"/>
      <w:r>
        <w:rPr>
          <w:rStyle w:val="CharSectno"/>
        </w:rPr>
        <w:t>205ZLC</w:t>
      </w:r>
      <w:r>
        <w:t>.</w:t>
      </w:r>
      <w:r>
        <w:tab/>
        <w:t>This Division overrides other laws, trust deeds, etc. — FLA s. 90AC</w:t>
      </w:r>
      <w:bookmarkEnd w:id="675"/>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676" w:name="_Toc189743438"/>
      <w:r>
        <w:rPr>
          <w:rStyle w:val="CharSectno"/>
        </w:rPr>
        <w:t>205ZLD</w:t>
      </w:r>
      <w:r>
        <w:t>.</w:t>
      </w:r>
      <w:r>
        <w:tab/>
        <w:t xml:space="preserve">Extended meaning of </w:t>
      </w:r>
      <w:r>
        <w:rPr>
          <w:i/>
        </w:rPr>
        <w:t>property</w:t>
      </w:r>
      <w:r>
        <w:t> — FLA s. 90AD</w:t>
      </w:r>
      <w:bookmarkEnd w:id="676"/>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lastRenderedPageBreak/>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677" w:name="_Toc189743439"/>
      <w:r>
        <w:rPr>
          <w:rStyle w:val="CharSectno"/>
        </w:rPr>
        <w:t>205ZLE</w:t>
      </w:r>
      <w:r>
        <w:t>.</w:t>
      </w:r>
      <w:r>
        <w:tab/>
        <w:t>Other provisions of this Act not affected by this Division — FLA s. 90ADA</w:t>
      </w:r>
      <w:bookmarkEnd w:id="677"/>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678" w:name="_Toc189558612"/>
      <w:bookmarkStart w:id="679" w:name="_Toc189654135"/>
      <w:bookmarkStart w:id="680" w:name="_Toc189743440"/>
      <w:r>
        <w:t>Subdivision 2 — Orders under section 205ZG</w:t>
      </w:r>
      <w:bookmarkEnd w:id="678"/>
      <w:bookmarkEnd w:id="679"/>
      <w:bookmarkEnd w:id="680"/>
    </w:p>
    <w:p>
      <w:pPr>
        <w:pStyle w:val="Footnotesection"/>
        <w:keepNext/>
      </w:pPr>
      <w:r>
        <w:tab/>
        <w:t>[Heading inserted: No. 35 of 2006 s. 34.]</w:t>
      </w:r>
    </w:p>
    <w:p>
      <w:pPr>
        <w:pStyle w:val="Heading5"/>
        <w:tabs>
          <w:tab w:val="clear" w:pos="879"/>
          <w:tab w:val="left" w:pos="993"/>
        </w:tabs>
      </w:pPr>
      <w:bookmarkStart w:id="681" w:name="_Toc189743441"/>
      <w:r>
        <w:rPr>
          <w:rStyle w:val="CharSectno"/>
        </w:rPr>
        <w:t>205ZLF</w:t>
      </w:r>
      <w:r>
        <w:t>.</w:t>
      </w:r>
      <w:r>
        <w:tab/>
        <w:t>Court may make an order under section 205ZG binding a third party — FLA s. 90AE</w:t>
      </w:r>
      <w:bookmarkEnd w:id="681"/>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lastRenderedPageBreak/>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682" w:name="_Toc189558614"/>
      <w:bookmarkStart w:id="683" w:name="_Toc189654137"/>
      <w:bookmarkStart w:id="684" w:name="_Toc189743442"/>
      <w:r>
        <w:t>Subdivision 3 — Orders or injunctions under section 235A</w:t>
      </w:r>
      <w:bookmarkEnd w:id="682"/>
      <w:bookmarkEnd w:id="683"/>
      <w:bookmarkEnd w:id="684"/>
    </w:p>
    <w:p>
      <w:pPr>
        <w:pStyle w:val="Footnotesection"/>
        <w:keepNext/>
      </w:pPr>
      <w:r>
        <w:tab/>
        <w:t>[Heading inserted: No. 35 of 2006 s. 34.]</w:t>
      </w:r>
    </w:p>
    <w:p>
      <w:pPr>
        <w:pStyle w:val="Heading5"/>
        <w:tabs>
          <w:tab w:val="clear" w:pos="879"/>
          <w:tab w:val="left" w:pos="993"/>
        </w:tabs>
      </w:pPr>
      <w:bookmarkStart w:id="685" w:name="_Toc189743443"/>
      <w:r>
        <w:rPr>
          <w:rStyle w:val="CharSectno"/>
        </w:rPr>
        <w:t>205ZLG</w:t>
      </w:r>
      <w:r>
        <w:t>.</w:t>
      </w:r>
      <w:r>
        <w:tab/>
        <w:t>Court may make an order or injunction under section 235A binding a third party — FLA s. 90AF</w:t>
      </w:r>
      <w:bookmarkEnd w:id="685"/>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lastRenderedPageBreak/>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lastRenderedPageBreak/>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686" w:name="_Toc189558616"/>
      <w:bookmarkStart w:id="687" w:name="_Toc189654139"/>
      <w:bookmarkStart w:id="688" w:name="_Toc189743444"/>
      <w:r>
        <w:t>Subdivision 4 — Other matters</w:t>
      </w:r>
      <w:bookmarkEnd w:id="686"/>
      <w:bookmarkEnd w:id="687"/>
      <w:bookmarkEnd w:id="688"/>
      <w:r>
        <w:t xml:space="preserve"> </w:t>
      </w:r>
    </w:p>
    <w:p>
      <w:pPr>
        <w:pStyle w:val="Footnotesection"/>
        <w:keepNext/>
      </w:pPr>
      <w:r>
        <w:tab/>
        <w:t>[Heading inserted: No. 35 of 2006 s. 34.]</w:t>
      </w:r>
    </w:p>
    <w:p>
      <w:pPr>
        <w:pStyle w:val="Heading5"/>
        <w:tabs>
          <w:tab w:val="clear" w:pos="879"/>
          <w:tab w:val="left" w:pos="993"/>
        </w:tabs>
      </w:pPr>
      <w:bookmarkStart w:id="689" w:name="_Toc189743445"/>
      <w:r>
        <w:rPr>
          <w:rStyle w:val="CharSectno"/>
        </w:rPr>
        <w:t>205ZLH</w:t>
      </w:r>
      <w:r>
        <w:t>.</w:t>
      </w:r>
      <w:r>
        <w:tab/>
        <w:t>Orders and injunctions binding on trustees — FLA s. 90AG</w:t>
      </w:r>
      <w:bookmarkEnd w:id="689"/>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90" w:name="_Toc189743446"/>
      <w:r>
        <w:rPr>
          <w:rStyle w:val="CharSectno"/>
        </w:rPr>
        <w:t>205ZLI</w:t>
      </w:r>
      <w:r>
        <w:t>.</w:t>
      </w:r>
      <w:r>
        <w:tab/>
        <w:t xml:space="preserve"> Protection for third party — FLA s. 90AH</w:t>
      </w:r>
      <w:bookmarkEnd w:id="690"/>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91" w:name="_Toc189743447"/>
      <w:r>
        <w:rPr>
          <w:rStyle w:val="CharSectno"/>
        </w:rPr>
        <w:t>205ZLJ</w:t>
      </w:r>
      <w:r>
        <w:t>.</w:t>
      </w:r>
      <w:r>
        <w:tab/>
        <w:t>Service of documents on third party — FLA s. 90AI</w:t>
      </w:r>
      <w:bookmarkEnd w:id="69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lastRenderedPageBreak/>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92" w:name="_Toc189743448"/>
      <w:r>
        <w:rPr>
          <w:rStyle w:val="CharSectno"/>
        </w:rPr>
        <w:t>205ZLK</w:t>
      </w:r>
      <w:r>
        <w:t>.</w:t>
      </w:r>
      <w:r>
        <w:tab/>
        <w:t>Expenses of third party — FLA s. 90AJ</w:t>
      </w:r>
      <w:bookmarkEnd w:id="692"/>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93" w:name="_Toc189558621"/>
      <w:bookmarkStart w:id="694" w:name="_Toc189654144"/>
      <w:bookmarkStart w:id="695" w:name="_Toc189743449"/>
      <w:r>
        <w:rPr>
          <w:rStyle w:val="CharDivNo"/>
        </w:rPr>
        <w:lastRenderedPageBreak/>
        <w:t>Division 3</w:t>
      </w:r>
      <w:r>
        <w:t> — </w:t>
      </w:r>
      <w:r>
        <w:rPr>
          <w:rStyle w:val="CharDivText"/>
        </w:rPr>
        <w:t>Financial agreements</w:t>
      </w:r>
      <w:bookmarkEnd w:id="693"/>
      <w:bookmarkEnd w:id="694"/>
      <w:bookmarkEnd w:id="695"/>
    </w:p>
    <w:p>
      <w:pPr>
        <w:pStyle w:val="Footnoteheading"/>
        <w:keepNext/>
      </w:pPr>
      <w:r>
        <w:tab/>
        <w:t>[Heading inserted: No. 25 of 2002 s. 47.]</w:t>
      </w:r>
    </w:p>
    <w:p>
      <w:pPr>
        <w:pStyle w:val="Heading5"/>
        <w:spacing w:before="240"/>
      </w:pPr>
      <w:bookmarkStart w:id="696" w:name="_Toc189743450"/>
      <w:r>
        <w:rPr>
          <w:rStyle w:val="CharSectno"/>
        </w:rPr>
        <w:t>205ZM</w:t>
      </w:r>
      <w:r>
        <w:t>.</w:t>
      </w:r>
      <w:r>
        <w:tab/>
        <w:t>Term used: dealt with — FLA s. 90A</w:t>
      </w:r>
      <w:bookmarkEnd w:id="696"/>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97" w:name="_Toc189743451"/>
      <w:r>
        <w:rPr>
          <w:rStyle w:val="CharSectno"/>
        </w:rPr>
        <w:t>205ZN</w:t>
      </w:r>
      <w:r>
        <w:t>.</w:t>
      </w:r>
      <w:r>
        <w:tab/>
        <w:t>Financial agreements before beginning de facto relationship — FLA s. 90B</w:t>
      </w:r>
      <w:bookmarkEnd w:id="697"/>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lastRenderedPageBreak/>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98" w:name="_Toc189743452"/>
      <w:r>
        <w:rPr>
          <w:rStyle w:val="CharSectno"/>
        </w:rPr>
        <w:t>205ZO</w:t>
      </w:r>
      <w:r>
        <w:t>.</w:t>
      </w:r>
      <w:r>
        <w:tab/>
        <w:t>Financial agreements during de facto relationship — FLA s. 90C</w:t>
      </w:r>
      <w:bookmarkEnd w:id="698"/>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lastRenderedPageBreak/>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99" w:name="_Toc189743453"/>
      <w:r>
        <w:rPr>
          <w:rStyle w:val="CharSectno"/>
        </w:rPr>
        <w:t>205ZP</w:t>
      </w:r>
      <w:r>
        <w:t>.</w:t>
      </w:r>
      <w:r>
        <w:tab/>
        <w:t>Financial agreements after de facto relationship ends — FLA s. 90D</w:t>
      </w:r>
      <w:bookmarkEnd w:id="699"/>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lastRenderedPageBreak/>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700" w:name="_Toc189743454"/>
      <w:r>
        <w:rPr>
          <w:rStyle w:val="CharSectno"/>
        </w:rPr>
        <w:t>205ZPA</w:t>
      </w:r>
      <w:r>
        <w:t>.</w:t>
      </w:r>
      <w:r>
        <w:tab/>
        <w:t>Financial agreement may include agreement that deals with superannuation</w:t>
      </w:r>
      <w:bookmarkEnd w:id="700"/>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701" w:name="_Toc189743455"/>
      <w:r>
        <w:rPr>
          <w:rStyle w:val="CharSectno"/>
        </w:rPr>
        <w:t>205ZPB</w:t>
      </w:r>
      <w:r>
        <w:t>.</w:t>
      </w:r>
      <w:r>
        <w:tab/>
        <w:t>Need for separation declaration for certain provisions of financial agreement or former financial agreement to take effect — FLA s. 90DA</w:t>
      </w:r>
      <w:bookmarkEnd w:id="701"/>
    </w:p>
    <w:p>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702" w:name="_Toc189743456"/>
      <w:r>
        <w:rPr>
          <w:rStyle w:val="CharSectno"/>
        </w:rPr>
        <w:lastRenderedPageBreak/>
        <w:t>205ZQ</w:t>
      </w:r>
      <w:r>
        <w:t>.</w:t>
      </w:r>
      <w:r>
        <w:tab/>
        <w:t>Requirements with respect to provisions in financial agreements relating to maintenance of de facto partner or child or children — FLA s. 90E</w:t>
      </w:r>
      <w:bookmarkEnd w:id="702"/>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703" w:name="_Toc189743457"/>
      <w:r>
        <w:rPr>
          <w:rStyle w:val="CharSectno"/>
        </w:rPr>
        <w:t>205ZR</w:t>
      </w:r>
      <w:r>
        <w:t>.</w:t>
      </w:r>
      <w:r>
        <w:tab/>
        <w:t>Certain provisions in agreements — FLA s. 90F</w:t>
      </w:r>
      <w:bookmarkEnd w:id="703"/>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704" w:name="_Toc189743458"/>
      <w:r>
        <w:rPr>
          <w:rStyle w:val="CharSectno"/>
        </w:rPr>
        <w:lastRenderedPageBreak/>
        <w:t>205ZS</w:t>
      </w:r>
      <w:r>
        <w:t>.</w:t>
      </w:r>
      <w:r>
        <w:tab/>
        <w:t>When financial agreements and former financial agreements are binding — FLA s. 90G</w:t>
      </w:r>
      <w:bookmarkEnd w:id="704"/>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705" w:name="_Toc189743459"/>
      <w:r>
        <w:rPr>
          <w:rStyle w:val="CharSectno"/>
        </w:rPr>
        <w:t>205ZT</w:t>
      </w:r>
      <w:r>
        <w:t>.</w:t>
      </w:r>
      <w:r>
        <w:tab/>
        <w:t>Effect of death of party to financial agreement — FLA s. 90H</w:t>
      </w:r>
      <w:bookmarkEnd w:id="705"/>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706" w:name="_Toc189743460"/>
      <w:r>
        <w:rPr>
          <w:rStyle w:val="CharSectno"/>
        </w:rPr>
        <w:t>205ZU</w:t>
      </w:r>
      <w:r>
        <w:t>.</w:t>
      </w:r>
      <w:r>
        <w:tab/>
        <w:t>Termination of financial agreement and former financial agreement — FLA s. 90J</w:t>
      </w:r>
      <w:bookmarkEnd w:id="706"/>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707" w:name="_Toc189743461"/>
      <w:r>
        <w:rPr>
          <w:rStyle w:val="CharSectno"/>
        </w:rPr>
        <w:t>205ZV</w:t>
      </w:r>
      <w:r>
        <w:t>.</w:t>
      </w:r>
      <w:r>
        <w:tab/>
        <w:t>Circumstances in which court may set aside financial agreement, termination agreement or former financial agreement — FLA s. 90K</w:t>
      </w:r>
      <w:bookmarkEnd w:id="707"/>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lastRenderedPageBreak/>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708" w:name="_Toc189743462"/>
      <w:r>
        <w:rPr>
          <w:rStyle w:val="CharSectno"/>
        </w:rPr>
        <w:lastRenderedPageBreak/>
        <w:t>205ZW</w:t>
      </w:r>
      <w:r>
        <w:t>.</w:t>
      </w:r>
      <w:r>
        <w:tab/>
        <w:t>Validity, enforceability and effect of financial agreements, termination agreements and former financial agreements — FLA s. 90KA</w:t>
      </w:r>
      <w:bookmarkEnd w:id="708"/>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709" w:name="_Toc189743463"/>
      <w:r>
        <w:rPr>
          <w:rStyle w:val="CharSectno"/>
        </w:rPr>
        <w:lastRenderedPageBreak/>
        <w:t>205ZX</w:t>
      </w:r>
      <w:r>
        <w:t>.</w:t>
      </w:r>
      <w:r>
        <w:tab/>
        <w:t>Notification of criminal property confiscation order etc. — FLA s. 90M</w:t>
      </w:r>
      <w:bookmarkEnd w:id="709"/>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710" w:name="_Toc189743464"/>
      <w:r>
        <w:rPr>
          <w:rStyle w:val="CharSectno"/>
        </w:rPr>
        <w:t>205ZY</w:t>
      </w:r>
      <w:r>
        <w:t>.</w:t>
      </w:r>
      <w:r>
        <w:tab/>
        <w:t>Court to stay proceedings under Division 2 affected by criminal confiscation order etc. — FLA s. 90N</w:t>
      </w:r>
      <w:bookmarkEnd w:id="710"/>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711" w:name="_Toc189743465"/>
      <w:r>
        <w:rPr>
          <w:rStyle w:val="CharSectno"/>
        </w:rPr>
        <w:t>205ZZ</w:t>
      </w:r>
      <w:r>
        <w:t>.</w:t>
      </w:r>
      <w:r>
        <w:tab/>
        <w:t>Lifting a stay — FLA s. 90P</w:t>
      </w:r>
      <w:bookmarkEnd w:id="711"/>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712" w:name="_Toc189743466"/>
      <w:r>
        <w:rPr>
          <w:rStyle w:val="CharSectno"/>
        </w:rPr>
        <w:t>205ZZA</w:t>
      </w:r>
      <w:r>
        <w:t>.</w:t>
      </w:r>
      <w:r>
        <w:tab/>
        <w:t>Intervention by DPP — FLA s. 90Q</w:t>
      </w:r>
      <w:bookmarkEnd w:id="712"/>
    </w:p>
    <w:p>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713" w:name="_Toc189558639"/>
      <w:bookmarkStart w:id="714" w:name="_Toc189654162"/>
      <w:bookmarkStart w:id="715" w:name="_Toc189743467"/>
      <w:r>
        <w:rPr>
          <w:rStyle w:val="CharPartNo"/>
        </w:rPr>
        <w:lastRenderedPageBreak/>
        <w:t>Part 6</w:t>
      </w:r>
      <w:r>
        <w:rPr>
          <w:rStyle w:val="CharDivNo"/>
        </w:rPr>
        <w:t> </w:t>
      </w:r>
      <w:r>
        <w:t>—</w:t>
      </w:r>
      <w:r>
        <w:rPr>
          <w:rStyle w:val="CharDivText"/>
        </w:rPr>
        <w:t> </w:t>
      </w:r>
      <w:r>
        <w:rPr>
          <w:rStyle w:val="CharPartText"/>
        </w:rPr>
        <w:t>Intervention</w:t>
      </w:r>
      <w:bookmarkEnd w:id="713"/>
      <w:bookmarkEnd w:id="714"/>
      <w:bookmarkEnd w:id="715"/>
      <w:r>
        <w:rPr>
          <w:rStyle w:val="CharPartText"/>
        </w:rPr>
        <w:t xml:space="preserve"> </w:t>
      </w:r>
    </w:p>
    <w:p>
      <w:pPr>
        <w:pStyle w:val="Heading5"/>
        <w:rPr>
          <w:snapToGrid w:val="0"/>
        </w:rPr>
      </w:pPr>
      <w:bookmarkStart w:id="716" w:name="_Toc189743468"/>
      <w:r>
        <w:rPr>
          <w:rStyle w:val="CharSectno"/>
        </w:rPr>
        <w:t>206</w:t>
      </w:r>
      <w:r>
        <w:rPr>
          <w:snapToGrid w:val="0"/>
        </w:rPr>
        <w:t>.</w:t>
      </w:r>
      <w:r>
        <w:rPr>
          <w:snapToGrid w:val="0"/>
        </w:rPr>
        <w:tab/>
        <w:t>Intervention by Attorney General — FLA s. 91</w:t>
      </w:r>
      <w:bookmarkEnd w:id="71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717" w:name="_Toc189743469"/>
      <w:r>
        <w:rPr>
          <w:rStyle w:val="CharSectno"/>
        </w:rPr>
        <w:t>207</w:t>
      </w:r>
      <w:r>
        <w:rPr>
          <w:snapToGrid w:val="0"/>
        </w:rPr>
        <w:t>.</w:t>
      </w:r>
      <w:r>
        <w:rPr>
          <w:snapToGrid w:val="0"/>
        </w:rPr>
        <w:tab/>
        <w:t>Intervention by CEO — FLA s. 91B</w:t>
      </w:r>
      <w:bookmarkEnd w:id="71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718" w:name="_Toc189743470"/>
      <w:r>
        <w:rPr>
          <w:rStyle w:val="CharSectno"/>
        </w:rPr>
        <w:lastRenderedPageBreak/>
        <w:t>208</w:t>
      </w:r>
      <w:r>
        <w:rPr>
          <w:snapToGrid w:val="0"/>
        </w:rPr>
        <w:t>.</w:t>
      </w:r>
      <w:r>
        <w:rPr>
          <w:snapToGrid w:val="0"/>
        </w:rPr>
        <w:tab/>
        <w:t>Intervention by other persons — FLA s. 92</w:t>
      </w:r>
      <w:bookmarkEnd w:id="718"/>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719" w:name="_Toc189743471"/>
      <w:r>
        <w:rPr>
          <w:rStyle w:val="CharSectno"/>
        </w:rPr>
        <w:t>209</w:t>
      </w:r>
      <w:r>
        <w:rPr>
          <w:snapToGrid w:val="0"/>
        </w:rPr>
        <w:t>.</w:t>
      </w:r>
      <w:r>
        <w:rPr>
          <w:snapToGrid w:val="0"/>
        </w:rPr>
        <w:tab/>
        <w:t>Intervention in child abuse cases — FLA s. 92A</w:t>
      </w:r>
      <w:bookmarkEnd w:id="719"/>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lastRenderedPageBreak/>
        <w:tab/>
        <w:t xml:space="preserve">[Section 209 amended: </w:t>
      </w:r>
      <w:r>
        <w:rPr>
          <w:spacing w:val="-6"/>
        </w:rPr>
        <w:t>No. 34 of 2004 Sch. 2 cl. 10(7)</w:t>
      </w:r>
      <w:r>
        <w:t>; No. 35 of 2006 s. 167.]</w:t>
      </w:r>
    </w:p>
    <w:p>
      <w:pPr>
        <w:pStyle w:val="Heading2"/>
      </w:pPr>
      <w:bookmarkStart w:id="720" w:name="_Toc189558644"/>
      <w:bookmarkStart w:id="721" w:name="_Toc189654167"/>
      <w:bookmarkStart w:id="722" w:name="_Toc189743472"/>
      <w:r>
        <w:rPr>
          <w:rStyle w:val="CharPartNo"/>
        </w:rPr>
        <w:lastRenderedPageBreak/>
        <w:t>Part 7</w:t>
      </w:r>
      <w:r>
        <w:rPr>
          <w:rStyle w:val="CharDivNo"/>
        </w:rPr>
        <w:t> </w:t>
      </w:r>
      <w:r>
        <w:t>—</w:t>
      </w:r>
      <w:r>
        <w:rPr>
          <w:rStyle w:val="CharDivText"/>
        </w:rPr>
        <w:t> </w:t>
      </w:r>
      <w:r>
        <w:rPr>
          <w:rStyle w:val="CharPartText"/>
        </w:rPr>
        <w:t>Appeals</w:t>
      </w:r>
      <w:bookmarkEnd w:id="720"/>
      <w:bookmarkEnd w:id="721"/>
      <w:bookmarkEnd w:id="722"/>
      <w:r>
        <w:rPr>
          <w:rStyle w:val="CharPartText"/>
        </w:rPr>
        <w:t xml:space="preserve"> </w:t>
      </w:r>
    </w:p>
    <w:p>
      <w:pPr>
        <w:pStyle w:val="Heading5"/>
      </w:pPr>
      <w:bookmarkStart w:id="723" w:name="_Toc189743473"/>
      <w:r>
        <w:rPr>
          <w:rStyle w:val="CharSectno"/>
        </w:rPr>
        <w:t>209A</w:t>
      </w:r>
      <w:r>
        <w:t>.</w:t>
      </w:r>
      <w:r>
        <w:tab/>
        <w:t>Terms used</w:t>
      </w:r>
      <w:bookmarkEnd w:id="72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724" w:name="_Toc189743474"/>
      <w:r>
        <w:rPr>
          <w:rStyle w:val="CharSectno"/>
        </w:rPr>
        <w:t>210</w:t>
      </w:r>
      <w:r>
        <w:rPr>
          <w:snapToGrid w:val="0"/>
        </w:rPr>
        <w:t>.</w:t>
      </w:r>
      <w:r>
        <w:rPr>
          <w:snapToGrid w:val="0"/>
        </w:rPr>
        <w:tab/>
        <w:t>Federal jurisdiction</w:t>
      </w:r>
      <w:bookmarkEnd w:id="724"/>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725" w:name="_Toc189743475"/>
      <w:r>
        <w:rPr>
          <w:rStyle w:val="CharSectno"/>
        </w:rPr>
        <w:t>210A</w:t>
      </w:r>
      <w:r>
        <w:t>.</w:t>
      </w:r>
      <w:r>
        <w:tab/>
        <w:t>Non</w:t>
      </w:r>
      <w:r>
        <w:noBreakHyphen/>
        <w:t>federal jurisdictions — appeal from decree of Magistrates Court constituted by family law magistrate</w:t>
      </w:r>
      <w:bookmarkEnd w:id="725"/>
    </w:p>
    <w:p>
      <w:pPr>
        <w:pStyle w:val="Subsection"/>
      </w:pPr>
      <w:r>
        <w:tab/>
        <w:t>(1)</w:t>
      </w:r>
      <w:r>
        <w:tab/>
        <w:t>This section applies only if the Magistrates Court is constituted by a family law magistrate.</w:t>
      </w:r>
    </w:p>
    <w:p>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lastRenderedPageBreak/>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726" w:name="_Toc189743476"/>
      <w:r>
        <w:rPr>
          <w:rStyle w:val="CharSectno"/>
        </w:rPr>
        <w:t>210AA</w:t>
      </w:r>
      <w:r>
        <w:t>.</w:t>
      </w:r>
      <w:r>
        <w:tab/>
        <w:t>Leave to appeal needed in some cases referred to in section 210A</w:t>
      </w:r>
      <w:bookmarkEnd w:id="726"/>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727" w:name="_Toc189743477"/>
      <w:r>
        <w:rPr>
          <w:rStyle w:val="CharSectno"/>
        </w:rPr>
        <w:t>210AB</w:t>
      </w:r>
      <w:r>
        <w:t>.</w:t>
      </w:r>
      <w:r>
        <w:tab/>
        <w:t>Case stated</w:t>
      </w:r>
      <w:bookmarkEnd w:id="72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728" w:name="_Toc189743478"/>
      <w:r>
        <w:rPr>
          <w:rStyle w:val="CharSectno"/>
        </w:rPr>
        <w:lastRenderedPageBreak/>
        <w:t>211</w:t>
      </w:r>
      <w:r>
        <w:rPr>
          <w:snapToGrid w:val="0"/>
        </w:rPr>
        <w:t>.</w:t>
      </w:r>
      <w:r>
        <w:rPr>
          <w:snapToGrid w:val="0"/>
        </w:rPr>
        <w:tab/>
        <w:t>Non</w:t>
      </w:r>
      <w:r>
        <w:rPr>
          <w:snapToGrid w:val="0"/>
        </w:rPr>
        <w:noBreakHyphen/>
        <w:t>federal jurisdictions</w:t>
      </w:r>
      <w:bookmarkEnd w:id="728"/>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729" w:name="_Toc189743479"/>
      <w:r>
        <w:rPr>
          <w:rStyle w:val="CharSectno"/>
        </w:rPr>
        <w:t>211A</w:t>
      </w:r>
      <w:r>
        <w:t>.</w:t>
      </w:r>
      <w:r>
        <w:tab/>
        <w:t>Appeals, and applications for leave, without oral hearing</w:t>
      </w:r>
      <w:bookmarkEnd w:id="729"/>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730" w:name="_Toc189743480"/>
      <w:r>
        <w:rPr>
          <w:rStyle w:val="CharSectno"/>
        </w:rPr>
        <w:t>211B</w:t>
      </w:r>
      <w:r>
        <w:t>.</w:t>
      </w:r>
      <w:r>
        <w:tab/>
        <w:t>Appeal may be dismissed if no reasonable prospect of success</w:t>
      </w:r>
      <w:bookmarkEnd w:id="730"/>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731" w:name="_Toc189558653"/>
      <w:bookmarkStart w:id="732" w:name="_Toc189654176"/>
      <w:bookmarkStart w:id="733" w:name="_Toc189743481"/>
      <w:r>
        <w:rPr>
          <w:rStyle w:val="CharPartNo"/>
        </w:rPr>
        <w:lastRenderedPageBreak/>
        <w:t>Part 8</w:t>
      </w:r>
      <w:r>
        <w:t> — </w:t>
      </w:r>
      <w:r>
        <w:rPr>
          <w:rStyle w:val="CharPartText"/>
        </w:rPr>
        <w:t>Procedure and evidence</w:t>
      </w:r>
      <w:bookmarkEnd w:id="731"/>
      <w:bookmarkEnd w:id="732"/>
      <w:bookmarkEnd w:id="733"/>
    </w:p>
    <w:p>
      <w:pPr>
        <w:pStyle w:val="Heading3"/>
      </w:pPr>
      <w:bookmarkStart w:id="734" w:name="_Toc184389795"/>
      <w:bookmarkStart w:id="735" w:name="_Toc184390000"/>
      <w:bookmarkStart w:id="736" w:name="_Toc184390205"/>
      <w:bookmarkStart w:id="737" w:name="_Toc189654177"/>
      <w:bookmarkStart w:id="738" w:name="_Toc189743482"/>
      <w:r>
        <w:rPr>
          <w:rStyle w:val="CharDivNo"/>
        </w:rPr>
        <w:t>Division 1A</w:t>
      </w:r>
      <w:r>
        <w:t> — </w:t>
      </w:r>
      <w:r>
        <w:rPr>
          <w:rStyle w:val="CharDivText"/>
        </w:rPr>
        <w:t>Overarching purpose of the family law practice and procedure provisions</w:t>
      </w:r>
      <w:bookmarkEnd w:id="734"/>
      <w:bookmarkEnd w:id="735"/>
      <w:bookmarkEnd w:id="736"/>
      <w:bookmarkEnd w:id="737"/>
      <w:bookmarkEnd w:id="738"/>
    </w:p>
    <w:p>
      <w:pPr>
        <w:pStyle w:val="Footnoteheading"/>
      </w:pPr>
      <w:r>
        <w:tab/>
        <w:t>[Heading inserted: No. 49 of 2024 s. 64.]</w:t>
      </w:r>
    </w:p>
    <w:p>
      <w:pPr>
        <w:pStyle w:val="Heading5"/>
      </w:pPr>
      <w:bookmarkStart w:id="739" w:name="_Toc184390206"/>
      <w:bookmarkStart w:id="740" w:name="_Toc189743483"/>
      <w:r>
        <w:rPr>
          <w:rStyle w:val="CharSectno"/>
        </w:rPr>
        <w:t>211C</w:t>
      </w:r>
      <w:r>
        <w:t>.</w:t>
      </w:r>
      <w:r>
        <w:tab/>
        <w:t>Overarching purpose of the family law practice and procedure provisions — FLA s. 95</w:t>
      </w:r>
      <w:bookmarkEnd w:id="739"/>
      <w:bookmarkEnd w:id="740"/>
    </w:p>
    <w:p>
      <w:pPr>
        <w:pStyle w:val="Subsection"/>
      </w:pPr>
      <w:r>
        <w:tab/>
        <w:t>(1)</w:t>
      </w:r>
      <w:r>
        <w:tab/>
        <w:t>The overarching purpose of the family law practice and procedure provisions is to facilitate the just resolution of disputes —</w:t>
      </w:r>
    </w:p>
    <w:p>
      <w:pPr>
        <w:pStyle w:val="Indenta"/>
      </w:pPr>
      <w:r>
        <w:tab/>
        <w:t>(a)</w:t>
      </w:r>
      <w:r>
        <w:tab/>
        <w:t>in a way that ensures the safety of families and children; and</w:t>
      </w:r>
    </w:p>
    <w:p>
      <w:pPr>
        <w:pStyle w:val="Indenta"/>
      </w:pPr>
      <w:r>
        <w:tab/>
        <w:t>(b)</w:t>
      </w:r>
      <w:r>
        <w:tab/>
        <w:t>in relation to proceedings under this Act in which the best interests of a child are the paramount consideration — in a way that promotes the best interests of the child; and</w:t>
      </w:r>
    </w:p>
    <w:p>
      <w:pPr>
        <w:pStyle w:val="Indenta"/>
      </w:pPr>
      <w:r>
        <w:tab/>
        <w:t>(c)</w:t>
      </w:r>
      <w:r>
        <w:tab/>
        <w:t>according to law; and</w:t>
      </w:r>
    </w:p>
    <w:p>
      <w:pPr>
        <w:pStyle w:val="Indenta"/>
      </w:pPr>
      <w:r>
        <w:tab/>
        <w:t>(d)</w:t>
      </w:r>
      <w:r>
        <w:tab/>
        <w:t>as quickly, inexpensively and efficiently as possible.</w:t>
      </w:r>
    </w:p>
    <w:p>
      <w:pPr>
        <w:pStyle w:val="Subsection"/>
      </w:pPr>
      <w:r>
        <w:tab/>
        <w:t>(2)</w:t>
      </w:r>
      <w:r>
        <w:tab/>
        <w:t>Without limiting subsection (1), the overarching purpose includes the following objectives in relation to proceedings under this Act —</w:t>
      </w:r>
    </w:p>
    <w:p>
      <w:pPr>
        <w:pStyle w:val="Indenta"/>
      </w:pPr>
      <w:r>
        <w:tab/>
        <w:t>(a)</w:t>
      </w:r>
      <w:r>
        <w:tab/>
        <w:t>the just determination of all such proceedings;</w:t>
      </w:r>
    </w:p>
    <w:p>
      <w:pPr>
        <w:pStyle w:val="Indenta"/>
      </w:pPr>
      <w:r>
        <w:tab/>
        <w:t>(b)</w:t>
      </w:r>
      <w:r>
        <w:tab/>
        <w:t>the efficient use of the judicial and administrative resources available for the purposes of courts exercising jurisdiction in such proceedings;</w:t>
      </w:r>
    </w:p>
    <w:p>
      <w:pPr>
        <w:pStyle w:val="Indenta"/>
      </w:pPr>
      <w:r>
        <w:tab/>
        <w:t>(c)</w:t>
      </w:r>
      <w:r>
        <w:tab/>
        <w:t>the efficient disposal of the overall caseload of courts exercising jurisdiction in such proceedings;</w:t>
      </w:r>
    </w:p>
    <w:p>
      <w:pPr>
        <w:pStyle w:val="Indenta"/>
      </w:pPr>
      <w:r>
        <w:tab/>
        <w:t>(d)</w:t>
      </w:r>
      <w:r>
        <w:tab/>
        <w:t>the disposal of all such proceedings in a timely manner;</w:t>
      </w:r>
    </w:p>
    <w:p>
      <w:pPr>
        <w:pStyle w:val="Indenta"/>
      </w:pPr>
      <w:r>
        <w:tab/>
        <w:t>(e)</w:t>
      </w:r>
      <w:r>
        <w:tab/>
        <w:t>the resolution of disputes at a cost that is proportionate to the importance and complexity of the matters in dispute.</w:t>
      </w:r>
    </w:p>
    <w:p>
      <w:pPr>
        <w:pStyle w:val="Subsection"/>
      </w:pPr>
      <w:r>
        <w:lastRenderedPageBreak/>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Indenta"/>
      </w:pPr>
      <w:r>
        <w:tab/>
        <w:t>(a)</w:t>
      </w:r>
      <w:r>
        <w:tab/>
        <w:t>the rules;</w:t>
      </w:r>
    </w:p>
    <w:p>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pPr>
        <w:pStyle w:val="Footnotesection"/>
      </w:pPr>
      <w:r>
        <w:tab/>
        <w:t>[Section 211C inserted: No. 49 of 2024 s. 64.]</w:t>
      </w:r>
    </w:p>
    <w:p>
      <w:pPr>
        <w:pStyle w:val="Heading5"/>
      </w:pPr>
      <w:bookmarkStart w:id="741" w:name="_Toc184390207"/>
      <w:bookmarkStart w:id="742" w:name="_Toc189743484"/>
      <w:r>
        <w:rPr>
          <w:rStyle w:val="CharSectno"/>
        </w:rPr>
        <w:t>211D</w:t>
      </w:r>
      <w:r>
        <w:t>.</w:t>
      </w:r>
      <w:r>
        <w:tab/>
        <w:t>Duty to act consistently with overarching purpose — FLA s. 96</w:t>
      </w:r>
      <w:bookmarkEnd w:id="741"/>
      <w:bookmarkEnd w:id="742"/>
    </w:p>
    <w:p>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Subsection"/>
      </w:pPr>
      <w:r>
        <w:tab/>
        <w:t>(2)</w:t>
      </w:r>
      <w:r>
        <w:tab/>
        <w:t>A party’s lawyer must, in the conduct of proceedings under this Act on the party’s behalf (including in the conduct of negotiations for settlement of the dispute to which the proceedings relate) —</w:t>
      </w:r>
    </w:p>
    <w:p>
      <w:pPr>
        <w:pStyle w:val="Indenta"/>
      </w:pPr>
      <w:r>
        <w:tab/>
        <w:t>(a)</w:t>
      </w:r>
      <w:r>
        <w:tab/>
        <w:t>take account of the duty imposed on the party by subsection (1); and</w:t>
      </w:r>
    </w:p>
    <w:p>
      <w:pPr>
        <w:pStyle w:val="Indenta"/>
      </w:pPr>
      <w:r>
        <w:tab/>
        <w:t>(b)</w:t>
      </w:r>
      <w:r>
        <w:tab/>
        <w:t>assist the party to comply with the duty.</w:t>
      </w:r>
    </w:p>
    <w:p>
      <w:pPr>
        <w:pStyle w:val="Subsection"/>
      </w:pPr>
      <w:r>
        <w:tab/>
        <w:t>(3)</w:t>
      </w:r>
      <w:r>
        <w:tab/>
        <w:t>In proceedings under this Act a court may, for the purpose of enabling a party to comply with the duty imposed by subsection (1), require the party’s lawyer to give the party an estimate of —</w:t>
      </w:r>
    </w:p>
    <w:p>
      <w:pPr>
        <w:pStyle w:val="Indenta"/>
      </w:pPr>
      <w:r>
        <w:lastRenderedPageBreak/>
        <w:tab/>
        <w:t>(a)</w:t>
      </w:r>
      <w:r>
        <w:tab/>
        <w:t>the likely duration of the proceedings or part of the proceedings; and</w:t>
      </w:r>
    </w:p>
    <w:p>
      <w:pPr>
        <w:pStyle w:val="Indenta"/>
      </w:pPr>
      <w:r>
        <w:tab/>
        <w:t>(b)</w:t>
      </w:r>
      <w:r>
        <w:tab/>
        <w:t>the likely amount of costs that the party will have to pay in connection with the proceedings or part of the proceedings (including the costs that the lawyer will charge to the party).</w:t>
      </w:r>
    </w:p>
    <w:p>
      <w:pPr>
        <w:pStyle w:val="Subsection"/>
      </w:pPr>
      <w:r>
        <w:tab/>
        <w:t>(4)</w:t>
      </w:r>
      <w:r>
        <w:tab/>
        <w:t>In exercising the discretion to award costs in proceedings under this Act, a court must take account of any failure to comply with the duty imposed by subsection (1) or (2).</w:t>
      </w:r>
    </w:p>
    <w:p>
      <w:pPr>
        <w:pStyle w:val="Subsection"/>
      </w:pPr>
      <w:r>
        <w:tab/>
        <w:t>(5)</w:t>
      </w:r>
      <w:r>
        <w:tab/>
        <w:t>Without limiting the exercise of that discretion, a court may order a party’s lawyer to bear costs personally.</w:t>
      </w:r>
    </w:p>
    <w:p>
      <w:pPr>
        <w:pStyle w:val="Subsection"/>
      </w:pPr>
      <w:r>
        <w:tab/>
        <w:t>(6)</w:t>
      </w:r>
      <w:r>
        <w:tab/>
        <w:t>If a court orders a lawyer to bear costs personally because of a failure to comply with the duty imposed by subsection (2), the lawyer must not recover the costs from the lawyer’s client.</w:t>
      </w:r>
    </w:p>
    <w:p>
      <w:pPr>
        <w:pStyle w:val="Footnotesection"/>
      </w:pPr>
      <w:r>
        <w:tab/>
        <w:t>[Section 211D inserted: No. 49 of 2024 s. 64.]</w:t>
      </w:r>
    </w:p>
    <w:p>
      <w:pPr>
        <w:pStyle w:val="Heading3"/>
        <w:spacing w:before="200"/>
      </w:pPr>
      <w:bookmarkStart w:id="743" w:name="_Toc189558654"/>
      <w:bookmarkStart w:id="744" w:name="_Toc189654180"/>
      <w:bookmarkStart w:id="745" w:name="_Toc189743485"/>
      <w:r>
        <w:rPr>
          <w:rStyle w:val="CharDivNo"/>
        </w:rPr>
        <w:t>Division 1</w:t>
      </w:r>
      <w:r>
        <w:t xml:space="preserve"> — </w:t>
      </w:r>
      <w:r>
        <w:rPr>
          <w:rStyle w:val="CharDivText"/>
        </w:rPr>
        <w:t>General matters concerning procedure and evidence</w:t>
      </w:r>
      <w:bookmarkEnd w:id="743"/>
      <w:bookmarkEnd w:id="744"/>
      <w:bookmarkEnd w:id="745"/>
    </w:p>
    <w:p>
      <w:pPr>
        <w:pStyle w:val="Footnotesection"/>
        <w:spacing w:before="100"/>
        <w:ind w:left="890" w:hanging="890"/>
      </w:pPr>
      <w:r>
        <w:tab/>
        <w:t>[Heading inserted: No. 35 of 2006 s. 18.]</w:t>
      </w:r>
    </w:p>
    <w:p>
      <w:pPr>
        <w:pStyle w:val="Heading5"/>
        <w:spacing w:before="180"/>
        <w:rPr>
          <w:snapToGrid w:val="0"/>
        </w:rPr>
      </w:pPr>
      <w:bookmarkStart w:id="746" w:name="_Toc189743486"/>
      <w:r>
        <w:rPr>
          <w:rStyle w:val="CharSectno"/>
        </w:rPr>
        <w:t>212</w:t>
      </w:r>
      <w:r>
        <w:rPr>
          <w:snapToGrid w:val="0"/>
        </w:rPr>
        <w:t>.</w:t>
      </w:r>
      <w:r>
        <w:rPr>
          <w:snapToGrid w:val="0"/>
        </w:rPr>
        <w:tab/>
        <w:t>Proceedings generally to be in open court — FLA s. 97</w:t>
      </w:r>
      <w:bookmarkEnd w:id="746"/>
      <w:r>
        <w:rPr>
          <w:snapToGrid w:val="0"/>
        </w:rPr>
        <w:t xml:space="preserve"> </w:t>
      </w:r>
    </w:p>
    <w:p>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 xml:space="preserve">an order that persons included in a specified class of persons are not to be present in court during the </w:t>
      </w:r>
      <w:r>
        <w:rPr>
          <w:snapToGrid w:val="0"/>
        </w:rPr>
        <w:lastRenderedPageBreak/>
        <w:t>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 No. 49 of 2024 s. 65.]</w:t>
      </w:r>
    </w:p>
    <w:p>
      <w:pPr>
        <w:pStyle w:val="Heading5"/>
        <w:rPr>
          <w:snapToGrid w:val="0"/>
        </w:rPr>
      </w:pPr>
      <w:bookmarkStart w:id="747" w:name="_Toc189743487"/>
      <w:r>
        <w:rPr>
          <w:rStyle w:val="CharSectno"/>
        </w:rPr>
        <w:t>213</w:t>
      </w:r>
      <w:r>
        <w:rPr>
          <w:snapToGrid w:val="0"/>
        </w:rPr>
        <w:t>.</w:t>
      </w:r>
      <w:r>
        <w:rPr>
          <w:snapToGrid w:val="0"/>
        </w:rPr>
        <w:tab/>
        <w:t>Power to give directions</w:t>
      </w:r>
      <w:bookmarkEnd w:id="74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748" w:name="_Toc189743488"/>
      <w:r>
        <w:t>214A.</w:t>
      </w:r>
      <w:r>
        <w:tab/>
        <w:t>Children swearing affidavits, being called as witnesses or being present in court — FLA s. 100B</w:t>
      </w:r>
      <w:bookmarkEnd w:id="74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lastRenderedPageBreak/>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749" w:name="_Toc189743489"/>
      <w:r>
        <w:rPr>
          <w:rStyle w:val="CharSectno"/>
        </w:rPr>
        <w:t>214B</w:t>
      </w:r>
      <w:r>
        <w:t>.</w:t>
      </w:r>
      <w:r>
        <w:tab/>
        <w:t>Oaths and affirmations</w:t>
      </w:r>
      <w:bookmarkEnd w:id="749"/>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lastRenderedPageBreak/>
        <w:tab/>
        <w:t>[Section 214B inserted: No. 13 of 2013 s. 33.]</w:t>
      </w:r>
    </w:p>
    <w:p>
      <w:pPr>
        <w:pStyle w:val="Heading5"/>
      </w:pPr>
      <w:bookmarkStart w:id="750" w:name="_Toc189743490"/>
      <w:r>
        <w:rPr>
          <w:rStyle w:val="CharSectno"/>
        </w:rPr>
        <w:t>214C</w:t>
      </w:r>
      <w:r>
        <w:t>.</w:t>
      </w:r>
      <w:r>
        <w:tab/>
        <w:t>Swearing or affirming of affidavits</w:t>
      </w:r>
      <w:bookmarkEnd w:id="750"/>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r>
        <w:rPr>
          <w:i/>
        </w:rPr>
        <w:t>Federal Circuit and Family Court of Australia Act 2021</w:t>
      </w:r>
      <w:r>
        <w:rPr>
          <w:iCs/>
        </w:rPr>
        <w:t xml:space="preserve"> </w:t>
      </w:r>
      <w:r>
        <w:t>(Commonwealth) section 72(2)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 amended: No. 49 of 2024 s. 66.]</w:t>
      </w:r>
    </w:p>
    <w:p>
      <w:pPr>
        <w:pStyle w:val="Heading5"/>
        <w:rPr>
          <w:snapToGrid w:val="0"/>
        </w:rPr>
      </w:pPr>
      <w:bookmarkStart w:id="751" w:name="_Toc189743491"/>
      <w:r>
        <w:rPr>
          <w:rStyle w:val="CharSectno"/>
        </w:rPr>
        <w:lastRenderedPageBreak/>
        <w:t>215</w:t>
      </w:r>
      <w:r>
        <w:rPr>
          <w:snapToGrid w:val="0"/>
        </w:rPr>
        <w:t>.</w:t>
      </w:r>
      <w:r>
        <w:rPr>
          <w:snapToGrid w:val="0"/>
        </w:rPr>
        <w:tab/>
        <w:t>Protection of witnesses — FLA s. 101</w:t>
      </w:r>
      <w:bookmarkEnd w:id="75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752" w:name="_Toc189743492"/>
      <w:r>
        <w:rPr>
          <w:rStyle w:val="CharSectno"/>
        </w:rPr>
        <w:t>216</w:t>
      </w:r>
      <w:r>
        <w:rPr>
          <w:snapToGrid w:val="0"/>
        </w:rPr>
        <w:t>.</w:t>
      </w:r>
      <w:r>
        <w:rPr>
          <w:snapToGrid w:val="0"/>
        </w:rPr>
        <w:tab/>
        <w:t>Certificates etc. of birth, death or marriage — FLA s. 102</w:t>
      </w:r>
      <w:bookmarkEnd w:id="752"/>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753" w:name="_Toc189743493"/>
      <w:r>
        <w:rPr>
          <w:rStyle w:val="CharSectno"/>
        </w:rPr>
        <w:t>217</w:t>
      </w:r>
      <w:r>
        <w:rPr>
          <w:snapToGrid w:val="0"/>
        </w:rPr>
        <w:t>.</w:t>
      </w:r>
      <w:r>
        <w:rPr>
          <w:snapToGrid w:val="0"/>
        </w:rPr>
        <w:tab/>
        <w:t>Admissibility of evidence after medical examination etc. of children — FLA s. 102A(1), (2), (4) and (5)</w:t>
      </w:r>
      <w:bookmarkEnd w:id="75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lastRenderedPageBreak/>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754" w:name="_Toc189743494"/>
      <w:r>
        <w:rPr>
          <w:rStyle w:val="CharSectno"/>
        </w:rPr>
        <w:t>218</w:t>
      </w:r>
      <w:r>
        <w:rPr>
          <w:snapToGrid w:val="0"/>
        </w:rPr>
        <w:t>.</w:t>
      </w:r>
      <w:r>
        <w:rPr>
          <w:snapToGrid w:val="0"/>
        </w:rPr>
        <w:tab/>
        <w:t>Leave for child to be examined medically etc. — FLA s. 102A(3)</w:t>
      </w:r>
      <w:bookmarkEnd w:id="75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lastRenderedPageBreak/>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755" w:name="_Toc189743495"/>
      <w:r>
        <w:rPr>
          <w:rStyle w:val="CharSectno"/>
        </w:rPr>
        <w:t>219</w:t>
      </w:r>
      <w:r>
        <w:rPr>
          <w:snapToGrid w:val="0"/>
        </w:rPr>
        <w:t>.</w:t>
      </w:r>
      <w:r>
        <w:rPr>
          <w:snapToGrid w:val="0"/>
        </w:rPr>
        <w:tab/>
        <w:t>Assessors — FLA s. 102B</w:t>
      </w:r>
      <w:bookmarkEnd w:id="755"/>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756" w:name="_Toc189558665"/>
      <w:bookmarkStart w:id="757" w:name="_Toc189654191"/>
      <w:bookmarkStart w:id="758" w:name="_Toc189743496"/>
      <w:r>
        <w:rPr>
          <w:rStyle w:val="CharDivNo"/>
        </w:rPr>
        <w:t>Division 2</w:t>
      </w:r>
      <w:r>
        <w:t xml:space="preserve"> — </w:t>
      </w:r>
      <w:r>
        <w:rPr>
          <w:rStyle w:val="CharDivText"/>
        </w:rPr>
        <w:t>Use of video link, audio link or other appropriate means to give testimony, make appearances and give submissions etc.</w:t>
      </w:r>
      <w:bookmarkEnd w:id="756"/>
      <w:bookmarkEnd w:id="757"/>
      <w:bookmarkEnd w:id="758"/>
    </w:p>
    <w:p>
      <w:pPr>
        <w:pStyle w:val="Footnotesection"/>
        <w:spacing w:before="100"/>
      </w:pPr>
      <w:r>
        <w:tab/>
        <w:t>[Heading inserted: No. 35 of 2006 s. 19.]</w:t>
      </w:r>
    </w:p>
    <w:p>
      <w:pPr>
        <w:pStyle w:val="Heading5"/>
        <w:spacing w:before="240"/>
      </w:pPr>
      <w:bookmarkStart w:id="759" w:name="_Toc189743497"/>
      <w:r>
        <w:rPr>
          <w:rStyle w:val="CharSectno"/>
        </w:rPr>
        <w:t>219AA</w:t>
      </w:r>
      <w:r>
        <w:t>.</w:t>
      </w:r>
      <w:r>
        <w:tab/>
      </w:r>
      <w:r>
        <w:rPr>
          <w:i/>
          <w:iCs/>
        </w:rPr>
        <w:t>Evidence Act 1906</w:t>
      </w:r>
      <w:r>
        <w:t xml:space="preserve"> not excluded</w:t>
      </w:r>
      <w:bookmarkEnd w:id="759"/>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lastRenderedPageBreak/>
        <w:tab/>
        <w:t>[Section 219AA inserted: No. 35 of 2006 s. 19.]</w:t>
      </w:r>
    </w:p>
    <w:p>
      <w:pPr>
        <w:pStyle w:val="Heading5"/>
        <w:spacing w:before="240"/>
      </w:pPr>
      <w:bookmarkStart w:id="760" w:name="_Toc189743498"/>
      <w:r>
        <w:rPr>
          <w:rStyle w:val="CharSectno"/>
        </w:rPr>
        <w:t>219AB</w:t>
      </w:r>
      <w:r>
        <w:t>.</w:t>
      </w:r>
      <w:r>
        <w:tab/>
        <w:t>Testimony</w:t>
      </w:r>
      <w:r>
        <w:rPr>
          <w:snapToGrid w:val="0"/>
        </w:rPr>
        <w:t> — FLA s. 102C</w:t>
      </w:r>
      <w:bookmarkEnd w:id="76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lastRenderedPageBreak/>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761" w:name="_Toc189743499"/>
      <w:r>
        <w:rPr>
          <w:rStyle w:val="CharSectno"/>
        </w:rPr>
        <w:t>219AC</w:t>
      </w:r>
      <w:r>
        <w:t>.</w:t>
      </w:r>
      <w:r>
        <w:tab/>
        <w:t>Appearance of persons</w:t>
      </w:r>
      <w:r>
        <w:rPr>
          <w:snapToGrid w:val="0"/>
        </w:rPr>
        <w:t> — FLA s. 102D</w:t>
      </w:r>
      <w:bookmarkEnd w:id="761"/>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762" w:name="_Toc189743500"/>
      <w:r>
        <w:rPr>
          <w:rStyle w:val="CharSectno"/>
        </w:rPr>
        <w:t>219AD</w:t>
      </w:r>
      <w:r>
        <w:t>.</w:t>
      </w:r>
      <w:r>
        <w:tab/>
        <w:t>Making of submissions</w:t>
      </w:r>
      <w:r>
        <w:rPr>
          <w:snapToGrid w:val="0"/>
        </w:rPr>
        <w:t> — FLA s. 102E</w:t>
      </w:r>
      <w:bookmarkEnd w:id="762"/>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lastRenderedPageBreak/>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763" w:name="_Toc189743501"/>
      <w:r>
        <w:rPr>
          <w:rStyle w:val="CharSectno"/>
        </w:rPr>
        <w:t>219AE</w:t>
      </w:r>
      <w:r>
        <w:t>.</w:t>
      </w:r>
      <w:r>
        <w:tab/>
        <w:t>Conditions for use of links</w:t>
      </w:r>
      <w:r>
        <w:rPr>
          <w:snapToGrid w:val="0"/>
        </w:rPr>
        <w:t> — FLA s. 102F</w:t>
      </w:r>
      <w:bookmarkEnd w:id="763"/>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lastRenderedPageBreak/>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lastRenderedPageBreak/>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764" w:name="_Toc189743502"/>
      <w:r>
        <w:rPr>
          <w:rStyle w:val="CharSectno"/>
        </w:rPr>
        <w:t>219AF</w:t>
      </w:r>
      <w:r>
        <w:t>.</w:t>
      </w:r>
      <w:r>
        <w:tab/>
        <w:t>Putting documents to a person</w:t>
      </w:r>
      <w:r>
        <w:rPr>
          <w:snapToGrid w:val="0"/>
        </w:rPr>
        <w:t> — FLA s. 102G</w:t>
      </w:r>
      <w:bookmarkEnd w:id="764"/>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lastRenderedPageBreak/>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765" w:name="_Toc189743503"/>
      <w:r>
        <w:rPr>
          <w:rStyle w:val="CharSectno"/>
        </w:rPr>
        <w:t>219AG</w:t>
      </w:r>
      <w:r>
        <w:t>.</w:t>
      </w:r>
      <w:r>
        <w:tab/>
        <w:t>Administration of oaths and affirmations</w:t>
      </w:r>
      <w:r>
        <w:rPr>
          <w:snapToGrid w:val="0"/>
        </w:rPr>
        <w:t> — FLA s. 102J</w:t>
      </w:r>
      <w:bookmarkEnd w:id="765"/>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766" w:name="_Toc189743504"/>
      <w:r>
        <w:rPr>
          <w:rStyle w:val="CharSectno"/>
        </w:rPr>
        <w:t>219AH</w:t>
      </w:r>
      <w:r>
        <w:t>.</w:t>
      </w:r>
      <w:r>
        <w:tab/>
        <w:t>Expenses</w:t>
      </w:r>
      <w:r>
        <w:rPr>
          <w:snapToGrid w:val="0"/>
        </w:rPr>
        <w:t> — FLA s. 102K</w:t>
      </w:r>
      <w:bookmarkEnd w:id="766"/>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lastRenderedPageBreak/>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767" w:name="_Toc189743505"/>
      <w:r>
        <w:rPr>
          <w:rStyle w:val="CharSectno"/>
        </w:rPr>
        <w:t>219AI</w:t>
      </w:r>
      <w:r>
        <w:t>.</w:t>
      </w:r>
      <w:r>
        <w:tab/>
        <w:t>New Zealand proceedings</w:t>
      </w:r>
      <w:r>
        <w:rPr>
          <w:snapToGrid w:val="0"/>
        </w:rPr>
        <w:t> — FLA s. 102L</w:t>
      </w:r>
      <w:bookmarkEnd w:id="767"/>
    </w:p>
    <w:p>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pPr>
        <w:pStyle w:val="Footnotesection"/>
      </w:pPr>
      <w:r>
        <w:tab/>
        <w:t>[Section 219AI inserted: No. 35 of 2006 s. 19; amended: No. 49 of 2024 s. 67.]</w:t>
      </w:r>
    </w:p>
    <w:p>
      <w:pPr>
        <w:pStyle w:val="Heading3"/>
      </w:pPr>
      <w:bookmarkStart w:id="768" w:name="_Toc189558675"/>
      <w:bookmarkStart w:id="769" w:name="_Toc189654201"/>
      <w:bookmarkStart w:id="770" w:name="_Toc189743506"/>
      <w:r>
        <w:rPr>
          <w:rStyle w:val="CharDivNo"/>
        </w:rPr>
        <w:t>Division 3</w:t>
      </w:r>
      <w:r>
        <w:t> — </w:t>
      </w:r>
      <w:r>
        <w:rPr>
          <w:rStyle w:val="CharDivText"/>
        </w:rPr>
        <w:t>Cross</w:t>
      </w:r>
      <w:r>
        <w:rPr>
          <w:rStyle w:val="CharDivText"/>
        </w:rPr>
        <w:noBreakHyphen/>
        <w:t>examination of parties where allegations of family violence</w:t>
      </w:r>
      <w:bookmarkEnd w:id="768"/>
      <w:bookmarkEnd w:id="769"/>
      <w:bookmarkEnd w:id="770"/>
    </w:p>
    <w:p>
      <w:pPr>
        <w:pStyle w:val="Footnoteheading"/>
      </w:pPr>
      <w:r>
        <w:tab/>
        <w:t>[Heading inserted: No. 16 of 2021 s. 4.]</w:t>
      </w:r>
    </w:p>
    <w:p>
      <w:pPr>
        <w:pStyle w:val="Heading5"/>
      </w:pPr>
      <w:bookmarkStart w:id="771" w:name="_Toc189743507"/>
      <w:r>
        <w:rPr>
          <w:rStyle w:val="CharSectno"/>
        </w:rPr>
        <w:t>219AJ</w:t>
      </w:r>
      <w:r>
        <w:t>.</w:t>
      </w:r>
      <w:r>
        <w:tab/>
        <w:t>Application of Division</w:t>
      </w:r>
      <w:bookmarkEnd w:id="7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772" w:name="_Toc189743508"/>
      <w:r>
        <w:rPr>
          <w:rStyle w:val="CharSectno"/>
        </w:rPr>
        <w:lastRenderedPageBreak/>
        <w:t>219AK</w:t>
      </w:r>
      <w:r>
        <w:t>.</w:t>
      </w:r>
      <w:r>
        <w:tab/>
        <w:t>Mandatory protections for parties in certain cases — FLA s. 102NA</w:t>
      </w:r>
      <w:bookmarkEnd w:id="772"/>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lastRenderedPageBreak/>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773" w:name="_Toc189743509"/>
      <w:r>
        <w:rPr>
          <w:rStyle w:val="CharSectno"/>
        </w:rPr>
        <w:t>219AL</w:t>
      </w:r>
      <w:r>
        <w:t>.</w:t>
      </w:r>
      <w:r>
        <w:tab/>
        <w:t>Court</w:t>
      </w:r>
      <w:r>
        <w:noBreakHyphen/>
        <w:t>ordered protections in other cases — FLA s. 102NB</w:t>
      </w:r>
      <w:bookmarkEnd w:id="773"/>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774" w:name="_Toc184389802"/>
      <w:bookmarkStart w:id="775" w:name="_Toc184390007"/>
      <w:bookmarkStart w:id="776" w:name="_Toc184390212"/>
      <w:bookmarkStart w:id="777" w:name="_Toc189654205"/>
      <w:bookmarkStart w:id="778" w:name="_Toc189743510"/>
      <w:r>
        <w:rPr>
          <w:rStyle w:val="CharPartNo"/>
        </w:rPr>
        <w:lastRenderedPageBreak/>
        <w:t>Part 8A</w:t>
      </w:r>
      <w:r>
        <w:t> — </w:t>
      </w:r>
      <w:r>
        <w:rPr>
          <w:rStyle w:val="CharPartText"/>
        </w:rPr>
        <w:t>Suppression and non</w:t>
      </w:r>
      <w:r>
        <w:rPr>
          <w:rStyle w:val="CharPartText"/>
        </w:rPr>
        <w:noBreakHyphen/>
        <w:t>publication orders</w:t>
      </w:r>
      <w:bookmarkEnd w:id="774"/>
      <w:bookmarkEnd w:id="775"/>
      <w:bookmarkEnd w:id="776"/>
      <w:bookmarkEnd w:id="777"/>
      <w:bookmarkEnd w:id="778"/>
    </w:p>
    <w:p>
      <w:pPr>
        <w:pStyle w:val="Footnoteheading"/>
      </w:pPr>
      <w:r>
        <w:tab/>
        <w:t>[Heading inserted: No. 49 of 2024 s. 68.]</w:t>
      </w:r>
    </w:p>
    <w:p>
      <w:pPr>
        <w:pStyle w:val="Heading3"/>
      </w:pPr>
      <w:bookmarkStart w:id="779" w:name="_Toc184389803"/>
      <w:bookmarkStart w:id="780" w:name="_Toc184390008"/>
      <w:bookmarkStart w:id="781" w:name="_Toc184390213"/>
      <w:bookmarkStart w:id="782" w:name="_Toc189654206"/>
      <w:bookmarkStart w:id="783" w:name="_Toc189743511"/>
      <w:r>
        <w:rPr>
          <w:rStyle w:val="CharDivNo"/>
        </w:rPr>
        <w:t>Division 1</w:t>
      </w:r>
      <w:r>
        <w:t> — </w:t>
      </w:r>
      <w:r>
        <w:rPr>
          <w:rStyle w:val="CharDivText"/>
        </w:rPr>
        <w:t>Preliminary</w:t>
      </w:r>
      <w:bookmarkEnd w:id="779"/>
      <w:bookmarkEnd w:id="780"/>
      <w:bookmarkEnd w:id="781"/>
      <w:bookmarkEnd w:id="782"/>
      <w:bookmarkEnd w:id="783"/>
    </w:p>
    <w:p>
      <w:pPr>
        <w:pStyle w:val="Footnoteheading"/>
      </w:pPr>
      <w:r>
        <w:tab/>
        <w:t>[Heading inserted: No. 49 of 2024 s. 68.]</w:t>
      </w:r>
    </w:p>
    <w:p>
      <w:pPr>
        <w:pStyle w:val="Heading5"/>
      </w:pPr>
      <w:bookmarkStart w:id="784" w:name="_Toc184390214"/>
      <w:bookmarkStart w:id="785" w:name="_Toc189743512"/>
      <w:r>
        <w:rPr>
          <w:rStyle w:val="CharSectno"/>
        </w:rPr>
        <w:t>219AM</w:t>
      </w:r>
      <w:r>
        <w:t>.</w:t>
      </w:r>
      <w:r>
        <w:tab/>
        <w:t>Terms used — FLA s. 102P</w:t>
      </w:r>
      <w:bookmarkEnd w:id="784"/>
      <w:bookmarkEnd w:id="785"/>
    </w:p>
    <w:p>
      <w:pPr>
        <w:pStyle w:val="Subsection"/>
      </w:pPr>
      <w:r>
        <w:tab/>
      </w:r>
      <w:r>
        <w:tab/>
        <w:t xml:space="preserve">In this Part — </w:t>
      </w:r>
    </w:p>
    <w:p>
      <w:pPr>
        <w:pStyle w:val="Defstart"/>
      </w:pPr>
      <w:r>
        <w:tab/>
      </w:r>
      <w:r>
        <w:rPr>
          <w:rStyle w:val="CharDefText"/>
        </w:rPr>
        <w:t>information</w:t>
      </w:r>
      <w:r>
        <w:t xml:space="preserve"> includes any document;</w:t>
      </w:r>
    </w:p>
    <w:p>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Defstart"/>
      </w:pPr>
      <w:r>
        <w:tab/>
      </w:r>
      <w:r>
        <w:rPr>
          <w:rStyle w:val="CharDefText"/>
        </w:rPr>
        <w:t>publish</w:t>
      </w:r>
      <w:r>
        <w:t xml:space="preserve"> means disseminate or provide access to the public or a section of the public by any means, including by — </w:t>
      </w:r>
    </w:p>
    <w:p>
      <w:pPr>
        <w:pStyle w:val="Defpara"/>
      </w:pPr>
      <w:r>
        <w:tab/>
        <w:t>(a)</w:t>
      </w:r>
      <w:r>
        <w:tab/>
        <w:t>publication in a book, newspaper, magazine or other written publication; or</w:t>
      </w:r>
    </w:p>
    <w:p>
      <w:pPr>
        <w:pStyle w:val="Defpara"/>
      </w:pPr>
      <w:r>
        <w:tab/>
        <w:t>(b)</w:t>
      </w:r>
      <w:r>
        <w:tab/>
        <w:t>broadcast by radio or television; or</w:t>
      </w:r>
    </w:p>
    <w:p>
      <w:pPr>
        <w:pStyle w:val="Defpara"/>
      </w:pPr>
      <w:r>
        <w:tab/>
        <w:t>(c)</w:t>
      </w:r>
      <w:r>
        <w:tab/>
        <w:t>public exhibition; or</w:t>
      </w:r>
    </w:p>
    <w:p>
      <w:pPr>
        <w:pStyle w:val="Defpara"/>
      </w:pPr>
      <w:r>
        <w:tab/>
        <w:t>(d)</w:t>
      </w:r>
      <w:r>
        <w:tab/>
        <w:t>broadcast or publication by means of the internet;</w:t>
      </w:r>
    </w:p>
    <w:p>
      <w:pPr>
        <w:pStyle w:val="Defstart"/>
      </w:pPr>
      <w:r>
        <w:tab/>
      </w:r>
      <w:r>
        <w:rPr>
          <w:rStyle w:val="CharDefText"/>
        </w:rPr>
        <w:t>suppression order</w:t>
      </w:r>
      <w:r>
        <w:t xml:space="preserve"> means an order that prohibits or restricts the disclosure of information (by publication or otherwise).</w:t>
      </w:r>
    </w:p>
    <w:p>
      <w:pPr>
        <w:pStyle w:val="Footnotesection"/>
      </w:pPr>
      <w:r>
        <w:tab/>
        <w:t>[Section 219AM inserted: No. 49 of 2024 s. 68.]</w:t>
      </w:r>
    </w:p>
    <w:p>
      <w:pPr>
        <w:pStyle w:val="Heading5"/>
      </w:pPr>
      <w:bookmarkStart w:id="786" w:name="_Toc184390215"/>
      <w:bookmarkStart w:id="787" w:name="_Toc189743513"/>
      <w:r>
        <w:rPr>
          <w:rStyle w:val="CharSectno"/>
        </w:rPr>
        <w:lastRenderedPageBreak/>
        <w:t>219AN</w:t>
      </w:r>
      <w:r>
        <w:t>.</w:t>
      </w:r>
      <w:r>
        <w:tab/>
        <w:t>Powers of a court not affected — FLA s. 102PA</w:t>
      </w:r>
      <w:bookmarkEnd w:id="786"/>
      <w:bookmarkEnd w:id="787"/>
    </w:p>
    <w:p>
      <w:pPr>
        <w:pStyle w:val="Subsection"/>
      </w:pPr>
      <w:r>
        <w:tab/>
      </w:r>
      <w:r>
        <w:tab/>
        <w:t>This Part does not limit or otherwise affect any powers that a court has apart from this Part to regulate its proceedings or to deal with a contempt of the court.</w:t>
      </w:r>
    </w:p>
    <w:p>
      <w:pPr>
        <w:pStyle w:val="Footnotesection"/>
      </w:pPr>
      <w:r>
        <w:tab/>
        <w:t>[Section 219AN inserted: No. 49 of 2024 s. 68.]</w:t>
      </w:r>
    </w:p>
    <w:p>
      <w:pPr>
        <w:pStyle w:val="Heading5"/>
      </w:pPr>
      <w:bookmarkStart w:id="788" w:name="_Toc184390216"/>
      <w:bookmarkStart w:id="789" w:name="_Toc189743514"/>
      <w:r>
        <w:rPr>
          <w:rStyle w:val="CharSectno"/>
        </w:rPr>
        <w:t>219AO</w:t>
      </w:r>
      <w:r>
        <w:t>.</w:t>
      </w:r>
      <w:r>
        <w:tab/>
        <w:t>Other laws not affected — FLA s. 102PB</w:t>
      </w:r>
      <w:bookmarkEnd w:id="788"/>
      <w:bookmarkEnd w:id="789"/>
    </w:p>
    <w:p>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Footnotesection"/>
      </w:pPr>
      <w:r>
        <w:tab/>
        <w:t>[Section 219AO inserted: No. 49 of 2024 s. 68.]</w:t>
      </w:r>
    </w:p>
    <w:p>
      <w:pPr>
        <w:pStyle w:val="Heading5"/>
      </w:pPr>
      <w:bookmarkStart w:id="790" w:name="_Toc184390217"/>
      <w:bookmarkStart w:id="791" w:name="_Toc189743515"/>
      <w:r>
        <w:rPr>
          <w:rStyle w:val="CharSectno"/>
        </w:rPr>
        <w:t>219AP</w:t>
      </w:r>
      <w:r>
        <w:t>.</w:t>
      </w:r>
      <w:r>
        <w:tab/>
        <w:t>Relationship with Part 11A — FLA s. 102PC</w:t>
      </w:r>
      <w:bookmarkEnd w:id="790"/>
      <w:bookmarkEnd w:id="791"/>
    </w:p>
    <w:p>
      <w:pPr>
        <w:pStyle w:val="Subsection"/>
      </w:pPr>
      <w:r>
        <w:tab/>
      </w:r>
      <w:r>
        <w:tab/>
        <w:t>This Part and Part 11A do not limit each other.</w:t>
      </w:r>
    </w:p>
    <w:p>
      <w:pPr>
        <w:pStyle w:val="Footnotesection"/>
      </w:pPr>
      <w:r>
        <w:tab/>
        <w:t>[Section 219AP inserted: No. 49 of 2024 s. 68.]</w:t>
      </w:r>
    </w:p>
    <w:p>
      <w:pPr>
        <w:pStyle w:val="Heading3"/>
      </w:pPr>
      <w:bookmarkStart w:id="792" w:name="_Toc184389808"/>
      <w:bookmarkStart w:id="793" w:name="_Toc184390013"/>
      <w:bookmarkStart w:id="794" w:name="_Toc184390218"/>
      <w:bookmarkStart w:id="795" w:name="_Toc189654211"/>
      <w:bookmarkStart w:id="796" w:name="_Toc189743516"/>
      <w:r>
        <w:rPr>
          <w:rStyle w:val="CharDivNo"/>
        </w:rPr>
        <w:t>Division 2</w:t>
      </w:r>
      <w:r>
        <w:t> — </w:t>
      </w:r>
      <w:r>
        <w:rPr>
          <w:rStyle w:val="CharDivText"/>
        </w:rPr>
        <w:t>Suppression and non</w:t>
      </w:r>
      <w:r>
        <w:rPr>
          <w:rStyle w:val="CharDivText"/>
        </w:rPr>
        <w:noBreakHyphen/>
        <w:t>publication orders</w:t>
      </w:r>
      <w:bookmarkEnd w:id="792"/>
      <w:bookmarkEnd w:id="793"/>
      <w:bookmarkEnd w:id="794"/>
      <w:bookmarkEnd w:id="795"/>
      <w:bookmarkEnd w:id="796"/>
    </w:p>
    <w:p>
      <w:pPr>
        <w:pStyle w:val="Footnoteheading"/>
      </w:pPr>
      <w:r>
        <w:tab/>
        <w:t>[Heading inserted: No. 49 of 2024 s. 68.]</w:t>
      </w:r>
    </w:p>
    <w:p>
      <w:pPr>
        <w:pStyle w:val="Heading5"/>
      </w:pPr>
      <w:bookmarkStart w:id="797" w:name="_Toc184390219"/>
      <w:bookmarkStart w:id="798" w:name="_Toc189743517"/>
      <w:r>
        <w:rPr>
          <w:rStyle w:val="CharSectno"/>
        </w:rPr>
        <w:t>219AQ</w:t>
      </w:r>
      <w:r>
        <w:t>.</w:t>
      </w:r>
      <w:r>
        <w:tab/>
        <w:t>Safeguarding public interest in open justice — FLA s. 102PD</w:t>
      </w:r>
      <w:bookmarkEnd w:id="797"/>
      <w:bookmarkEnd w:id="798"/>
    </w:p>
    <w:p>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Footnotesection"/>
      </w:pPr>
      <w:r>
        <w:tab/>
        <w:t>[Section 219AQ inserted: No. 49 of 2024 s. 68.]</w:t>
      </w:r>
    </w:p>
    <w:p>
      <w:pPr>
        <w:pStyle w:val="Heading5"/>
      </w:pPr>
      <w:bookmarkStart w:id="799" w:name="_Toc184390220"/>
      <w:bookmarkStart w:id="800" w:name="_Toc189743518"/>
      <w:r>
        <w:rPr>
          <w:rStyle w:val="CharSectno"/>
        </w:rPr>
        <w:t>219AR</w:t>
      </w:r>
      <w:r>
        <w:t>.</w:t>
      </w:r>
      <w:r>
        <w:tab/>
        <w:t>Power to make orders — FLA s. 102PE</w:t>
      </w:r>
      <w:bookmarkEnd w:id="799"/>
      <w:bookmarkEnd w:id="800"/>
    </w:p>
    <w:p>
      <w:pPr>
        <w:pStyle w:val="Subsection"/>
      </w:pPr>
      <w:r>
        <w:tab/>
        <w:t>(1)</w:t>
      </w:r>
      <w:r>
        <w:tab/>
        <w:t>A court exercising jurisdiction in proceedings under this Act may, by making a suppression order or non</w:t>
      </w:r>
      <w:r>
        <w:noBreakHyphen/>
        <w:t xml:space="preserve">publication order on </w:t>
      </w:r>
      <w:r>
        <w:lastRenderedPageBreak/>
        <w:t xml:space="preserve">grounds permitted by this Part, prohibit or restrict the publication or other disclosure of — </w:t>
      </w:r>
    </w:p>
    <w:p>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Indenta"/>
      </w:pPr>
      <w:r>
        <w:tab/>
        <w:t>(b)</w:t>
      </w:r>
      <w:r>
        <w:tab/>
        <w:t xml:space="preserve">information that relates to the proceedings and is — </w:t>
      </w:r>
    </w:p>
    <w:p>
      <w:pPr>
        <w:pStyle w:val="Indenti"/>
      </w:pPr>
      <w:r>
        <w:tab/>
        <w:t>(i)</w:t>
      </w:r>
      <w:r>
        <w:tab/>
        <w:t>information that comprises evidence or information about evidence; or</w:t>
      </w:r>
    </w:p>
    <w:p>
      <w:pPr>
        <w:pStyle w:val="Indenti"/>
      </w:pPr>
      <w:r>
        <w:tab/>
        <w:t>(ii)</w:t>
      </w:r>
      <w:r>
        <w:tab/>
        <w:t>information obtained by the process of discovery; or</w:t>
      </w:r>
    </w:p>
    <w:p>
      <w:pPr>
        <w:pStyle w:val="Indenti"/>
      </w:pPr>
      <w:r>
        <w:tab/>
        <w:t>(iii)</w:t>
      </w:r>
      <w:r>
        <w:tab/>
        <w:t>information produced under a subpoena; or</w:t>
      </w:r>
    </w:p>
    <w:p>
      <w:pPr>
        <w:pStyle w:val="Indenti"/>
      </w:pPr>
      <w:r>
        <w:tab/>
        <w:t>(iv)</w:t>
      </w:r>
      <w:r>
        <w:tab/>
        <w:t>information lodged with or filed in the court.</w:t>
      </w:r>
    </w:p>
    <w:p>
      <w:pPr>
        <w:pStyle w:val="Subsection"/>
      </w:pPr>
      <w:r>
        <w:tab/>
        <w:t>(2)</w:t>
      </w:r>
      <w:r>
        <w:tab/>
        <w:t>The court may make such orders as it thinks appropriate to give effect to an order under subsection (1).</w:t>
      </w:r>
    </w:p>
    <w:p>
      <w:pPr>
        <w:pStyle w:val="Footnotesection"/>
      </w:pPr>
      <w:r>
        <w:tab/>
        <w:t>[Section 219AR inserted: No. 49 of 2024 s. 68.]</w:t>
      </w:r>
    </w:p>
    <w:p>
      <w:pPr>
        <w:pStyle w:val="Heading5"/>
      </w:pPr>
      <w:bookmarkStart w:id="801" w:name="_Toc184390221"/>
      <w:bookmarkStart w:id="802" w:name="_Toc189743519"/>
      <w:r>
        <w:rPr>
          <w:rStyle w:val="CharSectno"/>
        </w:rPr>
        <w:t>219AS</w:t>
      </w:r>
      <w:r>
        <w:t>.</w:t>
      </w:r>
      <w:r>
        <w:tab/>
        <w:t>Grounds for making an order — FLA s. 102PF</w:t>
      </w:r>
      <w:bookmarkEnd w:id="801"/>
      <w:bookmarkEnd w:id="802"/>
    </w:p>
    <w:p>
      <w:pPr>
        <w:pStyle w:val="Subsection"/>
      </w:pPr>
      <w:r>
        <w:tab/>
        <w:t>(1)</w:t>
      </w:r>
      <w:r>
        <w:tab/>
        <w:t>The court may make a suppression order or non</w:t>
      </w:r>
      <w:r>
        <w:noBreakHyphen/>
        <w:t xml:space="preserve">publication order on one or more of the following grounds — </w:t>
      </w:r>
    </w:p>
    <w:p>
      <w:pPr>
        <w:pStyle w:val="Indenta"/>
      </w:pPr>
      <w:r>
        <w:tab/>
        <w:t>(a)</w:t>
      </w:r>
      <w:r>
        <w:tab/>
        <w:t>the order is necessary to prevent prejudice to the proper administration of justice;</w:t>
      </w:r>
    </w:p>
    <w:p>
      <w:pPr>
        <w:pStyle w:val="Indenta"/>
      </w:pPr>
      <w:r>
        <w:tab/>
        <w:t>(b)</w:t>
      </w:r>
      <w:r>
        <w:tab/>
        <w:t xml:space="preserve">the order is necessary to prevent prejudice to the interests of the Commonwealth or a State or Territory in relation to national or international security; </w:t>
      </w:r>
    </w:p>
    <w:p>
      <w:pPr>
        <w:pStyle w:val="Indenta"/>
      </w:pPr>
      <w:r>
        <w:tab/>
        <w:t>(c)</w:t>
      </w:r>
      <w:r>
        <w:tab/>
        <w:t xml:space="preserve">the order is necessary to protect the safety of any person; </w:t>
      </w:r>
    </w:p>
    <w:p>
      <w:pPr>
        <w:pStyle w:val="Indenta"/>
      </w:pPr>
      <w:r>
        <w:tab/>
        <w:t>(d)</w:t>
      </w:r>
      <w:r>
        <w:tab/>
        <w:t xml:space="preserve">the order is necessary to avoid causing undue distress or embarrassment to a party to or witness in criminal proceedings involving an offence of a sexual nature (including an act of indecency). </w:t>
      </w:r>
    </w:p>
    <w:p>
      <w:pPr>
        <w:pStyle w:val="Subsection"/>
        <w:keepNext/>
      </w:pPr>
      <w:r>
        <w:lastRenderedPageBreak/>
        <w:tab/>
        <w:t>(2)</w:t>
      </w:r>
      <w:r>
        <w:tab/>
        <w:t>A suppression order or non</w:t>
      </w:r>
      <w:r>
        <w:noBreakHyphen/>
        <w:t>publication order must specify the ground or grounds on which the order is made.</w:t>
      </w:r>
    </w:p>
    <w:p>
      <w:pPr>
        <w:pStyle w:val="Footnotesection"/>
      </w:pPr>
      <w:r>
        <w:tab/>
        <w:t>[Section 219AS inserted: No. 49 of 2024 s. 68.]</w:t>
      </w:r>
    </w:p>
    <w:p>
      <w:pPr>
        <w:pStyle w:val="Heading5"/>
      </w:pPr>
      <w:bookmarkStart w:id="803" w:name="_Toc184390222"/>
      <w:bookmarkStart w:id="804" w:name="_Toc189743520"/>
      <w:r>
        <w:rPr>
          <w:rStyle w:val="CharSectno"/>
        </w:rPr>
        <w:t>219AT</w:t>
      </w:r>
      <w:r>
        <w:t>.</w:t>
      </w:r>
      <w:r>
        <w:tab/>
        <w:t>Procedure for making an order — FLA s. 102PG</w:t>
      </w:r>
      <w:bookmarkEnd w:id="803"/>
      <w:bookmarkEnd w:id="804"/>
    </w:p>
    <w:p>
      <w:pPr>
        <w:pStyle w:val="Subsection"/>
      </w:pPr>
      <w:r>
        <w:tab/>
        <w:t>(1)</w:t>
      </w:r>
      <w:r>
        <w:tab/>
        <w:t>The court may make a suppression order or non</w:t>
      </w:r>
      <w:r>
        <w:noBreakHyphen/>
        <w:t xml:space="preserve">publication order on its own initiative or on the application of — </w:t>
      </w:r>
    </w:p>
    <w:p>
      <w:pPr>
        <w:pStyle w:val="Indenta"/>
      </w:pPr>
      <w:r>
        <w:tab/>
        <w:t>(a)</w:t>
      </w:r>
      <w:r>
        <w:tab/>
        <w:t xml:space="preserve">a party to the proceedings concerned; or </w:t>
      </w:r>
    </w:p>
    <w:p>
      <w:pPr>
        <w:pStyle w:val="Indenta"/>
      </w:pPr>
      <w:r>
        <w:tab/>
        <w:t>(b)</w:t>
      </w:r>
      <w:r>
        <w:tab/>
        <w:t xml:space="preserve">any other person considered by the court to have a sufficient interest in the making of the order. </w:t>
      </w:r>
    </w:p>
    <w:p>
      <w:pPr>
        <w:pStyle w:val="Subsection"/>
      </w:pPr>
      <w:r>
        <w:tab/>
        <w:t>(2)</w:t>
      </w:r>
      <w:r>
        <w:tab/>
        <w:t>Each of the following persons is entitled to appear and be heard by the court on an application for a suppression order or non</w:t>
      </w:r>
      <w:r>
        <w:noBreakHyphen/>
        <w:t xml:space="preserve">publication order — </w:t>
      </w:r>
    </w:p>
    <w:p>
      <w:pPr>
        <w:pStyle w:val="Indenta"/>
      </w:pPr>
      <w:r>
        <w:tab/>
        <w:t>(a)</w:t>
      </w:r>
      <w:r>
        <w:tab/>
        <w:t xml:space="preserve">the applicant for the order; </w:t>
      </w:r>
    </w:p>
    <w:p>
      <w:pPr>
        <w:pStyle w:val="Indenta"/>
      </w:pPr>
      <w:r>
        <w:tab/>
        <w:t>(b)</w:t>
      </w:r>
      <w:r>
        <w:tab/>
        <w:t xml:space="preserve">a party to the proceedings concerned; </w:t>
      </w:r>
    </w:p>
    <w:p>
      <w:pPr>
        <w:pStyle w:val="Indenta"/>
      </w:pPr>
      <w:r>
        <w:tab/>
        <w:t>(c)</w:t>
      </w:r>
      <w:r>
        <w:tab/>
        <w:t>the Government (or an agency of the Government);</w:t>
      </w:r>
    </w:p>
    <w:p>
      <w:pPr>
        <w:pStyle w:val="Indenta"/>
      </w:pPr>
      <w:r>
        <w:tab/>
        <w:t>(d)</w:t>
      </w:r>
      <w:r>
        <w:tab/>
        <w:t xml:space="preserve">the government (or an agency of the government) of the Commonwealth or another State or a Territory; </w:t>
      </w:r>
    </w:p>
    <w:p>
      <w:pPr>
        <w:pStyle w:val="Indenta"/>
      </w:pPr>
      <w:r>
        <w:tab/>
        <w:t>(e)</w:t>
      </w:r>
      <w:r>
        <w:tab/>
        <w:t xml:space="preserve">a news publisher; </w:t>
      </w:r>
    </w:p>
    <w:p>
      <w:pPr>
        <w:pStyle w:val="Indenta"/>
      </w:pPr>
      <w:r>
        <w:tab/>
        <w:t>(f)</w:t>
      </w:r>
      <w:r>
        <w:tab/>
        <w:t>any other person who, in the court’s opinion, has a sufficient interest in the question of whether a suppression order or non</w:t>
      </w:r>
      <w:r>
        <w:noBreakHyphen/>
        <w:t>publication order should be made.</w:t>
      </w:r>
    </w:p>
    <w:p>
      <w:pPr>
        <w:pStyle w:val="Subsection"/>
      </w:pPr>
      <w:r>
        <w:tab/>
        <w:t>(3)</w:t>
      </w:r>
      <w:r>
        <w:tab/>
        <w:t>A suppression order or non</w:t>
      </w:r>
      <w:r>
        <w:noBreakHyphen/>
        <w:t xml:space="preserve">publication order may be made at any time during proceedings or after proceedings have concluded. </w:t>
      </w:r>
    </w:p>
    <w:p>
      <w:pPr>
        <w:pStyle w:val="Subsection"/>
      </w:pPr>
      <w:r>
        <w:tab/>
        <w:t>(4)</w:t>
      </w:r>
      <w:r>
        <w:tab/>
        <w:t>A suppression order or non</w:t>
      </w:r>
      <w:r>
        <w:noBreakHyphen/>
        <w:t>publication order may be made subject to such exceptions and conditions as the court thinks fit and specifies in the order.</w:t>
      </w:r>
    </w:p>
    <w:p>
      <w:pPr>
        <w:pStyle w:val="Subsection"/>
      </w:pPr>
      <w:r>
        <w:tab/>
        <w:t>(5)</w:t>
      </w:r>
      <w:r>
        <w:tab/>
        <w:t>A suppression order or non</w:t>
      </w:r>
      <w:r>
        <w:noBreakHyphen/>
        <w:t xml:space="preserve">publication order must specify the information to which the order applies with sufficient </w:t>
      </w:r>
      <w:r>
        <w:lastRenderedPageBreak/>
        <w:t>particularity to ensure that the court order is limited to achieving the purpose for which the order is made.</w:t>
      </w:r>
    </w:p>
    <w:p>
      <w:pPr>
        <w:pStyle w:val="Footnotesection"/>
      </w:pPr>
      <w:r>
        <w:tab/>
        <w:t>[Section 219AT inserted: No. 49 of 2024 s. 68.]</w:t>
      </w:r>
    </w:p>
    <w:p>
      <w:pPr>
        <w:pStyle w:val="Heading5"/>
      </w:pPr>
      <w:bookmarkStart w:id="805" w:name="_Toc184390223"/>
      <w:bookmarkStart w:id="806" w:name="_Toc189743521"/>
      <w:r>
        <w:rPr>
          <w:rStyle w:val="CharSectno"/>
        </w:rPr>
        <w:t>219AU</w:t>
      </w:r>
      <w:r>
        <w:t>.</w:t>
      </w:r>
      <w:r>
        <w:tab/>
        <w:t>Interim orders — FLA s. 102PH</w:t>
      </w:r>
      <w:bookmarkEnd w:id="805"/>
      <w:bookmarkEnd w:id="806"/>
    </w:p>
    <w:p>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Subsection"/>
      </w:pPr>
      <w:r>
        <w:tab/>
        <w:t>(2)</w:t>
      </w:r>
      <w:r>
        <w:tab/>
        <w:t>If an order is made as an interim order, the court must determine the application as a matter of urgency.</w:t>
      </w:r>
    </w:p>
    <w:p>
      <w:pPr>
        <w:pStyle w:val="Footnotesection"/>
      </w:pPr>
      <w:r>
        <w:tab/>
        <w:t>[Section 219AU inserted: No. 49 of 2024 s. 68.]</w:t>
      </w:r>
    </w:p>
    <w:p>
      <w:pPr>
        <w:pStyle w:val="Heading5"/>
      </w:pPr>
      <w:bookmarkStart w:id="807" w:name="_Toc184390224"/>
      <w:bookmarkStart w:id="808" w:name="_Toc189743522"/>
      <w:r>
        <w:rPr>
          <w:rStyle w:val="CharSectno"/>
        </w:rPr>
        <w:t>219AV</w:t>
      </w:r>
      <w:r>
        <w:t>.</w:t>
      </w:r>
      <w:r>
        <w:tab/>
        <w:t>Duration of orders — FLA s. 102PI</w:t>
      </w:r>
      <w:bookmarkEnd w:id="807"/>
      <w:bookmarkEnd w:id="808"/>
    </w:p>
    <w:p>
      <w:pPr>
        <w:pStyle w:val="Subsection"/>
      </w:pPr>
      <w:r>
        <w:tab/>
        <w:t>(1)</w:t>
      </w:r>
      <w:r>
        <w:tab/>
        <w:t>A suppression order or non</w:t>
      </w:r>
      <w:r>
        <w:noBreakHyphen/>
        <w:t xml:space="preserve">publication order operates for the period decided by the court and specified in the order. </w:t>
      </w:r>
    </w:p>
    <w:p>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pPr>
        <w:pStyle w:val="Subsection"/>
      </w:pPr>
      <w:r>
        <w:tab/>
        <w:t>(3)</w:t>
      </w:r>
      <w:r>
        <w:tab/>
        <w:t>The period for which an order operates may be specified by reference to a fixed or ascertainable period or by reference to the occurrence of a specified future event.</w:t>
      </w:r>
    </w:p>
    <w:p>
      <w:pPr>
        <w:pStyle w:val="Footnotesection"/>
      </w:pPr>
      <w:r>
        <w:tab/>
        <w:t>[Section 219AV inserted: No. 49 of 2024 s. 68.]</w:t>
      </w:r>
    </w:p>
    <w:p>
      <w:pPr>
        <w:pStyle w:val="Heading5"/>
      </w:pPr>
      <w:bookmarkStart w:id="809" w:name="_Toc184390225"/>
      <w:bookmarkStart w:id="810" w:name="_Toc189743523"/>
      <w:r>
        <w:rPr>
          <w:rStyle w:val="CharSectno"/>
        </w:rPr>
        <w:t>219AW</w:t>
      </w:r>
      <w:r>
        <w:t>.</w:t>
      </w:r>
      <w:r>
        <w:tab/>
        <w:t>Exception for court officials — FLA s. 102PJ</w:t>
      </w:r>
      <w:bookmarkEnd w:id="809"/>
      <w:bookmarkEnd w:id="810"/>
    </w:p>
    <w:p>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Indenta"/>
      </w:pPr>
      <w:r>
        <w:lastRenderedPageBreak/>
        <w:tab/>
        <w:t>(a)</w:t>
      </w:r>
      <w:r>
        <w:tab/>
        <w:t>in connection with the conduct of proceedings or the recovery or enforcement of any penalty imposed in proceedings; or</w:t>
      </w:r>
    </w:p>
    <w:p>
      <w:pPr>
        <w:pStyle w:val="Indenta"/>
      </w:pPr>
      <w:r>
        <w:tab/>
        <w:t>(b)</w:t>
      </w:r>
      <w:r>
        <w:tab/>
        <w:t>in compliance with any procedure adopted by the court for informing a news publisher of the existence and content of a suppression order or non</w:t>
      </w:r>
      <w:r>
        <w:noBreakHyphen/>
        <w:t>publication order made by the court.</w:t>
      </w:r>
    </w:p>
    <w:p>
      <w:pPr>
        <w:pStyle w:val="Footnotesection"/>
      </w:pPr>
      <w:r>
        <w:tab/>
        <w:t>[Section 219AW inserted: No. 49 of 2024 s. 68.]</w:t>
      </w:r>
    </w:p>
    <w:p>
      <w:pPr>
        <w:pStyle w:val="Heading5"/>
      </w:pPr>
      <w:bookmarkStart w:id="811" w:name="_Toc184390226"/>
      <w:bookmarkStart w:id="812" w:name="_Toc189743524"/>
      <w:r>
        <w:rPr>
          <w:rStyle w:val="CharSectno"/>
        </w:rPr>
        <w:t>219AX</w:t>
      </w:r>
      <w:r>
        <w:t>.</w:t>
      </w:r>
      <w:r>
        <w:tab/>
        <w:t>Contravention of order — FLA s. 102PK</w:t>
      </w:r>
      <w:bookmarkEnd w:id="811"/>
      <w:bookmarkEnd w:id="812"/>
    </w:p>
    <w:p>
      <w:pPr>
        <w:pStyle w:val="Subsection"/>
      </w:pPr>
      <w:r>
        <w:tab/>
        <w:t>(1)</w:t>
      </w:r>
      <w:r>
        <w:tab/>
        <w:t xml:space="preserve">A person commits an offence if — </w:t>
      </w:r>
    </w:p>
    <w:p>
      <w:pPr>
        <w:pStyle w:val="Indenta"/>
      </w:pPr>
      <w:r>
        <w:tab/>
        <w:t>(a)</w:t>
      </w:r>
      <w:r>
        <w:tab/>
        <w:t xml:space="preserve">the person does an act or omits to do an act; and </w:t>
      </w:r>
    </w:p>
    <w:p>
      <w:pPr>
        <w:pStyle w:val="Indenta"/>
      </w:pPr>
      <w:r>
        <w:tab/>
        <w:t>(b)</w:t>
      </w:r>
      <w:r>
        <w:tab/>
        <w:t xml:space="preserve">the act or omission contravenes an order made by a court under section 219AR. </w:t>
      </w:r>
    </w:p>
    <w:p>
      <w:pPr>
        <w:pStyle w:val="Penstart"/>
      </w:pPr>
      <w:r>
        <w:tab/>
        <w:t>Penalty for this subsection: imprisonment for 12 months and a fine of $18 780.</w:t>
      </w:r>
    </w:p>
    <w:p>
      <w:pPr>
        <w:pStyle w:val="Subsection"/>
      </w:pPr>
      <w:r>
        <w:tab/>
        <w:t>(2)</w:t>
      </w:r>
      <w:r>
        <w:tab/>
        <w:t xml:space="preserve">An act or omission that constitutes an offence under this section may be punished as a contempt of court even though it could be punished as an offence. </w:t>
      </w:r>
    </w:p>
    <w:p>
      <w:pPr>
        <w:pStyle w:val="Subsection"/>
      </w:pPr>
      <w:r>
        <w:tab/>
        <w:t>(3)</w:t>
      </w:r>
      <w:r>
        <w:tab/>
        <w:t xml:space="preserve">An act or omission that constitutes an offence under this section may be punished as an offence even though it could be punished as a contempt of court. </w:t>
      </w:r>
    </w:p>
    <w:p>
      <w:pPr>
        <w:pStyle w:val="Subsection"/>
      </w:pPr>
      <w:r>
        <w:tab/>
        <w:t>(4)</w:t>
      </w:r>
      <w:r>
        <w:tab/>
        <w:t xml:space="preserve">If an act or omission constitutes both an offence under this section and a contempt of court, the offender is not liable to be punished twice. </w:t>
      </w:r>
    </w:p>
    <w:p>
      <w:pPr>
        <w:pStyle w:val="Subsection"/>
      </w:pPr>
      <w:r>
        <w:tab/>
        <w:t>(5)</w:t>
      </w:r>
      <w:r>
        <w:tab/>
        <w:t>Part 10 does not apply in relation to a contravention of an order made by a court under section 219AR.</w:t>
      </w:r>
    </w:p>
    <w:p>
      <w:pPr>
        <w:pStyle w:val="Footnotesection"/>
      </w:pPr>
      <w:r>
        <w:tab/>
        <w:t>[Section 219AX inserted: No. 49 of 2024 s. 68.]</w:t>
      </w:r>
    </w:p>
    <w:p>
      <w:pPr>
        <w:pStyle w:val="Heading2"/>
      </w:pPr>
      <w:bookmarkStart w:id="813" w:name="_Toc184389817"/>
      <w:bookmarkStart w:id="814" w:name="_Toc184390022"/>
      <w:bookmarkStart w:id="815" w:name="_Toc184390227"/>
      <w:bookmarkStart w:id="816" w:name="_Toc189654220"/>
      <w:bookmarkStart w:id="817" w:name="_Toc189743525"/>
      <w:r>
        <w:rPr>
          <w:rStyle w:val="CharPartNo"/>
        </w:rPr>
        <w:lastRenderedPageBreak/>
        <w:t>Part 8B</w:t>
      </w:r>
      <w:r>
        <w:t> — </w:t>
      </w:r>
      <w:r>
        <w:rPr>
          <w:rStyle w:val="CharPartText"/>
        </w:rPr>
        <w:t>Decrees and orders relating to unmeritorious, harmful, and vexatious proceedings</w:t>
      </w:r>
      <w:bookmarkEnd w:id="813"/>
      <w:bookmarkEnd w:id="814"/>
      <w:bookmarkEnd w:id="815"/>
      <w:bookmarkEnd w:id="816"/>
      <w:bookmarkEnd w:id="817"/>
    </w:p>
    <w:p>
      <w:pPr>
        <w:pStyle w:val="Footnoteheading"/>
      </w:pPr>
      <w:r>
        <w:tab/>
        <w:t>[Heading inserted: No. 49 of 2024 s. 68.]</w:t>
      </w:r>
    </w:p>
    <w:p>
      <w:pPr>
        <w:pStyle w:val="Heading3"/>
      </w:pPr>
      <w:bookmarkStart w:id="818" w:name="_Toc184389818"/>
      <w:bookmarkStart w:id="819" w:name="_Toc184390023"/>
      <w:bookmarkStart w:id="820" w:name="_Toc184390228"/>
      <w:bookmarkStart w:id="821" w:name="_Toc189654221"/>
      <w:bookmarkStart w:id="822" w:name="_Toc189743526"/>
      <w:r>
        <w:rPr>
          <w:rStyle w:val="CharDivNo"/>
        </w:rPr>
        <w:t>Division 1</w:t>
      </w:r>
      <w:r>
        <w:t> — </w:t>
      </w:r>
      <w:r>
        <w:rPr>
          <w:rStyle w:val="CharDivText"/>
        </w:rPr>
        <w:t>Preliminary</w:t>
      </w:r>
      <w:bookmarkEnd w:id="818"/>
      <w:bookmarkEnd w:id="819"/>
      <w:bookmarkEnd w:id="820"/>
      <w:bookmarkEnd w:id="821"/>
      <w:bookmarkEnd w:id="822"/>
    </w:p>
    <w:p>
      <w:pPr>
        <w:pStyle w:val="Footnoteheading"/>
      </w:pPr>
      <w:r>
        <w:tab/>
        <w:t>[Heading inserted: No. 49 of 2024 s. 68.]</w:t>
      </w:r>
    </w:p>
    <w:p>
      <w:pPr>
        <w:pStyle w:val="Heading5"/>
      </w:pPr>
      <w:bookmarkStart w:id="823" w:name="_Toc184390229"/>
      <w:bookmarkStart w:id="824" w:name="_Toc189743527"/>
      <w:r>
        <w:rPr>
          <w:rStyle w:val="CharSectno"/>
        </w:rPr>
        <w:t>219AY</w:t>
      </w:r>
      <w:r>
        <w:t>.</w:t>
      </w:r>
      <w:r>
        <w:tab/>
        <w:t>Terms used — FLA s. 102Q</w:t>
      </w:r>
      <w:bookmarkEnd w:id="823"/>
      <w:bookmarkEnd w:id="824"/>
    </w:p>
    <w:p>
      <w:pPr>
        <w:pStyle w:val="Subsection"/>
      </w:pPr>
      <w:r>
        <w:tab/>
        <w:t>(1)</w:t>
      </w:r>
      <w:r>
        <w:tab/>
        <w:t xml:space="preserve">In this Part — </w:t>
      </w:r>
    </w:p>
    <w:p>
      <w:pPr>
        <w:pStyle w:val="Defstart"/>
      </w:pPr>
      <w:r>
        <w:tab/>
      </w:r>
      <w:r>
        <w:rPr>
          <w:rStyle w:val="CharDefText"/>
        </w:rPr>
        <w:t>appropriate court official</w:t>
      </w:r>
      <w:r>
        <w:t xml:space="preserve"> means — </w:t>
      </w:r>
    </w:p>
    <w:p>
      <w:pPr>
        <w:pStyle w:val="Defpara"/>
      </w:pPr>
      <w:r>
        <w:tab/>
        <w:t>(a)</w:t>
      </w:r>
      <w:r>
        <w:tab/>
        <w:t>in relation to the Family Court of Western Australia — the Principal Registrar of the Court; and</w:t>
      </w:r>
    </w:p>
    <w:p>
      <w:pPr>
        <w:pStyle w:val="Defpara"/>
      </w:pPr>
      <w:r>
        <w:tab/>
        <w:t>(b)</w:t>
      </w:r>
      <w:r>
        <w:tab/>
        <w:t>in relation to any other court — the principal officer (however described) of the court;</w:t>
      </w:r>
    </w:p>
    <w:p>
      <w:pPr>
        <w:pStyle w:val="Defstart"/>
      </w:pPr>
      <w:r>
        <w:tab/>
      </w:r>
      <w:r>
        <w:rPr>
          <w:rStyle w:val="CharDefText"/>
        </w:rPr>
        <w:t>Australian court or tribunal</w:t>
      </w:r>
      <w:r>
        <w:t xml:space="preserve"> means a court or tribunal of the Commonwealth, a State or a Territory;</w:t>
      </w:r>
    </w:p>
    <w:p>
      <w:pPr>
        <w:pStyle w:val="Defstart"/>
      </w:pPr>
      <w:r>
        <w:tab/>
      </w:r>
      <w:r>
        <w:rPr>
          <w:rStyle w:val="CharDefText"/>
        </w:rPr>
        <w:t>harmful proceedings order</w:t>
      </w:r>
      <w:r>
        <w:t xml:space="preserve"> means an order made under section 219AZB(1);</w:t>
      </w:r>
    </w:p>
    <w:p>
      <w:pPr>
        <w:pStyle w:val="Defstart"/>
      </w:pPr>
      <w:r>
        <w:tab/>
      </w:r>
      <w:r>
        <w:rPr>
          <w:rStyle w:val="CharDefText"/>
        </w:rPr>
        <w:t>institute</w:t>
      </w:r>
      <w:r>
        <w:t xml:space="preserve">, in relation to proceedings, includes — </w:t>
      </w:r>
    </w:p>
    <w:p>
      <w:pPr>
        <w:pStyle w:val="Defpara"/>
      </w:pPr>
      <w:r>
        <w:tab/>
        <w:t>(a)</w:t>
      </w:r>
      <w:r>
        <w:tab/>
        <w:t xml:space="preserve">for civil proceedings — the taking of a step or the making of an application that may be necessary before proceedings can be started against a party; and </w:t>
      </w:r>
    </w:p>
    <w:p>
      <w:pPr>
        <w:pStyle w:val="Defpara"/>
      </w:pPr>
      <w:r>
        <w:tab/>
        <w:t>(b)</w:t>
      </w:r>
      <w:r>
        <w:tab/>
        <w:t xml:space="preserve">for proceedings before a tribunal — the taking of a step or the making of an application that may be necessary before proceedings can be started before the tribunal; and </w:t>
      </w:r>
    </w:p>
    <w:p>
      <w:pPr>
        <w:pStyle w:val="Defpara"/>
      </w:pPr>
      <w:r>
        <w:tab/>
        <w:t>(c)</w:t>
      </w:r>
      <w:r>
        <w:tab/>
        <w:t xml:space="preserve">for criminal proceedings — the making of a complaint or the obtaining of a warrant for the arrest of an alleged offender; and </w:t>
      </w:r>
    </w:p>
    <w:p>
      <w:pPr>
        <w:pStyle w:val="Defpara"/>
      </w:pPr>
      <w:r>
        <w:tab/>
        <w:t>(d)</w:t>
      </w:r>
      <w:r>
        <w:tab/>
        <w:t xml:space="preserve">for civil or criminal proceedings or proceedings before a tribunal — the taking of a step or the making of an application that may be necessary to start an appeal in </w:t>
      </w:r>
      <w:r>
        <w:lastRenderedPageBreak/>
        <w:t>relation to the proceedings or to a decision made in the course of the proceedings;</w:t>
      </w:r>
    </w:p>
    <w:p>
      <w:pPr>
        <w:pStyle w:val="Defstart"/>
      </w:pPr>
      <w:r>
        <w:tab/>
      </w:r>
      <w:r>
        <w:rPr>
          <w:rStyle w:val="CharDefText"/>
        </w:rPr>
        <w:t>proceedings</w:t>
      </w:r>
      <w:r>
        <w:t xml:space="preserve"> — </w:t>
      </w:r>
    </w:p>
    <w:p>
      <w:pPr>
        <w:pStyle w:val="Defpara"/>
      </w:pPr>
      <w:r>
        <w:tab/>
        <w:t>(a)</w:t>
      </w:r>
      <w:r>
        <w:tab/>
        <w:t xml:space="preserve">in relation to a court — has the meaning given by section 5(1); and </w:t>
      </w:r>
    </w:p>
    <w:p>
      <w:pPr>
        <w:pStyle w:val="Defpara"/>
      </w:pPr>
      <w:r>
        <w:tab/>
        <w:t>(b)</w:t>
      </w:r>
      <w:r>
        <w:tab/>
        <w:t>in relation to a tribunal — means a proceeding in the tribunal, whether between parties or not, and includes an incidental proceeding in the course of, or in connection with, a proceeding;</w:t>
      </w:r>
    </w:p>
    <w:p>
      <w:pPr>
        <w:pStyle w:val="Defstart"/>
      </w:pPr>
      <w:r>
        <w:tab/>
      </w:r>
      <w:r>
        <w:rPr>
          <w:rStyle w:val="CharDefText"/>
        </w:rPr>
        <w:t>proceedings of a particular type</w:t>
      </w:r>
      <w:r>
        <w:t xml:space="preserve"> includes — </w:t>
      </w:r>
    </w:p>
    <w:p>
      <w:pPr>
        <w:pStyle w:val="Defpara"/>
      </w:pPr>
      <w:r>
        <w:tab/>
        <w:t>(a)</w:t>
      </w:r>
      <w:r>
        <w:tab/>
        <w:t xml:space="preserve">proceedings in relation to a particular matter; and </w:t>
      </w:r>
    </w:p>
    <w:p>
      <w:pPr>
        <w:pStyle w:val="Defpara"/>
      </w:pPr>
      <w:r>
        <w:tab/>
        <w:t>(b)</w:t>
      </w:r>
      <w:r>
        <w:tab/>
        <w:t>proceedings against a particular person;</w:t>
      </w:r>
    </w:p>
    <w:p>
      <w:pPr>
        <w:pStyle w:val="Defstart"/>
      </w:pPr>
      <w:r>
        <w:tab/>
      </w:r>
      <w:r>
        <w:rPr>
          <w:rStyle w:val="CharDefText"/>
        </w:rPr>
        <w:t>vexatious proceedings</w:t>
      </w:r>
      <w:r>
        <w:t xml:space="preserve"> includes — </w:t>
      </w:r>
    </w:p>
    <w:p>
      <w:pPr>
        <w:pStyle w:val="Defpara"/>
      </w:pPr>
      <w:r>
        <w:tab/>
        <w:t>(a)</w:t>
      </w:r>
      <w:r>
        <w:tab/>
        <w:t xml:space="preserve">proceedings that are an abuse of the process of a court or tribunal; and </w:t>
      </w:r>
    </w:p>
    <w:p>
      <w:pPr>
        <w:pStyle w:val="Defpara"/>
      </w:pPr>
      <w:r>
        <w:tab/>
        <w:t>(b)</w:t>
      </w:r>
      <w:r>
        <w:tab/>
        <w:t xml:space="preserve">proceedings instituted in a court or tribunal to harass or annoy, to cause delay or detriment, or for another wrongful purpose; and </w:t>
      </w:r>
    </w:p>
    <w:p>
      <w:pPr>
        <w:pStyle w:val="Defpara"/>
      </w:pPr>
      <w:r>
        <w:tab/>
        <w:t>(c)</w:t>
      </w:r>
      <w:r>
        <w:tab/>
        <w:t xml:space="preserve">proceedings instituted or pursued in a court or tribunal without reasonable ground; and </w:t>
      </w:r>
    </w:p>
    <w:p>
      <w:pPr>
        <w:pStyle w:val="Defpara"/>
      </w:pPr>
      <w:r>
        <w:tab/>
        <w:t>(d)</w:t>
      </w:r>
      <w:r>
        <w:tab/>
        <w:t>proceedings conducted in a court or tribunal in a way so as to harass or annoy, cause delay or detriment, or achieve another wrongful purpose;</w:t>
      </w:r>
    </w:p>
    <w:p>
      <w:pPr>
        <w:pStyle w:val="Defstart"/>
      </w:pPr>
      <w:r>
        <w:tab/>
      </w:r>
      <w:r>
        <w:rPr>
          <w:rStyle w:val="CharDefText"/>
        </w:rPr>
        <w:t>vexatious proceedings order</w:t>
      </w:r>
      <w:r>
        <w:t xml:space="preserve"> means an order made under section 219AZG(2).</w:t>
      </w:r>
    </w:p>
    <w:p>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Footnotesection"/>
      </w:pPr>
      <w:r>
        <w:tab/>
        <w:t>[Section 219AY inserted: No. 49 of 2024 s. 68.]</w:t>
      </w:r>
    </w:p>
    <w:p>
      <w:pPr>
        <w:pStyle w:val="Heading5"/>
      </w:pPr>
      <w:bookmarkStart w:id="825" w:name="_Toc184390230"/>
      <w:bookmarkStart w:id="826" w:name="_Toc189743528"/>
      <w:r>
        <w:rPr>
          <w:rStyle w:val="CharSectno"/>
        </w:rPr>
        <w:lastRenderedPageBreak/>
        <w:t>219AZ</w:t>
      </w:r>
      <w:r>
        <w:t>.</w:t>
      </w:r>
      <w:r>
        <w:tab/>
        <w:t>Interactions between provisions and with other powers of court — FLA s. 102QA</w:t>
      </w:r>
      <w:bookmarkEnd w:id="825"/>
      <w:bookmarkEnd w:id="826"/>
    </w:p>
    <w:p>
      <w:pPr>
        <w:pStyle w:val="Subsection"/>
      </w:pPr>
      <w:r>
        <w:tab/>
      </w:r>
      <w:r>
        <w:tab/>
        <w:t>The provisions of this Part do not limit or otherwise affect —</w:t>
      </w:r>
    </w:p>
    <w:p>
      <w:pPr>
        <w:pStyle w:val="Indenta"/>
      </w:pPr>
      <w:r>
        <w:tab/>
        <w:t>(a)</w:t>
      </w:r>
      <w:r>
        <w:tab/>
        <w:t>each other; or</w:t>
      </w:r>
    </w:p>
    <w:p>
      <w:pPr>
        <w:pStyle w:val="Indenta"/>
      </w:pPr>
      <w:r>
        <w:tab/>
        <w:t>(b)</w:t>
      </w:r>
      <w:r>
        <w:tab/>
        <w:t>any other power that a court has to deal with proceedings.</w:t>
      </w:r>
    </w:p>
    <w:p>
      <w:pPr>
        <w:pStyle w:val="Footnotesection"/>
      </w:pPr>
      <w:r>
        <w:tab/>
        <w:t>[Section 219AZ inserted: No. 49 of 2024 s. 68.]</w:t>
      </w:r>
    </w:p>
    <w:p>
      <w:pPr>
        <w:pStyle w:val="Heading3"/>
      </w:pPr>
      <w:bookmarkStart w:id="827" w:name="_Toc184389821"/>
      <w:bookmarkStart w:id="828" w:name="_Toc184390026"/>
      <w:bookmarkStart w:id="829" w:name="_Toc184390231"/>
      <w:bookmarkStart w:id="830" w:name="_Toc189654224"/>
      <w:bookmarkStart w:id="831" w:name="_Toc189743529"/>
      <w:r>
        <w:rPr>
          <w:rStyle w:val="CharDivNo"/>
        </w:rPr>
        <w:t>Division 2</w:t>
      </w:r>
      <w:r>
        <w:t> — </w:t>
      </w:r>
      <w:r>
        <w:rPr>
          <w:rStyle w:val="CharDivText"/>
        </w:rPr>
        <w:t>Summary decrees</w:t>
      </w:r>
      <w:bookmarkEnd w:id="827"/>
      <w:bookmarkEnd w:id="828"/>
      <w:bookmarkEnd w:id="829"/>
      <w:bookmarkEnd w:id="830"/>
      <w:bookmarkEnd w:id="831"/>
    </w:p>
    <w:p>
      <w:pPr>
        <w:pStyle w:val="Footnoteheading"/>
      </w:pPr>
      <w:r>
        <w:tab/>
        <w:t>[Heading inserted: No. 49 of 2024 s. 68.]</w:t>
      </w:r>
    </w:p>
    <w:p>
      <w:pPr>
        <w:pStyle w:val="Heading5"/>
        <w:tabs>
          <w:tab w:val="clear" w:pos="879"/>
          <w:tab w:val="left" w:pos="1050"/>
        </w:tabs>
      </w:pPr>
      <w:bookmarkStart w:id="832" w:name="_Toc184390232"/>
      <w:bookmarkStart w:id="833" w:name="_Toc189743530"/>
      <w:r>
        <w:rPr>
          <w:rStyle w:val="CharSectno"/>
        </w:rPr>
        <w:t>219AZA</w:t>
      </w:r>
      <w:r>
        <w:t>.</w:t>
      </w:r>
      <w:r>
        <w:tab/>
        <w:t>Summary decrees — FLA s. 102QAB</w:t>
      </w:r>
      <w:bookmarkEnd w:id="832"/>
      <w:bookmarkEnd w:id="833"/>
    </w:p>
    <w:p>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Indenta"/>
      </w:pPr>
      <w:r>
        <w:tab/>
        <w:t>(a)</w:t>
      </w:r>
      <w:r>
        <w:tab/>
        <w:t>the first party is prosecuting the proceedings or that part of the proceedings; and</w:t>
      </w:r>
    </w:p>
    <w:p>
      <w:pPr>
        <w:pStyle w:val="Indenta"/>
      </w:pPr>
      <w:r>
        <w:tab/>
        <w:t>(b)</w:t>
      </w:r>
      <w:r>
        <w:tab/>
        <w:t>the court is satisfied that the other party has no reasonable prospect of successfully defending the proceedings or that part of the proceedings.</w:t>
      </w:r>
    </w:p>
    <w:p>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Indenta"/>
      </w:pPr>
      <w:r>
        <w:tab/>
        <w:t>(a)</w:t>
      </w:r>
      <w:r>
        <w:tab/>
        <w:t>the first party is defending the proceedings or that part of the proceedings; and</w:t>
      </w:r>
    </w:p>
    <w:p>
      <w:pPr>
        <w:pStyle w:val="Indenta"/>
      </w:pPr>
      <w:r>
        <w:tab/>
        <w:t>(b)</w:t>
      </w:r>
      <w:r>
        <w:tab/>
        <w:t>the court is satisfied that the other party has no reasonable prospect of successfully prosecuting the proceedings or that part of the proceedings.</w:t>
      </w:r>
    </w:p>
    <w:p>
      <w:pPr>
        <w:pStyle w:val="Subsection"/>
      </w:pPr>
      <w:r>
        <w:tab/>
        <w:t>(3)</w:t>
      </w:r>
      <w:r>
        <w:tab/>
        <w:t>For the purposes of this section, a defence or proceedings or part of proceedings need not be hopeless or bound to fail to have no reasonable prospect of success.</w:t>
      </w:r>
    </w:p>
    <w:p>
      <w:pPr>
        <w:pStyle w:val="Subsection"/>
      </w:pPr>
      <w:r>
        <w:lastRenderedPageBreak/>
        <w:tab/>
        <w:t>(4)</w:t>
      </w:r>
      <w:r>
        <w:tab/>
        <w:t>In proceedings under this Act, the court hearing the proceedings may dismiss all or part of the proceedings at any stage if it is satisfied that the proceedings or the part is frivolous, vexatious or an abuse of process.</w:t>
      </w:r>
    </w:p>
    <w:p>
      <w:pPr>
        <w:pStyle w:val="Subsection"/>
      </w:pPr>
      <w:r>
        <w:tab/>
        <w:t>(5)</w:t>
      </w:r>
      <w:r>
        <w:tab/>
        <w:t>To avoid doubt, proceedings or a part of proceedings are not frivolous, vexatious or an abuse of process merely because an application relating to the proceedings or the part is made and later withdrawn.</w:t>
      </w:r>
    </w:p>
    <w:p>
      <w:pPr>
        <w:pStyle w:val="Subsection"/>
      </w:pPr>
      <w:r>
        <w:tab/>
        <w:t>(6)</w:t>
      </w:r>
      <w:r>
        <w:tab/>
        <w:t>If the court makes a decree, or dismisses all or part of proceedings, under this section, the court may make such order as to costs as the court considers just.</w:t>
      </w:r>
    </w:p>
    <w:p>
      <w:pPr>
        <w:pStyle w:val="Subsection"/>
      </w:pPr>
      <w:r>
        <w:tab/>
        <w:t>(7)</w:t>
      </w:r>
      <w:r>
        <w:tab/>
        <w:t>The court may take action under this section on its own initiative or on application by a party to the proceedings.</w:t>
      </w:r>
    </w:p>
    <w:p>
      <w:pPr>
        <w:pStyle w:val="Footnotesection"/>
      </w:pPr>
      <w:r>
        <w:tab/>
        <w:t>[Section 219AZA inserted: No. 49 of 2024 s. 68.]</w:t>
      </w:r>
    </w:p>
    <w:p>
      <w:pPr>
        <w:pStyle w:val="Heading3"/>
        <w:rPr>
          <w:rStyle w:val="CharDivText"/>
        </w:rPr>
      </w:pPr>
      <w:bookmarkStart w:id="834" w:name="_Toc184389823"/>
      <w:bookmarkStart w:id="835" w:name="_Toc184390028"/>
      <w:bookmarkStart w:id="836" w:name="_Toc184390233"/>
      <w:bookmarkStart w:id="837" w:name="_Toc189654226"/>
      <w:bookmarkStart w:id="838" w:name="_Toc189743531"/>
      <w:r>
        <w:rPr>
          <w:rStyle w:val="CharDivNo"/>
        </w:rPr>
        <w:t>Division 3</w:t>
      </w:r>
      <w:r>
        <w:t> — </w:t>
      </w:r>
      <w:r>
        <w:rPr>
          <w:rStyle w:val="CharDivText"/>
        </w:rPr>
        <w:t>Harmful proceedings orders</w:t>
      </w:r>
      <w:bookmarkEnd w:id="834"/>
      <w:bookmarkEnd w:id="835"/>
      <w:bookmarkEnd w:id="836"/>
      <w:bookmarkEnd w:id="837"/>
      <w:bookmarkEnd w:id="838"/>
    </w:p>
    <w:p>
      <w:pPr>
        <w:pStyle w:val="Footnoteheading"/>
      </w:pPr>
      <w:r>
        <w:tab/>
        <w:t>[Heading inserted: No. 49 of 2024 s. 68.]</w:t>
      </w:r>
    </w:p>
    <w:p>
      <w:pPr>
        <w:pStyle w:val="Heading4"/>
      </w:pPr>
      <w:bookmarkStart w:id="839" w:name="_Toc184389824"/>
      <w:bookmarkStart w:id="840" w:name="_Toc184390029"/>
      <w:bookmarkStart w:id="841" w:name="_Toc184390234"/>
      <w:bookmarkStart w:id="842" w:name="_Toc189654227"/>
      <w:bookmarkStart w:id="843" w:name="_Toc189743532"/>
      <w:r>
        <w:t>Subdivision 1 — Making harmful proceedings orders</w:t>
      </w:r>
      <w:bookmarkEnd w:id="839"/>
      <w:bookmarkEnd w:id="840"/>
      <w:bookmarkEnd w:id="841"/>
      <w:bookmarkEnd w:id="842"/>
      <w:bookmarkEnd w:id="843"/>
    </w:p>
    <w:p>
      <w:pPr>
        <w:pStyle w:val="Footnoteheading"/>
      </w:pPr>
      <w:r>
        <w:tab/>
        <w:t>[Heading inserted: No. 49 of 2024 s. 68.]</w:t>
      </w:r>
    </w:p>
    <w:p>
      <w:pPr>
        <w:pStyle w:val="Heading5"/>
        <w:tabs>
          <w:tab w:val="clear" w:pos="879"/>
          <w:tab w:val="left" w:pos="1050"/>
        </w:tabs>
      </w:pPr>
      <w:bookmarkStart w:id="844" w:name="_Toc184390235"/>
      <w:bookmarkStart w:id="845" w:name="_Toc189743533"/>
      <w:r>
        <w:rPr>
          <w:rStyle w:val="CharSectno"/>
        </w:rPr>
        <w:t>219AZB</w:t>
      </w:r>
      <w:r>
        <w:t>.</w:t>
      </w:r>
      <w:r>
        <w:tab/>
        <w:t>Making harmful proceedings orders — FLA s. 102QAC</w:t>
      </w:r>
      <w:bookmarkEnd w:id="844"/>
      <w:bookmarkEnd w:id="845"/>
    </w:p>
    <w:p>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Indenta"/>
      </w:pPr>
      <w:r>
        <w:tab/>
        <w:t>(a)</w:t>
      </w:r>
      <w:r>
        <w:tab/>
        <w:t>the other party would suffer harm if the first party instituted further proceedings against the other party; or</w:t>
      </w:r>
    </w:p>
    <w:p>
      <w:pPr>
        <w:pStyle w:val="Indenta"/>
      </w:pPr>
      <w:r>
        <w:tab/>
        <w:t>(b)</w:t>
      </w:r>
      <w:r>
        <w:tab/>
        <w:t>in the case of child</w:t>
      </w:r>
      <w:r>
        <w:noBreakHyphen/>
        <w:t xml:space="preserve">related proceedings — the child who is the subject of the proceedings would suffer harm if the </w:t>
      </w:r>
      <w:r>
        <w:lastRenderedPageBreak/>
        <w:t>first party instituted further proceedings against the other party.</w:t>
      </w:r>
    </w:p>
    <w:p>
      <w:pPr>
        <w:pStyle w:val="Subsection"/>
      </w:pPr>
      <w:r>
        <w:tab/>
        <w:t>(2)</w:t>
      </w:r>
      <w:r>
        <w:tab/>
        <w:t>For the purposes of subsection (1), harm may include, but is not limited to, the following —</w:t>
      </w:r>
    </w:p>
    <w:p>
      <w:pPr>
        <w:pStyle w:val="Indenta"/>
      </w:pPr>
      <w:r>
        <w:tab/>
        <w:t>(a)</w:t>
      </w:r>
      <w:r>
        <w:tab/>
        <w:t>psychological harm or oppression;</w:t>
      </w:r>
    </w:p>
    <w:p>
      <w:pPr>
        <w:pStyle w:val="Indenta"/>
      </w:pPr>
      <w:r>
        <w:tab/>
        <w:t>(b)</w:t>
      </w:r>
      <w:r>
        <w:tab/>
        <w:t>major mental distress;</w:t>
      </w:r>
    </w:p>
    <w:p>
      <w:pPr>
        <w:pStyle w:val="Indenta"/>
      </w:pPr>
      <w:r>
        <w:tab/>
        <w:t>(c)</w:t>
      </w:r>
      <w:r>
        <w:tab/>
        <w:t>a detrimental effect on the other party’s capacity to care for a child;</w:t>
      </w:r>
    </w:p>
    <w:p>
      <w:pPr>
        <w:pStyle w:val="Indenta"/>
      </w:pPr>
      <w:r>
        <w:tab/>
        <w:t>(d)</w:t>
      </w:r>
      <w:r>
        <w:tab/>
        <w:t>financial harm.</w:t>
      </w:r>
    </w:p>
    <w:p>
      <w:pPr>
        <w:pStyle w:val="Subsection"/>
      </w:pPr>
      <w:r>
        <w:tab/>
        <w:t>(3)</w:t>
      </w:r>
      <w:r>
        <w:tab/>
        <w:t>In determining whether to make an order under subsection (1), the court may have regard to —</w:t>
      </w:r>
    </w:p>
    <w:p>
      <w:pPr>
        <w:pStyle w:val="Indenta"/>
      </w:pPr>
      <w:r>
        <w:tab/>
        <w:t>(a)</w:t>
      </w:r>
      <w:r>
        <w:tab/>
        <w:t>the history of the proceedings under this Act between the first party and the other party; and</w:t>
      </w:r>
    </w:p>
    <w:p>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Indenta"/>
      </w:pPr>
      <w:r>
        <w:tab/>
        <w:t>(c)</w:t>
      </w:r>
      <w:r>
        <w:tab/>
        <w:t>the cumulative effect, or any potential cumulative effect, of any harm resulting from the proceedings referred to in paragraphs (a) and (b).</w:t>
      </w:r>
    </w:p>
    <w:p>
      <w:pPr>
        <w:pStyle w:val="Subsection"/>
      </w:pPr>
      <w:r>
        <w:tab/>
        <w:t>(4)</w:t>
      </w:r>
      <w:r>
        <w:tab/>
        <w:t>The court may make a harmful proceedings order on its own initiative or on application by a party to the proceedings.</w:t>
      </w:r>
    </w:p>
    <w:p>
      <w:pPr>
        <w:pStyle w:val="Subsection"/>
      </w:pPr>
      <w:r>
        <w:tab/>
        <w:t>(5)</w:t>
      </w:r>
      <w:r>
        <w:tab/>
        <w:t>The court must not make a harmful proceedings order in relation to a person without hearing the person or giving the person an opportunity of being heard.</w:t>
      </w:r>
    </w:p>
    <w:p>
      <w:pPr>
        <w:pStyle w:val="Subsection"/>
      </w:pPr>
      <w:r>
        <w:tab/>
        <w:t>(6)</w:t>
      </w:r>
      <w:r>
        <w:tab/>
        <w:t>An order made under subsection (1) is a final order.</w:t>
      </w:r>
    </w:p>
    <w:p>
      <w:pPr>
        <w:pStyle w:val="Subsection"/>
      </w:pPr>
      <w:r>
        <w:tab/>
        <w:t>(7)</w:t>
      </w:r>
      <w:r>
        <w:tab/>
        <w:t xml:space="preserve">If the court makes an order under subsection (1), the court must also make an order as to whether the court is to notify the other </w:t>
      </w:r>
      <w:r>
        <w:lastRenderedPageBreak/>
        <w:t>party, in the event that the first party makes an application under section 219AZD for leave to institute proceedings against the other party, of either or both of the following —</w:t>
      </w:r>
    </w:p>
    <w:p>
      <w:pPr>
        <w:pStyle w:val="Indenta"/>
      </w:pPr>
      <w:r>
        <w:tab/>
        <w:t>(a)</w:t>
      </w:r>
      <w:r>
        <w:tab/>
        <w:t>that the application has been made;</w:t>
      </w:r>
    </w:p>
    <w:p>
      <w:pPr>
        <w:pStyle w:val="Indenta"/>
      </w:pPr>
      <w:r>
        <w:tab/>
        <w:t>(b)</w:t>
      </w:r>
      <w:r>
        <w:tab/>
        <w:t>if the application is dismissed — that the application has been dismissed.</w:t>
      </w:r>
    </w:p>
    <w:p>
      <w:pPr>
        <w:pStyle w:val="Subsection"/>
      </w:pPr>
      <w:r>
        <w:tab/>
        <w:t>(8)</w:t>
      </w:r>
      <w:r>
        <w:tab/>
        <w:t>The court must have regard to the wishes of the other party in making an order under subsection (7).</w:t>
      </w:r>
    </w:p>
    <w:p>
      <w:pPr>
        <w:pStyle w:val="Footnotesection"/>
      </w:pPr>
      <w:r>
        <w:tab/>
        <w:t>[Section 219AZB inserted: No. 49 of 2024 s. 68.]</w:t>
      </w:r>
    </w:p>
    <w:p>
      <w:pPr>
        <w:pStyle w:val="Heading4"/>
      </w:pPr>
      <w:bookmarkStart w:id="846" w:name="_Toc184389826"/>
      <w:bookmarkStart w:id="847" w:name="_Toc184390031"/>
      <w:bookmarkStart w:id="848" w:name="_Toc184390236"/>
      <w:bookmarkStart w:id="849" w:name="_Toc189654229"/>
      <w:bookmarkStart w:id="850" w:name="_Toc189743534"/>
      <w:r>
        <w:t>Subdivision 2 — Consequences of harmful proceedings orders</w:t>
      </w:r>
      <w:bookmarkEnd w:id="846"/>
      <w:bookmarkEnd w:id="847"/>
      <w:bookmarkEnd w:id="848"/>
      <w:bookmarkEnd w:id="849"/>
      <w:bookmarkEnd w:id="850"/>
    </w:p>
    <w:p>
      <w:pPr>
        <w:pStyle w:val="Footnoteheading"/>
      </w:pPr>
      <w:r>
        <w:tab/>
        <w:t>[Heading inserted: No. 49 of 2024 s. 68.]</w:t>
      </w:r>
    </w:p>
    <w:p>
      <w:pPr>
        <w:pStyle w:val="Heading5"/>
        <w:tabs>
          <w:tab w:val="clear" w:pos="879"/>
          <w:tab w:val="left" w:pos="1050"/>
        </w:tabs>
      </w:pPr>
      <w:bookmarkStart w:id="851" w:name="_Toc184390237"/>
      <w:bookmarkStart w:id="852" w:name="_Toc189743535"/>
      <w:r>
        <w:rPr>
          <w:rStyle w:val="CharSectno"/>
        </w:rPr>
        <w:t>219AZC</w:t>
      </w:r>
      <w:r>
        <w:t>.</w:t>
      </w:r>
      <w:r>
        <w:tab/>
        <w:t>Proceedings in contravention of harmful proceedings order — FLA s. 102QAD</w:t>
      </w:r>
      <w:bookmarkEnd w:id="851"/>
      <w:bookmarkEnd w:id="852"/>
    </w:p>
    <w:p>
      <w:pPr>
        <w:pStyle w:val="Subsection"/>
      </w:pPr>
      <w:r>
        <w:tab/>
        <w:t>(1)</w:t>
      </w:r>
      <w:r>
        <w:tab/>
        <w:t>If a person is subject to a harmful proceedings order prohibiting the person from instituting proceedings under this Act in a court having jurisdiction under this Act —</w:t>
      </w:r>
    </w:p>
    <w:p>
      <w:pPr>
        <w:pStyle w:val="Indenta"/>
      </w:pPr>
      <w:r>
        <w:tab/>
        <w:t>(a)</w:t>
      </w:r>
      <w:r>
        <w:tab/>
        <w:t>the person must not institute proceedings in the court without the leave of the court under section 219AZF; and</w:t>
      </w:r>
    </w:p>
    <w:p>
      <w:pPr>
        <w:pStyle w:val="Indenta"/>
      </w:pPr>
      <w:r>
        <w:tab/>
        <w:t>(b)</w:t>
      </w:r>
      <w:r>
        <w:tab/>
        <w:t>another person must not, acting in concert with the person, institute proceedings in the court without the leave of the court under section 219AZF.</w:t>
      </w:r>
    </w:p>
    <w:p>
      <w:pPr>
        <w:pStyle w:val="Subsection"/>
      </w:pPr>
      <w:r>
        <w:tab/>
        <w:t>(2)</w:t>
      </w:r>
      <w:r>
        <w:tab/>
        <w:t>If proceedings are instituted in contravention of subsection (1), the proceedings are stayed.</w:t>
      </w:r>
    </w:p>
    <w:p>
      <w:pPr>
        <w:pStyle w:val="Subsection"/>
      </w:pPr>
      <w:r>
        <w:tab/>
        <w:t>(3)</w:t>
      </w:r>
      <w:r>
        <w:tab/>
        <w:t>Without limiting subsection (2), the court may make —</w:t>
      </w:r>
    </w:p>
    <w:p>
      <w:pPr>
        <w:pStyle w:val="Indenta"/>
      </w:pPr>
      <w:r>
        <w:tab/>
        <w:t>(a)</w:t>
      </w:r>
      <w:r>
        <w:tab/>
        <w:t>an order declaring proceedings are proceedings to which subsection (2) applies; and</w:t>
      </w:r>
    </w:p>
    <w:p>
      <w:pPr>
        <w:pStyle w:val="Indenta"/>
      </w:pPr>
      <w:r>
        <w:tab/>
        <w:t>(b)</w:t>
      </w:r>
      <w:r>
        <w:tab/>
        <w:t>any other order in relation to the stayed proceedings it considers appropriate, including an order for costs.</w:t>
      </w:r>
    </w:p>
    <w:p>
      <w:pPr>
        <w:pStyle w:val="Subsection"/>
      </w:pPr>
      <w:r>
        <w:lastRenderedPageBreak/>
        <w:tab/>
        <w:t>(4)</w:t>
      </w:r>
      <w:r>
        <w:tab/>
        <w:t>The court may make an order under subsection (3) on its own initiative or on the application of a person a party to the proceedings.</w:t>
      </w:r>
    </w:p>
    <w:p>
      <w:pPr>
        <w:pStyle w:val="Footnotesection"/>
      </w:pPr>
      <w:r>
        <w:tab/>
        <w:t>[Section 219AZC inserted: No. 49 of 2024 s. 68.]</w:t>
      </w:r>
    </w:p>
    <w:p>
      <w:pPr>
        <w:pStyle w:val="Heading5"/>
        <w:tabs>
          <w:tab w:val="clear" w:pos="879"/>
          <w:tab w:val="left" w:pos="1050"/>
        </w:tabs>
      </w:pPr>
      <w:bookmarkStart w:id="853" w:name="_Toc184390238"/>
      <w:bookmarkStart w:id="854" w:name="_Toc189743536"/>
      <w:r>
        <w:rPr>
          <w:rStyle w:val="CharSectno"/>
        </w:rPr>
        <w:t>219AZD</w:t>
      </w:r>
      <w:r>
        <w:t>.</w:t>
      </w:r>
      <w:r>
        <w:tab/>
        <w:t>Application for leave to institute proceedings — FLA s. 102QAE</w:t>
      </w:r>
      <w:bookmarkEnd w:id="853"/>
      <w:bookmarkEnd w:id="854"/>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harmful proceedings order prohibiting the person from instituting further proceedings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The applicant may apply to the court for leave to institute proceedings that are subject to the order.</w:t>
      </w:r>
    </w:p>
    <w:p>
      <w:pPr>
        <w:pStyle w:val="Subsection"/>
      </w:pPr>
      <w:r>
        <w:tab/>
        <w:t>(3)</w:t>
      </w:r>
      <w:r>
        <w:tab/>
        <w:t>The applicant must file an affidavit with the application that —</w:t>
      </w:r>
    </w:p>
    <w:p>
      <w:pPr>
        <w:pStyle w:val="Indenta"/>
      </w:pPr>
      <w:r>
        <w:tab/>
        <w:t>(a)</w:t>
      </w:r>
      <w:r>
        <w:tab/>
        <w:t>lists all the occasions on which the applicant has applied for leave under this section; and</w:t>
      </w:r>
    </w:p>
    <w:p>
      <w:pPr>
        <w:pStyle w:val="Indenta"/>
      </w:pPr>
      <w:r>
        <w:tab/>
        <w:t>(b)</w:t>
      </w:r>
      <w:r>
        <w:tab/>
        <w:t>discloses all relevant facts about the application, whether supporting or adverse to the application, that are known to the applicant.</w:t>
      </w:r>
    </w:p>
    <w:p>
      <w:pPr>
        <w:pStyle w:val="Subsection"/>
      </w:pPr>
      <w:r>
        <w:tab/>
        <w:t>(4)</w:t>
      </w:r>
      <w:r>
        <w:tab/>
        <w:t>The applicant must —</w:t>
      </w:r>
    </w:p>
    <w:p>
      <w:pPr>
        <w:pStyle w:val="Indenta"/>
      </w:pPr>
      <w:r>
        <w:tab/>
        <w:t>(a)</w:t>
      </w:r>
      <w:r>
        <w:tab/>
        <w:t>not serve a copy of the application or affidavit on a person unless an order is made under section 219AZF; and</w:t>
      </w:r>
    </w:p>
    <w:p>
      <w:pPr>
        <w:pStyle w:val="Indenta"/>
      </w:pPr>
      <w:r>
        <w:tab/>
        <w:t>(b)</w:t>
      </w:r>
      <w:r>
        <w:tab/>
        <w:t>if the order is made — serve the copy in accordance with the order.</w:t>
      </w:r>
    </w:p>
    <w:p>
      <w:pPr>
        <w:pStyle w:val="Footnotesection"/>
      </w:pPr>
      <w:r>
        <w:tab/>
        <w:t>[Section 219AZD inserted: No. 49 of 2024 s. 68.]</w:t>
      </w:r>
    </w:p>
    <w:p>
      <w:pPr>
        <w:pStyle w:val="Heading5"/>
        <w:tabs>
          <w:tab w:val="clear" w:pos="879"/>
          <w:tab w:val="left" w:pos="1050"/>
        </w:tabs>
        <w:rPr>
          <w:rStyle w:val="CharSectno"/>
        </w:rPr>
      </w:pPr>
      <w:bookmarkStart w:id="855" w:name="_Toc184390239"/>
      <w:bookmarkStart w:id="856" w:name="_Toc189743537"/>
      <w:r>
        <w:rPr>
          <w:rStyle w:val="CharSectno"/>
        </w:rPr>
        <w:t>219AZE.</w:t>
      </w:r>
      <w:r>
        <w:rPr>
          <w:rStyle w:val="CharSectno"/>
        </w:rPr>
        <w:tab/>
        <w:t>Dismissing application for leave — FLA s. 102QAF</w:t>
      </w:r>
      <w:bookmarkEnd w:id="855"/>
      <w:bookmarkEnd w:id="856"/>
    </w:p>
    <w:p>
      <w:pPr>
        <w:pStyle w:val="Subsection"/>
      </w:pPr>
      <w:r>
        <w:tab/>
        <w:t>(1)</w:t>
      </w:r>
      <w:r>
        <w:tab/>
        <w:t xml:space="preserve">The court may make an order dismissing an application under section 219AZD for leave to institute proceedings if it considers </w:t>
      </w:r>
      <w:r>
        <w:lastRenderedPageBreak/>
        <w:t>the affidavit does not substantially comply with section 219AZD(3).</w:t>
      </w:r>
    </w:p>
    <w:p>
      <w:pPr>
        <w:pStyle w:val="Subsection"/>
      </w:pPr>
      <w:r>
        <w:tab/>
        <w:t>(2)</w:t>
      </w:r>
      <w:r>
        <w:tab/>
        <w:t>The court must make an order dismissing an application under section 219AZD for leave to institute proceedings if it considers the proceedings are vexatious proceedings.</w:t>
      </w:r>
    </w:p>
    <w:p>
      <w:pPr>
        <w:pStyle w:val="Subsection"/>
      </w:pPr>
      <w:r>
        <w:tab/>
        <w:t>(3)</w:t>
      </w:r>
      <w:r>
        <w:tab/>
        <w:t>The court may dismiss the application without an oral hearing (either with or without the consent of the applicant).</w:t>
      </w:r>
    </w:p>
    <w:p>
      <w:pPr>
        <w:pStyle w:val="Subsection"/>
      </w:pPr>
      <w:r>
        <w:tab/>
        <w:t>(4)</w:t>
      </w:r>
      <w:r>
        <w:tab/>
        <w:t>The court may make an order under this section in Chambers.</w:t>
      </w:r>
    </w:p>
    <w:p>
      <w:pPr>
        <w:pStyle w:val="Footnotesection"/>
      </w:pPr>
      <w:r>
        <w:tab/>
        <w:t>[Section 219AZE inserted: No. 49 of 2024 s. 68.]</w:t>
      </w:r>
    </w:p>
    <w:p>
      <w:pPr>
        <w:pStyle w:val="Heading5"/>
        <w:tabs>
          <w:tab w:val="clear" w:pos="879"/>
          <w:tab w:val="left" w:pos="1050"/>
        </w:tabs>
      </w:pPr>
      <w:bookmarkStart w:id="857" w:name="_Toc184390240"/>
      <w:bookmarkStart w:id="858" w:name="_Toc189743538"/>
      <w:r>
        <w:rPr>
          <w:rStyle w:val="CharSectno"/>
        </w:rPr>
        <w:t>219AZF</w:t>
      </w:r>
      <w:r>
        <w:t>.</w:t>
      </w:r>
      <w:r>
        <w:tab/>
        <w:t>Granting application for leave — FLA s. 102QAG</w:t>
      </w:r>
      <w:bookmarkEnd w:id="857"/>
      <w:bookmarkEnd w:id="858"/>
    </w:p>
    <w:p>
      <w:pPr>
        <w:pStyle w:val="Subsection"/>
      </w:pPr>
      <w:r>
        <w:tab/>
        <w:t>(1)</w:t>
      </w:r>
      <w:r>
        <w:tab/>
        <w:t>The court may make an order granting the application for leave only if it is satisfied that the proceedings are not frivolous, vexatious or an abuse of process, and have reasonable prospects of success.</w:t>
      </w:r>
    </w:p>
    <w:p>
      <w:pPr>
        <w:pStyle w:val="Subsection"/>
      </w:pPr>
      <w:r>
        <w:tab/>
        <w:t>(2)</w:t>
      </w:r>
      <w:r>
        <w:tab/>
        <w:t>An order under subsection (1) may be made subject to the conditions the court considers appropriate.</w:t>
      </w:r>
    </w:p>
    <w:p>
      <w:pPr>
        <w:pStyle w:val="Footnotesection"/>
      </w:pPr>
      <w:r>
        <w:tab/>
        <w:t>[Section 219AZF inserted: No. 49 of 2024 s. 68.]</w:t>
      </w:r>
    </w:p>
    <w:p>
      <w:pPr>
        <w:pStyle w:val="Heading3"/>
      </w:pPr>
      <w:bookmarkStart w:id="859" w:name="_Toc184389831"/>
      <w:bookmarkStart w:id="860" w:name="_Toc184390036"/>
      <w:bookmarkStart w:id="861" w:name="_Toc184390241"/>
      <w:bookmarkStart w:id="862" w:name="_Toc189654234"/>
      <w:bookmarkStart w:id="863" w:name="_Toc189743539"/>
      <w:r>
        <w:rPr>
          <w:rStyle w:val="CharDivNo"/>
        </w:rPr>
        <w:t>Division 4</w:t>
      </w:r>
      <w:r>
        <w:t> — </w:t>
      </w:r>
      <w:r>
        <w:rPr>
          <w:rStyle w:val="CharDivText"/>
        </w:rPr>
        <w:t>Vexatious proceedings orders</w:t>
      </w:r>
      <w:bookmarkEnd w:id="859"/>
      <w:bookmarkEnd w:id="860"/>
      <w:bookmarkEnd w:id="861"/>
      <w:bookmarkEnd w:id="862"/>
      <w:bookmarkEnd w:id="863"/>
    </w:p>
    <w:p>
      <w:pPr>
        <w:pStyle w:val="Footnoteheading"/>
      </w:pPr>
      <w:r>
        <w:tab/>
        <w:t>[Heading inserted: No. 49 of 2024 s. 68.]</w:t>
      </w:r>
    </w:p>
    <w:p>
      <w:pPr>
        <w:pStyle w:val="Heading4"/>
      </w:pPr>
      <w:bookmarkStart w:id="864" w:name="_Toc184389832"/>
      <w:bookmarkStart w:id="865" w:name="_Toc184390037"/>
      <w:bookmarkStart w:id="866" w:name="_Toc184390242"/>
      <w:bookmarkStart w:id="867" w:name="_Toc189654235"/>
      <w:bookmarkStart w:id="868" w:name="_Toc189743540"/>
      <w:r>
        <w:t>Subdivision 1 — Making vexatious proceedings orders</w:t>
      </w:r>
      <w:bookmarkEnd w:id="864"/>
      <w:bookmarkEnd w:id="865"/>
      <w:bookmarkEnd w:id="866"/>
      <w:bookmarkEnd w:id="867"/>
      <w:bookmarkEnd w:id="868"/>
    </w:p>
    <w:p>
      <w:pPr>
        <w:pStyle w:val="Footnoteheading"/>
      </w:pPr>
      <w:r>
        <w:tab/>
        <w:t>[Heading inserted: No. 49 of 2024 s. 68.]</w:t>
      </w:r>
    </w:p>
    <w:p>
      <w:pPr>
        <w:pStyle w:val="Heading5"/>
        <w:tabs>
          <w:tab w:val="clear" w:pos="879"/>
          <w:tab w:val="left" w:pos="1050"/>
        </w:tabs>
      </w:pPr>
      <w:bookmarkStart w:id="869" w:name="_Toc184390243"/>
      <w:bookmarkStart w:id="870" w:name="_Toc189743541"/>
      <w:r>
        <w:rPr>
          <w:rStyle w:val="CharSectno"/>
        </w:rPr>
        <w:t>219AZG</w:t>
      </w:r>
      <w:r>
        <w:t>.</w:t>
      </w:r>
      <w:r>
        <w:tab/>
        <w:t>Making vexatious proceedings orders — FLA s. 102QB</w:t>
      </w:r>
      <w:bookmarkEnd w:id="869"/>
      <w:bookmarkEnd w:id="870"/>
    </w:p>
    <w:p>
      <w:pPr>
        <w:pStyle w:val="Subsection"/>
      </w:pPr>
      <w:r>
        <w:tab/>
        <w:t>(1)</w:t>
      </w:r>
      <w:r>
        <w:tab/>
        <w:t xml:space="preserve">This section applies if a court exercising jurisdiction in proceedings under this Act is satisfied — </w:t>
      </w:r>
    </w:p>
    <w:p>
      <w:pPr>
        <w:pStyle w:val="Indenta"/>
      </w:pPr>
      <w:r>
        <w:tab/>
        <w:t>(a)</w:t>
      </w:r>
      <w:r>
        <w:tab/>
        <w:t xml:space="preserve">a person has frequently instituted or conducted vexatious proceedings in Australian courts or tribunals; or </w:t>
      </w:r>
    </w:p>
    <w:p>
      <w:pPr>
        <w:pStyle w:val="Indenta"/>
      </w:pPr>
      <w:r>
        <w:lastRenderedPageBreak/>
        <w:tab/>
        <w:t>(b)</w:t>
      </w:r>
      <w:r>
        <w:tab/>
        <w:t>a person, acting in concert with another person who is subject to a vexatious proceedings order or who is covered by paragraph (a), has instituted or conducted vexatious proceedings in an Australian court or tribunal.</w:t>
      </w:r>
    </w:p>
    <w:p>
      <w:pPr>
        <w:pStyle w:val="Subsection"/>
      </w:pPr>
      <w:r>
        <w:tab/>
        <w:t>(2)</w:t>
      </w:r>
      <w:r>
        <w:tab/>
        <w:t xml:space="preserve">The court may make any or all of the following orders — </w:t>
      </w:r>
    </w:p>
    <w:p>
      <w:pPr>
        <w:pStyle w:val="Indenta"/>
      </w:pPr>
      <w:r>
        <w:tab/>
        <w:t>(a)</w:t>
      </w:r>
      <w:r>
        <w:tab/>
        <w:t>an order staying or dismissing all or part of any proceedings in the court already instituted by the person;</w:t>
      </w:r>
    </w:p>
    <w:p>
      <w:pPr>
        <w:pStyle w:val="Indenta"/>
      </w:pPr>
      <w:r>
        <w:tab/>
        <w:t>(b)</w:t>
      </w:r>
      <w:r>
        <w:tab/>
        <w:t xml:space="preserve">an order prohibiting the person from instituting proceedings, or proceedings of a particular type, under this Act in a court having jurisdiction under this Act; </w:t>
      </w:r>
    </w:p>
    <w:p>
      <w:pPr>
        <w:pStyle w:val="Indenta"/>
      </w:pPr>
      <w:r>
        <w:tab/>
        <w:t>(c)</w:t>
      </w:r>
      <w:r>
        <w:tab/>
        <w:t xml:space="preserve">any other order the court considers appropriate in relation to the person. </w:t>
      </w:r>
    </w:p>
    <w:p>
      <w:pPr>
        <w:pStyle w:val="Subsection"/>
      </w:pPr>
      <w:r>
        <w:tab/>
        <w:t>(3)</w:t>
      </w:r>
      <w:r>
        <w:tab/>
        <w:t xml:space="preserve">The court may make a vexatious proceedings order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Subsection"/>
      </w:pPr>
      <w:r>
        <w:tab/>
        <w:t>(4)</w:t>
      </w:r>
      <w:r>
        <w:tab/>
        <w:t>The court must not make a vexatious proceedings order in relation to a person without hearing the person or giving the person an opportunity of being heard.</w:t>
      </w:r>
    </w:p>
    <w:p>
      <w:pPr>
        <w:pStyle w:val="Subsection"/>
      </w:pPr>
      <w:r>
        <w:tab/>
        <w:t>(5)</w:t>
      </w:r>
      <w:r>
        <w:tab/>
        <w:t xml:space="preserve">An order made under subsection (2)(a) or (b) is a final order. </w:t>
      </w:r>
    </w:p>
    <w:p>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pPr>
        <w:pStyle w:val="Indenta"/>
      </w:pPr>
      <w:r>
        <w:tab/>
        <w:t>(a)</w:t>
      </w:r>
      <w:r>
        <w:tab/>
        <w:t xml:space="preserve">proceedings instituted (or attempted to be instituted) or conducted in any Australian court or tribunal; </w:t>
      </w:r>
    </w:p>
    <w:p>
      <w:pPr>
        <w:pStyle w:val="Indenta"/>
      </w:pPr>
      <w:r>
        <w:tab/>
        <w:t>(b)</w:t>
      </w:r>
      <w:r>
        <w:tab/>
        <w:t xml:space="preserve">orders made by any Australian court or tribunal; </w:t>
      </w:r>
    </w:p>
    <w:p>
      <w:pPr>
        <w:pStyle w:val="Indenta"/>
      </w:pPr>
      <w:r>
        <w:lastRenderedPageBreak/>
        <w:tab/>
        <w:t>(c)</w:t>
      </w:r>
      <w:r>
        <w:tab/>
        <w:t>the person’s overall conduct in proceedings conducted in any Australian court or tribunal (including the person’s compliance with orders made by that court or tribunal).</w:t>
      </w:r>
    </w:p>
    <w:p>
      <w:pPr>
        <w:pStyle w:val="Footnotesection"/>
      </w:pPr>
      <w:r>
        <w:tab/>
        <w:t>[Section 219AZG inserted: No. 49 of 2024 s. 68.]</w:t>
      </w:r>
    </w:p>
    <w:p>
      <w:pPr>
        <w:pStyle w:val="Heading5"/>
        <w:tabs>
          <w:tab w:val="clear" w:pos="879"/>
          <w:tab w:val="left" w:pos="1050"/>
        </w:tabs>
      </w:pPr>
      <w:bookmarkStart w:id="871" w:name="_Toc184390244"/>
      <w:bookmarkStart w:id="872" w:name="_Toc189743542"/>
      <w:r>
        <w:rPr>
          <w:rStyle w:val="CharSectno"/>
        </w:rPr>
        <w:t>219AZH</w:t>
      </w:r>
      <w:r>
        <w:t>.</w:t>
      </w:r>
      <w:r>
        <w:tab/>
        <w:t>Notification of vexatious proceedings orders — FLA s. 102QC</w:t>
      </w:r>
      <w:bookmarkEnd w:id="871"/>
      <w:bookmarkEnd w:id="872"/>
    </w:p>
    <w:p>
      <w:pPr>
        <w:pStyle w:val="Subsection"/>
      </w:pPr>
      <w:r>
        <w:tab/>
        <w:t>(1)</w:t>
      </w:r>
      <w:r>
        <w:tab/>
        <w:t>A person may request the appropriate court official of a court for a certificate stating whether a person named in the request is or has been the subject of a vexatious proceedings order made by the court.</w:t>
      </w:r>
    </w:p>
    <w:p>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Indenta"/>
      </w:pPr>
      <w:r>
        <w:tab/>
        <w:t>(a)</w:t>
      </w:r>
      <w:r>
        <w:tab/>
        <w:t>specifying the date of the order; and</w:t>
      </w:r>
    </w:p>
    <w:p>
      <w:pPr>
        <w:pStyle w:val="Indenta"/>
      </w:pPr>
      <w:r>
        <w:tab/>
        <w:t>(b)</w:t>
      </w:r>
      <w:r>
        <w:tab/>
        <w:t>specifying any other information prescribed by the rules.</w:t>
      </w:r>
    </w:p>
    <w:p>
      <w:pPr>
        <w:pStyle w:val="Subsection"/>
      </w:pPr>
      <w:r>
        <w:tab/>
        <w:t>(3)</w:t>
      </w:r>
      <w:r>
        <w:tab/>
        <w:t>This section is subject to any written law, law of the Commonwealth or order of the court restricting the publication or disclosure of the name of a party to proceedings in the court.</w:t>
      </w:r>
    </w:p>
    <w:p>
      <w:pPr>
        <w:pStyle w:val="Footnotesection"/>
      </w:pPr>
      <w:r>
        <w:tab/>
        <w:t>[Section 219AZH inserted: No. 49 of 2024 s. 68.]</w:t>
      </w:r>
    </w:p>
    <w:p>
      <w:pPr>
        <w:pStyle w:val="Heading4"/>
      </w:pPr>
      <w:bookmarkStart w:id="873" w:name="_Toc184389835"/>
      <w:bookmarkStart w:id="874" w:name="_Toc184390040"/>
      <w:bookmarkStart w:id="875" w:name="_Toc184390245"/>
      <w:bookmarkStart w:id="876" w:name="_Toc189654238"/>
      <w:bookmarkStart w:id="877" w:name="_Toc189743543"/>
      <w:r>
        <w:t>Subdivision 2 — Consequences of vexatious proceedings orders</w:t>
      </w:r>
      <w:bookmarkEnd w:id="873"/>
      <w:bookmarkEnd w:id="874"/>
      <w:bookmarkEnd w:id="875"/>
      <w:bookmarkEnd w:id="876"/>
      <w:bookmarkEnd w:id="877"/>
    </w:p>
    <w:p>
      <w:pPr>
        <w:pStyle w:val="Footnoteheading"/>
      </w:pPr>
      <w:r>
        <w:tab/>
        <w:t>[Heading inserted: No. 49 of 2024 s. 68.]</w:t>
      </w:r>
    </w:p>
    <w:p>
      <w:pPr>
        <w:pStyle w:val="Heading5"/>
        <w:tabs>
          <w:tab w:val="clear" w:pos="879"/>
          <w:tab w:val="left" w:pos="1050"/>
        </w:tabs>
      </w:pPr>
      <w:bookmarkStart w:id="878" w:name="_Toc184390246"/>
      <w:bookmarkStart w:id="879" w:name="_Toc189743544"/>
      <w:r>
        <w:rPr>
          <w:rStyle w:val="CharSectno"/>
        </w:rPr>
        <w:t>219AZI</w:t>
      </w:r>
      <w:r>
        <w:t>.</w:t>
      </w:r>
      <w:r>
        <w:tab/>
      </w:r>
      <w:r>
        <w:tab/>
        <w:t>Proceedings in contravention of vexatious proceedings order — FLA s. 102QD</w:t>
      </w:r>
      <w:bookmarkEnd w:id="878"/>
      <w:bookmarkEnd w:id="879"/>
    </w:p>
    <w:p>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Indenta"/>
      </w:pPr>
      <w:r>
        <w:lastRenderedPageBreak/>
        <w:tab/>
        <w:t>(a)</w:t>
      </w:r>
      <w:r>
        <w:tab/>
        <w:t>the person must not institute proceedings, or proceedings of that type, in the court without the leave of the court under section 219AZL; and</w:t>
      </w:r>
    </w:p>
    <w:p>
      <w:pPr>
        <w:pStyle w:val="Indenta"/>
      </w:pPr>
      <w:r>
        <w:tab/>
        <w:t>(b)</w:t>
      </w:r>
      <w:r>
        <w:tab/>
        <w:t xml:space="preserve">another person must not, acting in concert with the person, institute proceedings, or proceedings of that type, in the court without the leave of the court under section 219AZL. </w:t>
      </w:r>
    </w:p>
    <w:p>
      <w:pPr>
        <w:pStyle w:val="Subsection"/>
      </w:pPr>
      <w:r>
        <w:tab/>
        <w:t>(2)</w:t>
      </w:r>
      <w:r>
        <w:tab/>
        <w:t xml:space="preserve">If proceedings are instituted in contravention of subsection (1), the proceedings are stayed. </w:t>
      </w:r>
    </w:p>
    <w:p>
      <w:pPr>
        <w:pStyle w:val="Subsection"/>
      </w:pPr>
      <w:r>
        <w:tab/>
        <w:t>(3)</w:t>
      </w:r>
      <w:r>
        <w:tab/>
        <w:t xml:space="preserve">Without limiting subsection (2), the court may make — </w:t>
      </w:r>
    </w:p>
    <w:p>
      <w:pPr>
        <w:pStyle w:val="Indenta"/>
      </w:pPr>
      <w:r>
        <w:tab/>
        <w:t>(a)</w:t>
      </w:r>
      <w:r>
        <w:tab/>
        <w:t xml:space="preserve">an order declaring proceedings are proceedings to which subsection (2) applies; and </w:t>
      </w:r>
    </w:p>
    <w:p>
      <w:pPr>
        <w:pStyle w:val="Indenta"/>
      </w:pPr>
      <w:r>
        <w:tab/>
        <w:t>(b)</w:t>
      </w:r>
      <w:r>
        <w:tab/>
        <w:t>any other order in relation to the stayed proceedings it considers appropriate, including an order for costs.</w:t>
      </w:r>
    </w:p>
    <w:p>
      <w:pPr>
        <w:pStyle w:val="Subsection"/>
      </w:pPr>
      <w:r>
        <w:tab/>
        <w:t>(4)</w:t>
      </w:r>
      <w:r>
        <w:tab/>
        <w:t xml:space="preserve">The court may make an order under subsection (3)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Footnotesection"/>
      </w:pPr>
      <w:r>
        <w:tab/>
        <w:t>[Section 219AZI inserted: No. 49 of 2024 s. 68.]</w:t>
      </w:r>
    </w:p>
    <w:p>
      <w:pPr>
        <w:pStyle w:val="Heading5"/>
        <w:tabs>
          <w:tab w:val="clear" w:pos="879"/>
          <w:tab w:val="left" w:pos="1050"/>
        </w:tabs>
      </w:pPr>
      <w:bookmarkStart w:id="880" w:name="_Toc184390247"/>
      <w:bookmarkStart w:id="881" w:name="_Toc189743545"/>
      <w:r>
        <w:rPr>
          <w:rStyle w:val="CharSectno"/>
        </w:rPr>
        <w:t>219AZJ</w:t>
      </w:r>
      <w:r>
        <w:t>.</w:t>
      </w:r>
      <w:r>
        <w:tab/>
      </w:r>
      <w:r>
        <w:tab/>
        <w:t>Application for leave to institute proceedings by person subject to vexatious proceedings order — FLA s. 102QE</w:t>
      </w:r>
      <w:bookmarkEnd w:id="880"/>
      <w:bookmarkEnd w:id="881"/>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vexatious proceedings order prohibiting the person from instituting proceedings, or proceedings of a particular type, under this Act in a court having jurisdiction under this Act; or</w:t>
      </w:r>
    </w:p>
    <w:p>
      <w:pPr>
        <w:pStyle w:val="Indenta"/>
      </w:pPr>
      <w:r>
        <w:lastRenderedPageBreak/>
        <w:tab/>
        <w:t>(b)</w:t>
      </w:r>
      <w:r>
        <w:tab/>
        <w:t>acting in concert with another person who is subject to an order mentioned in paragraph (a).</w:t>
      </w:r>
    </w:p>
    <w:p>
      <w:pPr>
        <w:pStyle w:val="Subsection"/>
      </w:pPr>
      <w:r>
        <w:tab/>
        <w:t>(2)</w:t>
      </w:r>
      <w:r>
        <w:tab/>
        <w:t xml:space="preserve">The applicant may apply to the court for leave to institute proceedings that are subject to the order. </w:t>
      </w:r>
    </w:p>
    <w:p>
      <w:pPr>
        <w:pStyle w:val="Subsection"/>
      </w:pPr>
      <w:r>
        <w:tab/>
        <w:t>(3)</w:t>
      </w:r>
      <w:r>
        <w:tab/>
        <w:t xml:space="preserve">The applicant must file an affidavit with the application that — </w:t>
      </w:r>
    </w:p>
    <w:p>
      <w:pPr>
        <w:pStyle w:val="Indenta"/>
      </w:pPr>
      <w:r>
        <w:tab/>
        <w:t>(a)</w:t>
      </w:r>
      <w:r>
        <w:tab/>
        <w:t>lists all the occasions on which the applicant has applied for leave under this section; and</w:t>
      </w:r>
    </w:p>
    <w:p>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Indenta"/>
      </w:pPr>
      <w:r>
        <w:tab/>
        <w:t>(c)</w:t>
      </w:r>
      <w:r>
        <w:tab/>
        <w:t>discloses all relevant facts about the application, whether supporting or adverse to the application, that are known to the applicant.</w:t>
      </w:r>
    </w:p>
    <w:p>
      <w:pPr>
        <w:pStyle w:val="Subsection"/>
      </w:pPr>
      <w:r>
        <w:tab/>
        <w:t>(4)</w:t>
      </w:r>
      <w:r>
        <w:tab/>
        <w:t xml:space="preserve">The applicant must — </w:t>
      </w:r>
    </w:p>
    <w:p>
      <w:pPr>
        <w:pStyle w:val="Indenta"/>
      </w:pPr>
      <w:r>
        <w:tab/>
        <w:t>(a)</w:t>
      </w:r>
      <w:r>
        <w:tab/>
        <w:t>not serve a copy of the application or affidavit on a person unless an order is made under section 219AZL(1)(a); and</w:t>
      </w:r>
    </w:p>
    <w:p>
      <w:pPr>
        <w:pStyle w:val="Indenta"/>
      </w:pPr>
      <w:r>
        <w:tab/>
        <w:t>(b)</w:t>
      </w:r>
      <w:r>
        <w:tab/>
        <w:t>if the order is made — serve the copy in accordance with the order.</w:t>
      </w:r>
    </w:p>
    <w:p>
      <w:pPr>
        <w:pStyle w:val="Footnotesection"/>
      </w:pPr>
      <w:r>
        <w:tab/>
        <w:t>[Section 219AZJ inserted: No. 49 of 2024 s. 68.]</w:t>
      </w:r>
    </w:p>
    <w:p>
      <w:pPr>
        <w:pStyle w:val="Heading5"/>
        <w:tabs>
          <w:tab w:val="clear" w:pos="879"/>
          <w:tab w:val="left" w:pos="1050"/>
        </w:tabs>
      </w:pPr>
      <w:bookmarkStart w:id="882" w:name="_Toc184390248"/>
      <w:bookmarkStart w:id="883" w:name="_Toc189743546"/>
      <w:r>
        <w:rPr>
          <w:rStyle w:val="CharSectno"/>
        </w:rPr>
        <w:t>219AZK</w:t>
      </w:r>
      <w:r>
        <w:t>.</w:t>
      </w:r>
      <w:r>
        <w:tab/>
        <w:t>Dismissing application for leave by person subject to vexatious proceedings order — FLA s. 102QF</w:t>
      </w:r>
      <w:bookmarkEnd w:id="882"/>
      <w:bookmarkEnd w:id="883"/>
    </w:p>
    <w:p>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Subsection"/>
      </w:pPr>
      <w:r>
        <w:tab/>
        <w:t>(2)</w:t>
      </w:r>
      <w:r>
        <w:tab/>
        <w:t xml:space="preserve">The court must make an order dismissing an application under section 219AZJ for leave to institute proceedings if it considers the proceedings are vexatious proceedings. </w:t>
      </w:r>
    </w:p>
    <w:p>
      <w:pPr>
        <w:pStyle w:val="Subsection"/>
      </w:pPr>
      <w:r>
        <w:lastRenderedPageBreak/>
        <w:tab/>
        <w:t>(3)</w:t>
      </w:r>
      <w:r>
        <w:tab/>
        <w:t xml:space="preserve">The court may dismiss the application without an oral hearing (either with or without the consent of the applicant). </w:t>
      </w:r>
    </w:p>
    <w:p>
      <w:pPr>
        <w:pStyle w:val="Subsection"/>
      </w:pPr>
      <w:r>
        <w:tab/>
        <w:t>(4)</w:t>
      </w:r>
      <w:r>
        <w:tab/>
        <w:t>The court may make an order under this section in Chambers.</w:t>
      </w:r>
    </w:p>
    <w:p>
      <w:pPr>
        <w:pStyle w:val="Footnotesection"/>
      </w:pPr>
      <w:r>
        <w:tab/>
        <w:t>[Section 219AZK inserted: No. 49 of 2024 s. 68.]</w:t>
      </w:r>
    </w:p>
    <w:p>
      <w:pPr>
        <w:pStyle w:val="Heading5"/>
        <w:tabs>
          <w:tab w:val="clear" w:pos="879"/>
          <w:tab w:val="left" w:pos="1050"/>
        </w:tabs>
      </w:pPr>
      <w:bookmarkStart w:id="884" w:name="_Toc184390249"/>
      <w:bookmarkStart w:id="885" w:name="_Toc189743547"/>
      <w:r>
        <w:rPr>
          <w:rStyle w:val="CharSectno"/>
        </w:rPr>
        <w:t>219AZL</w:t>
      </w:r>
      <w:r>
        <w:t>.</w:t>
      </w:r>
      <w:r>
        <w:tab/>
        <w:t>Granting application for leave by person subject to vexatious proceedings order — FLA s. 102QG</w:t>
      </w:r>
      <w:bookmarkEnd w:id="884"/>
      <w:bookmarkEnd w:id="885"/>
    </w:p>
    <w:p>
      <w:pPr>
        <w:pStyle w:val="Subsection"/>
      </w:pPr>
      <w:r>
        <w:tab/>
        <w:t>(1)</w:t>
      </w:r>
      <w:r>
        <w:tab/>
        <w:t xml:space="preserve">Before the court makes an order granting an application under section 219AZJ for leave to institute proceedings, it must — </w:t>
      </w:r>
    </w:p>
    <w:p>
      <w:pPr>
        <w:pStyle w:val="Indenta"/>
      </w:pPr>
      <w:r>
        <w:tab/>
        <w:t>(a)</w:t>
      </w:r>
      <w:r>
        <w:tab/>
        <w:t xml:space="preserve">order that the applicant serve the following people with a copy of the application and affidavit and a notice that the person is entitled to be heard on the application — </w:t>
      </w:r>
    </w:p>
    <w:p>
      <w:pPr>
        <w:pStyle w:val="Indenti"/>
      </w:pPr>
      <w:r>
        <w:tab/>
        <w:t>(i)</w:t>
      </w:r>
      <w:r>
        <w:tab/>
        <w:t xml:space="preserve">the person against whom the applicant proposes to institute the proceedings; </w:t>
      </w:r>
    </w:p>
    <w:p>
      <w:pPr>
        <w:pStyle w:val="Indenti"/>
      </w:pPr>
      <w:r>
        <w:tab/>
        <w:t>(ii)</w:t>
      </w:r>
      <w:r>
        <w:tab/>
        <w:t>any other person specified in the order;</w:t>
      </w:r>
    </w:p>
    <w:p>
      <w:pPr>
        <w:pStyle w:val="Indenta"/>
      </w:pPr>
      <w:r>
        <w:tab/>
      </w:r>
      <w:r>
        <w:tab/>
        <w:t>and</w:t>
      </w:r>
    </w:p>
    <w:p>
      <w:pPr>
        <w:pStyle w:val="Indenta"/>
      </w:pPr>
      <w:r>
        <w:tab/>
        <w:t>(b)</w:t>
      </w:r>
      <w:r>
        <w:tab/>
        <w:t>give the applicant and each person described in paragraph (a)(i) or (ii), on appearance, an opportunity to be heard at the hearing of the application.</w:t>
      </w:r>
    </w:p>
    <w:p>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Subsection"/>
      </w:pPr>
      <w:r>
        <w:tab/>
        <w:t>(3)</w:t>
      </w:r>
      <w:r>
        <w:tab/>
        <w:t>The court may make an order granting the application.</w:t>
      </w:r>
    </w:p>
    <w:p>
      <w:pPr>
        <w:pStyle w:val="Subsection"/>
      </w:pPr>
      <w:r>
        <w:tab/>
        <w:t>(4)</w:t>
      </w:r>
      <w:r>
        <w:tab/>
        <w:t>An order made under subsection (3) may be made subject to the conditions the court considers appropriate.</w:t>
      </w:r>
    </w:p>
    <w:p>
      <w:pPr>
        <w:pStyle w:val="Subsection"/>
      </w:pPr>
      <w:r>
        <w:tab/>
        <w:t>(5)</w:t>
      </w:r>
      <w:r>
        <w:tab/>
        <w:t>The court may grant leave only if it is satisfied the proceedings are not vexatious proceedings.</w:t>
      </w:r>
    </w:p>
    <w:p>
      <w:pPr>
        <w:pStyle w:val="Footnotesection"/>
      </w:pPr>
      <w:r>
        <w:tab/>
        <w:t>[Section 219AZL inserted: No. 49 of 2024 s. 68.]</w:t>
      </w:r>
    </w:p>
    <w:p>
      <w:pPr>
        <w:pStyle w:val="Heading2"/>
      </w:pPr>
      <w:bookmarkStart w:id="886" w:name="_Toc189558679"/>
      <w:bookmarkStart w:id="887" w:name="_Toc189654243"/>
      <w:bookmarkStart w:id="888" w:name="_Toc189743548"/>
      <w:r>
        <w:rPr>
          <w:rStyle w:val="CharPartNo"/>
        </w:rPr>
        <w:lastRenderedPageBreak/>
        <w:t>Part 9</w:t>
      </w:r>
      <w:r>
        <w:rPr>
          <w:rStyle w:val="CharDivNo"/>
        </w:rPr>
        <w:t> </w:t>
      </w:r>
      <w:r>
        <w:t>—</w:t>
      </w:r>
      <w:r>
        <w:rPr>
          <w:rStyle w:val="CharDivText"/>
        </w:rPr>
        <w:t> </w:t>
      </w:r>
      <w:r>
        <w:rPr>
          <w:rStyle w:val="CharPartText"/>
        </w:rPr>
        <w:t>Enforcement of decrees</w:t>
      </w:r>
      <w:bookmarkEnd w:id="886"/>
      <w:bookmarkEnd w:id="887"/>
      <w:bookmarkEnd w:id="888"/>
      <w:r>
        <w:rPr>
          <w:rStyle w:val="CharPartText"/>
        </w:rPr>
        <w:t xml:space="preserve"> </w:t>
      </w:r>
    </w:p>
    <w:p>
      <w:pPr>
        <w:pStyle w:val="Heading5"/>
      </w:pPr>
      <w:bookmarkStart w:id="889" w:name="_Toc189743549"/>
      <w:r>
        <w:rPr>
          <w:rStyle w:val="CharSectno"/>
        </w:rPr>
        <w:t>219A</w:t>
      </w:r>
      <w:r>
        <w:t>.</w:t>
      </w:r>
      <w:r>
        <w:tab/>
        <w:t>Maintenance orders — more than 12 months old — FLA s. 106</w:t>
      </w:r>
      <w:bookmarkEnd w:id="889"/>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890" w:name="_Toc189743550"/>
      <w:r>
        <w:rPr>
          <w:rStyle w:val="CharSectno"/>
        </w:rPr>
        <w:t>220</w:t>
      </w:r>
      <w:r>
        <w:rPr>
          <w:snapToGrid w:val="0"/>
        </w:rPr>
        <w:t>.</w:t>
      </w:r>
      <w:r>
        <w:rPr>
          <w:snapToGrid w:val="0"/>
        </w:rPr>
        <w:tab/>
        <w:t>Enforcement of orders as to child maintenance or child bearing expenses</w:t>
      </w:r>
      <w:bookmarkEnd w:id="890"/>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891" w:name="_Toc189743551"/>
      <w:r>
        <w:rPr>
          <w:rStyle w:val="CharSectno"/>
        </w:rPr>
        <w:t>220A</w:t>
      </w:r>
      <w:r>
        <w:t>.</w:t>
      </w:r>
      <w:r>
        <w:tab/>
        <w:t>Rules relating to enforcement — FLA s. 109A</w:t>
      </w:r>
      <w:bookmarkEnd w:id="89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 child</w:t>
      </w:r>
      <w:r>
        <w:noBreakHyphen/>
        <w:t>related order;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lastRenderedPageBreak/>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lastRenderedPageBreak/>
        <w:tab/>
        <w:t>[Section 220A inserted: No. 25 of 2002 s. 13; amended: No. 59 of 2004 s. 95; No. 35 of 2006 s. 177; No. 49 of 2024 s. 69.]</w:t>
      </w:r>
    </w:p>
    <w:p>
      <w:pPr>
        <w:pStyle w:val="Heading5"/>
        <w:rPr>
          <w:snapToGrid w:val="0"/>
        </w:rPr>
      </w:pPr>
      <w:bookmarkStart w:id="892" w:name="_Toc189743552"/>
      <w:r>
        <w:rPr>
          <w:rStyle w:val="CharSectno"/>
        </w:rPr>
        <w:t>221</w:t>
      </w:r>
      <w:r>
        <w:rPr>
          <w:snapToGrid w:val="0"/>
        </w:rPr>
        <w:t>.</w:t>
      </w:r>
      <w:r>
        <w:rPr>
          <w:snapToGrid w:val="0"/>
        </w:rPr>
        <w:tab/>
        <w:t>Execution of instruments by order of court — FLA s. 106A</w:t>
      </w:r>
      <w:bookmarkEnd w:id="89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893" w:name="_Toc189743553"/>
      <w:r>
        <w:rPr>
          <w:rStyle w:val="CharSectno"/>
        </w:rPr>
        <w:t>222</w:t>
      </w:r>
      <w:r>
        <w:rPr>
          <w:snapToGrid w:val="0"/>
        </w:rPr>
        <w:t>.</w:t>
      </w:r>
      <w:r>
        <w:rPr>
          <w:snapToGrid w:val="0"/>
        </w:rPr>
        <w:tab/>
        <w:t>Transactions to defeat claim — FLA s. 106B</w:t>
      </w:r>
      <w:bookmarkEnd w:id="893"/>
      <w:r>
        <w:rPr>
          <w:snapToGrid w:val="0"/>
        </w:rPr>
        <w:t xml:space="preserve"> </w:t>
      </w:r>
    </w:p>
    <w:p>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lastRenderedPageBreak/>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894" w:name="_Toc189743554"/>
      <w:r>
        <w:rPr>
          <w:rStyle w:val="CharSectno"/>
        </w:rPr>
        <w:t>222A</w:t>
      </w:r>
      <w:r>
        <w:t>.</w:t>
      </w:r>
      <w:r>
        <w:tab/>
        <w:t>People not to be imprisoned for failure to comply with certain orders — FLA s. 107</w:t>
      </w:r>
      <w:bookmarkEnd w:id="894"/>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895" w:name="_Toc189558686"/>
      <w:bookmarkStart w:id="896" w:name="_Toc189654250"/>
      <w:bookmarkStart w:id="897" w:name="_Toc189743555"/>
      <w:r>
        <w:rPr>
          <w:rStyle w:val="CharPartNo"/>
        </w:rPr>
        <w:lastRenderedPageBreak/>
        <w:t>Part 10</w:t>
      </w:r>
      <w:r>
        <w:t> — </w:t>
      </w:r>
      <w:r>
        <w:rPr>
          <w:rStyle w:val="CharPartText"/>
        </w:rPr>
        <w:t>Sanctions for failure to comply with orders, and other obligations, that do not affect children</w:t>
      </w:r>
      <w:bookmarkEnd w:id="895"/>
      <w:bookmarkEnd w:id="896"/>
      <w:bookmarkEnd w:id="897"/>
    </w:p>
    <w:p>
      <w:pPr>
        <w:pStyle w:val="Footnoteheading"/>
      </w:pPr>
      <w:r>
        <w:tab/>
        <w:t>[Heading inserted: No. 25 of 2002 s. 15.]</w:t>
      </w:r>
    </w:p>
    <w:p>
      <w:pPr>
        <w:pStyle w:val="Heading3"/>
        <w:rPr>
          <w:snapToGrid w:val="0"/>
        </w:rPr>
      </w:pPr>
      <w:bookmarkStart w:id="898" w:name="_Toc189558687"/>
      <w:bookmarkStart w:id="899" w:name="_Toc189654251"/>
      <w:bookmarkStart w:id="900" w:name="_Toc189743556"/>
      <w:r>
        <w:rPr>
          <w:rStyle w:val="CharDivNo"/>
        </w:rPr>
        <w:t>Division 1</w:t>
      </w:r>
      <w:r>
        <w:rPr>
          <w:snapToGrid w:val="0"/>
        </w:rPr>
        <w:t> — </w:t>
      </w:r>
      <w:r>
        <w:rPr>
          <w:rStyle w:val="CharDivText"/>
        </w:rPr>
        <w:t>Interpretation</w:t>
      </w:r>
      <w:bookmarkEnd w:id="898"/>
      <w:bookmarkEnd w:id="899"/>
      <w:bookmarkEnd w:id="900"/>
      <w:r>
        <w:rPr>
          <w:rStyle w:val="CharDivText"/>
        </w:rPr>
        <w:t xml:space="preserve"> </w:t>
      </w:r>
    </w:p>
    <w:p>
      <w:pPr>
        <w:pStyle w:val="Heading5"/>
      </w:pPr>
      <w:bookmarkStart w:id="901" w:name="_Toc189743557"/>
      <w:r>
        <w:rPr>
          <w:rStyle w:val="CharSectno"/>
        </w:rPr>
        <w:t>223</w:t>
      </w:r>
      <w:r>
        <w:t>.</w:t>
      </w:r>
      <w:r>
        <w:tab/>
        <w:t>Terms used — FLA s. 112AA</w:t>
      </w:r>
      <w:bookmarkEnd w:id="90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902" w:name="_Toc189743558"/>
      <w:r>
        <w:rPr>
          <w:rStyle w:val="CharSectno"/>
        </w:rPr>
        <w:t>224</w:t>
      </w:r>
      <w:r>
        <w:rPr>
          <w:snapToGrid w:val="0"/>
        </w:rPr>
        <w:t>.</w:t>
      </w:r>
      <w:r>
        <w:rPr>
          <w:snapToGrid w:val="0"/>
        </w:rPr>
        <w:tab/>
        <w:t xml:space="preserve">Meaning of </w:t>
      </w:r>
      <w:r>
        <w:rPr>
          <w:i/>
        </w:rPr>
        <w:t>contravene an order</w:t>
      </w:r>
      <w:r>
        <w:rPr>
          <w:snapToGrid w:val="0"/>
        </w:rPr>
        <w:t> — FLA s. 112AB</w:t>
      </w:r>
      <w:bookmarkEnd w:id="90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903" w:name="_Toc189743559"/>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90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904" w:name="_Toc189558691"/>
      <w:bookmarkStart w:id="905" w:name="_Toc189654255"/>
      <w:bookmarkStart w:id="906" w:name="_Toc189743560"/>
      <w:r>
        <w:rPr>
          <w:rStyle w:val="CharDivNo"/>
        </w:rPr>
        <w:t>Division 2</w:t>
      </w:r>
      <w:r>
        <w:rPr>
          <w:snapToGrid w:val="0"/>
        </w:rPr>
        <w:t> — </w:t>
      </w:r>
      <w:r>
        <w:rPr>
          <w:rStyle w:val="CharDivText"/>
        </w:rPr>
        <w:t>Sanctions for failure to comply with orders</w:t>
      </w:r>
      <w:bookmarkEnd w:id="904"/>
      <w:bookmarkEnd w:id="905"/>
      <w:bookmarkEnd w:id="906"/>
      <w:r>
        <w:rPr>
          <w:rStyle w:val="CharDivText"/>
        </w:rPr>
        <w:t xml:space="preserve"> </w:t>
      </w:r>
    </w:p>
    <w:p>
      <w:pPr>
        <w:pStyle w:val="Heading5"/>
        <w:rPr>
          <w:snapToGrid w:val="0"/>
        </w:rPr>
      </w:pPr>
      <w:bookmarkStart w:id="907" w:name="_Toc189743561"/>
      <w:r>
        <w:rPr>
          <w:rStyle w:val="CharSectno"/>
        </w:rPr>
        <w:t>226</w:t>
      </w:r>
      <w:r>
        <w:rPr>
          <w:snapToGrid w:val="0"/>
        </w:rPr>
        <w:t>.</w:t>
      </w:r>
      <w:r>
        <w:rPr>
          <w:snapToGrid w:val="0"/>
        </w:rPr>
        <w:tab/>
        <w:t>Sanctions for failure to comply with orders — FLA s. 112AD</w:t>
      </w:r>
      <w:bookmarkEnd w:id="907"/>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lastRenderedPageBreak/>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908" w:name="_Toc189743562"/>
      <w:r>
        <w:rPr>
          <w:rStyle w:val="CharSectno"/>
        </w:rPr>
        <w:t>227</w:t>
      </w:r>
      <w:r>
        <w:rPr>
          <w:snapToGrid w:val="0"/>
        </w:rPr>
        <w:t>.</w:t>
      </w:r>
      <w:r>
        <w:rPr>
          <w:snapToGrid w:val="0"/>
        </w:rPr>
        <w:tab/>
        <w:t>Sentences of imprisonment — FLA s. 112AE</w:t>
      </w:r>
      <w:bookmarkEnd w:id="90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909" w:name="_Toc189743563"/>
      <w:r>
        <w:rPr>
          <w:rStyle w:val="CharSectno"/>
        </w:rPr>
        <w:t>228</w:t>
      </w:r>
      <w:r>
        <w:t>.</w:t>
      </w:r>
      <w:r>
        <w:tab/>
        <w:t>Bonds — FLA s. 112AF</w:t>
      </w:r>
      <w:bookmarkEnd w:id="909"/>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lastRenderedPageBreak/>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910" w:name="_Toc189743564"/>
      <w:r>
        <w:rPr>
          <w:rStyle w:val="CharSectno"/>
        </w:rPr>
        <w:t>229</w:t>
      </w:r>
      <w:r>
        <w:rPr>
          <w:snapToGrid w:val="0"/>
        </w:rPr>
        <w:t>.</w:t>
      </w:r>
      <w:r>
        <w:rPr>
          <w:snapToGrid w:val="0"/>
        </w:rPr>
        <w:tab/>
        <w:t>Sentencing alternatives — FLA s. 112AG</w:t>
      </w:r>
      <w:bookmarkEnd w:id="9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911" w:name="_Toc189743565"/>
      <w:r>
        <w:rPr>
          <w:rStyle w:val="CharSectno"/>
        </w:rPr>
        <w:t>230</w:t>
      </w:r>
      <w:r>
        <w:rPr>
          <w:snapToGrid w:val="0"/>
        </w:rPr>
        <w:t>.</w:t>
      </w:r>
      <w:r>
        <w:rPr>
          <w:snapToGrid w:val="0"/>
        </w:rPr>
        <w:tab/>
        <w:t>Failure to comply with sentencing alternative imposed under s. 226(3)(b) — FLA s. 112AH</w:t>
      </w:r>
      <w:bookmarkEnd w:id="91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912" w:name="_Toc189743566"/>
      <w:r>
        <w:rPr>
          <w:rStyle w:val="CharSectno"/>
        </w:rPr>
        <w:lastRenderedPageBreak/>
        <w:t>231</w:t>
      </w:r>
      <w:r>
        <w:rPr>
          <w:snapToGrid w:val="0"/>
        </w:rPr>
        <w:t>.</w:t>
      </w:r>
      <w:r>
        <w:rPr>
          <w:snapToGrid w:val="0"/>
        </w:rPr>
        <w:tab/>
        <w:t>Variation and discharge of orders — FLA s. 112AK</w:t>
      </w:r>
      <w:bookmarkEnd w:id="912"/>
    </w:p>
    <w:p>
      <w:pPr>
        <w:pStyle w:val="Subsection"/>
      </w:pPr>
      <w:r>
        <w:tab/>
        <w:t>(1)</w:t>
      </w:r>
      <w:r>
        <w:tab/>
        <w:t>Subject to this section, an order made under section 226 may be varied or discharged by the court that made the order or the Court.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pPr>
      <w:r>
        <w:tab/>
        <w:t>[Section 231 amended: No. 49 of 2024 s. 70.]</w:t>
      </w:r>
    </w:p>
    <w:p>
      <w:pPr>
        <w:pStyle w:val="Heading5"/>
        <w:rPr>
          <w:snapToGrid w:val="0"/>
        </w:rPr>
      </w:pPr>
      <w:bookmarkStart w:id="913" w:name="_Toc189743567"/>
      <w:r>
        <w:rPr>
          <w:rStyle w:val="CharSectno"/>
        </w:rPr>
        <w:t>232</w:t>
      </w:r>
      <w:r>
        <w:rPr>
          <w:snapToGrid w:val="0"/>
        </w:rPr>
        <w:t>.</w:t>
      </w:r>
      <w:r>
        <w:rPr>
          <w:snapToGrid w:val="0"/>
        </w:rPr>
        <w:tab/>
        <w:t>Relationship between Division and other laws — FLA s. 112AM</w:t>
      </w:r>
      <w:bookmarkEnd w:id="91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lastRenderedPageBreak/>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914" w:name="_Toc189743568"/>
      <w:r>
        <w:rPr>
          <w:rStyle w:val="CharSectno"/>
        </w:rPr>
        <w:t>233</w:t>
      </w:r>
      <w:r>
        <w:rPr>
          <w:snapToGrid w:val="0"/>
        </w:rPr>
        <w:t>.</w:t>
      </w:r>
      <w:r>
        <w:rPr>
          <w:snapToGrid w:val="0"/>
        </w:rPr>
        <w:tab/>
        <w:t>Division does not affect enforcement of child maintenance orders etc. — FLA s. 112AO</w:t>
      </w:r>
      <w:bookmarkEnd w:id="91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915" w:name="_Toc189558700"/>
      <w:bookmarkStart w:id="916" w:name="_Toc189654264"/>
      <w:bookmarkStart w:id="917" w:name="_Toc189743569"/>
      <w:r>
        <w:rPr>
          <w:rStyle w:val="CharPartNo"/>
        </w:rPr>
        <w:lastRenderedPageBreak/>
        <w:t>Part 10A</w:t>
      </w:r>
      <w:r>
        <w:rPr>
          <w:rStyle w:val="CharDivNo"/>
        </w:rPr>
        <w:t> </w:t>
      </w:r>
      <w:r>
        <w:t>—</w:t>
      </w:r>
      <w:r>
        <w:rPr>
          <w:rStyle w:val="CharDivText"/>
        </w:rPr>
        <w:t> </w:t>
      </w:r>
      <w:r>
        <w:rPr>
          <w:rStyle w:val="CharPartText"/>
        </w:rPr>
        <w:t>Contempt of court</w:t>
      </w:r>
      <w:bookmarkEnd w:id="915"/>
      <w:bookmarkEnd w:id="916"/>
      <w:bookmarkEnd w:id="917"/>
    </w:p>
    <w:p>
      <w:pPr>
        <w:pStyle w:val="Footnoteheading"/>
      </w:pPr>
      <w:r>
        <w:tab/>
        <w:t>[Heading inserted: No. 25 of 2002 s. 26.]</w:t>
      </w:r>
    </w:p>
    <w:p>
      <w:pPr>
        <w:pStyle w:val="Heading5"/>
      </w:pPr>
      <w:bookmarkStart w:id="918" w:name="_Toc189743570"/>
      <w:r>
        <w:rPr>
          <w:rStyle w:val="CharSectno"/>
        </w:rPr>
        <w:t>233A</w:t>
      </w:r>
      <w:r>
        <w:t>.</w:t>
      </w:r>
      <w:r>
        <w:tab/>
        <w:t>Terms used</w:t>
      </w:r>
      <w:bookmarkEnd w:id="918"/>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relevant order</w:t>
      </w:r>
      <w:r>
        <w:t xml:space="preserve"> means a child</w:t>
      </w:r>
      <w:r>
        <w:noBreakHyphen/>
        <w:t>related order or an order under this Act (as defined in section 223).</w:t>
      </w:r>
    </w:p>
    <w:p>
      <w:pPr>
        <w:pStyle w:val="Footnotesection"/>
      </w:pPr>
      <w:r>
        <w:tab/>
        <w:t>[Section 233A inserted: No. 25 of 2002 s. 26; amended: No. 49 of 2024 s. 71.]</w:t>
      </w:r>
    </w:p>
    <w:p>
      <w:pPr>
        <w:pStyle w:val="Heading5"/>
        <w:rPr>
          <w:snapToGrid w:val="0"/>
        </w:rPr>
      </w:pPr>
      <w:bookmarkStart w:id="919" w:name="_Toc189743571"/>
      <w:r>
        <w:rPr>
          <w:rStyle w:val="CharSectno"/>
        </w:rPr>
        <w:t>234</w:t>
      </w:r>
      <w:r>
        <w:rPr>
          <w:snapToGrid w:val="0"/>
        </w:rPr>
        <w:t>.</w:t>
      </w:r>
      <w:r>
        <w:rPr>
          <w:snapToGrid w:val="0"/>
        </w:rPr>
        <w:tab/>
        <w:t>Contempt — FLA s. 112AP</w:t>
      </w:r>
      <w:bookmarkEnd w:id="91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r>
        <w:t>a relevant order; or</w:t>
      </w:r>
    </w:p>
    <w:p>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 No. 49 of 2024 s. 72.]</w:t>
      </w:r>
    </w:p>
    <w:p>
      <w:pPr>
        <w:pStyle w:val="Heading2"/>
      </w:pPr>
      <w:bookmarkStart w:id="920" w:name="_Toc189558703"/>
      <w:bookmarkStart w:id="921" w:name="_Toc189654267"/>
      <w:bookmarkStart w:id="922" w:name="_Toc189743572"/>
      <w:r>
        <w:rPr>
          <w:rStyle w:val="CharPartNo"/>
        </w:rPr>
        <w:lastRenderedPageBreak/>
        <w:t>Part 11</w:t>
      </w:r>
      <w:r>
        <w:rPr>
          <w:rStyle w:val="CharDivNo"/>
        </w:rPr>
        <w:t> </w:t>
      </w:r>
      <w:r>
        <w:t>—</w:t>
      </w:r>
      <w:r>
        <w:rPr>
          <w:rStyle w:val="CharDivText"/>
        </w:rPr>
        <w:t> </w:t>
      </w:r>
      <w:r>
        <w:rPr>
          <w:rStyle w:val="CharPartText"/>
        </w:rPr>
        <w:t>Injunctions</w:t>
      </w:r>
      <w:bookmarkEnd w:id="920"/>
      <w:bookmarkEnd w:id="921"/>
      <w:bookmarkEnd w:id="922"/>
    </w:p>
    <w:p>
      <w:pPr>
        <w:pStyle w:val="Heading5"/>
        <w:rPr>
          <w:snapToGrid w:val="0"/>
        </w:rPr>
      </w:pPr>
      <w:bookmarkStart w:id="923" w:name="_Toc189743573"/>
      <w:r>
        <w:rPr>
          <w:rStyle w:val="CharSectno"/>
        </w:rPr>
        <w:t>235</w:t>
      </w:r>
      <w:r>
        <w:rPr>
          <w:snapToGrid w:val="0"/>
        </w:rPr>
        <w:t>.</w:t>
      </w:r>
      <w:r>
        <w:rPr>
          <w:snapToGrid w:val="0"/>
        </w:rPr>
        <w:tab/>
        <w:t>Injunctions — FLA s. 68B</w:t>
      </w:r>
      <w:bookmarkEnd w:id="923"/>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924" w:name="_Toc189743574"/>
      <w:r>
        <w:rPr>
          <w:rStyle w:val="CharSectno"/>
        </w:rPr>
        <w:t>235A</w:t>
      </w:r>
      <w:r>
        <w:t>.</w:t>
      </w:r>
      <w:r>
        <w:tab/>
        <w:t>Injunctions relating to de facto relationships — FLA s. 114</w:t>
      </w:r>
      <w:bookmarkEnd w:id="92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925" w:name="_Toc189743575"/>
      <w:r>
        <w:rPr>
          <w:rStyle w:val="CharSectno"/>
        </w:rPr>
        <w:t>236</w:t>
      </w:r>
      <w:r>
        <w:rPr>
          <w:snapToGrid w:val="0"/>
        </w:rPr>
        <w:t>.</w:t>
      </w:r>
      <w:r>
        <w:rPr>
          <w:snapToGrid w:val="0"/>
        </w:rPr>
        <w:tab/>
        <w:t>Powers of arrest where injunction breached — FLA s. 68C and s. 114AA</w:t>
      </w:r>
      <w:bookmarkEnd w:id="9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lastRenderedPageBreak/>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rStyle w:val="CharPartText"/>
        </w:rPr>
      </w:pPr>
      <w:bookmarkStart w:id="926" w:name="_Toc184389845"/>
      <w:bookmarkStart w:id="927" w:name="_Toc184390050"/>
      <w:bookmarkStart w:id="928" w:name="_Toc184390255"/>
      <w:bookmarkStart w:id="929" w:name="_Toc189654271"/>
      <w:bookmarkStart w:id="930" w:name="_Toc189743576"/>
      <w:r>
        <w:rPr>
          <w:rStyle w:val="CharPartNo"/>
        </w:rPr>
        <w:lastRenderedPageBreak/>
        <w:t>Part 11A</w:t>
      </w:r>
      <w:r>
        <w:t> — </w:t>
      </w:r>
      <w:r>
        <w:rPr>
          <w:rStyle w:val="CharPartText"/>
        </w:rPr>
        <w:t>Restriction on communication of accounts and lists of proceedings</w:t>
      </w:r>
      <w:bookmarkEnd w:id="926"/>
      <w:bookmarkEnd w:id="927"/>
      <w:bookmarkEnd w:id="928"/>
      <w:bookmarkEnd w:id="929"/>
      <w:bookmarkEnd w:id="930"/>
    </w:p>
    <w:p>
      <w:pPr>
        <w:pStyle w:val="Footnoteheading"/>
      </w:pPr>
      <w:r>
        <w:tab/>
        <w:t>[Heading inserted: No. 49 of 2024 s. 73.]</w:t>
      </w:r>
    </w:p>
    <w:p>
      <w:pPr>
        <w:pStyle w:val="Heading5"/>
      </w:pPr>
      <w:bookmarkStart w:id="931" w:name="_Toc184390256"/>
      <w:bookmarkStart w:id="932" w:name="_Toc189743577"/>
      <w:r>
        <w:rPr>
          <w:rStyle w:val="CharSectno"/>
        </w:rPr>
        <w:t>236A</w:t>
      </w:r>
      <w:r>
        <w:t>.</w:t>
      </w:r>
      <w:r>
        <w:tab/>
        <w:t>Terms used — FLA s. 114P</w:t>
      </w:r>
      <w:bookmarkEnd w:id="931"/>
      <w:bookmarkEnd w:id="932"/>
    </w:p>
    <w:p>
      <w:pPr>
        <w:pStyle w:val="Subsection"/>
      </w:pPr>
      <w:r>
        <w:tab/>
        <w:t>(1)</w:t>
      </w:r>
      <w:r>
        <w:tab/>
        <w:t>In this Part —</w:t>
      </w:r>
    </w:p>
    <w:p>
      <w:pPr>
        <w:pStyle w:val="Defstart"/>
      </w:pPr>
      <w:r>
        <w:tab/>
      </w:r>
      <w:r>
        <w:rPr>
          <w:rStyle w:val="CharDefText"/>
        </w:rPr>
        <w:t>communicate</w:t>
      </w:r>
      <w:r>
        <w:t xml:space="preserve"> means communicate by any means, including by any of the following —</w:t>
      </w:r>
    </w:p>
    <w:p>
      <w:pPr>
        <w:pStyle w:val="Defpara"/>
      </w:pPr>
      <w:r>
        <w:tab/>
        <w:t>(a)</w:t>
      </w:r>
      <w:r>
        <w:tab/>
        <w:t>publication in a book, newspaper, magazine or other written publication;</w:t>
      </w:r>
    </w:p>
    <w:p>
      <w:pPr>
        <w:pStyle w:val="Defpara"/>
      </w:pPr>
      <w:r>
        <w:tab/>
        <w:t>(b)</w:t>
      </w:r>
      <w:r>
        <w:tab/>
        <w:t>broadcast by radio or television;</w:t>
      </w:r>
    </w:p>
    <w:p>
      <w:pPr>
        <w:pStyle w:val="Defpara"/>
      </w:pPr>
      <w:r>
        <w:tab/>
        <w:t>(c)</w:t>
      </w:r>
      <w:r>
        <w:tab/>
        <w:t>public exhibition;</w:t>
      </w:r>
    </w:p>
    <w:p>
      <w:pPr>
        <w:pStyle w:val="Defpara"/>
      </w:pPr>
      <w:r>
        <w:tab/>
        <w:t>(d)</w:t>
      </w:r>
      <w:r>
        <w:tab/>
        <w:t>broadcast or publication or other communication by means of the internet.</w:t>
      </w:r>
    </w:p>
    <w:p>
      <w:pPr>
        <w:pStyle w:val="Subsection"/>
      </w:pPr>
      <w:r>
        <w:tab/>
        <w:t>(2)</w:t>
      </w:r>
      <w:r>
        <w:tab/>
        <w:t>In this Part (other than section 236D(1)(b)) —</w:t>
      </w:r>
    </w:p>
    <w:p>
      <w:pPr>
        <w:pStyle w:val="Defstart"/>
      </w:pPr>
      <w:r>
        <w:tab/>
      </w:r>
      <w:r>
        <w:rPr>
          <w:rStyle w:val="CharDefText"/>
        </w:rPr>
        <w:t>public</w:t>
      </w:r>
      <w:r>
        <w:t xml:space="preserve"> includes a section of the public.</w:t>
      </w:r>
    </w:p>
    <w:p>
      <w:pPr>
        <w:pStyle w:val="Footnotesection"/>
      </w:pPr>
      <w:r>
        <w:tab/>
        <w:t>[Section 236A inserted: No. 49 of 2024 s. 73.]</w:t>
      </w:r>
    </w:p>
    <w:p>
      <w:pPr>
        <w:pStyle w:val="Heading5"/>
      </w:pPr>
      <w:bookmarkStart w:id="933" w:name="_Toc184390257"/>
      <w:bookmarkStart w:id="934" w:name="_Toc189743578"/>
      <w:r>
        <w:rPr>
          <w:rStyle w:val="CharSectno"/>
        </w:rPr>
        <w:t>236B</w:t>
      </w:r>
      <w:r>
        <w:t>.</w:t>
      </w:r>
      <w:r>
        <w:tab/>
        <w:t>Indictable offence: communication to the public of account of proceedings that identifies parties or others involved in proceedings — FLA s. 114Q</w:t>
      </w:r>
      <w:bookmarkEnd w:id="933"/>
      <w:bookmarkEnd w:id="934"/>
    </w:p>
    <w:p>
      <w:pPr>
        <w:pStyle w:val="Subsection"/>
      </w:pPr>
      <w:r>
        <w:tab/>
        <w:t>(1)</w:t>
      </w:r>
      <w:r>
        <w:tab/>
        <w:t>A person commits a crime if —</w:t>
      </w:r>
    </w:p>
    <w:p>
      <w:pPr>
        <w:pStyle w:val="Indenta"/>
      </w:pPr>
      <w:r>
        <w:tab/>
        <w:t>(a)</w:t>
      </w:r>
      <w:r>
        <w:tab/>
        <w:t>the person communicates to the public an account of proceedings under this Act; and</w:t>
      </w:r>
    </w:p>
    <w:p>
      <w:pPr>
        <w:pStyle w:val="Indenta"/>
      </w:pPr>
      <w:r>
        <w:tab/>
        <w:t>(b)</w:t>
      </w:r>
      <w:r>
        <w:tab/>
        <w:t>the account identifies —</w:t>
      </w:r>
    </w:p>
    <w:p>
      <w:pPr>
        <w:pStyle w:val="Indenti"/>
      </w:pPr>
      <w:r>
        <w:tab/>
        <w:t>(i)</w:t>
      </w:r>
      <w:r>
        <w:tab/>
        <w:t>a party to the proceedings; or</w:t>
      </w:r>
    </w:p>
    <w:p>
      <w:pPr>
        <w:pStyle w:val="Indenti"/>
      </w:pPr>
      <w:r>
        <w:tab/>
        <w:t>(ii)</w:t>
      </w:r>
      <w:r>
        <w:tab/>
        <w:t>a witness in the proceedings; or</w:t>
      </w:r>
    </w:p>
    <w:p>
      <w:pPr>
        <w:pStyle w:val="Indenti"/>
      </w:pPr>
      <w:r>
        <w:tab/>
        <w:t>(iii)</w:t>
      </w:r>
      <w:r>
        <w:tab/>
        <w:t>a person who is related to, or is associated with, a party to the proceedings; or</w:t>
      </w:r>
    </w:p>
    <w:p>
      <w:pPr>
        <w:pStyle w:val="Indenti"/>
      </w:pPr>
      <w:r>
        <w:lastRenderedPageBreak/>
        <w:tab/>
        <w:t>(iv)</w:t>
      </w:r>
      <w:r>
        <w:tab/>
        <w:t>a person who is, or is alleged to be, in any other way concerned in the matter to which the proceedings relate.</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the communication is —</w:t>
      </w:r>
    </w:p>
    <w:p>
      <w:pPr>
        <w:pStyle w:val="Indenta"/>
      </w:pPr>
      <w:r>
        <w:tab/>
        <w:t>(a)</w:t>
      </w:r>
      <w:r>
        <w:tab/>
        <w:t>in accordance with a direction of a court; or</w:t>
      </w:r>
    </w:p>
    <w:p>
      <w:pPr>
        <w:pStyle w:val="Indenta"/>
      </w:pPr>
      <w:r>
        <w:tab/>
        <w:t>(b)</w:t>
      </w:r>
      <w:r>
        <w:tab/>
        <w:t>otherwise approved by a court.</w:t>
      </w:r>
    </w:p>
    <w:p>
      <w:pPr>
        <w:pStyle w:val="Subsection"/>
      </w:pPr>
      <w:r>
        <w:tab/>
        <w:t>(3)</w:t>
      </w:r>
      <w:r>
        <w:tab/>
        <w:t>For the purposes of subsection (1)(b), an account of proceedings is taken to identify a person if the account includes material that is sufficient to identify the person to a member of the public.</w:t>
      </w:r>
    </w:p>
    <w:p>
      <w:pPr>
        <w:pStyle w:val="Subsection"/>
      </w:pPr>
      <w:r>
        <w:tab/>
        <w:t>(4)</w:t>
      </w:r>
      <w:r>
        <w:tab/>
        <w:t>Examples of material referred to in subsection (3) might include the following —</w:t>
      </w:r>
    </w:p>
    <w:p>
      <w:pPr>
        <w:pStyle w:val="Indenta"/>
      </w:pPr>
      <w:r>
        <w:tab/>
        <w:t>(a)</w:t>
      </w:r>
      <w:r>
        <w:tab/>
        <w:t>a picture, recording, or physical description of the person;</w:t>
      </w:r>
    </w:p>
    <w:p>
      <w:pPr>
        <w:pStyle w:val="Indenta"/>
      </w:pPr>
      <w:r>
        <w:tab/>
        <w:t>(b)</w:t>
      </w:r>
      <w:r>
        <w:tab/>
        <w:t>a name or title that identifies the person;</w:t>
      </w:r>
    </w:p>
    <w:p>
      <w:pPr>
        <w:pStyle w:val="Indenta"/>
      </w:pPr>
      <w:r>
        <w:tab/>
        <w:t>(c)</w:t>
      </w:r>
      <w:r>
        <w:tab/>
        <w:t>an address or location where the person resides or works;</w:t>
      </w:r>
    </w:p>
    <w:p>
      <w:pPr>
        <w:pStyle w:val="Indenta"/>
      </w:pPr>
      <w:r>
        <w:tab/>
        <w:t>(d)</w:t>
      </w:r>
      <w:r>
        <w:tab/>
        <w:t>details of the person’s employment, paid or voluntary;</w:t>
      </w:r>
    </w:p>
    <w:p>
      <w:pPr>
        <w:pStyle w:val="Indenta"/>
      </w:pPr>
      <w:r>
        <w:tab/>
        <w:t>(e)</w:t>
      </w:r>
      <w:r>
        <w:tab/>
        <w:t>the relationship or other connection between the person and an identified person or business;</w:t>
      </w:r>
    </w:p>
    <w:p>
      <w:pPr>
        <w:pStyle w:val="Indenta"/>
      </w:pPr>
      <w:r>
        <w:tab/>
        <w:t>(f)</w:t>
      </w:r>
      <w:r>
        <w:tab/>
        <w:t>the person’s political, philosophical or religious beliefs;</w:t>
      </w:r>
    </w:p>
    <w:p>
      <w:pPr>
        <w:pStyle w:val="Indenta"/>
      </w:pPr>
      <w:r>
        <w:tab/>
        <w:t>(g)</w:t>
      </w:r>
      <w:r>
        <w:tab/>
        <w:t>any real or personal property associated with the person.</w:t>
      </w:r>
    </w:p>
    <w:p>
      <w:pPr>
        <w:pStyle w:val="Footnotesection"/>
      </w:pPr>
      <w:r>
        <w:tab/>
        <w:t>[Section 236B inserted: No. 49 of 2024 s. 73.]</w:t>
      </w:r>
    </w:p>
    <w:p>
      <w:pPr>
        <w:pStyle w:val="Heading5"/>
      </w:pPr>
      <w:bookmarkStart w:id="935" w:name="_Toc184390258"/>
      <w:bookmarkStart w:id="936" w:name="_Toc189743579"/>
      <w:r>
        <w:rPr>
          <w:rStyle w:val="CharSectno"/>
        </w:rPr>
        <w:lastRenderedPageBreak/>
        <w:t>236C</w:t>
      </w:r>
      <w:r>
        <w:t>.</w:t>
      </w:r>
      <w:r>
        <w:tab/>
        <w:t>Indictable offence: communication to the public of list of court proceedings that refers to names of parties — FLA s. 114R</w:t>
      </w:r>
      <w:bookmarkEnd w:id="935"/>
      <w:bookmarkEnd w:id="936"/>
    </w:p>
    <w:p>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Indenta"/>
      </w:pPr>
      <w:r>
        <w:tab/>
        <w:t>(a)</w:t>
      </w:r>
      <w:r>
        <w:tab/>
        <w:t>a court;</w:t>
      </w:r>
    </w:p>
    <w:p>
      <w:pPr>
        <w:pStyle w:val="Indenta"/>
      </w:pPr>
      <w:r>
        <w:tab/>
        <w:t>(b)</w:t>
      </w:r>
      <w:r>
        <w:tab/>
        <w:t>an officer of a court investigating or dealing with a matter in accordance with this Act, the regulations or the rules;</w:t>
      </w:r>
    </w:p>
    <w:p>
      <w:pPr>
        <w:pStyle w:val="Indenta"/>
      </w:pPr>
      <w:r>
        <w:tab/>
        <w:t>(c)</w:t>
      </w:r>
      <w:r>
        <w:tab/>
        <w:t>a tribunal established by or under a law of this State or of the Commonwealth or of any other State or a Territory.</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w:t>
      </w:r>
    </w:p>
    <w:p>
      <w:pPr>
        <w:pStyle w:val="Indenta"/>
      </w:pPr>
      <w:r>
        <w:tab/>
        <w:t>(a)</w:t>
      </w:r>
      <w:r>
        <w:tab/>
        <w:t>the communication is the publication, by the court, officer or tribunal, of a list of proceedings the court, officer or tribunal is to deal with; or</w:t>
      </w:r>
    </w:p>
    <w:p>
      <w:pPr>
        <w:pStyle w:val="Indenta"/>
      </w:pPr>
      <w:r>
        <w:tab/>
        <w:t>(b)</w:t>
      </w:r>
      <w:r>
        <w:tab/>
        <w:t>the communication is —</w:t>
      </w:r>
    </w:p>
    <w:p>
      <w:pPr>
        <w:pStyle w:val="Indenti"/>
      </w:pPr>
      <w:r>
        <w:tab/>
        <w:t>(i)</w:t>
      </w:r>
      <w:r>
        <w:tab/>
        <w:t>in accordance with a direction of a court or otherwise approved by a court; or</w:t>
      </w:r>
    </w:p>
    <w:p>
      <w:pPr>
        <w:pStyle w:val="Indenti"/>
      </w:pPr>
      <w:r>
        <w:tab/>
        <w:t>(ii)</w:t>
      </w:r>
      <w:r>
        <w:tab/>
        <w:t>in accordance with the rules.</w:t>
      </w:r>
    </w:p>
    <w:p>
      <w:pPr>
        <w:pStyle w:val="Footnotesection"/>
      </w:pPr>
      <w:r>
        <w:tab/>
        <w:t>[Section 236C inserted: No. 49 of 2024 s. 73.]</w:t>
      </w:r>
    </w:p>
    <w:p>
      <w:pPr>
        <w:pStyle w:val="Heading5"/>
      </w:pPr>
      <w:bookmarkStart w:id="937" w:name="_Toc184390259"/>
      <w:bookmarkStart w:id="938" w:name="_Toc189743580"/>
      <w:r>
        <w:rPr>
          <w:rStyle w:val="CharSectno"/>
        </w:rPr>
        <w:lastRenderedPageBreak/>
        <w:t>236D</w:t>
      </w:r>
      <w:r>
        <w:t>.</w:t>
      </w:r>
      <w:r>
        <w:tab/>
        <w:t>When a communication is not a communication to the public — FLA s. 114S</w:t>
      </w:r>
      <w:bookmarkEnd w:id="937"/>
      <w:bookmarkEnd w:id="938"/>
    </w:p>
    <w:p>
      <w:pPr>
        <w:pStyle w:val="Subsection"/>
      </w:pPr>
      <w:r>
        <w:tab/>
        <w:t>(1)</w:t>
      </w:r>
      <w:r>
        <w:tab/>
        <w:t>For the purposes of sections 236B(1)(a) and 236C(1), a communication to a person or body is not a communication to the public if —</w:t>
      </w:r>
    </w:p>
    <w:p>
      <w:pPr>
        <w:pStyle w:val="Indenta"/>
      </w:pPr>
      <w:r>
        <w:tab/>
        <w:t>(a)</w:t>
      </w:r>
      <w:r>
        <w:tab/>
        <w:t>the person or body has a significant and legitimate interest in the subject matter of the communication; and</w:t>
      </w:r>
    </w:p>
    <w:p>
      <w:pPr>
        <w:pStyle w:val="Indenta"/>
      </w:pPr>
      <w:r>
        <w:tab/>
        <w:t>(b)</w:t>
      </w:r>
      <w:r>
        <w:tab/>
        <w:t>that interest is substantially greater than, or different from, the interests of members of the public generally.</w:t>
      </w:r>
    </w:p>
    <w:p>
      <w:pPr>
        <w:pStyle w:val="Subsection"/>
      </w:pPr>
      <w:r>
        <w:tab/>
        <w:t>(2)</w:t>
      </w:r>
      <w:r>
        <w:tab/>
        <w:t>Without limiting subsection (1), none of the following is a communication to the public —</w:t>
      </w:r>
    </w:p>
    <w:p>
      <w:pPr>
        <w:pStyle w:val="Indenta"/>
      </w:pPr>
      <w:r>
        <w:tab/>
        <w:t>(a)</w:t>
      </w:r>
      <w:r>
        <w:tab/>
        <w:t>a private communication between a party to proceedings and one or more persons who are members of the party’s family or friends of the party;</w:t>
      </w:r>
    </w:p>
    <w:p>
      <w:pPr>
        <w:pStyle w:val="Indenta"/>
      </w:pPr>
      <w:r>
        <w:tab/>
        <w:t>(b)</w:t>
      </w:r>
      <w:r>
        <w:tab/>
        <w:t>a communication of a pleading, transcript of evidence, or other document for use in connection with any of the following proceedings, to a person concerned in those proceedings —</w:t>
      </w:r>
    </w:p>
    <w:p>
      <w:pPr>
        <w:pStyle w:val="Indenti"/>
      </w:pPr>
      <w:r>
        <w:tab/>
        <w:t>(i)</w:t>
      </w:r>
      <w:r>
        <w:tab/>
        <w:t>proceedings in a court;</w:t>
      </w:r>
    </w:p>
    <w:p>
      <w:pPr>
        <w:pStyle w:val="Indenti"/>
      </w:pPr>
      <w:r>
        <w:tab/>
        <w:t>(ii)</w:t>
      </w:r>
      <w:r>
        <w:tab/>
        <w:t>proceedings before an officer of a court investigating or dealing with a matter in accordance with this Act, the regulations or the rules;</w:t>
      </w:r>
    </w:p>
    <w:p>
      <w:pPr>
        <w:pStyle w:val="Indenti"/>
      </w:pPr>
      <w:r>
        <w:tab/>
        <w:t>(iii)</w:t>
      </w:r>
      <w:r>
        <w:tab/>
        <w:t>proceedings in a tribunal established by or under a law of this State or of the Commonwealth or of any other State or a Territory;</w:t>
      </w:r>
    </w:p>
    <w:p>
      <w:pPr>
        <w:pStyle w:val="Indenta"/>
      </w:pPr>
      <w:r>
        <w:tab/>
        <w:t>(c)</w:t>
      </w:r>
      <w:r>
        <w:tab/>
        <w:t>a communication of a pleading, transcript of evidence, or other document, to a prescribed authority of a State or Territory that has responsibilities relating to the welfare of children;</w:t>
      </w:r>
    </w:p>
    <w:p>
      <w:pPr>
        <w:pStyle w:val="Indenta"/>
      </w:pPr>
      <w:r>
        <w:tab/>
        <w:t>(d)</w:t>
      </w:r>
      <w:r>
        <w:tab/>
        <w:t>a communication of a pleading, transcript of evidence, or other document, to —</w:t>
      </w:r>
    </w:p>
    <w:p>
      <w:pPr>
        <w:pStyle w:val="Indenti"/>
      </w:pPr>
      <w:r>
        <w:lastRenderedPageBreak/>
        <w:tab/>
        <w:t>(i)</w:t>
      </w:r>
      <w:r>
        <w:tab/>
        <w:t>a body that is responsible for disciplining members of a profession in a State or Territory; or</w:t>
      </w:r>
    </w:p>
    <w:p>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Indenta"/>
      </w:pPr>
      <w:r>
        <w:tab/>
        <w:t>(f)</w:t>
      </w:r>
      <w:r>
        <w:tab/>
        <w:t>a communication of material intended primarily for use by the members of any profession (being part of a series of law reports or any other publication of a technical character);</w:t>
      </w:r>
    </w:p>
    <w:p>
      <w:pPr>
        <w:pStyle w:val="Indenta"/>
      </w:pPr>
      <w:r>
        <w:tab/>
        <w:t>(g)</w:t>
      </w:r>
      <w:r>
        <w:tab/>
        <w:t>a communication of an account of proceedings to a member of a profession in connection with —</w:t>
      </w:r>
    </w:p>
    <w:p>
      <w:pPr>
        <w:pStyle w:val="Indenti"/>
      </w:pPr>
      <w:r>
        <w:tab/>
        <w:t>(i)</w:t>
      </w:r>
      <w:r>
        <w:tab/>
        <w:t>the person’s practice of that profession; or</w:t>
      </w:r>
    </w:p>
    <w:p>
      <w:pPr>
        <w:pStyle w:val="Indenti"/>
      </w:pPr>
      <w:r>
        <w:tab/>
        <w:t>(ii)</w:t>
      </w:r>
      <w:r>
        <w:tab/>
        <w:t>any form of professional training in which that person is involved;</w:t>
      </w:r>
    </w:p>
    <w:p>
      <w:pPr>
        <w:pStyle w:val="Indenta"/>
      </w:pPr>
      <w:r>
        <w:tab/>
        <w:t>(h)</w:t>
      </w:r>
      <w:r>
        <w:tab/>
        <w:t>a communication of an account of proceedings to a student in connection with the student’s studies.</w:t>
      </w:r>
    </w:p>
    <w:p>
      <w:pPr>
        <w:pStyle w:val="Footnotesection"/>
      </w:pPr>
      <w:r>
        <w:tab/>
        <w:t>[Section 236D inserted: No. 49 of 2024 s. 73.]</w:t>
      </w:r>
    </w:p>
    <w:p>
      <w:pPr>
        <w:pStyle w:val="Heading5"/>
      </w:pPr>
      <w:bookmarkStart w:id="939" w:name="_Toc184390260"/>
      <w:bookmarkStart w:id="940" w:name="_Toc189743581"/>
      <w:r>
        <w:rPr>
          <w:rStyle w:val="CharSectno"/>
        </w:rPr>
        <w:t>236E</w:t>
      </w:r>
      <w:r>
        <w:t>.</w:t>
      </w:r>
      <w:r>
        <w:tab/>
        <w:t>Consent of DPP required to commence proceedings — FLA s. 114T</w:t>
      </w:r>
      <w:bookmarkEnd w:id="939"/>
      <w:bookmarkEnd w:id="940"/>
    </w:p>
    <w:p>
      <w:pPr>
        <w:pStyle w:val="Subsection"/>
      </w:pPr>
      <w:r>
        <w:tab/>
      </w:r>
      <w:r>
        <w:tab/>
        <w:t>Proceedings for an offence against section 236B(1) or 236C(1) must not be commenced without the written consent of the DPP.</w:t>
      </w:r>
    </w:p>
    <w:p>
      <w:pPr>
        <w:pStyle w:val="Footnotesection"/>
      </w:pPr>
      <w:r>
        <w:tab/>
        <w:t>[Section 236E inserted: No. 49 of 2024 s. 73.]</w:t>
      </w:r>
    </w:p>
    <w:p>
      <w:pPr>
        <w:pStyle w:val="Heading2"/>
      </w:pPr>
      <w:bookmarkStart w:id="941" w:name="_Toc189558707"/>
      <w:bookmarkStart w:id="942" w:name="_Toc189654277"/>
      <w:bookmarkStart w:id="943" w:name="_Toc189743582"/>
      <w:r>
        <w:rPr>
          <w:rStyle w:val="CharPartNo"/>
        </w:rPr>
        <w:lastRenderedPageBreak/>
        <w:t>Part 12</w:t>
      </w:r>
      <w:r>
        <w:rPr>
          <w:rStyle w:val="CharDivNo"/>
        </w:rPr>
        <w:t> </w:t>
      </w:r>
      <w:r>
        <w:t>—</w:t>
      </w:r>
      <w:r>
        <w:rPr>
          <w:rStyle w:val="CharDivText"/>
        </w:rPr>
        <w:t> </w:t>
      </w:r>
      <w:r>
        <w:rPr>
          <w:rStyle w:val="CharPartText"/>
        </w:rPr>
        <w:t>Miscellaneous</w:t>
      </w:r>
      <w:bookmarkEnd w:id="941"/>
      <w:bookmarkEnd w:id="942"/>
      <w:bookmarkEnd w:id="943"/>
      <w:r>
        <w:rPr>
          <w:rStyle w:val="CharPartText"/>
        </w:rPr>
        <w:t xml:space="preserve"> </w:t>
      </w:r>
    </w:p>
    <w:p>
      <w:pPr>
        <w:pStyle w:val="Heading5"/>
        <w:rPr>
          <w:snapToGrid w:val="0"/>
        </w:rPr>
      </w:pPr>
      <w:bookmarkStart w:id="944" w:name="_Toc189743583"/>
      <w:r>
        <w:rPr>
          <w:rStyle w:val="CharSectno"/>
        </w:rPr>
        <w:t>237</w:t>
      </w:r>
      <w:r>
        <w:rPr>
          <w:snapToGrid w:val="0"/>
        </w:rPr>
        <w:t>.</w:t>
      </w:r>
      <w:r>
        <w:rPr>
          <w:snapToGrid w:val="0"/>
        </w:rPr>
        <w:tab/>
        <w:t>Costs — FLA s. 117</w:t>
      </w:r>
      <w:bookmarkEnd w:id="944"/>
      <w:r>
        <w:rPr>
          <w:snapToGrid w:val="0"/>
        </w:rPr>
        <w:t xml:space="preserve"> </w:t>
      </w:r>
    </w:p>
    <w:p>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Subsection"/>
      </w:pPr>
      <w:r>
        <w:lastRenderedPageBreak/>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pPr>
        <w:pStyle w:val="Footnotesection"/>
        <w:spacing w:before="80"/>
      </w:pPr>
      <w:r>
        <w:tab/>
        <w:t>[Section 237 amended: No. 35 of 2006 s. 49, 77(1) and (2), 102 and 140; No. 13 of 2013 s. 21; No. 49 of 2024 s. 74.]</w:t>
      </w:r>
    </w:p>
    <w:p>
      <w:pPr>
        <w:pStyle w:val="Ednotesection"/>
      </w:pPr>
      <w:r>
        <w:t>[</w:t>
      </w:r>
      <w:r>
        <w:rPr>
          <w:b/>
          <w:bCs/>
        </w:rPr>
        <w:t>237A.</w:t>
      </w:r>
      <w:r>
        <w:tab/>
        <w:t>Deleted: No. 13 of 2013 s. 22.]</w:t>
      </w:r>
    </w:p>
    <w:p>
      <w:pPr>
        <w:pStyle w:val="Heading5"/>
        <w:rPr>
          <w:snapToGrid w:val="0"/>
        </w:rPr>
      </w:pPr>
      <w:bookmarkStart w:id="945" w:name="_Toc189743584"/>
      <w:r>
        <w:rPr>
          <w:rStyle w:val="CharSectno"/>
        </w:rPr>
        <w:t>238</w:t>
      </w:r>
      <w:r>
        <w:rPr>
          <w:snapToGrid w:val="0"/>
        </w:rPr>
        <w:t>.</w:t>
      </w:r>
      <w:r>
        <w:rPr>
          <w:snapToGrid w:val="0"/>
        </w:rPr>
        <w:tab/>
        <w:t>Reparation for certain losses and expenses relating to children — FLA s. 117A</w:t>
      </w:r>
      <w:bookmarkEnd w:id="945"/>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lastRenderedPageBreak/>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 No. 49 of 2024 s. 75.]</w:t>
      </w:r>
    </w:p>
    <w:p>
      <w:pPr>
        <w:pStyle w:val="Heading5"/>
        <w:rPr>
          <w:snapToGrid w:val="0"/>
        </w:rPr>
      </w:pPr>
      <w:bookmarkStart w:id="946" w:name="_Toc189743585"/>
      <w:r>
        <w:rPr>
          <w:rStyle w:val="CharSectno"/>
        </w:rPr>
        <w:lastRenderedPageBreak/>
        <w:t>239</w:t>
      </w:r>
      <w:r>
        <w:rPr>
          <w:snapToGrid w:val="0"/>
        </w:rPr>
        <w:t>.</w:t>
      </w:r>
      <w:r>
        <w:rPr>
          <w:snapToGrid w:val="0"/>
        </w:rPr>
        <w:tab/>
        <w:t>Interest on moneys ordered to be paid — FLA s. 117B</w:t>
      </w:r>
      <w:bookmarkEnd w:id="94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947" w:name="_Toc189743586"/>
      <w:r>
        <w:rPr>
          <w:rStyle w:val="CharSectno"/>
        </w:rPr>
        <w:t>240</w:t>
      </w:r>
      <w:r>
        <w:t>.</w:t>
      </w:r>
      <w:r>
        <w:tab/>
        <w:t>Offers of settlement — FLA s. 117C</w:t>
      </w:r>
      <w:bookmarkEnd w:id="94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Subsection (3) applies if —</w:t>
      </w:r>
    </w:p>
    <w:p>
      <w:pPr>
        <w:pStyle w:val="Indenta"/>
      </w:pPr>
      <w:r>
        <w:tab/>
        <w:t>(a)</w:t>
      </w:r>
      <w:r>
        <w:tab/>
        <w:t>a party to proceedings to which this section applies makes an offer to the other party to the proceedings to settle the proceedings; and</w:t>
      </w:r>
    </w:p>
    <w:p>
      <w:pPr>
        <w:pStyle w:val="Indenta"/>
      </w:pPr>
      <w:r>
        <w:tab/>
        <w:t>(b)</w:t>
      </w:r>
      <w:r>
        <w:tab/>
        <w:t>the offer is made in accordance with the rules.</w:t>
      </w:r>
    </w:p>
    <w:p>
      <w:pPr>
        <w:pStyle w:val="Subsection"/>
      </w:pPr>
      <w:r>
        <w:lastRenderedPageBreak/>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Footnotesection"/>
      </w:pPr>
      <w:r>
        <w:tab/>
        <w:t>[Section 240 inserted: No. 35 of 2006 s. 50; amended: No. 49 of 2024 s. 76.]</w:t>
      </w:r>
    </w:p>
    <w:p>
      <w:pPr>
        <w:pStyle w:val="Heading5"/>
        <w:rPr>
          <w:snapToGrid w:val="0"/>
        </w:rPr>
      </w:pPr>
      <w:bookmarkStart w:id="948" w:name="_Toc189743587"/>
      <w:r>
        <w:rPr>
          <w:rStyle w:val="CharSectno"/>
        </w:rPr>
        <w:t>241</w:t>
      </w:r>
      <w:r>
        <w:rPr>
          <w:snapToGrid w:val="0"/>
        </w:rPr>
        <w:t>.</w:t>
      </w:r>
      <w:r>
        <w:rPr>
          <w:snapToGrid w:val="0"/>
        </w:rPr>
        <w:tab/>
      </w:r>
      <w:r>
        <w:rPr>
          <w:i/>
          <w:snapToGrid w:val="0"/>
        </w:rPr>
        <w:t>Ex parte</w:t>
      </w:r>
      <w:r>
        <w:rPr>
          <w:snapToGrid w:val="0"/>
        </w:rPr>
        <w:t xml:space="preserve"> orders</w:t>
      </w:r>
      <w:bookmarkEnd w:id="948"/>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Ednotesection"/>
      </w:pPr>
      <w:r>
        <w:t>[</w:t>
      </w:r>
      <w:r>
        <w:rPr>
          <w:b/>
          <w:bCs/>
        </w:rPr>
        <w:t>242, 243.</w:t>
      </w:r>
      <w:r>
        <w:tab/>
        <w:t>Deleted: No. 49 of 2024 s. 77.]</w:t>
      </w:r>
    </w:p>
    <w:p>
      <w:pPr>
        <w:pStyle w:val="Heading5"/>
      </w:pPr>
      <w:bookmarkStart w:id="949" w:name="_Toc184390266"/>
      <w:bookmarkStart w:id="950" w:name="_Toc189743588"/>
      <w:r>
        <w:rPr>
          <w:rStyle w:val="CharSectno"/>
        </w:rPr>
        <w:t>243A</w:t>
      </w:r>
      <w:r>
        <w:t>.</w:t>
      </w:r>
      <w:r>
        <w:tab/>
        <w:t>Making arrests under this Act or warrants — FLA s. 122A</w:t>
      </w:r>
      <w:bookmarkEnd w:id="949"/>
      <w:bookmarkEnd w:id="950"/>
    </w:p>
    <w:p>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Indenta"/>
      </w:pPr>
      <w:r>
        <w:tab/>
        <w:t>(a)</w:t>
      </w:r>
      <w:r>
        <w:tab/>
        <w:t>the Marshal of the Court;</w:t>
      </w:r>
    </w:p>
    <w:p>
      <w:pPr>
        <w:pStyle w:val="Indenta"/>
      </w:pPr>
      <w:r>
        <w:tab/>
        <w:t>(b)</w:t>
      </w:r>
      <w:r>
        <w:tab/>
        <w:t>a police officer.</w:t>
      </w:r>
    </w:p>
    <w:p>
      <w:pPr>
        <w:pStyle w:val="Subsection"/>
      </w:pPr>
      <w:r>
        <w:tab/>
        <w:t>(2)</w:t>
      </w:r>
      <w:r>
        <w:tab/>
        <w:t>In the course of arresting the arrestee, the arrester —</w:t>
      </w:r>
    </w:p>
    <w:p>
      <w:pPr>
        <w:pStyle w:val="Indenta"/>
      </w:pPr>
      <w:r>
        <w:lastRenderedPageBreak/>
        <w:tab/>
        <w:t>(a)</w:t>
      </w:r>
      <w:r>
        <w:tab/>
        <w:t xml:space="preserve">must not use more force, or subject the arrestee to greater indignity, than is necessary and reasonable to make the arrest or to prevent the arrestee’s escape after the arrest; and </w:t>
      </w:r>
    </w:p>
    <w:p>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Indenta"/>
      </w:pPr>
      <w:r>
        <w:tab/>
        <w:t>(c)</w:t>
      </w:r>
      <w:r>
        <w:tab/>
        <w:t xml:space="preserve">if the arrestee is attempting to escape arrest by fleeing — must not do a thing described in paragraph (b) unless — </w:t>
      </w:r>
    </w:p>
    <w:p>
      <w:pPr>
        <w:pStyle w:val="Indenti"/>
      </w:pPr>
      <w:r>
        <w:tab/>
        <w:t>(i)</w:t>
      </w:r>
      <w:r>
        <w:tab/>
        <w:t xml:space="preserve">the arrester reasonably believes that doing that thing is necessary to protect life or prevent serious injury to another person (including the arrester); and </w:t>
      </w:r>
    </w:p>
    <w:p>
      <w:pPr>
        <w:pStyle w:val="Indenti"/>
      </w:pPr>
      <w:r>
        <w:tab/>
        <w:t>(ii)</w:t>
      </w:r>
      <w:r>
        <w:tab/>
        <w:t xml:space="preserve">the arrestee has, if practicable, been called on to surrender and the arrester reasonably believes that the arrestee cannot be arrested in any other way. </w:t>
      </w:r>
    </w:p>
    <w:p>
      <w:pPr>
        <w:pStyle w:val="Subsection"/>
      </w:pPr>
      <w:r>
        <w:tab/>
        <w:t>(3)</w:t>
      </w:r>
      <w:r>
        <w:tab/>
        <w:t>When arresting the arrestee, the arrester must inform the arrestee of the grounds for the arrest.</w:t>
      </w:r>
    </w:p>
    <w:p>
      <w:pPr>
        <w:pStyle w:val="Subsection"/>
      </w:pPr>
      <w:r>
        <w:tab/>
        <w:t>(4)</w:t>
      </w:r>
      <w:r>
        <w:tab/>
        <w:t>It is sufficient if the arrestee is informed of the substance of those grounds, not necessarily in precise or technical language.</w:t>
      </w:r>
    </w:p>
    <w:p>
      <w:pPr>
        <w:pStyle w:val="Subsection"/>
      </w:pPr>
      <w:r>
        <w:tab/>
        <w:t>(5)</w:t>
      </w:r>
      <w:r>
        <w:tab/>
        <w:t xml:space="preserve">Subsection (3) does not apply if — </w:t>
      </w:r>
    </w:p>
    <w:p>
      <w:pPr>
        <w:pStyle w:val="Indenta"/>
      </w:pPr>
      <w:r>
        <w:tab/>
        <w:t>(a)</w:t>
      </w:r>
      <w:r>
        <w:tab/>
        <w:t xml:space="preserve">it is reasonable, in the circumstances, to assume that the arrestee knows the substance of the grounds for the arrest; or </w:t>
      </w:r>
    </w:p>
    <w:p>
      <w:pPr>
        <w:pStyle w:val="Indenta"/>
      </w:pPr>
      <w:r>
        <w:tab/>
        <w:t>(b)</w:t>
      </w:r>
      <w:r>
        <w:tab/>
        <w:t xml:space="preserve">the arrestee’s actions make it impracticable for the arrester to inform the arrestee of those grounds. </w:t>
      </w:r>
    </w:p>
    <w:p>
      <w:pPr>
        <w:pStyle w:val="Footnotesection"/>
      </w:pPr>
      <w:r>
        <w:tab/>
        <w:t>[Section 243A inserted: No. 49 of 2024 s. 78.]</w:t>
      </w:r>
    </w:p>
    <w:p>
      <w:pPr>
        <w:pStyle w:val="Heading5"/>
      </w:pPr>
      <w:bookmarkStart w:id="951" w:name="_Toc184390267"/>
      <w:bookmarkStart w:id="952" w:name="_Toc189743589"/>
      <w:r>
        <w:rPr>
          <w:rStyle w:val="CharSectno"/>
        </w:rPr>
        <w:lastRenderedPageBreak/>
        <w:t>243B</w:t>
      </w:r>
      <w:r>
        <w:t>.</w:t>
      </w:r>
      <w:r>
        <w:tab/>
        <w:t>Powers to enter and search premises, and stop conveyances, for making arrests under this Act or warrants — FLA s. 122AA</w:t>
      </w:r>
      <w:bookmarkEnd w:id="951"/>
      <w:bookmarkEnd w:id="952"/>
    </w:p>
    <w:p>
      <w:pPr>
        <w:pStyle w:val="Subsection"/>
      </w:pPr>
      <w:r>
        <w:tab/>
        <w:t>(1)</w:t>
      </w:r>
      <w:r>
        <w:tab/>
        <w:t xml:space="preserve">In this section — </w:t>
      </w:r>
    </w:p>
    <w:p>
      <w:pPr>
        <w:pStyle w:val="Defstart"/>
      </w:pPr>
      <w:r>
        <w:tab/>
      </w:r>
      <w:r>
        <w:rPr>
          <w:rStyle w:val="CharDefText"/>
        </w:rPr>
        <w:t>arrestee</w:t>
      </w:r>
      <w:r>
        <w:t xml:space="preserve"> has the meaning given in section 243A(1);</w:t>
      </w:r>
    </w:p>
    <w:p>
      <w:pPr>
        <w:pStyle w:val="Defstart"/>
      </w:pPr>
      <w:r>
        <w:tab/>
      </w:r>
      <w:r>
        <w:rPr>
          <w:rStyle w:val="CharDefText"/>
        </w:rPr>
        <w:t>arrester</w:t>
      </w:r>
      <w:r>
        <w:t xml:space="preserve"> has the meaning given in section 243A(1);</w:t>
      </w:r>
    </w:p>
    <w:p>
      <w:pPr>
        <w:pStyle w:val="Defstart"/>
      </w:pPr>
      <w:r>
        <w:tab/>
      </w:r>
      <w:r>
        <w:rPr>
          <w:rStyle w:val="CharDefText"/>
        </w:rPr>
        <w:t>premises</w:t>
      </w:r>
      <w:r>
        <w:t xml:space="preserve"> includes a place and a conveyance.</w:t>
      </w:r>
    </w:p>
    <w:p>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Subsection"/>
      </w:pPr>
      <w:r>
        <w:tab/>
        <w:t>(5)</w:t>
      </w:r>
      <w:r>
        <w:tab/>
        <w:t xml:space="preserve">If the arrester stops, detains, enters or searches a conveyance under this section for the purposes of arresting the arrestee, the arrester — </w:t>
      </w:r>
    </w:p>
    <w:p>
      <w:pPr>
        <w:pStyle w:val="Indenta"/>
      </w:pPr>
      <w:r>
        <w:tab/>
        <w:t>(a)</w:t>
      </w:r>
      <w:r>
        <w:tab/>
        <w:t xml:space="preserve">may use such assistance as is necessary; and </w:t>
      </w:r>
    </w:p>
    <w:p>
      <w:pPr>
        <w:pStyle w:val="Indenta"/>
      </w:pPr>
      <w:r>
        <w:tab/>
        <w:t>(b)</w:t>
      </w:r>
      <w:r>
        <w:tab/>
        <w:t xml:space="preserve">must search the conveyance in a public place or in some other place to which members of the public have ready access; and </w:t>
      </w:r>
    </w:p>
    <w:p>
      <w:pPr>
        <w:pStyle w:val="Indenta"/>
      </w:pPr>
      <w:r>
        <w:tab/>
        <w:t>(c)</w:t>
      </w:r>
      <w:r>
        <w:tab/>
        <w:t xml:space="preserve">must not detain the conveyance for longer than is necessary and reasonable to search it; and </w:t>
      </w:r>
    </w:p>
    <w:p>
      <w:pPr>
        <w:pStyle w:val="Indenta"/>
      </w:pPr>
      <w:r>
        <w:tab/>
        <w:t>(d)</w:t>
      </w:r>
      <w:r>
        <w:tab/>
        <w:t xml:space="preserve">may use such force as is necessary and reasonable in the circumstances, but must not damage the conveyance by forcing open a part of the conveyance unless — </w:t>
      </w:r>
    </w:p>
    <w:p>
      <w:pPr>
        <w:pStyle w:val="Indenti"/>
      </w:pPr>
      <w:r>
        <w:lastRenderedPageBreak/>
        <w:tab/>
        <w:t>(i)</w:t>
      </w:r>
      <w:r>
        <w:tab/>
        <w:t xml:space="preserve">the person (if any) apparently in charge of the conveyance has been given a reasonable opportunity to open that part; or </w:t>
      </w:r>
    </w:p>
    <w:p>
      <w:pPr>
        <w:pStyle w:val="Indenti"/>
      </w:pPr>
      <w:r>
        <w:tab/>
        <w:t>(ii)</w:t>
      </w:r>
      <w:r>
        <w:tab/>
        <w:t xml:space="preserve">it is not possible to give that person such an opportunity. </w:t>
      </w:r>
    </w:p>
    <w:p>
      <w:pPr>
        <w:pStyle w:val="Footnotesection"/>
      </w:pPr>
      <w:r>
        <w:tab/>
        <w:t>[Section 243B inserted: No. 49 of 2024 s. 78.]</w:t>
      </w:r>
    </w:p>
    <w:p>
      <w:pPr>
        <w:pStyle w:val="Heading5"/>
        <w:spacing w:before="200"/>
        <w:rPr>
          <w:snapToGrid w:val="0"/>
        </w:rPr>
      </w:pPr>
      <w:bookmarkStart w:id="953" w:name="_Toc189743590"/>
      <w:r>
        <w:rPr>
          <w:rStyle w:val="CharSectno"/>
        </w:rPr>
        <w:t>244</w:t>
      </w:r>
      <w:r>
        <w:rPr>
          <w:snapToGrid w:val="0"/>
        </w:rPr>
        <w:t>.</w:t>
      </w:r>
      <w:r>
        <w:rPr>
          <w:snapToGrid w:val="0"/>
        </w:rPr>
        <w:tab/>
        <w:t>Rules</w:t>
      </w:r>
      <w:bookmarkEnd w:id="953"/>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w:t>
      </w:r>
      <w:r>
        <w:rPr>
          <w:snapToGrid w:val="0"/>
        </w:rPr>
        <w:lastRenderedPageBreak/>
        <w:t>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pPr>
      <w:r>
        <w:tab/>
        <w:t>(fa)</w:t>
      </w:r>
      <w:r>
        <w:tab/>
        <w:t>the prevention or termination of vexatious proceedings;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w:t>
      </w:r>
      <w:r>
        <w:lastRenderedPageBreak/>
        <w:t>investigation under section 91, 95, 95A, 205H, 205J or 205K;</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 xml:space="preserve">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w:t>
      </w:r>
      <w:r>
        <w:rPr>
          <w:snapToGrid w:val="0"/>
        </w:rPr>
        <w:lastRenderedPageBreak/>
        <w:t>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lastRenderedPageBreak/>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lastRenderedPageBreak/>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lastRenderedPageBreak/>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 No. 49 of 2024 s. 79.]</w:t>
      </w:r>
    </w:p>
    <w:p>
      <w:pPr>
        <w:pStyle w:val="Heading5"/>
        <w:rPr>
          <w:snapToGrid w:val="0"/>
        </w:rPr>
      </w:pPr>
      <w:bookmarkStart w:id="954" w:name="_Toc189743591"/>
      <w:r>
        <w:rPr>
          <w:rStyle w:val="CharSectno"/>
        </w:rPr>
        <w:t>245</w:t>
      </w:r>
      <w:r>
        <w:rPr>
          <w:snapToGrid w:val="0"/>
        </w:rPr>
        <w:t>.</w:t>
      </w:r>
      <w:r>
        <w:rPr>
          <w:snapToGrid w:val="0"/>
        </w:rPr>
        <w:tab/>
        <w:t>Regulations</w:t>
      </w:r>
      <w:bookmarkEnd w:id="954"/>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lastRenderedPageBreak/>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 No. 49 of 2024 s. 80.]</w:t>
      </w:r>
    </w:p>
    <w:p>
      <w:pPr>
        <w:pStyle w:val="Heading5"/>
        <w:rPr>
          <w:snapToGrid w:val="0"/>
        </w:rPr>
      </w:pPr>
      <w:bookmarkStart w:id="955" w:name="_Toc189743592"/>
      <w:r>
        <w:rPr>
          <w:rStyle w:val="CharSectno"/>
        </w:rPr>
        <w:lastRenderedPageBreak/>
        <w:t>246</w:t>
      </w:r>
      <w:r>
        <w:rPr>
          <w:snapToGrid w:val="0"/>
        </w:rPr>
        <w:t>.</w:t>
      </w:r>
      <w:r>
        <w:rPr>
          <w:snapToGrid w:val="0"/>
        </w:rPr>
        <w:tab/>
        <w:t>Repeal</w:t>
      </w:r>
      <w:bookmarkEnd w:id="95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956" w:name="_Toc189743593"/>
      <w:r>
        <w:rPr>
          <w:rStyle w:val="CharSectno"/>
        </w:rPr>
        <w:t>247</w:t>
      </w:r>
      <w:r>
        <w:t>.</w:t>
      </w:r>
      <w:r>
        <w:tab/>
        <w:t>Transitional and savings</w:t>
      </w:r>
      <w:bookmarkEnd w:id="956"/>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pPr>
      <w:r>
        <w:tab/>
        <w:t>(4)</w:t>
      </w:r>
      <w:r>
        <w:tab/>
        <w:t xml:space="preserve">Schedule 2 Division 4 has effect in relation to the amendments made by the </w:t>
      </w:r>
      <w:r>
        <w:rPr>
          <w:i/>
        </w:rPr>
        <w:t>Family Court Amendment (Commonwealth Reforms) Act 2024</w:t>
      </w:r>
      <w:r>
        <w:t>.</w:t>
      </w:r>
    </w:p>
    <w:p>
      <w:pPr>
        <w:pStyle w:val="Footnotesection"/>
      </w:pPr>
      <w:r>
        <w:tab/>
        <w:t>[Section 247 inserted: No. 13 of 2013 s. 35; amended: No. 28 of 2022 s. 31; No. 49 of 2024 s. 81.]</w:t>
      </w: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957" w:name="_Toc189558720"/>
      <w:bookmarkStart w:id="958" w:name="_Toc189654289"/>
      <w:bookmarkStart w:id="959" w:name="_Toc189743594"/>
      <w:r>
        <w:rPr>
          <w:rStyle w:val="CharSchNo"/>
        </w:rPr>
        <w:lastRenderedPageBreak/>
        <w:t>Schedule 1</w:t>
      </w:r>
      <w:r>
        <w:rPr>
          <w:rStyle w:val="CharSDivNo"/>
        </w:rPr>
        <w:t> </w:t>
      </w:r>
      <w:r>
        <w:t>—</w:t>
      </w:r>
      <w:r>
        <w:rPr>
          <w:rStyle w:val="CharSDivText"/>
        </w:rPr>
        <w:t> </w:t>
      </w:r>
      <w:r>
        <w:rPr>
          <w:rStyle w:val="CharSchText"/>
        </w:rPr>
        <w:t>Oath and affirmation of office</w:t>
      </w:r>
      <w:bookmarkEnd w:id="957"/>
      <w:bookmarkEnd w:id="958"/>
      <w:bookmarkEnd w:id="959"/>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961" w:name="_Toc189558721"/>
      <w:bookmarkStart w:id="962" w:name="_Toc189654290"/>
      <w:bookmarkStart w:id="963" w:name="_Toc189743595"/>
      <w:r>
        <w:rPr>
          <w:rStyle w:val="CharSchNo"/>
        </w:rPr>
        <w:lastRenderedPageBreak/>
        <w:t>Schedule 2</w:t>
      </w:r>
      <w:r>
        <w:t> — </w:t>
      </w:r>
      <w:r>
        <w:rPr>
          <w:rStyle w:val="CharSchText"/>
        </w:rPr>
        <w:t>Transitional and savings</w:t>
      </w:r>
      <w:bookmarkEnd w:id="961"/>
      <w:bookmarkEnd w:id="962"/>
      <w:bookmarkEnd w:id="963"/>
      <w:r>
        <w:rPr>
          <w:rStyle w:val="CharSchText"/>
        </w:rPr>
        <w:t xml:space="preserve"> </w:t>
      </w:r>
    </w:p>
    <w:p>
      <w:pPr>
        <w:pStyle w:val="yShoulderClause"/>
        <w:rPr>
          <w:snapToGrid w:val="0"/>
        </w:rPr>
      </w:pPr>
      <w:r>
        <w:rPr>
          <w:snapToGrid w:val="0"/>
        </w:rPr>
        <w:t>[Section 247]</w:t>
      </w:r>
    </w:p>
    <w:p>
      <w:pPr>
        <w:pStyle w:val="yHeading3"/>
      </w:pPr>
      <w:bookmarkStart w:id="964" w:name="_Toc189558722"/>
      <w:bookmarkStart w:id="965" w:name="_Toc189654291"/>
      <w:bookmarkStart w:id="966" w:name="_Toc189743596"/>
      <w:r>
        <w:rPr>
          <w:rStyle w:val="CharSDivNo"/>
        </w:rPr>
        <w:t>Division 1</w:t>
      </w:r>
      <w:r>
        <w:t> — </w:t>
      </w:r>
      <w:r>
        <w:rPr>
          <w:rStyle w:val="CharSDivText"/>
        </w:rPr>
        <w:t xml:space="preserve">Provisions for repeal of </w:t>
      </w:r>
      <w:r>
        <w:rPr>
          <w:rStyle w:val="CharSDivText"/>
          <w:i/>
        </w:rPr>
        <w:t>Family Court Act 1975</w:t>
      </w:r>
      <w:bookmarkEnd w:id="964"/>
      <w:bookmarkEnd w:id="965"/>
      <w:bookmarkEnd w:id="966"/>
    </w:p>
    <w:p>
      <w:pPr>
        <w:pStyle w:val="yFootnoteheading"/>
      </w:pPr>
      <w:r>
        <w:tab/>
        <w:t>[Heading inserted: No. 13 of 2013 s. 36.]</w:t>
      </w:r>
    </w:p>
    <w:p>
      <w:pPr>
        <w:pStyle w:val="yHeading5"/>
      </w:pPr>
      <w:bookmarkStart w:id="967" w:name="_Toc189743597"/>
      <w:r>
        <w:rPr>
          <w:rStyle w:val="CharSClsNo"/>
        </w:rPr>
        <w:t>1</w:t>
      </w:r>
      <w:r>
        <w:t>.</w:t>
      </w:r>
      <w:r>
        <w:tab/>
        <w:t>Terms used</w:t>
      </w:r>
      <w:bookmarkEnd w:id="967"/>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968" w:name="_Toc189743598"/>
      <w:r>
        <w:rPr>
          <w:rStyle w:val="CharSClsNo"/>
        </w:rPr>
        <w:t>2</w:t>
      </w:r>
      <w:r>
        <w:t>.</w:t>
      </w:r>
      <w:r>
        <w:tab/>
        <w:t>Interpretation Act 1984 applies</w:t>
      </w:r>
      <w:bookmarkEnd w:id="968"/>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969" w:name="_Toc189743599"/>
      <w:r>
        <w:rPr>
          <w:rStyle w:val="CharSClsNo"/>
        </w:rPr>
        <w:t>3</w:t>
      </w:r>
      <w:r>
        <w:t>.</w:t>
      </w:r>
      <w:r>
        <w:tab/>
        <w:t>Persons holding offices under, or employed or engaged for purposes of, the repealed Act</w:t>
      </w:r>
      <w:bookmarkEnd w:id="969"/>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970" w:name="_Toc189743600"/>
      <w:r>
        <w:rPr>
          <w:rStyle w:val="CharSClsNo"/>
        </w:rPr>
        <w:t>4</w:t>
      </w:r>
      <w:r>
        <w:t>.</w:t>
      </w:r>
      <w:r>
        <w:tab/>
        <w:t>Setting aside of orders made under repealed s. 30 altering property interests</w:t>
      </w:r>
      <w:bookmarkEnd w:id="970"/>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971" w:name="_Toc189743601"/>
      <w:r>
        <w:rPr>
          <w:rStyle w:val="CharSClsNo"/>
        </w:rPr>
        <w:t>5</w:t>
      </w:r>
      <w:r>
        <w:t>.</w:t>
      </w:r>
      <w:r>
        <w:tab/>
        <w:t>Treatment of orders as to custody, guardianship, access or maintenance or other payments</w:t>
      </w:r>
      <w:bookmarkEnd w:id="971"/>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972" w:name="_Toc189743602"/>
      <w:r>
        <w:rPr>
          <w:rStyle w:val="CharSClsNo"/>
        </w:rPr>
        <w:lastRenderedPageBreak/>
        <w:t>6</w:t>
      </w:r>
      <w:r>
        <w:t>.</w:t>
      </w:r>
      <w:r>
        <w:tab/>
        <w:t>Treatment of applications for orders as to custody, guardianship, access or maintenance or other payments</w:t>
      </w:r>
      <w:bookmarkEnd w:id="972"/>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973" w:name="_Toc189743603"/>
      <w:r>
        <w:rPr>
          <w:rStyle w:val="CharSClsNo"/>
        </w:rPr>
        <w:t>7</w:t>
      </w:r>
      <w:r>
        <w:t>.</w:t>
      </w:r>
      <w:r>
        <w:tab/>
        <w:t>Treatment of agreements relating to child welfare matters</w:t>
      </w:r>
      <w:bookmarkEnd w:id="973"/>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974" w:name="_Toc189743604"/>
      <w:r>
        <w:rPr>
          <w:rStyle w:val="CharSClsNo"/>
        </w:rPr>
        <w:lastRenderedPageBreak/>
        <w:t>8</w:t>
      </w:r>
      <w:r>
        <w:t>.</w:t>
      </w:r>
      <w:r>
        <w:tab/>
        <w:t>Treatment of warrants</w:t>
      </w:r>
      <w:bookmarkEnd w:id="974"/>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975" w:name="_Toc189743605"/>
      <w:r>
        <w:rPr>
          <w:rStyle w:val="CharSClsNo"/>
        </w:rPr>
        <w:t>9</w:t>
      </w:r>
      <w:r>
        <w:t>.</w:t>
      </w:r>
      <w:r>
        <w:tab/>
        <w:t>Treatment of orders as to information</w:t>
      </w:r>
      <w:bookmarkEnd w:id="975"/>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976" w:name="_Toc189743606"/>
      <w:r>
        <w:rPr>
          <w:rStyle w:val="CharSClsNo"/>
        </w:rPr>
        <w:t>10</w:t>
      </w:r>
      <w:r>
        <w:t>.</w:t>
      </w:r>
      <w:r>
        <w:tab/>
        <w:t>Other things done for purposes of provisions of repealed Act</w:t>
      </w:r>
      <w:bookmarkEnd w:id="976"/>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977" w:name="_Toc189558733"/>
      <w:bookmarkStart w:id="978" w:name="_Toc189654302"/>
      <w:bookmarkStart w:id="979" w:name="_Toc189743607"/>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977"/>
      <w:bookmarkEnd w:id="978"/>
      <w:bookmarkEnd w:id="979"/>
    </w:p>
    <w:p>
      <w:pPr>
        <w:pStyle w:val="yFootnoteheading"/>
      </w:pPr>
      <w:r>
        <w:tab/>
        <w:t>[Heading inserted: No. 13 of 2013 s. 39.]</w:t>
      </w:r>
    </w:p>
    <w:p>
      <w:pPr>
        <w:pStyle w:val="yHeading5"/>
      </w:pPr>
      <w:bookmarkStart w:id="980" w:name="_Toc189743608"/>
      <w:r>
        <w:rPr>
          <w:rStyle w:val="CharSClsNo"/>
        </w:rPr>
        <w:t>11</w:t>
      </w:r>
      <w:r>
        <w:t>.</w:t>
      </w:r>
      <w:r>
        <w:tab/>
        <w:t>Application of amendments relating to family violence</w:t>
      </w:r>
      <w:bookmarkEnd w:id="980"/>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981" w:name="_Toc189743609"/>
      <w:r>
        <w:rPr>
          <w:rStyle w:val="CharSClsNo"/>
        </w:rPr>
        <w:t>12</w:t>
      </w:r>
      <w:r>
        <w:t>.</w:t>
      </w:r>
      <w:r>
        <w:tab/>
        <w:t>Application of other amendments</w:t>
      </w:r>
      <w:bookmarkEnd w:id="981"/>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982" w:name="_Toc189558736"/>
      <w:bookmarkStart w:id="983" w:name="_Toc189654305"/>
      <w:bookmarkStart w:id="984" w:name="_Toc189743610"/>
      <w:r>
        <w:rPr>
          <w:rStyle w:val="CharSDivNo"/>
        </w:rPr>
        <w:lastRenderedPageBreak/>
        <w:t>Division 3</w:t>
      </w:r>
      <w:r>
        <w:t> — </w:t>
      </w:r>
      <w:r>
        <w:rPr>
          <w:rStyle w:val="CharSDivText"/>
        </w:rPr>
        <w:t xml:space="preserve">Provisions for </w:t>
      </w:r>
      <w:r>
        <w:rPr>
          <w:rStyle w:val="CharSDivText"/>
          <w:i/>
        </w:rPr>
        <w:t>Family Court Amendment Act 2022</w:t>
      </w:r>
      <w:bookmarkEnd w:id="982"/>
      <w:bookmarkEnd w:id="983"/>
      <w:bookmarkEnd w:id="984"/>
    </w:p>
    <w:p>
      <w:pPr>
        <w:pStyle w:val="yFootnoteheading"/>
        <w:keepNext/>
      </w:pPr>
      <w:r>
        <w:tab/>
        <w:t>[Heading inserted: No. 28 of 2022 s. 32.]</w:t>
      </w:r>
    </w:p>
    <w:p>
      <w:pPr>
        <w:pStyle w:val="yHeading5"/>
      </w:pPr>
      <w:bookmarkStart w:id="985" w:name="_Toc189743611"/>
      <w:r>
        <w:rPr>
          <w:rStyle w:val="CharSClsNo"/>
        </w:rPr>
        <w:t>13</w:t>
      </w:r>
      <w:r>
        <w:t>.</w:t>
      </w:r>
      <w:r>
        <w:tab/>
        <w:t>Application of amendments</w:t>
      </w:r>
      <w:bookmarkEnd w:id="98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rStyle w:val="CharSDivText"/>
          <w:iCs/>
        </w:rPr>
      </w:pPr>
      <w:bookmarkStart w:id="986" w:name="_Toc184389862"/>
      <w:bookmarkStart w:id="987" w:name="_Toc184390067"/>
      <w:bookmarkStart w:id="988" w:name="_Toc184390272"/>
      <w:bookmarkStart w:id="989" w:name="_Toc189654307"/>
      <w:bookmarkStart w:id="990" w:name="_Toc189743612"/>
      <w:r>
        <w:rPr>
          <w:rStyle w:val="CharSDivNo"/>
        </w:rPr>
        <w:t>Division 4</w:t>
      </w:r>
      <w:r>
        <w:t> — </w:t>
      </w:r>
      <w:r>
        <w:rPr>
          <w:rStyle w:val="CharSDivText"/>
        </w:rPr>
        <w:t xml:space="preserve">Provisions for </w:t>
      </w:r>
      <w:r>
        <w:rPr>
          <w:rStyle w:val="CharSDivText"/>
          <w:iCs/>
        </w:rPr>
        <w:t>Family Court Amendment (Commonwealth Reforms) Act 2024</w:t>
      </w:r>
      <w:bookmarkEnd w:id="986"/>
      <w:bookmarkEnd w:id="987"/>
      <w:bookmarkEnd w:id="988"/>
      <w:bookmarkEnd w:id="989"/>
      <w:bookmarkEnd w:id="990"/>
    </w:p>
    <w:p>
      <w:pPr>
        <w:pStyle w:val="yFootnoteheading"/>
      </w:pPr>
      <w:r>
        <w:tab/>
        <w:t>[Heading inserted: No. 49 of 2024 s. 82.]</w:t>
      </w:r>
    </w:p>
    <w:p>
      <w:pPr>
        <w:pStyle w:val="yHeading5"/>
        <w:rPr>
          <w:snapToGrid w:val="0"/>
        </w:rPr>
      </w:pPr>
      <w:bookmarkStart w:id="991" w:name="_Toc184390273"/>
      <w:bookmarkStart w:id="992" w:name="_Toc189743613"/>
      <w:r>
        <w:rPr>
          <w:rStyle w:val="CharSClsNo"/>
        </w:rPr>
        <w:t>14</w:t>
      </w:r>
      <w:r>
        <w:t>.</w:t>
      </w:r>
      <w:r>
        <w:tab/>
        <w:t>Application of amendments</w:t>
      </w:r>
      <w:bookmarkEnd w:id="991"/>
      <w:bookmarkEnd w:id="992"/>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yDefstart"/>
      </w:pPr>
      <w:r>
        <w:tab/>
      </w:r>
      <w:r>
        <w:rPr>
          <w:rStyle w:val="CharDefText"/>
        </w:rPr>
        <w:t>old Act</w:t>
      </w:r>
      <w:r>
        <w:t xml:space="preserve"> means the </w:t>
      </w:r>
      <w:r>
        <w:rPr>
          <w:i/>
        </w:rPr>
        <w:t>Family Court Act 1997</w:t>
      </w:r>
      <w:r>
        <w:t xml:space="preserve"> as in force immediately before commencement day.</w:t>
      </w:r>
    </w:p>
    <w:p>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yIndenta"/>
      </w:pPr>
      <w:r>
        <w:tab/>
        <w:t>(a)</w:t>
      </w:r>
      <w:r>
        <w:tab/>
        <w:t>proceedings instituted on or after commencement day;</w:t>
      </w:r>
    </w:p>
    <w:p>
      <w:pPr>
        <w:pStyle w:val="yIndenta"/>
        <w:rPr>
          <w:b/>
          <w:bCs/>
          <w:iCs/>
        </w:rPr>
      </w:pPr>
      <w:r>
        <w:lastRenderedPageBreak/>
        <w:tab/>
        <w:t>(b)</w:t>
      </w:r>
      <w:r>
        <w:tab/>
        <w:t>proceedings instituted before, and not finally determined by, commencement day, other than proceedings in respect of which a final hearing has commenced by commencement day.</w:t>
      </w:r>
    </w:p>
    <w:p>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yIndenta"/>
      </w:pPr>
      <w:r>
        <w:tab/>
        <w:t>(a)</w:t>
      </w:r>
      <w:r>
        <w:tab/>
        <w:t>proceedings instituted on or after commencement day; and</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ySubsection"/>
      </w:pPr>
      <w:r>
        <w:tab/>
        <w:t>(8)</w:t>
      </w:r>
      <w:r>
        <w:tab/>
        <w:t xml:space="preserve">Section 69A, as inserted by the </w:t>
      </w:r>
      <w:r>
        <w:rPr>
          <w:i/>
        </w:rPr>
        <w:t>Family Court Amendment (Commonwealth Reforms) Act 2024</w:t>
      </w:r>
      <w:r>
        <w:t xml:space="preserve"> section 31, applies on and from commencement day.</w:t>
      </w:r>
    </w:p>
    <w:p>
      <w:pPr>
        <w:pStyle w:val="ySubsection"/>
        <w:rPr>
          <w:b/>
          <w:bCs/>
          <w:iCs/>
        </w:rPr>
      </w:pPr>
      <w:r>
        <w:tab/>
        <w:t>(9)</w:t>
      </w:r>
      <w:r>
        <w:tab/>
        <w:t xml:space="preserve">The amendment made by the </w:t>
      </w:r>
      <w:r>
        <w:rPr>
          <w:i/>
        </w:rPr>
        <w:t>Family Court Amendment (Commonwealth Reforms) Act 2024</w:t>
      </w:r>
      <w:r>
        <w:t xml:space="preserve"> section 37 applies in relation to </w:t>
      </w:r>
      <w:r>
        <w:lastRenderedPageBreak/>
        <w:t>final parenting orders whether the orders came into force before, or come into force on or after, commencement day.</w:t>
      </w:r>
    </w:p>
    <w:p>
      <w:pPr>
        <w:pStyle w:val="ySubsection"/>
      </w:pPr>
      <w:r>
        <w:tab/>
        <w:t>(10)</w:t>
      </w:r>
      <w:r>
        <w:tab/>
        <w:t xml:space="preserve">The amendments made by the </w:t>
      </w:r>
      <w:r>
        <w:rPr>
          <w:i/>
        </w:rPr>
        <w:t>Family Court Amendment (Commonwealth Reforms) Act 2024</w:t>
      </w:r>
      <w:r>
        <w:t xml:space="preserve"> sections 42 to 46 apply to —</w:t>
      </w:r>
    </w:p>
    <w:p>
      <w:pPr>
        <w:pStyle w:val="yIndenta"/>
      </w:pPr>
      <w:r>
        <w:tab/>
        <w:t>(a)</w:t>
      </w:r>
      <w:r>
        <w:tab/>
        <w:t>a child taken or sent from the State on or after commencement day; or</w:t>
      </w:r>
    </w:p>
    <w:p>
      <w:pPr>
        <w:pStyle w:val="yIndenta"/>
      </w:pPr>
      <w:r>
        <w:tab/>
        <w:t>(b)</w:t>
      </w:r>
      <w:r>
        <w:tab/>
        <w:t xml:space="preserve">a child taken or sent from the State before commencement day, if the period specified in the consent or order in accordance with which the child was taken or sent — </w:t>
      </w:r>
    </w:p>
    <w:p>
      <w:pPr>
        <w:pStyle w:val="yIndenti0"/>
      </w:pPr>
      <w:r>
        <w:tab/>
        <w:t>(i)</w:t>
      </w:r>
      <w:r>
        <w:tab/>
        <w:t>ended after commencement day; or</w:t>
      </w:r>
    </w:p>
    <w:p>
      <w:pPr>
        <w:pStyle w:val="yIndenti0"/>
      </w:pPr>
      <w:r>
        <w:tab/>
        <w:t>(ii)</w:t>
      </w:r>
      <w:r>
        <w:tab/>
        <w:t>was extended so that it ended after commencement day.</w:t>
      </w:r>
    </w:p>
    <w:p>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pPr>
        <w:pStyle w:val="ySubsection"/>
      </w:pPr>
      <w:r>
        <w:lastRenderedPageBreak/>
        <w:tab/>
        <w:t>(15)</w:t>
      </w:r>
      <w:r>
        <w:tab/>
        <w:t xml:space="preserve">The amendments made by the </w:t>
      </w:r>
      <w:r>
        <w:rPr>
          <w:i/>
        </w:rPr>
        <w:t>Family Court Amendment (Commonwealth Reforms) Act 2024</w:t>
      </w:r>
      <w:r>
        <w:t xml:space="preserve"> sections 68 and 74(1) apply in relation to the following proceedings —</w:t>
      </w:r>
    </w:p>
    <w:p>
      <w:pPr>
        <w:pStyle w:val="yIndenta"/>
      </w:pPr>
      <w:r>
        <w:tab/>
        <w:t>(a)</w:t>
      </w:r>
      <w:r>
        <w:tab/>
        <w:t>proceedings instituted on or after commencement day;</w:t>
      </w:r>
    </w:p>
    <w:p>
      <w:pPr>
        <w:pStyle w:val="yIndenta"/>
      </w:pPr>
      <w:r>
        <w:tab/>
        <w:t>(b)</w:t>
      </w:r>
      <w:r>
        <w:tab/>
        <w:t>proceedings instituted before, and not finally determined by, commencement day.</w:t>
      </w:r>
    </w:p>
    <w:p>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ySubsection"/>
      </w:pPr>
      <w:r>
        <w:tab/>
        <w:t>(19)</w:t>
      </w:r>
      <w:r>
        <w:tab/>
        <w:t xml:space="preserve">The repeal of section 242 by the </w:t>
      </w:r>
      <w:r>
        <w:rPr>
          <w:i/>
        </w:rPr>
        <w:t>Family Court Amendment (Commonwealth Reforms) Act 2024</w:t>
      </w:r>
      <w:r>
        <w:t xml:space="preserve"> section 77 —</w:t>
      </w:r>
    </w:p>
    <w:p>
      <w:pPr>
        <w:pStyle w:val="yIndenta"/>
      </w:pPr>
      <w:r>
        <w:tab/>
        <w:t>(a)</w:t>
      </w:r>
      <w:r>
        <w:tab/>
        <w:t>applies to proceedings instituted before, on or after commencement day; but</w:t>
      </w:r>
    </w:p>
    <w:p>
      <w:pPr>
        <w:pStyle w:val="yIndenta"/>
      </w:pPr>
      <w:r>
        <w:tab/>
        <w:t>(b)</w:t>
      </w:r>
      <w:r>
        <w:tab/>
        <w:t>does not affect any action taken under that section before commencement day.</w:t>
      </w:r>
    </w:p>
    <w:p>
      <w:pPr>
        <w:pStyle w:val="ySubsection"/>
      </w:pPr>
      <w:r>
        <w:tab/>
        <w:t>(20)</w:t>
      </w:r>
      <w:r>
        <w:tab/>
        <w:t>Regulations that were in force for the purposes of section 243(8)(aa) of the old Act continue in force on and after commencement day as if they were regulations in force for the purposes of section 236D(2)(c).</w:t>
      </w:r>
    </w:p>
    <w:p>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pPr>
        <w:pStyle w:val="yIndenta"/>
      </w:pPr>
      <w:r>
        <w:tab/>
        <w:t>(a)</w:t>
      </w:r>
      <w:r>
        <w:tab/>
        <w:t>authorised by this Act on or after commencement day; and</w:t>
      </w:r>
    </w:p>
    <w:p>
      <w:pPr>
        <w:pStyle w:val="yIndenta"/>
      </w:pPr>
      <w:r>
        <w:tab/>
        <w:t>(b)</w:t>
      </w:r>
      <w:r>
        <w:tab/>
        <w:t>authorised by warrants issued on or after commencement day.</w:t>
      </w:r>
    </w:p>
    <w:p>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w:t>
      </w:r>
      <w:r>
        <w:rPr>
          <w:bCs/>
        </w:rPr>
        <w:lastRenderedPageBreak/>
        <w:t xml:space="preserve">of the following provisions of the </w:t>
      </w:r>
      <w:r>
        <w:rPr>
          <w:bCs/>
          <w:i/>
        </w:rPr>
        <w:t>Family Court Amendment (Commonwealth Reforms) Act 2024</w:t>
      </w:r>
      <w:r>
        <w:rPr>
          <w:b/>
          <w:bCs/>
        </w:rPr>
        <w:t> —</w:t>
      </w:r>
    </w:p>
    <w:p>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yIndenta"/>
        <w:rPr>
          <w:b/>
        </w:rPr>
      </w:pPr>
      <w:r>
        <w:tab/>
        <w:t>(c)</w:t>
      </w:r>
      <w:r>
        <w:tab/>
        <w:t>section 5(3), 5(4), 18, 35, 36, 63, 69, 71, 72, 74(1) or 79(b)</w:t>
      </w:r>
      <w:r>
        <w:rPr>
          <w:bCs/>
        </w:rPr>
        <w:t>.</w:t>
      </w:r>
    </w:p>
    <w:p>
      <w:pPr>
        <w:pStyle w:val="ySubsection"/>
      </w:pPr>
      <w:r>
        <w:tab/>
        <w:t>(23)</w:t>
      </w:r>
      <w:r>
        <w:tab/>
      </w:r>
      <w:r>
        <w:rPr>
          <w:bCs/>
        </w:rPr>
        <w:t>To avoid doubt, the regulations made under subclause (22) cannot do the following —</w:t>
      </w:r>
    </w:p>
    <w:p>
      <w:pPr>
        <w:pStyle w:val="yIndenta"/>
      </w:pPr>
      <w:r>
        <w:tab/>
        <w:t>(a)</w:t>
      </w:r>
      <w:r>
        <w:tab/>
        <w:t>create an offence or civil penalty;</w:t>
      </w:r>
    </w:p>
    <w:p>
      <w:pPr>
        <w:pStyle w:val="yIndenta"/>
      </w:pPr>
      <w:r>
        <w:tab/>
        <w:t>(b)</w:t>
      </w:r>
      <w:r>
        <w:tab/>
        <w:t>provide powers of —</w:t>
      </w:r>
    </w:p>
    <w:p>
      <w:pPr>
        <w:pStyle w:val="yIndenti0"/>
      </w:pPr>
      <w:r>
        <w:tab/>
        <w:t>(i)</w:t>
      </w:r>
      <w:r>
        <w:tab/>
        <w:t>arrest or detention; or</w:t>
      </w:r>
    </w:p>
    <w:p>
      <w:pPr>
        <w:pStyle w:val="yIndenti0"/>
      </w:pPr>
      <w:r>
        <w:tab/>
        <w:t>(ii)</w:t>
      </w:r>
      <w:r>
        <w:tab/>
        <w:t>entry, search or seizure;</w:t>
      </w:r>
    </w:p>
    <w:p>
      <w:pPr>
        <w:pStyle w:val="yIndenta"/>
      </w:pPr>
      <w:r>
        <w:tab/>
        <w:t>(c)</w:t>
      </w:r>
      <w:r>
        <w:tab/>
        <w:t>impose a tax;</w:t>
      </w:r>
    </w:p>
    <w:p>
      <w:pPr>
        <w:pStyle w:val="yIndenta"/>
      </w:pPr>
      <w:r>
        <w:tab/>
        <w:t>(d)</w:t>
      </w:r>
      <w:r>
        <w:tab/>
        <w:t xml:space="preserve">directly amend the text of the </w:t>
      </w:r>
      <w:r>
        <w:rPr>
          <w:i/>
        </w:rPr>
        <w:t>Family Court Amendment (Commonwealth Reforms) Act 2024</w:t>
      </w:r>
      <w:r>
        <w:t xml:space="preserve"> or this Act.</w:t>
      </w:r>
    </w:p>
    <w:p>
      <w:pPr>
        <w:pStyle w:val="yFootnotesection"/>
      </w:pPr>
      <w:r>
        <w:tab/>
        <w:t>[Clause 14 inserted: No. 49 of 2024 s.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993" w:name="_Toc189558738"/>
      <w:bookmarkStart w:id="994" w:name="_Toc189654309"/>
      <w:bookmarkStart w:id="995" w:name="_Toc189743614"/>
      <w:r>
        <w:lastRenderedPageBreak/>
        <w:t>Notes</w:t>
      </w:r>
      <w:bookmarkEnd w:id="993"/>
      <w:bookmarkEnd w:id="994"/>
      <w:bookmarkEnd w:id="995"/>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96" w:name="_Toc189743615"/>
      <w:r>
        <w:t>Compilation table</w:t>
      </w:r>
      <w:bookmarkEnd w:id="996"/>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pPr>
              <w:pStyle w:val="nTable"/>
              <w:keepNext/>
              <w:spacing w:after="40"/>
            </w:pPr>
            <w:r>
              <w:t>49 of 2024</w:t>
            </w:r>
          </w:p>
        </w:tc>
        <w:tc>
          <w:tcPr>
            <w:tcW w:w="1134" w:type="dxa"/>
            <w:tcBorders>
              <w:bottom w:val="single" w:sz="4" w:space="0" w:color="auto"/>
            </w:tcBorders>
            <w:shd w:val="clear" w:color="auto" w:fill="auto"/>
          </w:tcPr>
          <w:p>
            <w:pPr>
              <w:pStyle w:val="nTable"/>
              <w:keepNext/>
              <w:spacing w:after="40"/>
            </w:pPr>
            <w:r>
              <w:t>6 Dec 2024</w:t>
            </w:r>
          </w:p>
        </w:tc>
        <w:tc>
          <w:tcPr>
            <w:tcW w:w="2554" w:type="dxa"/>
            <w:tcBorders>
              <w:bottom w:val="single" w:sz="4" w:space="0" w:color="auto"/>
            </w:tcBorders>
            <w:shd w:val="clear" w:color="auto" w:fill="auto"/>
          </w:tcPr>
          <w:p>
            <w:pPr>
              <w:pStyle w:val="nTable"/>
              <w:keepNext/>
              <w:spacing w:after="40"/>
              <w:rPr>
                <w:snapToGrid w:val="0"/>
              </w:rPr>
            </w:pPr>
            <w:r>
              <w:t>10 Feb 2025 (see s. 2(b) and SL 2025/10 cl. 2)</w:t>
            </w:r>
          </w:p>
        </w:tc>
      </w:tr>
    </w:tbl>
    <w:p>
      <w:pPr>
        <w:pStyle w:val="nHeading3"/>
      </w:pPr>
      <w:bookmarkStart w:id="997" w:name="_Toc189743616"/>
      <w:r>
        <w:t>Uncommenced provisions table</w:t>
      </w:r>
      <w:bookmarkEnd w:id="9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Cs/>
                <w:snapToGrid w:val="0"/>
              </w:rPr>
            </w:pPr>
            <w:r>
              <w:rPr>
                <w:i/>
                <w:snapToGrid w:val="0"/>
              </w:rPr>
              <w:t xml:space="preserve">Births, Deaths and Marriages Registration Amendment (Sex or Gender Changes) Act 2024 </w:t>
            </w:r>
            <w:r>
              <w:rPr>
                <w:iCs/>
                <w:snapToGrid w:val="0"/>
              </w:rPr>
              <w:t>Pt. 4 Div. 8</w:t>
            </w:r>
          </w:p>
        </w:tc>
        <w:tc>
          <w:tcPr>
            <w:tcW w:w="1134" w:type="dxa"/>
            <w:tcBorders>
              <w:bottom w:val="single" w:sz="4" w:space="0" w:color="auto"/>
            </w:tcBorders>
          </w:tcPr>
          <w:p>
            <w:pPr>
              <w:pStyle w:val="nTable"/>
              <w:keepNext/>
              <w:spacing w:after="40"/>
            </w:pPr>
            <w:r>
              <w:t>31 of 2024</w:t>
            </w:r>
          </w:p>
        </w:tc>
        <w:tc>
          <w:tcPr>
            <w:tcW w:w="1134" w:type="dxa"/>
            <w:tcBorders>
              <w:bottom w:val="single" w:sz="4" w:space="0" w:color="auto"/>
            </w:tcBorders>
          </w:tcPr>
          <w:p>
            <w:pPr>
              <w:pStyle w:val="nTable"/>
              <w:keepNext/>
              <w:spacing w:after="40"/>
            </w:pPr>
            <w:r>
              <w:t>26 Sep 2024</w:t>
            </w:r>
          </w:p>
        </w:tc>
        <w:tc>
          <w:tcPr>
            <w:tcW w:w="2552" w:type="dxa"/>
            <w:tcBorders>
              <w:bottom w:val="single" w:sz="4" w:space="0" w:color="auto"/>
            </w:tcBorders>
          </w:tcPr>
          <w:p>
            <w:pPr>
              <w:pStyle w:val="nTable"/>
              <w:keepNext/>
              <w:spacing w:after="40"/>
            </w:pPr>
            <w:r>
              <w:t>To be proclaimed (see s. 2(b))</w:t>
            </w:r>
          </w:p>
        </w:tc>
      </w:tr>
    </w:tbl>
    <w:p>
      <w:pPr>
        <w:pStyle w:val="nHeading3"/>
      </w:pPr>
      <w:bookmarkStart w:id="998" w:name="_Toc189743617"/>
      <w:r>
        <w:lastRenderedPageBreak/>
        <w:t>Other notes</w:t>
      </w:r>
      <w:bookmarkEnd w:id="998"/>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lastRenderedPageBreak/>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xml:space="preserve">, as amended by this Division, does not apply in relation to a de facto </w:t>
      </w:r>
      <w:r>
        <w:lastRenderedPageBreak/>
        <w:t>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xml:space="preserve">, as in force immediately before the </w:t>
      </w:r>
      <w:r>
        <w:lastRenderedPageBreak/>
        <w:t>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lastRenderedPageBreak/>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lastRenderedPageBreak/>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w:t>
      </w:r>
      <w:r>
        <w:lastRenderedPageBreak/>
        <w:t xml:space="preserve">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 xml:space="preserve">give any party to the parenting order such assistance as is reasonably requested by that </w:t>
      </w:r>
      <w:r>
        <w:lastRenderedPageBreak/>
        <w:t>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lastRenderedPageBreak/>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000" w:name="_Toc189743618"/>
      <w:r>
        <w:rPr>
          <w:sz w:val="28"/>
        </w:rPr>
        <w:lastRenderedPageBreak/>
        <w:t>Defined terms</w:t>
      </w:r>
      <w:bookmarkEnd w:id="10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affected person</w:t>
      </w:r>
      <w:r>
        <w:tab/>
        <w:t>205K(1)</w:t>
      </w:r>
    </w:p>
    <w:p>
      <w:pPr>
        <w:pStyle w:val="DefinedTerms"/>
      </w:pPr>
      <w:r>
        <w:t>alleged contravention</w:t>
      </w:r>
      <w:r>
        <w:tab/>
        <w:t>5(1)</w:t>
      </w:r>
    </w:p>
    <w:p>
      <w:pPr>
        <w:pStyle w:val="DefinedTerms"/>
      </w:pPr>
      <w:r>
        <w:t>alleged offender</w:t>
      </w:r>
      <w:r>
        <w:tab/>
        <w:t>5(1)</w:t>
      </w:r>
    </w:p>
    <w:p>
      <w:pPr>
        <w:pStyle w:val="DefinedTerms"/>
      </w:pPr>
      <w:r>
        <w:t>applicant</w:t>
      </w:r>
      <w:r>
        <w:tab/>
        <w:t>117(1), 219AZD(1), 219AZJ(1)</w:t>
      </w:r>
    </w:p>
    <w:p>
      <w:pPr>
        <w:pStyle w:val="DefinedTerms"/>
      </w:pPr>
      <w:r>
        <w:t>application for a confiscation declaration</w:t>
      </w:r>
      <w:r>
        <w:tab/>
        <w:t>5(1)</w:t>
      </w:r>
    </w:p>
    <w:p>
      <w:pPr>
        <w:pStyle w:val="DefinedTerms"/>
      </w:pPr>
      <w:r>
        <w:t>appropriate court official</w:t>
      </w:r>
      <w:r>
        <w:tab/>
        <w:t>219AY(1)</w:t>
      </w:r>
    </w:p>
    <w:p>
      <w:pPr>
        <w:pStyle w:val="DefinedTerms"/>
      </w:pPr>
      <w:r>
        <w:t>arbitration</w:t>
      </w:r>
      <w:r>
        <w:tab/>
        <w:t>5(1), 56(1)</w:t>
      </w:r>
    </w:p>
    <w:p>
      <w:pPr>
        <w:pStyle w:val="DefinedTerms"/>
      </w:pPr>
      <w:r>
        <w:t>arbitrator</w:t>
      </w:r>
      <w:r>
        <w:tab/>
        <w:t>5(1)</w:t>
      </w:r>
    </w:p>
    <w:p>
      <w:pPr>
        <w:pStyle w:val="DefinedTerms"/>
      </w:pPr>
      <w:r>
        <w:t>arrestee</w:t>
      </w:r>
      <w:r>
        <w:tab/>
        <w:t>243A(1), 243B(1)</w:t>
      </w:r>
    </w:p>
    <w:p>
      <w:pPr>
        <w:pStyle w:val="DefinedTerms"/>
      </w:pPr>
      <w:r>
        <w:t>arrester</w:t>
      </w:r>
      <w:r>
        <w:tab/>
        <w:t>243A(1), 243B(1)</w:t>
      </w:r>
    </w:p>
    <w:p>
      <w:pPr>
        <w:pStyle w:val="DefinedTerms"/>
      </w:pPr>
      <w:r>
        <w:t>arresting person</w:t>
      </w:r>
      <w:r>
        <w:tab/>
        <w:t>5(1)</w:t>
      </w:r>
    </w:p>
    <w:p>
      <w:pPr>
        <w:pStyle w:val="DefinedTerms"/>
      </w:pPr>
      <w:r>
        <w:t>audio link</w:t>
      </w:r>
      <w:r>
        <w:tab/>
        <w:t>5(1)</w:t>
      </w:r>
    </w:p>
    <w:p>
      <w:pPr>
        <w:pStyle w:val="DefinedTerms"/>
      </w:pPr>
      <w:r>
        <w:t>Australian court or tribunal</w:t>
      </w:r>
      <w:r>
        <w:tab/>
        <w:t>219AY(1)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109(1), 110(1)</w:t>
      </w:r>
    </w:p>
    <w:p>
      <w:pPr>
        <w:pStyle w:val="DefinedTerms"/>
      </w:pPr>
      <w:r>
        <w:t>case guardian</w:t>
      </w:r>
      <w:r>
        <w:tab/>
        <w:t>5(1)</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order</w:t>
      </w:r>
      <w:r>
        <w:tab/>
        <w:t>5(1), 205G(2)</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lastRenderedPageBreak/>
        <w:t>child welfare provisions</w:t>
      </w:r>
      <w:r>
        <w:tab/>
        <w:t>5(1)</w:t>
      </w:r>
    </w:p>
    <w:p>
      <w:pPr>
        <w:pStyle w:val="DefinedTerms"/>
      </w:pPr>
      <w:r>
        <w:t>commencement</w:t>
      </w:r>
      <w:r>
        <w:tab/>
        <w:t>Sch. 2 cl. 11(1) and 12(1)</w:t>
      </w:r>
    </w:p>
    <w:p>
      <w:pPr>
        <w:pStyle w:val="DefinedTerms"/>
      </w:pPr>
      <w:r>
        <w:t>commencement day</w:t>
      </w:r>
      <w:r>
        <w:tab/>
        <w:t>219AJ(1), Sch. 2 cl. 1, 13(1) and 14(1)</w:t>
      </w:r>
    </w:p>
    <w:p>
      <w:pPr>
        <w:pStyle w:val="DefinedTerms"/>
      </w:pPr>
      <w:r>
        <w:t>Commissioner of Police</w:t>
      </w:r>
      <w:r>
        <w:tab/>
        <w:t>5(1)</w:t>
      </w:r>
    </w:p>
    <w:p>
      <w:pPr>
        <w:pStyle w:val="DefinedTerms"/>
      </w:pPr>
      <w:r>
        <w:t>Commonwealth or State instrumentality</w:t>
      </w:r>
      <w:r>
        <w:tab/>
        <w:t>238(3)</w:t>
      </w:r>
    </w:p>
    <w:p>
      <w:pPr>
        <w:pStyle w:val="DefinedTerms"/>
      </w:pPr>
      <w:r>
        <w:t>communicate</w:t>
      </w:r>
      <w:r>
        <w:tab/>
        <w:t>5(1), 236A(1)</w:t>
      </w:r>
    </w:p>
    <w:p>
      <w:pPr>
        <w:pStyle w:val="DefinedTerms"/>
      </w:pPr>
      <w:r>
        <w:t>communication</w:t>
      </w:r>
      <w:r>
        <w:tab/>
        <w:t>49(7), 53(8)</w:t>
      </w:r>
    </w:p>
    <w:p>
      <w:pPr>
        <w:pStyle w:val="DefinedTerms"/>
      </w:pPr>
      <w:r>
        <w:t>complainant</w:t>
      </w:r>
      <w:r>
        <w:tab/>
        <w:t>205Q(1)</w:t>
      </w:r>
    </w:p>
    <w:p>
      <w:pPr>
        <w:pStyle w:val="DefinedTerms"/>
      </w:pPr>
      <w:r>
        <w:t>confiscation declaration</w:t>
      </w:r>
      <w:r>
        <w:tab/>
        <w:t>5(1)</w:t>
      </w:r>
    </w:p>
    <w:p>
      <w:pPr>
        <w:pStyle w:val="DefinedTerms"/>
      </w:pPr>
      <w:r>
        <w:t>contravene</w:t>
      </w:r>
      <w:r>
        <w:tab/>
        <w:t>5(1)</w:t>
      </w:r>
    </w:p>
    <w:p>
      <w:pPr>
        <w:pStyle w:val="DefinedTerms"/>
      </w:pPr>
      <w:r>
        <w:t>contravene an order</w:t>
      </w:r>
      <w:r>
        <w:tab/>
        <w:t>233A</w:t>
      </w:r>
    </w:p>
    <w:p>
      <w:pPr>
        <w:pStyle w:val="DefinedTerms"/>
      </w:pPr>
      <w:r>
        <w:t>contravenes</w:t>
      </w:r>
      <w:r>
        <w:tab/>
        <w:t>205C(1) and (2)</w:t>
      </w:r>
    </w:p>
    <w:p>
      <w:pPr>
        <w:pStyle w:val="DefinedTerms"/>
      </w:pPr>
      <w:r>
        <w:t>conveyance</w:t>
      </w:r>
      <w:r>
        <w:tab/>
        <w:t>5(1)</w:t>
      </w:r>
    </w:p>
    <w:p>
      <w:pPr>
        <w:pStyle w:val="DefinedTerms"/>
      </w:pPr>
      <w:r>
        <w:t>Court</w:t>
      </w:r>
      <w:r>
        <w:tab/>
        <w:t>5(1)</w:t>
      </w:r>
    </w:p>
    <w:p>
      <w:pPr>
        <w:pStyle w:val="DefinedTerms"/>
      </w:pPr>
      <w:r>
        <w:t>court</w:t>
      </w:r>
      <w:r>
        <w:tab/>
        <w:t>5(1), 43(1), 43A(1), 161(5), 191(3), 230(1)</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designated family report</w:t>
      </w:r>
      <w:r>
        <w:tab/>
        <w:t>5(1), 65AB(1)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DPP</w:t>
      </w:r>
      <w:r>
        <w:tab/>
        <w:t>5(1)</w:t>
      </w:r>
    </w:p>
    <w:p>
      <w:pPr>
        <w:pStyle w:val="DefinedTerms"/>
      </w:pPr>
      <w:r>
        <w:t>dwelling house</w:t>
      </w:r>
      <w:r>
        <w:tab/>
        <w:t>5(1)</w:t>
      </w:r>
    </w:p>
    <w:p>
      <w:pPr>
        <w:pStyle w:val="DefinedTerms"/>
      </w:pPr>
      <w:r>
        <w:t>education</w:t>
      </w:r>
      <w:r>
        <w:tab/>
        <w:t>5(1)</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lastRenderedPageBreak/>
        <w:t>Family Law Act</w:t>
      </w:r>
      <w:r>
        <w:tab/>
        <w:t>5(1)</w:t>
      </w:r>
    </w:p>
    <w:p>
      <w:pPr>
        <w:pStyle w:val="DefinedTerms"/>
      </w:pPr>
      <w:r>
        <w:t>family law magistrate</w:t>
      </w:r>
      <w:r>
        <w:tab/>
        <w:t>5(1)</w:t>
      </w:r>
    </w:p>
    <w:p>
      <w:pPr>
        <w:pStyle w:val="DefinedTerms"/>
      </w:pPr>
      <w:r>
        <w:t>family law practice and procedure provisions</w:t>
      </w:r>
      <w:r>
        <w:tab/>
        <w:t>5(1), 211C(4)</w:t>
      </w:r>
    </w:p>
    <w:p>
      <w:pPr>
        <w:pStyle w:val="DefinedTerms"/>
      </w:pPr>
      <w:r>
        <w:t>family member</w:t>
      </w:r>
      <w:r>
        <w:tab/>
        <w:t>9A(1)</w:t>
      </w:r>
    </w:p>
    <w:p>
      <w:pPr>
        <w:pStyle w:val="DefinedTerms"/>
      </w:pPr>
      <w:r>
        <w:t>family report writer</w:t>
      </w:r>
      <w:r>
        <w:tab/>
        <w:t>5(1), 65AA</w:t>
      </w:r>
    </w:p>
    <w:p>
      <w:pPr>
        <w:pStyle w:val="DefinedTerms"/>
      </w:pPr>
      <w:r>
        <w:t>family violence</w:t>
      </w:r>
      <w:r>
        <w:tab/>
        <w:t>5(1), 9A(1)</w:t>
      </w:r>
    </w:p>
    <w:p>
      <w:pPr>
        <w:pStyle w:val="DefinedTerms"/>
      </w:pPr>
      <w:r>
        <w:t>family violence order</w:t>
      </w:r>
      <w:r>
        <w:tab/>
        <w:t>5(1)</w:t>
      </w:r>
    </w:p>
    <w:p>
      <w:pPr>
        <w:pStyle w:val="DefinedTerms"/>
      </w:pPr>
      <w:r>
        <w:t>Federal Circuit and Family Court of Australia</w:t>
      </w:r>
      <w:r>
        <w:tab/>
        <w:t>5(1)</w:t>
      </w:r>
    </w:p>
    <w:p>
      <w:pPr>
        <w:pStyle w:val="DefinedTerms"/>
      </w:pPr>
      <w:r>
        <w:t>final parenting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party</w:t>
      </w:r>
      <w:r>
        <w:tab/>
        <w:t>219AZA(1) and (2), 219AZB(1)</w:t>
      </w:r>
    </w:p>
    <w:p>
      <w:pPr>
        <w:pStyle w:val="DefinedTerms"/>
      </w:pPr>
      <w:r>
        <w:t>first person</w:t>
      </w:r>
      <w:r>
        <w:tab/>
        <w:t>5(1), 6, 109(1), 110(1)</w:t>
      </w:r>
    </w:p>
    <w:p>
      <w:pPr>
        <w:pStyle w:val="DefinedTerms"/>
      </w:pPr>
      <w:r>
        <w:t>former financial agreement</w:t>
      </w:r>
      <w:r>
        <w:tab/>
        <w:t>205T</w:t>
      </w:r>
    </w:p>
    <w:p>
      <w:pPr>
        <w:pStyle w:val="DefinedTerms"/>
      </w:pPr>
      <w:r>
        <w:t>government body</w:t>
      </w:r>
      <w:r>
        <w:tab/>
        <w:t>205ZV(6)</w:t>
      </w:r>
    </w:p>
    <w:p>
      <w:pPr>
        <w:pStyle w:val="DefinedTerms"/>
      </w:pPr>
      <w:r>
        <w:t>harmful proceedings order</w:t>
      </w:r>
      <w:r>
        <w:tab/>
        <w:t>219AY(1), 219AZB(1)</w:t>
      </w:r>
    </w:p>
    <w:p>
      <w:pPr>
        <w:pStyle w:val="DefinedTerms"/>
      </w:pPr>
      <w:r>
        <w:t>holding period</w:t>
      </w:r>
      <w:r>
        <w:tab/>
        <w:t>205SB(4),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w:t>
      </w:r>
      <w:r>
        <w:tab/>
        <w:t>219AM</w:t>
      </w:r>
    </w:p>
    <w:p>
      <w:pPr>
        <w:pStyle w:val="DefinedTerms"/>
      </w:pPr>
      <w:r>
        <w:t>information about a child’s location</w:t>
      </w:r>
      <w:r>
        <w:tab/>
        <w:t>5(1)</w:t>
      </w:r>
    </w:p>
    <w:p>
      <w:pPr>
        <w:pStyle w:val="DefinedTerms"/>
      </w:pPr>
      <w:r>
        <w:t>information sharing agency</w:t>
      </w:r>
      <w:r>
        <w:tab/>
        <w:t>5(1), 162C</w:t>
      </w:r>
    </w:p>
    <w:p>
      <w:pPr>
        <w:pStyle w:val="DefinedTerms"/>
      </w:pPr>
      <w:r>
        <w:t>information sharing safeguards</w:t>
      </w:r>
      <w:r>
        <w:tab/>
        <w:t>5(1), 162I(1)</w:t>
      </w:r>
    </w:p>
    <w:p>
      <w:pPr>
        <w:pStyle w:val="DefinedTerms"/>
      </w:pPr>
      <w:r>
        <w:t>institute</w:t>
      </w:r>
      <w:r>
        <w:tab/>
        <w:t>219AY(1)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make-up time parenting order</w:t>
      </w:r>
      <w:r>
        <w:tab/>
        <w:t>205H(1)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news publisher</w:t>
      </w:r>
      <w:r>
        <w:tab/>
        <w:t>219AM</w:t>
      </w:r>
    </w:p>
    <w:p>
      <w:pPr>
        <w:pStyle w:val="DefinedTerms"/>
      </w:pPr>
      <w:r>
        <w:t>non-publication order</w:t>
      </w:r>
      <w:r>
        <w:tab/>
        <w:t>219AM</w:t>
      </w:r>
    </w:p>
    <w:p>
      <w:pPr>
        <w:pStyle w:val="DefinedTerms"/>
      </w:pPr>
      <w:r>
        <w:t>notifier</w:t>
      </w:r>
      <w:r>
        <w:tab/>
        <w:t>162H(3)</w:t>
      </w:r>
    </w:p>
    <w:p>
      <w:pPr>
        <w:pStyle w:val="DefinedTerms"/>
      </w:pPr>
      <w:r>
        <w:t>offence</w:t>
      </w:r>
      <w:r>
        <w:tab/>
        <w:t>232(1)</w:t>
      </w:r>
    </w:p>
    <w:p>
      <w:pPr>
        <w:pStyle w:val="DefinedTerms"/>
      </w:pPr>
      <w:r>
        <w:lastRenderedPageBreak/>
        <w:t>official</w:t>
      </w:r>
      <w:r>
        <w:tab/>
        <w:t>147(8)</w:t>
      </w:r>
    </w:p>
    <w:p>
      <w:pPr>
        <w:pStyle w:val="DefinedTerms"/>
      </w:pPr>
      <w:r>
        <w:t>old Act</w:t>
      </w:r>
      <w:r>
        <w:tab/>
        <w:t>Sch. 2 cl. 11(1), 12(1) and 14(1)</w:t>
      </w:r>
    </w:p>
    <w:p>
      <w:pPr>
        <w:pStyle w:val="DefinedTerms"/>
      </w:pPr>
      <w:r>
        <w:t>order</w:t>
      </w:r>
      <w:r>
        <w:tab/>
        <w:t>5(1)</w:t>
      </w:r>
    </w:p>
    <w:p>
      <w:pPr>
        <w:pStyle w:val="DefinedTerms"/>
      </w:pPr>
      <w:r>
        <w:t>order under this Act</w:t>
      </w:r>
      <w:r>
        <w:tab/>
        <w:t>223</w:t>
      </w:r>
    </w:p>
    <w:p>
      <w:pPr>
        <w:pStyle w:val="DefinedTerms"/>
      </w:pPr>
      <w:r>
        <w:t>original agreement</w:t>
      </w:r>
      <w:r>
        <w:tab/>
        <w:t>128A(1)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Part 5 proceedings</w:t>
      </w:r>
      <w:r>
        <w:tab/>
        <w:t>108(1), 108A(1), 110(1)</w:t>
      </w:r>
    </w:p>
    <w:p>
      <w:pPr>
        <w:pStyle w:val="DefinedTerms"/>
      </w:pPr>
      <w:r>
        <w:t>party</w:t>
      </w:r>
      <w:r>
        <w:tab/>
        <w:t>219AM</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t>premises</w:t>
      </w:r>
      <w:r>
        <w:tab/>
        <w:t>243B(1)</w:t>
      </w:r>
    </w:p>
    <w:p>
      <w:pPr>
        <w:pStyle w:val="DefinedTerms"/>
      </w:pPr>
      <w:r>
        <w:t>prescribed form</w:t>
      </w:r>
      <w:r>
        <w:tab/>
        <w:t>159(1A), 162A(1)</w:t>
      </w:r>
    </w:p>
    <w:p>
      <w:pPr>
        <w:pStyle w:val="DefinedTerms"/>
      </w:pPr>
      <w:r>
        <w:t>principal officer</w:t>
      </w:r>
      <w:r>
        <w:tab/>
        <w:t>5(1)</w:t>
      </w:r>
    </w:p>
    <w:p>
      <w:pPr>
        <w:pStyle w:val="DefinedTerms"/>
      </w:pPr>
      <w:r>
        <w:t>proceedings</w:t>
      </w:r>
      <w:r>
        <w:tab/>
        <w:t>5(1), 219AY(1)</w:t>
      </w:r>
    </w:p>
    <w:p>
      <w:pPr>
        <w:pStyle w:val="DefinedTerms"/>
      </w:pPr>
      <w:r>
        <w:t>proceedings for a parenting order</w:t>
      </w:r>
      <w:r>
        <w:tab/>
        <w:t>95A(3)</w:t>
      </w:r>
    </w:p>
    <w:p>
      <w:pPr>
        <w:pStyle w:val="DefinedTerms"/>
      </w:pPr>
      <w:r>
        <w:t>proceedings of a particular type</w:t>
      </w:r>
      <w:r>
        <w:tab/>
        <w:t>219AY(1)</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material</w:t>
      </w:r>
      <w:r>
        <w:tab/>
        <w:t>5(1)</w:t>
      </w:r>
    </w:p>
    <w:p>
      <w:pPr>
        <w:pStyle w:val="DefinedTerms"/>
      </w:pPr>
      <w:r>
        <w:t>Protected material</w:t>
      </w:r>
      <w:r>
        <w:tab/>
        <w:t>162F(3)</w:t>
      </w:r>
    </w:p>
    <w:p>
      <w:pPr>
        <w:pStyle w:val="DefinedTerms"/>
      </w:pPr>
      <w:r>
        <w:t>protected person</w:t>
      </w:r>
      <w:r>
        <w:tab/>
        <w:t>236(1)</w:t>
      </w:r>
    </w:p>
    <w:p>
      <w:pPr>
        <w:pStyle w:val="DefinedTerms"/>
      </w:pPr>
      <w:r>
        <w:t>public</w:t>
      </w:r>
      <w:r>
        <w:tab/>
        <w:t>5(1), 236A(2)</w:t>
      </w:r>
    </w:p>
    <w:p>
      <w:pPr>
        <w:pStyle w:val="DefinedTerms"/>
      </w:pPr>
      <w:r>
        <w:t>publish</w:t>
      </w:r>
      <w:r>
        <w:tab/>
        <w:t>219AM</w:t>
      </w:r>
    </w:p>
    <w:p>
      <w:pPr>
        <w:pStyle w:val="DefinedTerms"/>
      </w:pPr>
      <w:r>
        <w:t>purported order</w:t>
      </w:r>
      <w:r>
        <w:tab/>
        <w:t>132A(1)</w:t>
      </w:r>
    </w:p>
    <w:p>
      <w:pPr>
        <w:pStyle w:val="DefinedTerms"/>
      </w:pPr>
      <w:r>
        <w:t>reasonable excuse</w:t>
      </w:r>
      <w:r>
        <w:tab/>
        <w:t>5(1), 205D(1) and (3)</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regulator</w:t>
      </w:r>
      <w:r>
        <w:tab/>
        <w:t>5(1), 65AC(2)</w:t>
      </w:r>
    </w:p>
    <w:p>
      <w:pPr>
        <w:pStyle w:val="DefinedTerms"/>
      </w:pPr>
      <w:r>
        <w:t>relative</w:t>
      </w:r>
      <w:r>
        <w:tab/>
        <w:t>5(1)</w:t>
      </w:r>
    </w:p>
    <w:p>
      <w:pPr>
        <w:pStyle w:val="DefinedTerms"/>
      </w:pPr>
      <w:r>
        <w:lastRenderedPageBreak/>
        <w:t>relevant order</w:t>
      </w:r>
      <w:r>
        <w:tab/>
        <w:t>233A</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205A(1), 205G(1),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suppression order</w:t>
      </w:r>
      <w:r>
        <w:tab/>
        <w:t>219AM</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use</w:t>
      </w:r>
      <w:r>
        <w:tab/>
        <w:t>162I(3)</w:t>
      </w:r>
    </w:p>
    <w:p>
      <w:pPr>
        <w:pStyle w:val="DefinedTerms"/>
      </w:pPr>
      <w:r>
        <w:t>vested bankruptcy property</w:t>
      </w:r>
      <w:r>
        <w:tab/>
        <w:t>5(1)</w:t>
      </w:r>
    </w:p>
    <w:p>
      <w:pPr>
        <w:pStyle w:val="DefinedTerms"/>
      </w:pPr>
      <w:r>
        <w:t>vexatious proceedings</w:t>
      </w:r>
      <w:r>
        <w:tab/>
        <w:t>219AY(1)</w:t>
      </w:r>
    </w:p>
    <w:p>
      <w:pPr>
        <w:pStyle w:val="DefinedTerms"/>
      </w:pPr>
      <w:r>
        <w:t>vexatious proceedings order</w:t>
      </w:r>
      <w:r>
        <w:tab/>
        <w:t>219AY(1)</w:t>
      </w:r>
    </w:p>
    <w:p>
      <w:pPr>
        <w:pStyle w:val="DefinedTerms"/>
      </w:pPr>
      <w:r>
        <w:t>video link</w:t>
      </w:r>
      <w:r>
        <w:tab/>
        <w:t>5(1)</w:t>
      </w:r>
    </w:p>
    <w:p>
      <w:pPr>
        <w:pStyle w:val="DefinedTerms"/>
      </w:pPr>
      <w:r>
        <w:t>witness party</w:t>
      </w:r>
      <w:r>
        <w:tab/>
        <w:t>219AK(1), 219AL(1)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04D4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F95C55" w14:textId="2F84080D" w:rsidR="00F465A1" w:rsidRDefault="00161F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5301">
                        <w:rPr>
                          <w:sz w:val="16"/>
                        </w:rPr>
                        <w:t>2025</w:t>
                      </w:r>
                      <w:r>
                        <w:rPr>
                          <w:sz w:val="16"/>
                        </w:rPr>
                        <w:fldChar w:fldCharType="end"/>
                      </w:r>
                      <w:r>
                        <w:rPr>
                          <w:sz w:val="16"/>
                        </w:rPr>
                        <w:t>.</w:t>
                      </w:r>
                    </w:p>
                    <w:p w14:paraId="6157EEA3" w14:textId="77777777" w:rsidR="00F465A1" w:rsidRDefault="00161F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6AC12E" w14:textId="60EFBA68" w:rsidR="00F465A1" w:rsidRDefault="00161F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5301">
                        <w:rPr>
                          <w:sz w:val="16"/>
                        </w:rPr>
                        <w:t>2025</w:t>
                      </w:r>
                      <w:r>
                        <w:rPr>
                          <w:sz w:val="16"/>
                        </w:rPr>
                        <w:fldChar w:fldCharType="end"/>
                      </w:r>
                      <w:r>
                        <w:rPr>
                          <w:sz w:val="16"/>
                        </w:rPr>
                        <w:t>.</w:t>
                      </w:r>
                    </w:p>
                    <w:p w14:paraId="6B81ACA4" w14:textId="77777777" w:rsidR="00F465A1" w:rsidRDefault="00161F55">
                      <w:pPr>
                        <w:ind w:left="2438" w:right="2098"/>
                        <w:jc w:val="center"/>
                        <w:rPr>
                          <w:rFonts w:ascii="Arial" w:hAnsi="Arial" w:cs="Arial"/>
                          <w:sz w:val="12"/>
                        </w:rPr>
                      </w:pPr>
                      <w:r>
                        <w:rPr>
                          <w:rFonts w:ascii="Arial" w:hAnsi="Arial" w:cs="Arial"/>
                          <w:sz w:val="12"/>
                        </w:rPr>
                        <w:t>By Authority: GEOFF O. LAWN, Government Printer</w:t>
                      </w:r>
                    </w:p>
                    <w:p w14:paraId="68C912DA" w14:textId="77777777" w:rsidR="00F465A1" w:rsidRDefault="00F465A1"/>
                    <w:p w14:paraId="04E51808" w14:textId="77777777" w:rsidR="00F465A1" w:rsidRDefault="00F465A1"/>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0" w:name="Schedule"/>
    <w:bookmarkEnd w:id="9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9" w:name="Compilation"/>
    <w:bookmarkEnd w:id="99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1" w:name="DefinedTerms"/>
    <w:bookmarkEnd w:id="100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2" w:name="Coversheet"/>
    <w:bookmarkEnd w:id="10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413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yperlink" Target="http://www.austlii.edu.au" TargetMode="Externa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111329</Words>
  <Characters>532158</Characters>
  <Application>Microsoft Office Word</Application>
  <DocSecurity>0</DocSecurity>
  <Lines>14382</Lines>
  <Paragraphs>8043</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635444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1997 - 04-k0-00</dc:title>
  <dc:subject/>
  <dc:creator/>
  <cp:keywords/>
  <dc:description/>
  <cp:lastModifiedBy>Master Repository Process</cp:lastModifiedBy>
  <cp:revision>4</cp:revision>
  <cp:lastPrinted>2022-09-20T04:40:00Z</cp:lastPrinted>
  <dcterms:created xsi:type="dcterms:W3CDTF">2025-07-21T01:33:00Z</dcterms:created>
  <dcterms:modified xsi:type="dcterms:W3CDTF">2025-07-21T01:34:00Z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20250210</vt:lpwstr>
  </property>
  <property fmtid="{D5CDD505-2E9C-101B-9397-08002B2CF9AE}" pid="8" name="CommencementAsAt">
    <vt:filetime>2025-02-09T16:00:00Z</vt:filetime>
  </property>
  <property fmtid="{D5CDD505-2E9C-101B-9397-08002B2CF9AE}" pid="9" name="CommencementYear">
    <vt:lpwstr>2025</vt:lpwstr>
  </property>
  <property fmtid="{D5CDD505-2E9C-101B-9397-08002B2CF9AE}" pid="10" name="AsAtDate">
    <vt:lpwstr>10 Feb 2025</vt:lpwstr>
  </property>
  <property fmtid="{D5CDD505-2E9C-101B-9397-08002B2CF9AE}" pid="11" name="Suffix">
    <vt:lpwstr>04-k0-00</vt:lpwstr>
  </property>
  <property fmtid="{D5CDD505-2E9C-101B-9397-08002B2CF9AE}" pid="12" name="Official">
    <vt:lpwstr/>
  </property>
</Properties>
</file>