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_Toc189556437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_Toc189556438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_Toc189556439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_Toc189556441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_Toc189556442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_Toc189556443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_Toc189556444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_Toc189556445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_Toc189556446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_Toc189556447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 and (e))</w:t>
      </w:r>
      <w:r>
        <w:tab/>
      </w:r>
      <w:r>
        <w:fldChar w:fldCharType="begin"/>
      </w:r>
      <w:r>
        <w:instrText xml:space="preserve"> PAGEREF _Toc189556448 \h </w:instrText>
      </w:r>
      <w:r>
        <w:fldChar w:fldCharType="separate"/>
      </w:r>
      <w:r>
        <w:t>5</w:t>
      </w:r>
      <w:r>
        <w:fldChar w:fldCharType="end"/>
      </w:r>
    </w:p>
    <w:p>
      <w:pPr>
        <w:pStyle w:val="TOC8"/>
        <w:rPr>
          <w:rFonts w:asciiTheme="minorHAnsi" w:eastAsiaTheme="minorEastAsia" w:hAnsiTheme="minorHAnsi" w:cstheme="minorBidi"/>
          <w:szCs w:val="22"/>
        </w:rPr>
      </w:pPr>
      <w:r>
        <w:t>10A.</w:t>
      </w:r>
      <w:r>
        <w:tab/>
        <w:t>Authentication of consent in writing</w:t>
      </w:r>
      <w:r>
        <w:tab/>
      </w:r>
      <w:r>
        <w:fldChar w:fldCharType="begin"/>
      </w:r>
      <w:r>
        <w:instrText xml:space="preserve"> PAGEREF _Toc189556449 \h </w:instrText>
      </w:r>
      <w:r>
        <w:fldChar w:fldCharType="separate"/>
      </w:r>
      <w:r>
        <w:t>6</w:t>
      </w:r>
      <w:r>
        <w:fldChar w:fldCharType="end"/>
      </w:r>
    </w:p>
    <w:p>
      <w:pPr>
        <w:pStyle w:val="TOC8"/>
        <w:rPr>
          <w:rFonts w:asciiTheme="minorHAnsi" w:eastAsiaTheme="minorEastAsia" w:hAnsiTheme="minorHAnsi" w:cstheme="minorBidi"/>
          <w:szCs w:val="22"/>
        </w:rPr>
      </w:pPr>
      <w:r>
        <w:t>10B.</w:t>
      </w:r>
      <w:r>
        <w:tab/>
        <w:t>Information sharing agencies (Act s. 162C)</w:t>
      </w:r>
      <w:r>
        <w:tab/>
      </w:r>
      <w:r>
        <w:fldChar w:fldCharType="begin"/>
      </w:r>
      <w:r>
        <w:instrText xml:space="preserve"> PAGEREF _Toc189556450 \h </w:instrText>
      </w:r>
      <w:r>
        <w:fldChar w:fldCharType="separate"/>
      </w:r>
      <w:r>
        <w:t>6</w:t>
      </w:r>
      <w:r>
        <w:fldChar w:fldCharType="end"/>
      </w:r>
    </w:p>
    <w:p>
      <w:pPr>
        <w:pStyle w:val="TOC8"/>
        <w:rPr>
          <w:rFonts w:asciiTheme="minorHAnsi" w:eastAsiaTheme="minorEastAsia" w:hAnsiTheme="minorHAnsi" w:cstheme="minorBidi"/>
          <w:szCs w:val="22"/>
        </w:rPr>
      </w:pPr>
      <w:r>
        <w:t>10C.</w:t>
      </w:r>
      <w:r>
        <w:tab/>
        <w:t>Information sharing safeguards (Act s. 162I(1))</w:t>
      </w:r>
      <w:r>
        <w:tab/>
      </w:r>
      <w:r>
        <w:fldChar w:fldCharType="begin"/>
      </w:r>
      <w:r>
        <w:instrText xml:space="preserve"> PAGEREF _Toc189556451 \h </w:instrText>
      </w:r>
      <w:r>
        <w:fldChar w:fldCharType="separate"/>
      </w:r>
      <w:r>
        <w:t>7</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_Toc189556452 \h </w:instrText>
      </w:r>
      <w:r>
        <w:fldChar w:fldCharType="separate"/>
      </w:r>
      <w:r>
        <w:t>9</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_Toc189556453 \h </w:instrText>
      </w:r>
      <w:r>
        <w:fldChar w:fldCharType="separate"/>
      </w:r>
      <w:r>
        <w:t>9</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_Toc189556454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_Toc189556455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_Toc189556456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_Toc189556457 \h </w:instrText>
      </w:r>
      <w:r>
        <w:fldChar w:fldCharType="separate"/>
      </w:r>
      <w:r>
        <w:t>10</w:t>
      </w:r>
      <w:r>
        <w:fldChar w:fldCharType="end"/>
      </w:r>
    </w:p>
    <w:p>
      <w:pPr>
        <w:pStyle w:val="TOC8"/>
        <w:rPr>
          <w:rFonts w:asciiTheme="minorHAnsi" w:eastAsiaTheme="minorEastAsia" w:hAnsiTheme="minorHAnsi" w:cstheme="minorBidi"/>
          <w:szCs w:val="22"/>
        </w:rPr>
      </w:pPr>
      <w:r>
        <w:t>17A.</w:t>
      </w:r>
      <w:r>
        <w:tab/>
        <w:t>Authorities prescribed (Act s. 236D(2)(c))</w:t>
      </w:r>
      <w:r>
        <w:tab/>
      </w:r>
      <w:r>
        <w:fldChar w:fldCharType="begin"/>
      </w:r>
      <w:r>
        <w:instrText xml:space="preserve"> PAGEREF _Toc189556458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_Toc189556461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_Toc189556463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_Toc189556465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_Toc189556467 \h </w:instrText>
      </w:r>
      <w:r>
        <w:fldChar w:fldCharType="separate"/>
      </w:r>
      <w:r>
        <w:t>15</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_Toc189556468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_Toc189556470 \h </w:instrText>
      </w:r>
      <w:r>
        <w:fldChar w:fldCharType="separate"/>
      </w:r>
      <w:r>
        <w:t>16</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_Toc189556471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_Toc189556473 \h </w:instrText>
      </w:r>
      <w:r>
        <w:fldChar w:fldCharType="separate"/>
      </w:r>
      <w:r>
        <w:t>18</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_Toc189556474 \h </w:instrText>
      </w:r>
      <w:r>
        <w:fldChar w:fldCharType="separate"/>
      </w:r>
      <w:r>
        <w:t>19</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_Toc189556475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_Toc189556477 \h </w:instrText>
      </w:r>
      <w:r>
        <w:fldChar w:fldCharType="separate"/>
      </w:r>
      <w:r>
        <w:t>21</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_Toc189556478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_Toc189556480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_Toc189556482 \h </w:instrText>
      </w:r>
      <w:r>
        <w:fldChar w:fldCharType="separate"/>
      </w:r>
      <w:r>
        <w:t>25</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_Toc189556483 \h </w:instrText>
      </w:r>
      <w:r>
        <w:fldChar w:fldCharType="separate"/>
      </w:r>
      <w:r>
        <w:t>25</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_Toc189556484 \h </w:instrText>
      </w:r>
      <w:r>
        <w:fldChar w:fldCharType="separate"/>
      </w:r>
      <w:r>
        <w:t>26</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_Toc189556485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_Toc189556488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2" w:name="_Toc189554047"/>
      <w:bookmarkStart w:id="3" w:name="_Toc189554822"/>
      <w:bookmarkStart w:id="4" w:name="_Toc18955643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13 May 2011 p. 1738.]</w:t>
      </w:r>
    </w:p>
    <w:p>
      <w:pPr>
        <w:pStyle w:val="Heading5"/>
        <w:spacing w:before="240"/>
      </w:pPr>
      <w:bookmarkStart w:id="5" w:name="_Toc189556437"/>
      <w:r>
        <w:rPr>
          <w:rStyle w:val="CharSectno"/>
        </w:rPr>
        <w:t>1</w:t>
      </w:r>
      <w:r>
        <w:t>.</w:t>
      </w:r>
      <w:r>
        <w:tab/>
        <w:t>Citation</w:t>
      </w:r>
      <w:bookmarkEnd w:id="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6" w:name="_Toc18955643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bookmarkStart w:id="7" w:name="Start_Cursor"/>
      <w:bookmarkEnd w:id="7"/>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8" w:name="_Toc18955643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9" w:name="_Toc189554051"/>
      <w:bookmarkStart w:id="10" w:name="_Toc189554826"/>
      <w:bookmarkStart w:id="11" w:name="_Toc189556440"/>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Footnoteheading"/>
      </w:pPr>
      <w:r>
        <w:tab/>
        <w:t>[Heading inserted: Gazette 13 May 2011 p. 1738.]</w:t>
      </w:r>
    </w:p>
    <w:p>
      <w:pPr>
        <w:pStyle w:val="Heading5"/>
        <w:rPr>
          <w:snapToGrid w:val="0"/>
        </w:rPr>
      </w:pPr>
      <w:bookmarkStart w:id="12" w:name="_Toc189556441"/>
      <w:r>
        <w:rPr>
          <w:rStyle w:val="CharSectno"/>
        </w:rPr>
        <w:t>4</w:t>
      </w:r>
      <w:r>
        <w:rPr>
          <w:snapToGrid w:val="0"/>
        </w:rPr>
        <w:t>.</w:t>
      </w:r>
      <w:r>
        <w:rPr>
          <w:snapToGrid w:val="0"/>
        </w:rPr>
        <w:tab/>
        <w:t>Dispensing with compliance with these regulations</w:t>
      </w:r>
      <w:bookmarkEnd w:id="1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3" w:name="_Toc189556442"/>
      <w:r>
        <w:rPr>
          <w:rStyle w:val="CharSectno"/>
        </w:rPr>
        <w:t>5</w:t>
      </w:r>
      <w:r>
        <w:rPr>
          <w:snapToGrid w:val="0"/>
        </w:rPr>
        <w:t>.</w:t>
      </w:r>
      <w:r>
        <w:rPr>
          <w:snapToGrid w:val="0"/>
        </w:rPr>
        <w:tab/>
        <w:t>Court registry</w:t>
      </w:r>
      <w:bookmarkEnd w:id="1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4" w:name="_Toc189556443"/>
      <w:r>
        <w:rPr>
          <w:rStyle w:val="CharSectno"/>
        </w:rPr>
        <w:t>6</w:t>
      </w:r>
      <w:r>
        <w:t>.</w:t>
      </w:r>
      <w:r>
        <w:tab/>
        <w:t>Fees of Marshal</w:t>
      </w:r>
      <w:bookmarkEnd w:id="14"/>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5" w:name="_Toc189556444"/>
      <w:r>
        <w:rPr>
          <w:rStyle w:val="CharSectno"/>
        </w:rPr>
        <w:t>7</w:t>
      </w:r>
      <w:r>
        <w:rPr>
          <w:snapToGrid w:val="0"/>
        </w:rPr>
        <w:t>.</w:t>
      </w:r>
      <w:r>
        <w:rPr>
          <w:snapToGrid w:val="0"/>
        </w:rPr>
        <w:tab/>
        <w:t>Recording and transcripts of proceedings</w:t>
      </w:r>
      <w:bookmarkEnd w:id="1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6" w:name="_Toc189556445"/>
      <w:r>
        <w:rPr>
          <w:rStyle w:val="CharSectno"/>
        </w:rPr>
        <w:t>7A</w:t>
      </w:r>
      <w:r>
        <w:t>.</w:t>
      </w:r>
      <w:r>
        <w:tab/>
        <w:t>Child welfare officer (Act s. 5(1))</w:t>
      </w:r>
      <w:bookmarkEnd w:id="16"/>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17" w:name="_Toc189556446"/>
      <w:r>
        <w:rPr>
          <w:rStyle w:val="CharSectno"/>
        </w:rPr>
        <w:t>8</w:t>
      </w:r>
      <w:r>
        <w:t>.</w:t>
      </w:r>
      <w:r>
        <w:tab/>
        <w:t>Family Law Regulations Part 5 adopted</w:t>
      </w:r>
      <w:bookmarkEnd w:id="17"/>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18" w:name="_Toc189556447"/>
      <w:r>
        <w:rPr>
          <w:rStyle w:val="CharSectno"/>
        </w:rPr>
        <w:t>9</w:t>
      </w:r>
      <w:r>
        <w:t>.</w:t>
      </w:r>
      <w:r>
        <w:tab/>
        <w:t>Family Law Regulation 8A adopted (Act s. 65D)</w:t>
      </w:r>
      <w:bookmarkEnd w:id="18"/>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19" w:name="_Toc189556448"/>
      <w:r>
        <w:rPr>
          <w:rStyle w:val="CharSectno"/>
        </w:rPr>
        <w:t>10</w:t>
      </w:r>
      <w:r>
        <w:t>.</w:t>
      </w:r>
      <w:r>
        <w:tab/>
        <w:t>Matters prescribed (Act s. 66H(7)(b) and (e))</w:t>
      </w:r>
      <w:bookmarkEnd w:id="19"/>
    </w:p>
    <w:p>
      <w:pPr>
        <w:pStyle w:val="Subsection"/>
      </w:pPr>
      <w:r>
        <w:tab/>
      </w:r>
      <w:r>
        <w:tab/>
        <w:t xml:space="preserve">Before giving a certificate under section 66H(7)(b) or (e) a family law dispute resolution practitioner must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lastRenderedPageBreak/>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 amended: SL 2025/16 r. 4.]</w:t>
      </w:r>
    </w:p>
    <w:p>
      <w:pPr>
        <w:pStyle w:val="Heading5"/>
      </w:pPr>
      <w:bookmarkStart w:id="20" w:name="_Toc187929179"/>
      <w:bookmarkStart w:id="21" w:name="_Toc187929395"/>
      <w:bookmarkStart w:id="22" w:name="_Toc189556449"/>
      <w:r>
        <w:rPr>
          <w:rStyle w:val="CharSectno"/>
        </w:rPr>
        <w:t>10A</w:t>
      </w:r>
      <w:r>
        <w:t>.</w:t>
      </w:r>
      <w:r>
        <w:tab/>
        <w:t>Authentication of consent in writing</w:t>
      </w:r>
      <w:bookmarkEnd w:id="20"/>
      <w:bookmarkEnd w:id="21"/>
      <w:bookmarkEnd w:id="22"/>
    </w:p>
    <w:p>
      <w:pPr>
        <w:pStyle w:val="Subsection"/>
      </w:pPr>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p>
    <w:p>
      <w:pPr>
        <w:pStyle w:val="Indenta"/>
      </w:pPr>
      <w:r>
        <w:tab/>
        <w:t>(a)</w:t>
      </w:r>
      <w:r>
        <w:tab/>
        <w:t>the person is satisfied about the identity of the person signing the consent; and</w:t>
      </w:r>
    </w:p>
    <w:p>
      <w:pPr>
        <w:pStyle w:val="Indenta"/>
      </w:pPr>
      <w:r>
        <w:tab/>
        <w:t>(b)</w:t>
      </w:r>
      <w:r>
        <w:tab/>
        <w:t>the consent was signed in the person’s presence.</w:t>
      </w:r>
    </w:p>
    <w:p>
      <w:pPr>
        <w:pStyle w:val="Footnotesection"/>
      </w:pPr>
      <w:bookmarkStart w:id="23" w:name="_Toc187929180"/>
      <w:bookmarkStart w:id="24" w:name="_Toc187929396"/>
      <w:r>
        <w:tab/>
        <w:t>[Regulation 10A inserted: SL 2025/16 r. 5.]</w:t>
      </w:r>
    </w:p>
    <w:p>
      <w:pPr>
        <w:pStyle w:val="Heading5"/>
      </w:pPr>
      <w:bookmarkStart w:id="25" w:name="_Toc189556450"/>
      <w:r>
        <w:rPr>
          <w:rStyle w:val="CharSectno"/>
        </w:rPr>
        <w:t>10B</w:t>
      </w:r>
      <w:r>
        <w:t>.</w:t>
      </w:r>
      <w:r>
        <w:tab/>
        <w:t>Information sharing agencies (Act s. 162C)</w:t>
      </w:r>
      <w:bookmarkEnd w:id="23"/>
      <w:bookmarkEnd w:id="24"/>
      <w:bookmarkEnd w:id="25"/>
    </w:p>
    <w:p>
      <w:pPr>
        <w:pStyle w:val="Subsection"/>
      </w:pPr>
      <w:r>
        <w:tab/>
      </w:r>
      <w:r>
        <w:tab/>
        <w:t xml:space="preserve">For the purposes of section 162C, each of the following is prescribed as an information sharing agency — </w:t>
      </w:r>
    </w:p>
    <w:p>
      <w:pPr>
        <w:pStyle w:val="Indenta"/>
      </w:pPr>
      <w:r>
        <w:tab/>
        <w:t>(a)</w:t>
      </w:r>
      <w:r>
        <w:tab/>
        <w:t>the police force or police service of a State or Territory;</w:t>
      </w:r>
    </w:p>
    <w:p>
      <w:pPr>
        <w:pStyle w:val="Indenta"/>
      </w:pPr>
      <w:r>
        <w:tab/>
        <w:t>(b)</w:t>
      </w:r>
      <w:r>
        <w:tab/>
        <w:t>the part of the police force or police service of a State or Territory that has primary responsibility for firearms licensing;</w:t>
      </w:r>
    </w:p>
    <w:p>
      <w:pPr>
        <w:pStyle w:val="Indenta"/>
      </w:pPr>
      <w:r>
        <w:tab/>
        <w:t>(c)</w:t>
      </w:r>
      <w:r>
        <w:tab/>
        <w:t>the part of the Australian Federal Police that provides police services in relation to the Australian Capital Territory;</w:t>
      </w:r>
    </w:p>
    <w:p>
      <w:pPr>
        <w:pStyle w:val="Indenta"/>
      </w:pPr>
      <w:r>
        <w:tab/>
        <w:t>(d)</w:t>
      </w:r>
      <w:r>
        <w:tab/>
        <w:t>the part of the Australian Federal Police that has primary responsibility for firearms licensing in relation to the Australian Capital Territory;</w:t>
      </w:r>
    </w:p>
    <w:p>
      <w:pPr>
        <w:pStyle w:val="Indenta"/>
        <w:keepNext/>
      </w:pPr>
      <w:r>
        <w:lastRenderedPageBreak/>
        <w:tab/>
        <w:t>(e)</w:t>
      </w:r>
      <w:r>
        <w:tab/>
        <w:t>either —</w:t>
      </w:r>
    </w:p>
    <w:p>
      <w:pPr>
        <w:pStyle w:val="Indenti"/>
      </w:pPr>
      <w:r>
        <w:tab/>
        <w:t>(i)</w:t>
      </w:r>
      <w:r>
        <w:tab/>
        <w:t>the department of a State or Territory that has primary responsibility for child protection in that State or Territory; or</w:t>
      </w:r>
    </w:p>
    <w:p>
      <w:pPr>
        <w:pStyle w:val="Indenti"/>
      </w:pPr>
      <w:r>
        <w:tab/>
        <w:t>(ii)</w:t>
      </w:r>
      <w:r>
        <w:tab/>
        <w:t>if, in a State or Territory, only a part of a department has primary responsibility for child protection — that part of the department.</w:t>
      </w:r>
    </w:p>
    <w:p>
      <w:pPr>
        <w:pStyle w:val="Footnotesection"/>
      </w:pPr>
      <w:bookmarkStart w:id="26" w:name="_Toc187929181"/>
      <w:bookmarkStart w:id="27" w:name="_Toc187929397"/>
      <w:r>
        <w:tab/>
        <w:t>[Regulation 10B inserted: SL 2025/16 r. 5.]</w:t>
      </w:r>
    </w:p>
    <w:p>
      <w:pPr>
        <w:pStyle w:val="Heading5"/>
      </w:pPr>
      <w:bookmarkStart w:id="28" w:name="_Toc189556451"/>
      <w:r>
        <w:rPr>
          <w:rStyle w:val="CharSectno"/>
        </w:rPr>
        <w:t>10C</w:t>
      </w:r>
      <w:r>
        <w:t>.</w:t>
      </w:r>
      <w:r>
        <w:tab/>
        <w:t>Information sharing safeguards (Act s. 162I(1))</w:t>
      </w:r>
      <w:bookmarkEnd w:id="26"/>
      <w:bookmarkEnd w:id="27"/>
      <w:bookmarkEnd w:id="28"/>
    </w:p>
    <w:p>
      <w:pPr>
        <w:pStyle w:val="Subsection"/>
      </w:pPr>
      <w:r>
        <w:tab/>
        <w:t>(1)</w:t>
      </w:r>
      <w:r>
        <w:tab/>
        <w:t>For the purposes of section 162I(1), this regulation prescribes information sharing safeguards that —</w:t>
      </w:r>
    </w:p>
    <w:p>
      <w:pPr>
        <w:pStyle w:val="Indenta"/>
      </w:pPr>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p>
    <w:p>
      <w:pPr>
        <w:pStyle w:val="Indenta"/>
      </w:pPr>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p>
    <w:p>
      <w:pPr>
        <w:pStyle w:val="Subsection"/>
      </w:pPr>
      <w:r>
        <w:tab/>
        <w:t>(2)</w:t>
      </w:r>
      <w:r>
        <w:tab/>
        <w:t>Particulars and documents are, and information is, only to be provided, and shared material is only to be stored and used, to the extent —</w:t>
      </w:r>
    </w:p>
    <w:p>
      <w:pPr>
        <w:pStyle w:val="Indenta"/>
      </w:pPr>
      <w:r>
        <w:tab/>
        <w:t>(a)</w:t>
      </w:r>
      <w:r>
        <w:tab/>
        <w:t>that the material relates to a matter mentioned in section 162D(2) or 162E(2); or</w:t>
      </w:r>
    </w:p>
    <w:p>
      <w:pPr>
        <w:pStyle w:val="Indenta"/>
      </w:pPr>
      <w:r>
        <w:tab/>
        <w:t>(b)</w:t>
      </w:r>
      <w:r>
        <w:tab/>
        <w:t>required or authorised by a law of the Commonwealth, State or Territory or a court order (including an order made under section 162D or 162E).</w:t>
      </w:r>
    </w:p>
    <w:p>
      <w:pPr>
        <w:pStyle w:val="Subsection"/>
      </w:pPr>
      <w:r>
        <w:tab/>
        <w:t>(3)</w:t>
      </w:r>
      <w:r>
        <w:tab/>
        <w:t xml:space="preserve">The shared material is to be provided, stored and used in good faith and with reasonable care to protect persons who are involved in, or could be affected by, the provision, storage or </w:t>
      </w:r>
      <w:r>
        <w:lastRenderedPageBreak/>
        <w:t>use of the shared material from physical and psychological harm.</w:t>
      </w:r>
    </w:p>
    <w:p>
      <w:pPr>
        <w:pStyle w:val="Subsection"/>
      </w:pPr>
      <w:r>
        <w:tab/>
        <w:t>(4)</w:t>
      </w:r>
      <w:r>
        <w:tab/>
        <w:t>The shared material is to be provided, stored and used in a manner that prevents improper access to or disclosure of the shared material.</w:t>
      </w:r>
    </w:p>
    <w:p>
      <w:pPr>
        <w:pStyle w:val="Subsection"/>
      </w:pPr>
      <w:r>
        <w:tab/>
        <w:t>(5)</w:t>
      </w:r>
      <w:r>
        <w:tab/>
        <w:t>Reasonable steps are to be taken to prevent the shared material being accessed by or disclosed to a person who poses, or potentially poses, a risk of subjecting or exposing any of the following to abuse, neglect or family violence —</w:t>
      </w:r>
    </w:p>
    <w:p>
      <w:pPr>
        <w:pStyle w:val="Indenta"/>
      </w:pPr>
      <w:r>
        <w:tab/>
        <w:t>(a)</w:t>
      </w:r>
      <w:r>
        <w:tab/>
        <w:t>a party to the proceedings;</w:t>
      </w:r>
    </w:p>
    <w:p>
      <w:pPr>
        <w:pStyle w:val="Indenta"/>
      </w:pPr>
      <w:r>
        <w:tab/>
        <w:t>(b)</w:t>
      </w:r>
      <w:r>
        <w:tab/>
        <w:t>a child to whom the proceedings relate;</w:t>
      </w:r>
    </w:p>
    <w:p>
      <w:pPr>
        <w:pStyle w:val="Indenta"/>
      </w:pPr>
      <w:r>
        <w:tab/>
        <w:t>(c)</w:t>
      </w:r>
      <w:r>
        <w:tab/>
        <w:t>another person to whom the shared material relates.</w:t>
      </w:r>
    </w:p>
    <w:p>
      <w:pPr>
        <w:pStyle w:val="Subsection"/>
      </w:pPr>
      <w:r>
        <w:tab/>
        <w:t>(6)</w:t>
      </w:r>
      <w:r>
        <w:tab/>
        <w:t>Subregulation (5) does not apply if the access or disclosure is in accordance with an order of a court (whether of a kind referred to in section 8(a) or (b) or otherwise).</w:t>
      </w:r>
    </w:p>
    <w:p>
      <w:pPr>
        <w:pStyle w:val="Subsection"/>
      </w:pPr>
      <w:r>
        <w:tab/>
        <w:t>(7)</w:t>
      </w:r>
      <w:r>
        <w:tab/>
        <w:t>The shared material is not to be provided by or used by a person who has a personal relationship with or has any other actual or potential conflict of interest in relation to —</w:t>
      </w:r>
    </w:p>
    <w:p>
      <w:pPr>
        <w:pStyle w:val="Indenta"/>
      </w:pPr>
      <w:r>
        <w:tab/>
        <w:t>(a)</w:t>
      </w:r>
      <w:r>
        <w:tab/>
        <w:t>a party to the proceedings; or</w:t>
      </w:r>
    </w:p>
    <w:p>
      <w:pPr>
        <w:pStyle w:val="Indenta"/>
      </w:pPr>
      <w:r>
        <w:tab/>
        <w:t>(b)</w:t>
      </w:r>
      <w:r>
        <w:tab/>
        <w:t>a child to whom the proceedings relate; or</w:t>
      </w:r>
    </w:p>
    <w:p>
      <w:pPr>
        <w:pStyle w:val="Indenta"/>
      </w:pPr>
      <w:r>
        <w:tab/>
        <w:t>(c)</w:t>
      </w:r>
      <w:r>
        <w:tab/>
        <w:t>another person to whom the shared material relates.</w:t>
      </w:r>
    </w:p>
    <w:p>
      <w:pPr>
        <w:pStyle w:val="Subsection"/>
      </w:pPr>
      <w:r>
        <w:tab/>
        <w:t>(8)</w:t>
      </w:r>
      <w:r>
        <w:tab/>
        <w:t>If the information sharing agency becomes aware that the shared material is incorrect, then as soon as possible —</w:t>
      </w:r>
    </w:p>
    <w:p>
      <w:pPr>
        <w:pStyle w:val="Indenta"/>
      </w:pPr>
      <w:r>
        <w:tab/>
        <w:t>(a)</w:t>
      </w:r>
      <w:r>
        <w:tab/>
        <w:t>the information sharing agency is to notify the court of the correction; and</w:t>
      </w:r>
    </w:p>
    <w:p>
      <w:pPr>
        <w:pStyle w:val="Indenta"/>
      </w:pPr>
      <w:r>
        <w:tab/>
        <w:t>(b)</w:t>
      </w:r>
      <w:r>
        <w:tab/>
        <w:t>subject to subregulation (11), the court is to correct its records accordingly.</w:t>
      </w:r>
    </w:p>
    <w:p>
      <w:pPr>
        <w:pStyle w:val="Subsection"/>
      </w:pPr>
      <w:r>
        <w:tab/>
        <w:t>(9)</w:t>
      </w:r>
      <w:r>
        <w:tab/>
        <w:t xml:space="preserve">If an information sharing agency receives an order under section 162D or 162E relating to a matter and the information sharing agency does not have in its possession or control any documents or information relating to the matter then, subject to </w:t>
      </w:r>
      <w:r>
        <w:lastRenderedPageBreak/>
        <w:t>subregulation (11), the information sharing agency is to destroy or redact its records relating to the order after responding to the order.</w:t>
      </w:r>
    </w:p>
    <w:p>
      <w:pPr>
        <w:pStyle w:val="Subsection"/>
      </w:pPr>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p>
    <w:p>
      <w:pPr>
        <w:pStyle w:val="Subsection"/>
      </w:pPr>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p>
    <w:p>
      <w:pPr>
        <w:pStyle w:val="Footnotesection"/>
      </w:pPr>
      <w:r>
        <w:tab/>
        <w:t>[Regulation 10C inserted: SL 2025/16 r. 5.]</w:t>
      </w:r>
    </w:p>
    <w:p>
      <w:pPr>
        <w:pStyle w:val="Heading5"/>
      </w:pPr>
      <w:bookmarkStart w:id="29" w:name="_Toc189556452"/>
      <w:r>
        <w:rPr>
          <w:rStyle w:val="CharSectno"/>
        </w:rPr>
        <w:t>11</w:t>
      </w:r>
      <w:r>
        <w:t>.</w:t>
      </w:r>
      <w:r>
        <w:tab/>
        <w:t>Registration of court decision (Act s. 176(6))</w:t>
      </w:r>
      <w:bookmarkEnd w:id="29"/>
    </w:p>
    <w:p>
      <w:pPr>
        <w:pStyle w:val="Subsection"/>
      </w:pPr>
      <w:r>
        <w:tab/>
      </w:r>
      <w:r>
        <w:tab/>
        <w:t>Family Law Regulation 12CC is adopted for the purposes of section 176(6).</w:t>
      </w:r>
    </w:p>
    <w:p>
      <w:pPr>
        <w:pStyle w:val="Footnotesection"/>
      </w:pPr>
      <w:r>
        <w:tab/>
        <w:t>[Regulation 11 inserted: Gazette 14 Jul 2006 p. 2562.]</w:t>
      </w:r>
    </w:p>
    <w:p>
      <w:pPr>
        <w:pStyle w:val="Ednotesection"/>
      </w:pPr>
      <w:r>
        <w:t>[</w:t>
      </w:r>
      <w:r>
        <w:rPr>
          <w:b/>
        </w:rPr>
        <w:t>12.</w:t>
      </w:r>
      <w:r>
        <w:tab/>
        <w:t>Deleted: SL 2025/16 r. 6.]</w:t>
      </w:r>
    </w:p>
    <w:p>
      <w:pPr>
        <w:pStyle w:val="Heading5"/>
      </w:pPr>
      <w:bookmarkStart w:id="30" w:name="_Toc189556453"/>
      <w:r>
        <w:rPr>
          <w:rStyle w:val="CharSectno"/>
        </w:rPr>
        <w:t>13</w:t>
      </w:r>
      <w:r>
        <w:t>.</w:t>
      </w:r>
      <w:r>
        <w:tab/>
        <w:t>Third party expenses (Act s. 205ZLK)</w:t>
      </w:r>
      <w:bookmarkEnd w:id="30"/>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31" w:name="_Toc189556454"/>
      <w:r>
        <w:rPr>
          <w:rStyle w:val="CharSectno"/>
        </w:rPr>
        <w:lastRenderedPageBreak/>
        <w:t>14F</w:t>
      </w:r>
      <w:r>
        <w:t>.</w:t>
      </w:r>
      <w:r>
        <w:tab/>
        <w:t>Pensions, allowances, benefits prescribed (Act s. 205T)</w:t>
      </w:r>
      <w:bookmarkEnd w:id="31"/>
    </w:p>
    <w:p>
      <w:pPr>
        <w:pStyle w:val="Subsection"/>
        <w:keepNext/>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32" w:name="_Toc189556455"/>
      <w:r>
        <w:rPr>
          <w:rStyle w:val="CharSectno"/>
        </w:rPr>
        <w:t>15</w:t>
      </w:r>
      <w:r>
        <w:rPr>
          <w:snapToGrid w:val="0"/>
        </w:rPr>
        <w:t>.</w:t>
      </w:r>
      <w:r>
        <w:rPr>
          <w:snapToGrid w:val="0"/>
        </w:rPr>
        <w:tab/>
        <w:t>Parentage testing procedures</w:t>
      </w:r>
      <w:bookmarkEnd w:id="32"/>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33" w:name="_Toc189556456"/>
      <w:r>
        <w:rPr>
          <w:rStyle w:val="CharSectno"/>
        </w:rPr>
        <w:t>16</w:t>
      </w:r>
      <w:r>
        <w:rPr>
          <w:snapToGrid w:val="0"/>
        </w:rPr>
        <w:t>.</w:t>
      </w:r>
      <w:r>
        <w:rPr>
          <w:snapToGrid w:val="0"/>
        </w:rPr>
        <w:tab/>
        <w:t>Parentage testing reports</w:t>
      </w:r>
      <w:bookmarkEnd w:id="33"/>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34" w:name="_Toc189556457"/>
      <w:r>
        <w:rPr>
          <w:rStyle w:val="CharSectno"/>
        </w:rPr>
        <w:t>17</w:t>
      </w:r>
      <w:r>
        <w:rPr>
          <w:snapToGrid w:val="0"/>
        </w:rPr>
        <w:t>.</w:t>
      </w:r>
      <w:r>
        <w:rPr>
          <w:snapToGrid w:val="0"/>
        </w:rPr>
        <w:tab/>
        <w:t>Registration in a court of orders etc. made by another court</w:t>
      </w:r>
      <w:bookmarkEnd w:id="34"/>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lastRenderedPageBreak/>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35" w:name="_Toc187929184"/>
      <w:bookmarkStart w:id="36" w:name="_Toc187929400"/>
      <w:bookmarkStart w:id="37" w:name="_Toc189556458"/>
      <w:r>
        <w:rPr>
          <w:rStyle w:val="CharSectno"/>
        </w:rPr>
        <w:t>17A</w:t>
      </w:r>
      <w:r>
        <w:t>.</w:t>
      </w:r>
      <w:r>
        <w:tab/>
        <w:t>Authorities prescribed (Act s. 236D(2)(c))</w:t>
      </w:r>
      <w:bookmarkEnd w:id="35"/>
      <w:bookmarkEnd w:id="36"/>
      <w:bookmarkEnd w:id="37"/>
    </w:p>
    <w:p>
      <w:pPr>
        <w:pStyle w:val="Subsection"/>
      </w:pPr>
      <w:r>
        <w:tab/>
      </w:r>
      <w:r>
        <w:tab/>
        <w:t>For the purposes of section 236D(2)(c), each of the following authorities of a State or Territory that has responsibilities relating to the welfare of children is prescribed —</w:t>
      </w:r>
    </w:p>
    <w:p>
      <w:pPr>
        <w:pStyle w:val="Indenta"/>
      </w:pPr>
      <w:r>
        <w:tab/>
        <w:t>(a)</w:t>
      </w:r>
      <w:r>
        <w:tab/>
        <w:t>for New South Wales — the Department of Communities and Justice;</w:t>
      </w:r>
    </w:p>
    <w:p>
      <w:pPr>
        <w:pStyle w:val="Indenta"/>
      </w:pPr>
      <w:r>
        <w:tab/>
        <w:t>(b)</w:t>
      </w:r>
      <w:r>
        <w:tab/>
        <w:t>for Victoria — the Department of Families, Fairness and Housing;</w:t>
      </w:r>
    </w:p>
    <w:p>
      <w:pPr>
        <w:pStyle w:val="Indenta"/>
      </w:pPr>
      <w:r>
        <w:tab/>
        <w:t>(c)</w:t>
      </w:r>
      <w:r>
        <w:tab/>
        <w:t>for Queensland — the Department of Families, Seniors, Disability Services and Child Safety;</w:t>
      </w:r>
    </w:p>
    <w:p>
      <w:pPr>
        <w:pStyle w:val="Indenta"/>
      </w:pPr>
      <w:r>
        <w:tab/>
        <w:t>(d)</w:t>
      </w:r>
      <w:r>
        <w:tab/>
        <w:t xml:space="preserve">for Western Australia — the department of the Public Service principally assisting in the administration of the </w:t>
      </w:r>
      <w:r>
        <w:rPr>
          <w:i/>
        </w:rPr>
        <w:t>Children and Community Services Act </w:t>
      </w:r>
      <w:r>
        <w:rPr>
          <w:i/>
          <w:iCs/>
        </w:rPr>
        <w:t>2004</w:t>
      </w:r>
      <w:r>
        <w:t>;</w:t>
      </w:r>
    </w:p>
    <w:p>
      <w:pPr>
        <w:pStyle w:val="Indenta"/>
      </w:pPr>
      <w:r>
        <w:tab/>
        <w:t>(e)</w:t>
      </w:r>
      <w:r>
        <w:tab/>
        <w:t>for South Australia — the Department for Child Protection;</w:t>
      </w:r>
    </w:p>
    <w:p>
      <w:pPr>
        <w:pStyle w:val="Indenta"/>
      </w:pPr>
      <w:r>
        <w:tab/>
        <w:t>(f)</w:t>
      </w:r>
      <w:r>
        <w:tab/>
        <w:t>for Tasmania — the Department for Education, Children and Young People;</w:t>
      </w:r>
    </w:p>
    <w:p>
      <w:pPr>
        <w:pStyle w:val="Indenta"/>
      </w:pPr>
      <w:r>
        <w:tab/>
        <w:t>(g)</w:t>
      </w:r>
      <w:r>
        <w:tab/>
        <w:t>for the Australian Capital Territory — the Community Services Directorate;</w:t>
      </w:r>
    </w:p>
    <w:p>
      <w:pPr>
        <w:pStyle w:val="Indenta"/>
      </w:pPr>
      <w:r>
        <w:tab/>
        <w:t>(h)</w:t>
      </w:r>
      <w:r>
        <w:tab/>
        <w:t>for the Northern Territory — the Department of Territory Families, Housing and Communities.</w:t>
      </w:r>
    </w:p>
    <w:p>
      <w:pPr>
        <w:pStyle w:val="Footnotesection"/>
      </w:pPr>
      <w:r>
        <w:tab/>
        <w:t>[Regulation 17A inserted: SL 2025/16 r. 7.]</w:t>
      </w:r>
    </w:p>
    <w:p>
      <w:pPr>
        <w:pStyle w:val="Heading2"/>
      </w:pPr>
      <w:bookmarkStart w:id="38" w:name="_Toc189554068"/>
      <w:bookmarkStart w:id="39" w:name="_Toc189554845"/>
      <w:bookmarkStart w:id="40" w:name="_Toc189556459"/>
      <w:r>
        <w:rPr>
          <w:rStyle w:val="CharPartNo"/>
        </w:rPr>
        <w:lastRenderedPageBreak/>
        <w:t>Part 3</w:t>
      </w:r>
      <w:r>
        <w:rPr>
          <w:b w:val="0"/>
        </w:rPr>
        <w:t> </w:t>
      </w:r>
      <w:r>
        <w:t>—</w:t>
      </w:r>
      <w:r>
        <w:rPr>
          <w:b w:val="0"/>
        </w:rPr>
        <w:t> </w:t>
      </w:r>
      <w:r>
        <w:rPr>
          <w:rStyle w:val="CharPartText"/>
        </w:rPr>
        <w:t>Court fees</w:t>
      </w:r>
      <w:bookmarkEnd w:id="38"/>
      <w:bookmarkEnd w:id="39"/>
      <w:bookmarkEnd w:id="40"/>
    </w:p>
    <w:p>
      <w:pPr>
        <w:pStyle w:val="Footnoteheading"/>
      </w:pPr>
      <w:r>
        <w:tab/>
        <w:t>[Heading inserted: Gazette 14 Dec 2012 p. 6236.]</w:t>
      </w:r>
    </w:p>
    <w:p>
      <w:pPr>
        <w:pStyle w:val="Heading3"/>
      </w:pPr>
      <w:bookmarkStart w:id="41" w:name="_Toc189554069"/>
      <w:bookmarkStart w:id="42" w:name="_Toc189554846"/>
      <w:bookmarkStart w:id="43" w:name="_Toc189556460"/>
      <w:r>
        <w:rPr>
          <w:rStyle w:val="CharDivNo"/>
        </w:rPr>
        <w:t>Division 1</w:t>
      </w:r>
      <w:r>
        <w:t> — </w:t>
      </w:r>
      <w:r>
        <w:rPr>
          <w:rStyle w:val="CharDivText"/>
        </w:rPr>
        <w:t>Preliminary</w:t>
      </w:r>
      <w:bookmarkEnd w:id="41"/>
      <w:bookmarkEnd w:id="42"/>
      <w:bookmarkEnd w:id="43"/>
    </w:p>
    <w:p>
      <w:pPr>
        <w:pStyle w:val="Footnoteheading"/>
      </w:pPr>
      <w:r>
        <w:tab/>
        <w:t>[Heading inserted: Gazette 14 Dec 2012 p. 6236.]</w:t>
      </w:r>
    </w:p>
    <w:p>
      <w:pPr>
        <w:pStyle w:val="Heading5"/>
      </w:pPr>
      <w:bookmarkStart w:id="44" w:name="_Toc189556461"/>
      <w:r>
        <w:rPr>
          <w:rStyle w:val="CharSectno"/>
        </w:rPr>
        <w:t>18</w:t>
      </w:r>
      <w:r>
        <w:t>.</w:t>
      </w:r>
      <w:r>
        <w:tab/>
        <w:t>Terms used</w:t>
      </w:r>
      <w:bookmarkEnd w:id="4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45" w:name="_Toc189554071"/>
      <w:bookmarkStart w:id="46" w:name="_Toc189554848"/>
      <w:bookmarkStart w:id="47" w:name="_Toc189556462"/>
      <w:r>
        <w:rPr>
          <w:rStyle w:val="CharDivNo"/>
        </w:rPr>
        <w:t>Division 2</w:t>
      </w:r>
      <w:r>
        <w:t> — </w:t>
      </w:r>
      <w:r>
        <w:rPr>
          <w:rStyle w:val="CharDivText"/>
        </w:rPr>
        <w:t>Fees — general</w:t>
      </w:r>
      <w:bookmarkEnd w:id="45"/>
      <w:bookmarkEnd w:id="46"/>
      <w:bookmarkEnd w:id="47"/>
    </w:p>
    <w:p>
      <w:pPr>
        <w:pStyle w:val="Footnoteheading"/>
      </w:pPr>
      <w:r>
        <w:tab/>
        <w:t>[Heading inserted: Gazette 14 Dec 2012 p. 6237.]</w:t>
      </w:r>
    </w:p>
    <w:p>
      <w:pPr>
        <w:pStyle w:val="Heading5"/>
      </w:pPr>
      <w:bookmarkStart w:id="48" w:name="_Toc189556463"/>
      <w:r>
        <w:rPr>
          <w:rStyle w:val="CharSectno"/>
        </w:rPr>
        <w:t>19</w:t>
      </w:r>
      <w:r>
        <w:t>.</w:t>
      </w:r>
      <w:r>
        <w:tab/>
        <w:t>Fees (Sch. 1)</w:t>
      </w:r>
      <w:bookmarkEnd w:id="48"/>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49" w:name="_Toc189554073"/>
      <w:bookmarkStart w:id="50" w:name="_Toc189554850"/>
      <w:bookmarkStart w:id="51" w:name="_Toc189556464"/>
      <w:r>
        <w:rPr>
          <w:rStyle w:val="CharDivNo"/>
        </w:rPr>
        <w:t>Division 3</w:t>
      </w:r>
      <w:r>
        <w:t> — </w:t>
      </w:r>
      <w:r>
        <w:rPr>
          <w:rStyle w:val="CharDivText"/>
        </w:rPr>
        <w:t>Liability to pay fee</w:t>
      </w:r>
      <w:bookmarkEnd w:id="49"/>
      <w:bookmarkEnd w:id="50"/>
      <w:bookmarkEnd w:id="51"/>
    </w:p>
    <w:p>
      <w:pPr>
        <w:pStyle w:val="Footnoteheading"/>
      </w:pPr>
      <w:r>
        <w:tab/>
        <w:t>[Heading inserted: Gazette 14 Dec 2012 p. 6238.]</w:t>
      </w:r>
    </w:p>
    <w:p>
      <w:pPr>
        <w:pStyle w:val="Heading5"/>
      </w:pPr>
      <w:bookmarkStart w:id="52" w:name="_Toc189556465"/>
      <w:r>
        <w:rPr>
          <w:rStyle w:val="CharSectno"/>
        </w:rPr>
        <w:t>20</w:t>
      </w:r>
      <w:r>
        <w:t>.</w:t>
      </w:r>
      <w:r>
        <w:tab/>
        <w:t>Persons liable to pay fee</w:t>
      </w:r>
      <w:bookmarkEnd w:id="52"/>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53" w:name="_Toc189554075"/>
      <w:bookmarkStart w:id="54" w:name="_Toc189554852"/>
      <w:bookmarkStart w:id="55" w:name="_Toc189556466"/>
      <w:r>
        <w:rPr>
          <w:rStyle w:val="CharDivNo"/>
        </w:rPr>
        <w:lastRenderedPageBreak/>
        <w:t>Division 4</w:t>
      </w:r>
      <w:r>
        <w:t> — </w:t>
      </w:r>
      <w:r>
        <w:rPr>
          <w:rStyle w:val="CharDivText"/>
        </w:rPr>
        <w:t>Exemptions from liability to pay fee</w:t>
      </w:r>
      <w:bookmarkEnd w:id="53"/>
      <w:bookmarkEnd w:id="54"/>
      <w:bookmarkEnd w:id="55"/>
    </w:p>
    <w:p>
      <w:pPr>
        <w:pStyle w:val="Footnoteheading"/>
        <w:keepNext/>
        <w:keepLines/>
      </w:pPr>
      <w:r>
        <w:tab/>
        <w:t>[Heading inserted: Gazette 14 Dec 2012 p. 6239.]</w:t>
      </w:r>
    </w:p>
    <w:p>
      <w:pPr>
        <w:pStyle w:val="Heading5"/>
      </w:pPr>
      <w:bookmarkStart w:id="56" w:name="_Toc189556467"/>
      <w:r>
        <w:rPr>
          <w:rStyle w:val="CharSectno"/>
        </w:rPr>
        <w:t>21A</w:t>
      </w:r>
      <w:r>
        <w:t>.</w:t>
      </w:r>
      <w:r>
        <w:tab/>
        <w:t>Persons exempt from paying fee: general</w:t>
      </w:r>
      <w:bookmarkEnd w:id="56"/>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57" w:name="_Toc189556468"/>
      <w:r>
        <w:rPr>
          <w:rStyle w:val="CharSectno"/>
        </w:rPr>
        <w:t>21B</w:t>
      </w:r>
      <w:r>
        <w:t>.</w:t>
      </w:r>
      <w:r>
        <w:tab/>
        <w:t>Persons exempt from paying fee: financial hardship</w:t>
      </w:r>
      <w:bookmarkEnd w:id="57"/>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58" w:name="_Toc189554078"/>
      <w:bookmarkStart w:id="59" w:name="_Toc189554855"/>
      <w:bookmarkStart w:id="60" w:name="_Toc189556469"/>
      <w:r>
        <w:rPr>
          <w:rStyle w:val="CharDivNo"/>
        </w:rPr>
        <w:t>Division 5</w:t>
      </w:r>
      <w:r>
        <w:t> — </w:t>
      </w:r>
      <w:r>
        <w:rPr>
          <w:rStyle w:val="CharDivText"/>
        </w:rPr>
        <w:t>When fee is not payable</w:t>
      </w:r>
      <w:bookmarkEnd w:id="58"/>
      <w:bookmarkEnd w:id="59"/>
      <w:bookmarkEnd w:id="60"/>
    </w:p>
    <w:p>
      <w:pPr>
        <w:pStyle w:val="Footnoteheading"/>
      </w:pPr>
      <w:r>
        <w:tab/>
        <w:t>[Heading inserted: Gazette 14 Dec 2012 p. 6241.]</w:t>
      </w:r>
    </w:p>
    <w:p>
      <w:pPr>
        <w:pStyle w:val="Heading5"/>
      </w:pPr>
      <w:bookmarkStart w:id="61" w:name="_Toc189556470"/>
      <w:r>
        <w:rPr>
          <w:rStyle w:val="CharSectno"/>
        </w:rPr>
        <w:t>21C</w:t>
      </w:r>
      <w:r>
        <w:t>.</w:t>
      </w:r>
      <w:r>
        <w:tab/>
        <w:t>Fee not payable by liable person if already paid</w:t>
      </w:r>
      <w:bookmarkEnd w:id="61"/>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62" w:name="_Toc189556471"/>
      <w:r>
        <w:rPr>
          <w:rStyle w:val="CharSectno"/>
        </w:rPr>
        <w:lastRenderedPageBreak/>
        <w:t>21D</w:t>
      </w:r>
      <w:r>
        <w:t>.</w:t>
      </w:r>
      <w:r>
        <w:tab/>
        <w:t>Proceedings in which fee not payable</w:t>
      </w:r>
      <w:bookmarkEnd w:id="62"/>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lastRenderedPageBreak/>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63" w:name="_Toc189554081"/>
      <w:bookmarkStart w:id="64" w:name="_Toc189554858"/>
      <w:bookmarkStart w:id="65" w:name="_Toc189556472"/>
      <w:r>
        <w:rPr>
          <w:rStyle w:val="CharDivNo"/>
        </w:rPr>
        <w:t>Division 6</w:t>
      </w:r>
      <w:r>
        <w:t> — </w:t>
      </w:r>
      <w:r>
        <w:rPr>
          <w:rStyle w:val="CharDivText"/>
        </w:rPr>
        <w:t>Payment of fees</w:t>
      </w:r>
      <w:bookmarkEnd w:id="63"/>
      <w:bookmarkEnd w:id="64"/>
      <w:bookmarkEnd w:id="65"/>
    </w:p>
    <w:p>
      <w:pPr>
        <w:pStyle w:val="Footnoteheading"/>
      </w:pPr>
      <w:r>
        <w:tab/>
        <w:t>[Heading inserted: Gazette 14 Dec 2012 p. 6242.]</w:t>
      </w:r>
    </w:p>
    <w:p>
      <w:pPr>
        <w:pStyle w:val="Heading5"/>
      </w:pPr>
      <w:bookmarkStart w:id="66" w:name="_Toc189556473"/>
      <w:r>
        <w:rPr>
          <w:rStyle w:val="CharSectno"/>
        </w:rPr>
        <w:t>21E</w:t>
      </w:r>
      <w:r>
        <w:t>.</w:t>
      </w:r>
      <w:r>
        <w:tab/>
        <w:t>When fee must be paid</w:t>
      </w:r>
      <w:bookmarkEnd w:id="66"/>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lastRenderedPageBreak/>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67" w:name="_Toc189556474"/>
      <w:r>
        <w:rPr>
          <w:rStyle w:val="CharSectno"/>
        </w:rPr>
        <w:t>21F</w:t>
      </w:r>
      <w:r>
        <w:t>.</w:t>
      </w:r>
      <w:r>
        <w:tab/>
        <w:t>Deferral of payment of fees</w:t>
      </w:r>
      <w:bookmarkEnd w:id="67"/>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lastRenderedPageBreak/>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68" w:name="_Toc189556475"/>
      <w:r>
        <w:rPr>
          <w:rStyle w:val="CharSectno"/>
        </w:rPr>
        <w:t>21G</w:t>
      </w:r>
      <w:r>
        <w:t>.</w:t>
      </w:r>
      <w:r>
        <w:tab/>
        <w:t>What happens if fee not paid</w:t>
      </w:r>
      <w:bookmarkEnd w:id="68"/>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69" w:name="_Toc189554085"/>
      <w:bookmarkStart w:id="70" w:name="_Toc189554862"/>
      <w:bookmarkStart w:id="71" w:name="_Toc189556476"/>
      <w:r>
        <w:rPr>
          <w:rStyle w:val="CharDivNo"/>
        </w:rPr>
        <w:lastRenderedPageBreak/>
        <w:t>Division 7</w:t>
      </w:r>
      <w:r>
        <w:t> — </w:t>
      </w:r>
      <w:r>
        <w:rPr>
          <w:rStyle w:val="CharDivText"/>
        </w:rPr>
        <w:t>Miscellaneous</w:t>
      </w:r>
      <w:bookmarkEnd w:id="69"/>
      <w:bookmarkEnd w:id="70"/>
      <w:bookmarkEnd w:id="71"/>
    </w:p>
    <w:p>
      <w:pPr>
        <w:pStyle w:val="Footnoteheading"/>
      </w:pPr>
      <w:r>
        <w:tab/>
        <w:t>[Heading inserted: Gazette 14 Dec 2012 p. 6245.]</w:t>
      </w:r>
    </w:p>
    <w:p>
      <w:pPr>
        <w:pStyle w:val="Heading5"/>
      </w:pPr>
      <w:bookmarkStart w:id="72" w:name="_Toc189556477"/>
      <w:r>
        <w:rPr>
          <w:rStyle w:val="CharSectno"/>
        </w:rPr>
        <w:t>21H</w:t>
      </w:r>
      <w:r>
        <w:t>.</w:t>
      </w:r>
      <w:r>
        <w:tab/>
        <w:t>Refund of fee</w:t>
      </w:r>
      <w:bookmarkEnd w:id="72"/>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73" w:name="_Toc189556478"/>
      <w:r>
        <w:rPr>
          <w:rStyle w:val="CharSectno"/>
        </w:rPr>
        <w:t>21J</w:t>
      </w:r>
      <w:r>
        <w:t>.</w:t>
      </w:r>
      <w:r>
        <w:tab/>
        <w:t>Recovery of fees due</w:t>
      </w:r>
      <w:bookmarkEnd w:id="7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74" w:name="_Toc189554088"/>
      <w:bookmarkStart w:id="75" w:name="_Toc189554865"/>
      <w:bookmarkStart w:id="76" w:name="_Toc189556479"/>
      <w:r>
        <w:rPr>
          <w:rStyle w:val="CharPartNo"/>
        </w:rPr>
        <w:lastRenderedPageBreak/>
        <w:t>Part 4</w:t>
      </w:r>
      <w:r>
        <w:rPr>
          <w:rStyle w:val="CharDivNo"/>
        </w:rPr>
        <w:t> </w:t>
      </w:r>
      <w:r>
        <w:t>—</w:t>
      </w:r>
      <w:r>
        <w:rPr>
          <w:rStyle w:val="CharDivText"/>
        </w:rPr>
        <w:t> </w:t>
      </w:r>
      <w:r>
        <w:rPr>
          <w:rStyle w:val="CharPartText"/>
        </w:rPr>
        <w:t>Review</w:t>
      </w:r>
      <w:bookmarkEnd w:id="74"/>
      <w:bookmarkEnd w:id="75"/>
      <w:bookmarkEnd w:id="76"/>
    </w:p>
    <w:p>
      <w:pPr>
        <w:pStyle w:val="Footnoteheading"/>
      </w:pPr>
      <w:r>
        <w:tab/>
        <w:t>[Heading inserted: Gazette 13 May 2011 p. 1746.]</w:t>
      </w:r>
    </w:p>
    <w:p>
      <w:pPr>
        <w:pStyle w:val="Heading5"/>
      </w:pPr>
      <w:bookmarkStart w:id="77" w:name="_Toc189556480"/>
      <w:r>
        <w:rPr>
          <w:rStyle w:val="CharSectno"/>
        </w:rPr>
        <w:t>21</w:t>
      </w:r>
      <w:r>
        <w:t>.</w:t>
      </w:r>
      <w:r>
        <w:tab/>
        <w:t>Review of decisions under these regulations</w:t>
      </w:r>
      <w:bookmarkEnd w:id="77"/>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78" w:name="_Toc189554090"/>
      <w:bookmarkStart w:id="79" w:name="_Toc189554867"/>
      <w:bookmarkStart w:id="80" w:name="_Toc189556481"/>
      <w:r>
        <w:rPr>
          <w:rStyle w:val="CharPartNo"/>
        </w:rPr>
        <w:lastRenderedPageBreak/>
        <w:t>Part 5</w:t>
      </w:r>
      <w:r>
        <w:rPr>
          <w:rStyle w:val="CharDivNo"/>
        </w:rPr>
        <w:t> </w:t>
      </w:r>
      <w:r>
        <w:t>—</w:t>
      </w:r>
      <w:r>
        <w:rPr>
          <w:rStyle w:val="CharDivText"/>
        </w:rPr>
        <w:t> </w:t>
      </w:r>
      <w:r>
        <w:rPr>
          <w:rStyle w:val="CharPartText"/>
        </w:rPr>
        <w:t>Transitional provisions</w:t>
      </w:r>
      <w:bookmarkEnd w:id="78"/>
      <w:bookmarkEnd w:id="79"/>
      <w:bookmarkEnd w:id="80"/>
    </w:p>
    <w:p>
      <w:pPr>
        <w:pStyle w:val="Footnoteheading"/>
      </w:pPr>
      <w:r>
        <w:tab/>
        <w:t>[Heading inserted: Gazette 13 May 2011 p. 1746.]</w:t>
      </w:r>
    </w:p>
    <w:p>
      <w:pPr>
        <w:pStyle w:val="Heading5"/>
      </w:pPr>
      <w:bookmarkStart w:id="81" w:name="_Toc189556482"/>
      <w:r>
        <w:rPr>
          <w:rStyle w:val="CharSectno"/>
        </w:rPr>
        <w:t>22A</w:t>
      </w:r>
      <w:r>
        <w:t>.</w:t>
      </w:r>
      <w:r>
        <w:tab/>
        <w:t>Terms used</w:t>
      </w:r>
      <w:bookmarkEnd w:id="81"/>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82" w:name="_Toc189556483"/>
      <w:r>
        <w:rPr>
          <w:rStyle w:val="CharSectno"/>
        </w:rPr>
        <w:t>22</w:t>
      </w:r>
      <w:r>
        <w:t>.</w:t>
      </w:r>
      <w:r>
        <w:tab/>
        <w:t xml:space="preserve">Transitional provisions relating to </w:t>
      </w:r>
      <w:r>
        <w:rPr>
          <w:i/>
        </w:rPr>
        <w:t>Family Court Amendment Regulations 2011</w:t>
      </w:r>
      <w:bookmarkEnd w:id="82"/>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83" w:name="_Toc189556484"/>
      <w:r>
        <w:rPr>
          <w:rStyle w:val="CharSectno"/>
        </w:rPr>
        <w:lastRenderedPageBreak/>
        <w:t>23</w:t>
      </w:r>
      <w:r>
        <w:t>.</w:t>
      </w:r>
      <w:r>
        <w:tab/>
        <w:t xml:space="preserve">Transitional provisions relating to </w:t>
      </w:r>
      <w:r>
        <w:rPr>
          <w:i/>
        </w:rPr>
        <w:t>Family Court Amendment Regulations 2012</w:t>
      </w:r>
      <w:bookmarkEnd w:id="83"/>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84" w:name="_Toc189556485"/>
      <w:r>
        <w:rPr>
          <w:rStyle w:val="CharSectno"/>
        </w:rPr>
        <w:t>24</w:t>
      </w:r>
      <w:r>
        <w:rPr>
          <w:rStyle w:val="CharSClsNo"/>
        </w:rPr>
        <w:t>.</w:t>
      </w:r>
      <w:r>
        <w:rPr>
          <w:rStyle w:val="CharSClsNo"/>
        </w:rPr>
        <w:tab/>
        <w:t xml:space="preserve">Transitional provisions relating to </w:t>
      </w:r>
      <w:r>
        <w:rPr>
          <w:i/>
        </w:rPr>
        <w:t>Family Court Amendment Regulations (No. 3) 2015</w:t>
      </w:r>
      <w:bookmarkEnd w:id="84"/>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5" w:name="_Toc189554095"/>
      <w:bookmarkStart w:id="86" w:name="_Toc189554872"/>
      <w:bookmarkStart w:id="87" w:name="_Toc189556486"/>
      <w:r>
        <w:rPr>
          <w:rStyle w:val="CharSchNo"/>
        </w:rPr>
        <w:lastRenderedPageBreak/>
        <w:t>Schedule 1</w:t>
      </w:r>
      <w:r>
        <w:t> — </w:t>
      </w:r>
      <w:r>
        <w:rPr>
          <w:rStyle w:val="CharSchText"/>
        </w:rPr>
        <w:t>Fees</w:t>
      </w:r>
      <w:bookmarkEnd w:id="85"/>
      <w:bookmarkEnd w:id="86"/>
      <w:bookmarkEnd w:id="87"/>
    </w:p>
    <w:p>
      <w:pPr>
        <w:pStyle w:val="yShoulderClause"/>
      </w:pPr>
      <w:r>
        <w:t>[Pt. 3]</w:t>
      </w:r>
    </w:p>
    <w:p>
      <w:pPr>
        <w:pStyle w:val="yFootnoteheading"/>
        <w:spacing w:after="60"/>
      </w:pPr>
      <w:r>
        <w:tab/>
        <w:t>[Heading inserted: SL 2024/140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$425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$425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$145</w:t>
            </w:r>
          </w:p>
        </w:tc>
      </w:tr>
      <w:tr>
        <w:trPr>
          <w:cantSplit/>
        </w:trPr>
        <w:tc>
          <w:tcPr>
            <w:tcW w:w="713" w:type="dxa"/>
            <w:noWrap/>
          </w:tcPr>
          <w:p>
            <w:pPr>
              <w:pStyle w:val="yTableNAm"/>
            </w:pPr>
            <w:r>
              <w:lastRenderedPageBreak/>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$695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$480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$1 665</w:t>
            </w:r>
          </w:p>
        </w:tc>
      </w:tr>
    </w:tbl>
    <w:p>
      <w:pPr>
        <w:pStyle w:val="yFootnotesection"/>
      </w:pPr>
      <w:r>
        <w:tab/>
        <w:t>[Schedule 1 inserted: SL 2024/140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89" w:name="_Toc189554096"/>
      <w:bookmarkStart w:id="90" w:name="_Toc189554873"/>
      <w:bookmarkStart w:id="91" w:name="_Toc189556487"/>
      <w:r>
        <w:lastRenderedPageBreak/>
        <w:t>Notes</w:t>
      </w:r>
      <w:bookmarkEnd w:id="89"/>
      <w:bookmarkEnd w:id="90"/>
      <w:bookmarkEnd w:id="91"/>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92" w:name="_Toc189556488"/>
      <w:r>
        <w:t>Compilation table</w:t>
      </w:r>
      <w:bookmarkEnd w:id="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8" w:type="dxa"/>
            <w:tcBorders>
              <w:top w:val="nil"/>
              <w:bottom w:val="nil"/>
            </w:tcBorders>
            <w:shd w:val="clear" w:color="auto" w:fill="auto"/>
          </w:tcPr>
          <w:p>
            <w:pPr>
              <w:pStyle w:val="nTable"/>
              <w:spacing w:after="40"/>
              <w:rPr>
                <w:i/>
              </w:rPr>
            </w:pPr>
            <w:r>
              <w:rPr>
                <w:i/>
              </w:rPr>
              <w:lastRenderedPageBreak/>
              <w:t>Family Court Amendment Regulations 2024</w:t>
            </w:r>
          </w:p>
        </w:tc>
        <w:tc>
          <w:tcPr>
            <w:tcW w:w="1276" w:type="dxa"/>
            <w:tcBorders>
              <w:top w:val="nil"/>
              <w:bottom w:val="nil"/>
            </w:tcBorders>
            <w:shd w:val="clear" w:color="auto" w:fill="auto"/>
          </w:tcPr>
          <w:p>
            <w:pPr>
              <w:pStyle w:val="nTable"/>
              <w:spacing w:after="40"/>
            </w:pPr>
            <w:r>
              <w:t>SL 2024/140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Cs/>
              </w:rPr>
            </w:pPr>
            <w:r>
              <w:rPr>
                <w:i/>
              </w:rPr>
              <w:t>Family Court Amendment Regulations 2025</w:t>
            </w:r>
          </w:p>
        </w:tc>
        <w:tc>
          <w:tcPr>
            <w:tcW w:w="1276" w:type="dxa"/>
            <w:tcBorders>
              <w:bottom w:val="single" w:sz="8" w:space="0" w:color="auto"/>
            </w:tcBorders>
            <w:shd w:val="clear" w:color="auto" w:fill="auto"/>
          </w:tcPr>
          <w:p>
            <w:pPr>
              <w:pStyle w:val="nTable"/>
              <w:spacing w:after="40"/>
            </w:pPr>
            <w:r>
              <w:t>SL 2025/16 22 Jan 2025</w:t>
            </w:r>
          </w:p>
        </w:tc>
        <w:tc>
          <w:tcPr>
            <w:tcW w:w="2693" w:type="dxa"/>
            <w:tcBorders>
              <w:bottom w:val="single" w:sz="8" w:space="0" w:color="auto"/>
            </w:tcBorders>
            <w:shd w:val="clear" w:color="auto" w:fill="auto"/>
          </w:tcPr>
          <w:p>
            <w:pPr>
              <w:pStyle w:val="nTable"/>
              <w:spacing w:after="40"/>
            </w:pPr>
            <w:r>
              <w:t>r. 1 and 2: 22 Jan 2025 (see r. 2(a));</w:t>
            </w:r>
            <w:r>
              <w:br/>
              <w:t>Regulations other than r. 1 and 2: 10 Feb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4" w:name="_Toc189556489"/>
      <w:r>
        <w:rPr>
          <w:sz w:val="28"/>
        </w:rPr>
        <w:lastRenderedPageBreak/>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Pr>
        <w:pStyle w:val="DefinedTerms"/>
      </w:pPr>
      <w:r>
        <w:t>shared material</w:t>
      </w:r>
      <w:r>
        <w:tab/>
        <w:t>10C(1)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9824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2C1DC8" w14:textId="266D6311" w:rsidR="00CC3593" w:rsidRDefault="00E857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74DA">
                        <w:rPr>
                          <w:sz w:val="16"/>
                        </w:rPr>
                        <w:t>2025</w:t>
                      </w:r>
                      <w:r>
                        <w:rPr>
                          <w:sz w:val="16"/>
                        </w:rPr>
                        <w:fldChar w:fldCharType="end"/>
                      </w:r>
                      <w:r>
                        <w:rPr>
                          <w:sz w:val="16"/>
                        </w:rPr>
                        <w:t>.</w:t>
                      </w:r>
                    </w:p>
                    <w:p w14:paraId="357F344F" w14:textId="77777777" w:rsidR="00CC3593" w:rsidRDefault="00E857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068C72" w14:textId="224793DB" w:rsidR="00CC3593" w:rsidRDefault="00E857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74DA">
                        <w:rPr>
                          <w:sz w:val="16"/>
                        </w:rPr>
                        <w:t>2025</w:t>
                      </w:r>
                      <w:r>
                        <w:rPr>
                          <w:sz w:val="16"/>
                        </w:rPr>
                        <w:fldChar w:fldCharType="end"/>
                      </w:r>
                      <w:r>
                        <w:rPr>
                          <w:sz w:val="16"/>
                        </w:rPr>
                        <w:t>.</w:t>
                      </w:r>
                    </w:p>
                    <w:p w14:paraId="5246D1C5" w14:textId="77777777" w:rsidR="00CC3593" w:rsidRDefault="00E857F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093144"/>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 w:name="WAFER_20250204093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3126_GUID" w:val="d9ffccbd-188b-43aa-bad7-63e475657bbd"/>
    <w:docVar w:name="WAFER_2025020409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4093144_GUID" w:val="46621b9e-f805-402c-959f-7f6de1e441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7477</Words>
  <Characters>35520</Characters>
  <Application>Microsoft Office Word</Application>
  <DocSecurity>0</DocSecurity>
  <Lines>1110</Lines>
  <Paragraphs>716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42281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1998 - 03-l0-00</dc:title>
  <dc:subject/>
  <dc:creator/>
  <cp:keywords/>
  <dc:description/>
  <cp:lastModifiedBy>Master Repository Process</cp:lastModifiedBy>
  <cp:revision>4</cp:revision>
  <cp:lastPrinted>2016-01-19T02:54:00Z</cp:lastPrinted>
  <dcterms:created xsi:type="dcterms:W3CDTF">2025-06-20T05:37:00Z</dcterms:created>
  <dcterms:modified xsi:type="dcterms:W3CDTF">2025-06-20T05:37:00Z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20250210</vt:lpwstr>
  </property>
  <property fmtid="{D5CDD505-2E9C-101B-9397-08002B2CF9AE}" pid="8" name="CommencementAsAt">
    <vt:filetime>2025-02-09T16:00:00Z</vt:filetime>
  </property>
  <property fmtid="{D5CDD505-2E9C-101B-9397-08002B2CF9AE}" pid="9" name="CommencementYear">
    <vt:lpwstr>2025</vt:lpwstr>
  </property>
  <property fmtid="{D5CDD505-2E9C-101B-9397-08002B2CF9AE}" pid="10" name="AsAtDate">
    <vt:lpwstr>10 Feb 2025</vt:lpwstr>
  </property>
  <property fmtid="{D5CDD505-2E9C-101B-9397-08002B2CF9AE}" pid="11" name="Suffix">
    <vt:lpwstr>03-l0-00</vt:lpwstr>
  </property>
  <property fmtid="{D5CDD505-2E9C-101B-9397-08002B2CF9AE}" pid="12" name="Official">
    <vt:lpwstr/>
  </property>
</Properties>
</file>