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_Toc191041882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_Toc191041883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_Toc191041884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_Toc191041886 \h </w:instrText>
      </w:r>
      <w:r>
        <w:fldChar w:fldCharType="separate"/>
      </w:r>
      <w:r>
        <w:t>9</w:t>
      </w:r>
      <w:r>
        <w:fldChar w:fldCharType="end"/>
      </w:r>
    </w:p>
    <w:p>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_Toc191041887 \h </w:instrText>
      </w:r>
      <w:r>
        <w:fldChar w:fldCharType="separate"/>
      </w:r>
      <w:r>
        <w:t>9</w:t>
      </w:r>
      <w:r>
        <w:fldChar w:fldCharType="end"/>
      </w:r>
    </w:p>
    <w:p>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_Toc191041888 \h </w:instrText>
      </w:r>
      <w:r>
        <w:fldChar w:fldCharType="separate"/>
      </w:r>
      <w:r>
        <w:t>10</w:t>
      </w:r>
      <w:r>
        <w:fldChar w:fldCharType="end"/>
      </w:r>
    </w:p>
    <w:p>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_Toc191041889 \h </w:instrText>
      </w:r>
      <w:r>
        <w:fldChar w:fldCharType="separate"/>
      </w:r>
      <w:r>
        <w:t>11</w:t>
      </w:r>
      <w:r>
        <w:fldChar w:fldCharType="end"/>
      </w:r>
    </w:p>
    <w:p>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_Toc191041890 \h </w:instrText>
      </w:r>
      <w:r>
        <w:fldChar w:fldCharType="separate"/>
      </w:r>
      <w:r>
        <w:t>11</w:t>
      </w:r>
      <w:r>
        <w:fldChar w:fldCharType="end"/>
      </w:r>
    </w:p>
    <w:p>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_Toc191041891 \h </w:instrText>
      </w:r>
      <w:r>
        <w:fldChar w:fldCharType="separate"/>
      </w:r>
      <w:r>
        <w:t>11</w:t>
      </w:r>
      <w:r>
        <w:fldChar w:fldCharType="end"/>
      </w:r>
    </w:p>
    <w:p>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_Toc191041892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_Toc191041895 \h </w:instrText>
      </w:r>
      <w:r>
        <w:fldChar w:fldCharType="separate"/>
      </w:r>
      <w:r>
        <w:t>14</w:t>
      </w:r>
      <w:r>
        <w:fldChar w:fldCharType="end"/>
      </w:r>
    </w:p>
    <w:p>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_Toc191041896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_Toc191041898 \h </w:instrText>
      </w:r>
      <w:r>
        <w:fldChar w:fldCharType="separate"/>
      </w:r>
      <w:r>
        <w:t>15</w:t>
      </w:r>
      <w:r>
        <w:fldChar w:fldCharType="end"/>
      </w:r>
    </w:p>
    <w:p>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_Toc191041899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_Toc191041900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_Toc191041903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_Toc191041904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_Toc191041906 \h </w:instrText>
      </w:r>
      <w:r>
        <w:fldChar w:fldCharType="separate"/>
      </w:r>
      <w:r>
        <w:t>18</w:t>
      </w:r>
      <w:r>
        <w:fldChar w:fldCharType="end"/>
      </w:r>
    </w:p>
    <w:p>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_Toc191041907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_Toc191041909 \h </w:instrText>
      </w:r>
      <w:r>
        <w:fldChar w:fldCharType="separate"/>
      </w:r>
      <w:r>
        <w:t>19</w:t>
      </w:r>
      <w:r>
        <w:fldChar w:fldCharType="end"/>
      </w:r>
    </w:p>
    <w:p>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_Toc191041910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_Toc191041912 \h </w:instrText>
      </w:r>
      <w:r>
        <w:fldChar w:fldCharType="separate"/>
      </w:r>
      <w:r>
        <w:t>21</w:t>
      </w:r>
      <w:r>
        <w:fldChar w:fldCharType="end"/>
      </w:r>
    </w:p>
    <w:p>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_Toc191041913 \h </w:instrText>
      </w:r>
      <w:r>
        <w:fldChar w:fldCharType="separate"/>
      </w:r>
      <w:r>
        <w:t>22</w:t>
      </w:r>
      <w:r>
        <w:fldChar w:fldCharType="end"/>
      </w:r>
    </w:p>
    <w:p>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_Toc191041914 \h </w:instrText>
      </w:r>
      <w:r>
        <w:fldChar w:fldCharType="separate"/>
      </w:r>
      <w:r>
        <w:t>22</w:t>
      </w:r>
      <w:r>
        <w:fldChar w:fldCharType="end"/>
      </w:r>
    </w:p>
    <w:p>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_Toc191041915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_Toc191041917 \h </w:instrText>
      </w:r>
      <w:r>
        <w:fldChar w:fldCharType="separate"/>
      </w:r>
      <w:r>
        <w:t>24</w:t>
      </w:r>
      <w:r>
        <w:fldChar w:fldCharType="end"/>
      </w:r>
    </w:p>
    <w:p>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_Toc191041918 \h </w:instrText>
      </w:r>
      <w:r>
        <w:fldChar w:fldCharType="separate"/>
      </w:r>
      <w:r>
        <w:t>25</w:t>
      </w:r>
      <w:r>
        <w:fldChar w:fldCharType="end"/>
      </w:r>
    </w:p>
    <w:p>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_Toc191041919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_Toc191041921 \h </w:instrText>
      </w:r>
      <w:r>
        <w:fldChar w:fldCharType="separate"/>
      </w:r>
      <w:r>
        <w:t>27</w:t>
      </w:r>
      <w:r>
        <w:fldChar w:fldCharType="end"/>
      </w:r>
    </w:p>
    <w:p>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_Toc191041922 \h </w:instrText>
      </w:r>
      <w:r>
        <w:fldChar w:fldCharType="separate"/>
      </w:r>
      <w:r>
        <w:t>28</w:t>
      </w:r>
      <w:r>
        <w:fldChar w:fldCharType="end"/>
      </w:r>
    </w:p>
    <w:p>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_Toc191041923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_Toc191041925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_Toc191041927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34.</w:t>
      </w:r>
      <w:r>
        <w:tab/>
        <w:t>Offence of contravening safety standard</w:t>
      </w:r>
      <w:r>
        <w:tab/>
      </w:r>
      <w:r>
        <w:fldChar w:fldCharType="begin"/>
      </w:r>
      <w:r>
        <w:instrText xml:space="preserve"> PAGEREF _Toc191041928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_Toc191041930 \h </w:instrText>
      </w:r>
      <w:r>
        <w:fldChar w:fldCharType="separate"/>
      </w:r>
      <w:r>
        <w:t>32</w:t>
      </w:r>
      <w:r>
        <w:fldChar w:fldCharType="end"/>
      </w:r>
    </w:p>
    <w:p>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_Toc191041931 \h </w:instrText>
      </w:r>
      <w:r>
        <w:fldChar w:fldCharType="separate"/>
      </w:r>
      <w:r>
        <w:t>33</w:t>
      </w:r>
      <w:r>
        <w:fldChar w:fldCharType="end"/>
      </w:r>
    </w:p>
    <w:p>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_Toc191041932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_Toc191041935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_Toc191041936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_Toc191041938 \h </w:instrText>
      </w:r>
      <w:r>
        <w:fldChar w:fldCharType="separate"/>
      </w:r>
      <w:r>
        <w:t>36</w:t>
      </w:r>
      <w:r>
        <w:fldChar w:fldCharType="end"/>
      </w:r>
    </w:p>
    <w:p>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_Toc191041939 \h </w:instrText>
      </w:r>
      <w:r>
        <w:fldChar w:fldCharType="separate"/>
      </w:r>
      <w:r>
        <w:t>37</w:t>
      </w:r>
      <w:r>
        <w:fldChar w:fldCharType="end"/>
      </w:r>
    </w:p>
    <w:p>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_Toc191041940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_Toc191041942 \h </w:instrText>
      </w:r>
      <w:r>
        <w:fldChar w:fldCharType="separate"/>
      </w:r>
      <w:r>
        <w:t>37</w:t>
      </w:r>
      <w:r>
        <w:fldChar w:fldCharType="end"/>
      </w:r>
    </w:p>
    <w:p>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_Toc191041943 \h </w:instrText>
      </w:r>
      <w:r>
        <w:fldChar w:fldCharType="separate"/>
      </w:r>
      <w:r>
        <w:t>38</w:t>
      </w:r>
      <w:r>
        <w:fldChar w:fldCharType="end"/>
      </w:r>
    </w:p>
    <w:p>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_Toc191041944 \h </w:instrText>
      </w:r>
      <w:r>
        <w:fldChar w:fldCharType="separate"/>
      </w:r>
      <w:r>
        <w:t>39</w:t>
      </w:r>
      <w:r>
        <w:fldChar w:fldCharType="end"/>
      </w:r>
    </w:p>
    <w:p>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_Toc191041945 \h </w:instrText>
      </w:r>
      <w:r>
        <w:fldChar w:fldCharType="separate"/>
      </w:r>
      <w:r>
        <w:t>40</w:t>
      </w:r>
      <w:r>
        <w:fldChar w:fldCharType="end"/>
      </w:r>
    </w:p>
    <w:p>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_Toc191041946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_Toc191041948 \h </w:instrText>
      </w:r>
      <w:r>
        <w:fldChar w:fldCharType="separate"/>
      </w:r>
      <w:r>
        <w:t>42</w:t>
      </w:r>
      <w:r>
        <w:fldChar w:fldCharType="end"/>
      </w:r>
    </w:p>
    <w:p>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_Toc191041949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50.</w:t>
      </w:r>
      <w:r>
        <w:tab/>
        <w:t>Nomination of additional or replacement responsible officer</w:t>
      </w:r>
      <w:r>
        <w:tab/>
      </w:r>
      <w:r>
        <w:fldChar w:fldCharType="begin"/>
      </w:r>
      <w:r>
        <w:instrText xml:space="preserve"> PAGEREF _Toc191041950 \h </w:instrText>
      </w:r>
      <w:r>
        <w:fldChar w:fldCharType="separate"/>
      </w:r>
      <w:r>
        <w:t>42</w:t>
      </w:r>
      <w:r>
        <w:fldChar w:fldCharType="end"/>
      </w:r>
    </w:p>
    <w:p>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_Toc191041951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_Toc191041953 \h </w:instrText>
      </w:r>
      <w:r>
        <w:fldChar w:fldCharType="separate"/>
      </w:r>
      <w:r>
        <w:t>45</w:t>
      </w:r>
      <w:r>
        <w:fldChar w:fldCharType="end"/>
      </w:r>
    </w:p>
    <w:p>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_Toc191041954 \h </w:instrText>
      </w:r>
      <w:r>
        <w:fldChar w:fldCharType="separate"/>
      </w:r>
      <w:r>
        <w:t>45</w:t>
      </w:r>
      <w:r>
        <w:fldChar w:fldCharType="end"/>
      </w:r>
    </w:p>
    <w:p>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_Toc191041955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Changes to information</w:t>
      </w:r>
    </w:p>
    <w:p>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_Toc191041957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Records</w:t>
      </w:r>
    </w:p>
    <w:p>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_Toc191041960 \h </w:instrText>
      </w:r>
      <w:r>
        <w:fldChar w:fldCharType="separate"/>
      </w:r>
      <w:r>
        <w:t>46</w:t>
      </w:r>
      <w:r>
        <w:fldChar w:fldCharType="end"/>
      </w:r>
    </w:p>
    <w:p>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_Toc191041961 \h </w:instrText>
      </w:r>
      <w:r>
        <w:fldChar w:fldCharType="separate"/>
      </w:r>
      <w:r>
        <w:t>47</w:t>
      </w:r>
      <w:r>
        <w:fldChar w:fldCharType="end"/>
      </w:r>
    </w:p>
    <w:p>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_Toc191041962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_Toc191041964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_Toc191041966 \h </w:instrText>
      </w:r>
      <w:r>
        <w:fldChar w:fldCharType="separate"/>
      </w:r>
      <w:r>
        <w:t>51</w:t>
      </w:r>
      <w:r>
        <w:fldChar w:fldCharType="end"/>
      </w:r>
    </w:p>
    <w:p>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_Toc191041967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Complaints</w:t>
      </w:r>
    </w:p>
    <w:p>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_Toc191041969 \h </w:instrText>
      </w:r>
      <w:r>
        <w:fldChar w:fldCharType="separate"/>
      </w:r>
      <w:r>
        <w:t>53</w:t>
      </w:r>
      <w:r>
        <w:fldChar w:fldCharType="end"/>
      </w:r>
    </w:p>
    <w:p>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_Toc191041970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_Toc191041972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_Toc191041975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_Toc191041977 \h </w:instrText>
      </w:r>
      <w:r>
        <w:fldChar w:fldCharType="separate"/>
      </w:r>
      <w:r>
        <w:t>56</w:t>
      </w:r>
      <w:r>
        <w:fldChar w:fldCharType="end"/>
      </w:r>
    </w:p>
    <w:p>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_Toc191041978 \h </w:instrText>
      </w:r>
      <w:r>
        <w:fldChar w:fldCharType="separate"/>
      </w:r>
      <w:r>
        <w:t>56</w:t>
      </w:r>
      <w:r>
        <w:fldChar w:fldCharType="end"/>
      </w:r>
    </w:p>
    <w:p>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_Toc191041979 \h </w:instrText>
      </w:r>
      <w:r>
        <w:fldChar w:fldCharType="separate"/>
      </w:r>
      <w:r>
        <w:t>56</w:t>
      </w:r>
      <w:r>
        <w:fldChar w:fldCharType="end"/>
      </w:r>
    </w:p>
    <w:p>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_Toc191041980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_Toc191041982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_Toc191041984 \h </w:instrText>
      </w:r>
      <w:r>
        <w:fldChar w:fldCharType="separate"/>
      </w:r>
      <w:r>
        <w:t>59</w:t>
      </w:r>
      <w:r>
        <w:fldChar w:fldCharType="end"/>
      </w:r>
    </w:p>
    <w:p>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_Toc191041985 \h </w:instrText>
      </w:r>
      <w:r>
        <w:fldChar w:fldCharType="separate"/>
      </w:r>
      <w:r>
        <w:t>59</w:t>
      </w:r>
      <w:r>
        <w:fldChar w:fldCharType="end"/>
      </w:r>
    </w:p>
    <w:p>
      <w:pPr>
        <w:pStyle w:val="TOC8"/>
        <w:rPr>
          <w:rFonts w:asciiTheme="minorHAnsi" w:eastAsiaTheme="minorEastAsia" w:hAnsiTheme="minorHAnsi" w:cstheme="minorBidi"/>
          <w:szCs w:val="22"/>
        </w:rPr>
      </w:pPr>
      <w:r>
        <w:t>73.</w:t>
      </w:r>
      <w:r>
        <w:tab/>
        <w:t>Fares</w:t>
      </w:r>
      <w:r>
        <w:tab/>
      </w:r>
      <w:r>
        <w:fldChar w:fldCharType="begin"/>
      </w:r>
      <w:r>
        <w:instrText xml:space="preserve"> PAGEREF _Toc191041986 \h </w:instrText>
      </w:r>
      <w:r>
        <w:fldChar w:fldCharType="separate"/>
      </w:r>
      <w:r>
        <w:t>59</w:t>
      </w:r>
      <w:r>
        <w:fldChar w:fldCharType="end"/>
      </w:r>
    </w:p>
    <w:p>
      <w:pPr>
        <w:pStyle w:val="TOC8"/>
        <w:rPr>
          <w:rFonts w:asciiTheme="minorHAnsi" w:eastAsiaTheme="minorEastAsia" w:hAnsiTheme="minorHAnsi" w:cstheme="minorBidi"/>
          <w:szCs w:val="22"/>
        </w:rPr>
      </w:pPr>
      <w:r>
        <w:t>74.</w:t>
      </w:r>
      <w:r>
        <w:tab/>
        <w:t>Records</w:t>
      </w:r>
      <w:r>
        <w:tab/>
      </w:r>
      <w:r>
        <w:fldChar w:fldCharType="begin"/>
      </w:r>
      <w:r>
        <w:instrText xml:space="preserve"> PAGEREF _Toc191041987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_Toc191041989 \h </w:instrText>
      </w:r>
      <w:r>
        <w:fldChar w:fldCharType="separate"/>
      </w:r>
      <w:r>
        <w:t>60</w:t>
      </w:r>
      <w:r>
        <w:fldChar w:fldCharType="end"/>
      </w:r>
    </w:p>
    <w:p>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_Toc191041990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_Toc191041992 \h </w:instrText>
      </w:r>
      <w:r>
        <w:fldChar w:fldCharType="separate"/>
      </w:r>
      <w:r>
        <w:t>62</w:t>
      </w:r>
      <w:r>
        <w:fldChar w:fldCharType="end"/>
      </w:r>
    </w:p>
    <w:p>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_Toc191041993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Authorisation of passenger transport drivers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_Toc191041996 \h </w:instrText>
      </w:r>
      <w:r>
        <w:fldChar w:fldCharType="separate"/>
      </w:r>
      <w:r>
        <w:t>64</w:t>
      </w:r>
      <w:r>
        <w:fldChar w:fldCharType="end"/>
      </w:r>
    </w:p>
    <w:p>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_Toc191041997 \h </w:instrText>
      </w:r>
      <w:r>
        <w:fldChar w:fldCharType="separate"/>
      </w:r>
      <w:r>
        <w:t>64</w:t>
      </w:r>
      <w:r>
        <w:fldChar w:fldCharType="end"/>
      </w:r>
    </w:p>
    <w:p>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_Toc191041998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_Toc191042000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_Toc191042002 \h </w:instrText>
      </w:r>
      <w:r>
        <w:fldChar w:fldCharType="separate"/>
      </w:r>
      <w:r>
        <w:t>67</w:t>
      </w:r>
      <w:r>
        <w:fldChar w:fldCharType="end"/>
      </w:r>
    </w:p>
    <w:p>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_Toc191042003 \h </w:instrText>
      </w:r>
      <w:r>
        <w:fldChar w:fldCharType="separate"/>
      </w:r>
      <w:r>
        <w:t>67</w:t>
      </w:r>
      <w:r>
        <w:fldChar w:fldCharType="end"/>
      </w:r>
    </w:p>
    <w:p>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_Toc191042004 \h </w:instrText>
      </w:r>
      <w:r>
        <w:fldChar w:fldCharType="separate"/>
      </w:r>
      <w:r>
        <w:t>68</w:t>
      </w:r>
      <w:r>
        <w:fldChar w:fldCharType="end"/>
      </w:r>
    </w:p>
    <w:p>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_Toc191042005 \h </w:instrText>
      </w:r>
      <w:r>
        <w:fldChar w:fldCharType="separate"/>
      </w:r>
      <w:r>
        <w:t>70</w:t>
      </w:r>
      <w:r>
        <w:fldChar w:fldCharType="end"/>
      </w:r>
    </w:p>
    <w:p>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_Toc191042006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_Toc191042008 \h </w:instrText>
      </w:r>
      <w:r>
        <w:fldChar w:fldCharType="separate"/>
      </w:r>
      <w:r>
        <w:t>71</w:t>
      </w:r>
      <w:r>
        <w:fldChar w:fldCharType="end"/>
      </w:r>
    </w:p>
    <w:p>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_Toc191042009 \h </w:instrText>
      </w:r>
      <w:r>
        <w:fldChar w:fldCharType="separate"/>
      </w:r>
      <w:r>
        <w:t>71</w:t>
      </w:r>
      <w:r>
        <w:fldChar w:fldCharType="end"/>
      </w:r>
    </w:p>
    <w:p>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_Toc191042010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Changes to information</w:t>
      </w:r>
    </w:p>
    <w:p>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_Toc191042012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Miscellaneous</w:t>
      </w:r>
    </w:p>
    <w:p>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_Toc191042014 \h </w:instrText>
      </w:r>
      <w:r>
        <w:fldChar w:fldCharType="separate"/>
      </w:r>
      <w:r>
        <w:t>72</w:t>
      </w:r>
      <w:r>
        <w:fldChar w:fldCharType="end"/>
      </w:r>
    </w:p>
    <w:p>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_Toc191042015 \h </w:instrText>
      </w:r>
      <w:r>
        <w:fldChar w:fldCharType="separate"/>
      </w:r>
      <w:r>
        <w:t>73</w:t>
      </w:r>
      <w:r>
        <w:fldChar w:fldCharType="end"/>
      </w:r>
    </w:p>
    <w:p>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_Toc191042016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_Toc191042019 \h </w:instrText>
      </w:r>
      <w:r>
        <w:fldChar w:fldCharType="separate"/>
      </w:r>
      <w:r>
        <w:t>75</w:t>
      </w:r>
      <w:r>
        <w:fldChar w:fldCharType="end"/>
      </w:r>
    </w:p>
    <w:p>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_Toc191042020 \h </w:instrText>
      </w:r>
      <w:r>
        <w:fldChar w:fldCharType="separate"/>
      </w:r>
      <w:r>
        <w:t>75</w:t>
      </w:r>
      <w:r>
        <w:fldChar w:fldCharType="end"/>
      </w:r>
    </w:p>
    <w:p>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_Toc191042021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_Toc191042023 \h </w:instrText>
      </w:r>
      <w:r>
        <w:fldChar w:fldCharType="separate"/>
      </w:r>
      <w:r>
        <w:t>77</w:t>
      </w:r>
      <w:r>
        <w:fldChar w:fldCharType="end"/>
      </w:r>
    </w:p>
    <w:p>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_Toc191042024 \h </w:instrText>
      </w:r>
      <w:r>
        <w:fldChar w:fldCharType="separate"/>
      </w:r>
      <w:r>
        <w:t>78</w:t>
      </w:r>
      <w:r>
        <w:fldChar w:fldCharType="end"/>
      </w:r>
    </w:p>
    <w:p>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_Toc191042025 \h </w:instrText>
      </w:r>
      <w:r>
        <w:fldChar w:fldCharType="separate"/>
      </w:r>
      <w:r>
        <w:t>78</w:t>
      </w:r>
      <w:r>
        <w:fldChar w:fldCharType="end"/>
      </w:r>
    </w:p>
    <w:p>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_Toc191042026 \h </w:instrText>
      </w:r>
      <w:r>
        <w:fldChar w:fldCharType="separate"/>
      </w:r>
      <w:r>
        <w:t>79</w:t>
      </w:r>
      <w:r>
        <w:fldChar w:fldCharType="end"/>
      </w:r>
    </w:p>
    <w:p>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_Toc191042027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_Toc191042029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_Toc191042032 \h </w:instrText>
      </w:r>
      <w:r>
        <w:fldChar w:fldCharType="separate"/>
      </w:r>
      <w:r>
        <w:t>81</w:t>
      </w:r>
      <w:r>
        <w:fldChar w:fldCharType="end"/>
      </w:r>
    </w:p>
    <w:p>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_Toc191042033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106.</w:t>
      </w:r>
      <w:r>
        <w:tab/>
        <w:t>Provider of on</w:t>
      </w:r>
      <w:r>
        <w:noBreakHyphen/>
        <w:t>demand booking service to report allegations about driver conduct</w:t>
      </w:r>
      <w:r>
        <w:tab/>
      </w:r>
      <w:r>
        <w:fldChar w:fldCharType="begin"/>
      </w:r>
      <w:r>
        <w:instrText xml:space="preserve"> PAGEREF _Toc191042034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_Toc191042036 \h </w:instrText>
      </w:r>
      <w:r>
        <w:fldChar w:fldCharType="separate"/>
      </w:r>
      <w:r>
        <w:t>84</w:t>
      </w:r>
      <w:r>
        <w:fldChar w:fldCharType="end"/>
      </w:r>
    </w:p>
    <w:p>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_Toc191042037 \h </w:instrText>
      </w:r>
      <w:r>
        <w:fldChar w:fldCharType="separate"/>
      </w:r>
      <w:r>
        <w:t>85</w:t>
      </w:r>
      <w:r>
        <w:fldChar w:fldCharType="end"/>
      </w:r>
    </w:p>
    <w:p>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_Toc191042038 \h </w:instrText>
      </w:r>
      <w:r>
        <w:fldChar w:fldCharType="separate"/>
      </w:r>
      <w:r>
        <w:t>85</w:t>
      </w:r>
      <w:r>
        <w:fldChar w:fldCharType="end"/>
      </w:r>
    </w:p>
    <w:p>
      <w:pPr>
        <w:pStyle w:val="TOC8"/>
        <w:rPr>
          <w:rFonts w:asciiTheme="minorHAnsi" w:eastAsiaTheme="minorEastAsia" w:hAnsiTheme="minorHAnsi" w:cstheme="minorBidi"/>
          <w:szCs w:val="22"/>
        </w:rPr>
      </w:pPr>
      <w:r>
        <w:t>110.</w:t>
      </w:r>
      <w:r>
        <w:tab/>
        <w:t>Recordings taken by camera surveillance units</w:t>
      </w:r>
      <w:r>
        <w:tab/>
      </w:r>
      <w:r>
        <w:fldChar w:fldCharType="begin"/>
      </w:r>
      <w:r>
        <w:instrText xml:space="preserve"> PAGEREF _Toc191042039 \h </w:instrText>
      </w:r>
      <w:r>
        <w:fldChar w:fldCharType="separate"/>
      </w:r>
      <w:r>
        <w:t>87</w:t>
      </w:r>
      <w:r>
        <w:fldChar w:fldCharType="end"/>
      </w:r>
    </w:p>
    <w:p>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_Toc191042040 \h </w:instrText>
      </w:r>
      <w:r>
        <w:fldChar w:fldCharType="separate"/>
      </w:r>
      <w:r>
        <w:t>87</w:t>
      </w:r>
      <w:r>
        <w:fldChar w:fldCharType="end"/>
      </w:r>
    </w:p>
    <w:p>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_Toc191042041 \h </w:instrText>
      </w:r>
      <w:r>
        <w:fldChar w:fldCharType="separate"/>
      </w:r>
      <w:r>
        <w:t>88</w:t>
      </w:r>
      <w:r>
        <w:fldChar w:fldCharType="end"/>
      </w:r>
    </w:p>
    <w:p>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_Toc191042042 \h </w:instrText>
      </w:r>
      <w:r>
        <w:fldChar w:fldCharType="separate"/>
      </w:r>
      <w:r>
        <w:t>89</w:t>
      </w:r>
      <w:r>
        <w:fldChar w:fldCharType="end"/>
      </w:r>
    </w:p>
    <w:p>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_Toc191042043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_Toc191042046 \h </w:instrText>
      </w:r>
      <w:r>
        <w:fldChar w:fldCharType="separate"/>
      </w:r>
      <w:r>
        <w:t>93</w:t>
      </w:r>
      <w:r>
        <w:fldChar w:fldCharType="end"/>
      </w:r>
    </w:p>
    <w:p>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_Toc191042047 \h </w:instrText>
      </w:r>
      <w:r>
        <w:fldChar w:fldCharType="separate"/>
      </w:r>
      <w:r>
        <w:t>93</w:t>
      </w:r>
      <w:r>
        <w:fldChar w:fldCharType="end"/>
      </w:r>
    </w:p>
    <w:p>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_Toc191042048 \h </w:instrText>
      </w:r>
      <w:r>
        <w:fldChar w:fldCharType="separate"/>
      </w:r>
      <w:r>
        <w:t>94</w:t>
      </w:r>
      <w:r>
        <w:fldChar w:fldCharType="end"/>
      </w:r>
    </w:p>
    <w:p>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_Toc191042049 \h </w:instrText>
      </w:r>
      <w:r>
        <w:fldChar w:fldCharType="separate"/>
      </w:r>
      <w:r>
        <w:t>95</w:t>
      </w:r>
      <w:r>
        <w:fldChar w:fldCharType="end"/>
      </w:r>
    </w:p>
    <w:p>
      <w:pPr>
        <w:pStyle w:val="TOC8"/>
        <w:rPr>
          <w:rFonts w:asciiTheme="minorHAnsi" w:eastAsiaTheme="minorEastAsia" w:hAnsiTheme="minorHAnsi" w:cstheme="minorBidi"/>
          <w:szCs w:val="22"/>
        </w:rPr>
      </w:pPr>
      <w:r>
        <w:t>119.</w:t>
      </w:r>
      <w:r>
        <w:tab/>
        <w:t>Deposit</w:t>
      </w:r>
      <w:r>
        <w:tab/>
      </w:r>
      <w:r>
        <w:fldChar w:fldCharType="begin"/>
      </w:r>
      <w:r>
        <w:instrText xml:space="preserve"> PAGEREF _Toc191042050 \h </w:instrText>
      </w:r>
      <w:r>
        <w:fldChar w:fldCharType="separate"/>
      </w:r>
      <w:r>
        <w:t>97</w:t>
      </w:r>
      <w:r>
        <w:fldChar w:fldCharType="end"/>
      </w:r>
    </w:p>
    <w:p>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_Toc191042051 \h </w:instrText>
      </w:r>
      <w:r>
        <w:fldChar w:fldCharType="separate"/>
      </w:r>
      <w:r>
        <w:t>97</w:t>
      </w:r>
      <w:r>
        <w:fldChar w:fldCharType="end"/>
      </w:r>
    </w:p>
    <w:p>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_Toc191042052 \h </w:instrText>
      </w:r>
      <w:r>
        <w:fldChar w:fldCharType="separate"/>
      </w:r>
      <w:r>
        <w:t>98</w:t>
      </w:r>
      <w:r>
        <w:fldChar w:fldCharType="end"/>
      </w:r>
    </w:p>
    <w:p>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_Toc191042053 \h </w:instrText>
      </w:r>
      <w:r>
        <w:fldChar w:fldCharType="separate"/>
      </w:r>
      <w:r>
        <w:t>99</w:t>
      </w:r>
      <w:r>
        <w:fldChar w:fldCharType="end"/>
      </w:r>
    </w:p>
    <w:p>
      <w:pPr>
        <w:pStyle w:val="TOC8"/>
        <w:rPr>
          <w:rFonts w:asciiTheme="minorHAnsi" w:eastAsiaTheme="minorEastAsia" w:hAnsiTheme="minorHAnsi" w:cstheme="minorBidi"/>
          <w:szCs w:val="22"/>
        </w:rPr>
      </w:pPr>
      <w:r>
        <w:t>123.</w:t>
      </w:r>
      <w:r>
        <w:tab/>
        <w:t>Guidelines</w:t>
      </w:r>
      <w:r>
        <w:tab/>
      </w:r>
      <w:r>
        <w:fldChar w:fldCharType="begin"/>
      </w:r>
      <w:r>
        <w:instrText xml:space="preserve"> PAGEREF _Toc191042054 \h </w:instrText>
      </w:r>
      <w:r>
        <w:fldChar w:fldCharType="separate"/>
      </w:r>
      <w:r>
        <w:t>100</w:t>
      </w:r>
      <w:r>
        <w:fldChar w:fldCharType="end"/>
      </w:r>
    </w:p>
    <w:p>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_Toc191042055 \h </w:instrText>
      </w:r>
      <w:r>
        <w:fldChar w:fldCharType="separate"/>
      </w:r>
      <w:r>
        <w:t>101</w:t>
      </w:r>
      <w:r>
        <w:fldChar w:fldCharType="end"/>
      </w:r>
    </w:p>
    <w:p>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_Toc191042056 \h </w:instrText>
      </w:r>
      <w:r>
        <w:fldChar w:fldCharType="separate"/>
      </w:r>
      <w:r>
        <w:t>102</w:t>
      </w:r>
      <w:r>
        <w:fldChar w:fldCharType="end"/>
      </w:r>
    </w:p>
    <w:p>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_Toc191042057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127.</w:t>
      </w:r>
      <w:r>
        <w:tab/>
        <w:t>Terms used</w:t>
      </w:r>
      <w:r>
        <w:tab/>
      </w:r>
      <w:r>
        <w:fldChar w:fldCharType="begin"/>
      </w:r>
      <w:r>
        <w:instrText xml:space="preserve"> PAGEREF _Toc191042059 \h </w:instrText>
      </w:r>
      <w:r>
        <w:fldChar w:fldCharType="separate"/>
      </w:r>
      <w:r>
        <w:t>104</w:t>
      </w:r>
      <w:r>
        <w:fldChar w:fldCharType="end"/>
      </w:r>
    </w:p>
    <w:p>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_Toc191042060 \h </w:instrText>
      </w:r>
      <w:r>
        <w:fldChar w:fldCharType="separate"/>
      </w:r>
      <w:r>
        <w:t>105</w:t>
      </w:r>
      <w:r>
        <w:fldChar w:fldCharType="end"/>
      </w:r>
    </w:p>
    <w:p>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_Toc191042061 \h </w:instrText>
      </w:r>
      <w:r>
        <w:fldChar w:fldCharType="separate"/>
      </w:r>
      <w:r>
        <w:t>106</w:t>
      </w:r>
      <w:r>
        <w:fldChar w:fldCharType="end"/>
      </w:r>
    </w:p>
    <w:p>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_Toc191042062 \h </w:instrText>
      </w:r>
      <w:r>
        <w:fldChar w:fldCharType="separate"/>
      </w:r>
      <w:r>
        <w:t>107</w:t>
      </w:r>
      <w:r>
        <w:fldChar w:fldCharType="end"/>
      </w:r>
    </w:p>
    <w:p>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_Toc191042063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2A — Passenger Transport Subsidy Scheme (PTSS)</w:t>
      </w:r>
    </w:p>
    <w:p>
      <w:pPr>
        <w:pStyle w:val="TOC8"/>
        <w:rPr>
          <w:rFonts w:asciiTheme="minorHAnsi" w:eastAsiaTheme="minorEastAsia" w:hAnsiTheme="minorHAnsi" w:cstheme="minorBidi"/>
          <w:szCs w:val="22"/>
        </w:rPr>
      </w:pPr>
      <w:r>
        <w:t>130A.</w:t>
      </w:r>
      <w:r>
        <w:tab/>
        <w:t>Terms used</w:t>
      </w:r>
      <w:r>
        <w:tab/>
      </w:r>
      <w:r>
        <w:fldChar w:fldCharType="begin"/>
      </w:r>
      <w:r>
        <w:instrText xml:space="preserve"> PAGEREF _Toc191042065 \h </w:instrText>
      </w:r>
      <w:r>
        <w:fldChar w:fldCharType="separate"/>
      </w:r>
      <w:r>
        <w:t>108</w:t>
      </w:r>
      <w:r>
        <w:fldChar w:fldCharType="end"/>
      </w:r>
    </w:p>
    <w:p>
      <w:pPr>
        <w:pStyle w:val="TOC8"/>
        <w:rPr>
          <w:rFonts w:asciiTheme="minorHAnsi" w:eastAsiaTheme="minorEastAsia" w:hAnsiTheme="minorHAnsi" w:cstheme="minorBidi"/>
          <w:szCs w:val="22"/>
        </w:rPr>
      </w:pPr>
      <w:r>
        <w:t>130B.</w:t>
      </w:r>
      <w:r>
        <w:tab/>
        <w:t>CEO may issue smartcards</w:t>
      </w:r>
      <w:r>
        <w:tab/>
      </w:r>
      <w:r>
        <w:fldChar w:fldCharType="begin"/>
      </w:r>
      <w:r>
        <w:instrText xml:space="preserve"> PAGEREF _Toc191042066 \h </w:instrText>
      </w:r>
      <w:r>
        <w:fldChar w:fldCharType="separate"/>
      </w:r>
      <w:r>
        <w:t>109</w:t>
      </w:r>
      <w:r>
        <w:fldChar w:fldCharType="end"/>
      </w:r>
    </w:p>
    <w:p>
      <w:pPr>
        <w:pStyle w:val="TOC8"/>
        <w:rPr>
          <w:rFonts w:asciiTheme="minorHAnsi" w:eastAsiaTheme="minorEastAsia" w:hAnsiTheme="minorHAnsi" w:cstheme="minorBidi"/>
          <w:szCs w:val="22"/>
        </w:rPr>
      </w:pPr>
      <w:r>
        <w:t>130C.</w:t>
      </w:r>
      <w:r>
        <w:tab/>
        <w:t>CEO may pay subsidy</w:t>
      </w:r>
      <w:r>
        <w:tab/>
      </w:r>
      <w:r>
        <w:fldChar w:fldCharType="begin"/>
      </w:r>
      <w:r>
        <w:instrText xml:space="preserve"> PAGEREF _Toc191042067 \h </w:instrText>
      </w:r>
      <w:r>
        <w:fldChar w:fldCharType="separate"/>
      </w:r>
      <w:r>
        <w:t>109</w:t>
      </w:r>
      <w:r>
        <w:fldChar w:fldCharType="end"/>
      </w:r>
    </w:p>
    <w:p>
      <w:pPr>
        <w:pStyle w:val="TOC8"/>
        <w:rPr>
          <w:rFonts w:asciiTheme="minorHAnsi" w:eastAsiaTheme="minorEastAsia" w:hAnsiTheme="minorHAnsi" w:cstheme="minorBidi"/>
          <w:szCs w:val="22"/>
        </w:rPr>
      </w:pPr>
      <w:r>
        <w:t>130D.</w:t>
      </w:r>
      <w:r>
        <w:tab/>
        <w:t>Person must not provide PTSS smartcard as payment or part</w:t>
      </w:r>
      <w:r>
        <w:noBreakHyphen/>
        <w:t>payment unless PTSS passenger</w:t>
      </w:r>
      <w:r>
        <w:tab/>
      </w:r>
      <w:r>
        <w:fldChar w:fldCharType="begin"/>
      </w:r>
      <w:r>
        <w:instrText xml:space="preserve"> PAGEREF _Toc191042068 \h </w:instrText>
      </w:r>
      <w:r>
        <w:fldChar w:fldCharType="separate"/>
      </w:r>
      <w:r>
        <w:t>110</w:t>
      </w:r>
      <w:r>
        <w:fldChar w:fldCharType="end"/>
      </w:r>
    </w:p>
    <w:p>
      <w:pPr>
        <w:pStyle w:val="TOC8"/>
        <w:rPr>
          <w:rFonts w:asciiTheme="minorHAnsi" w:eastAsiaTheme="minorEastAsia" w:hAnsiTheme="minorHAnsi" w:cstheme="minorBidi"/>
          <w:szCs w:val="22"/>
        </w:rPr>
      </w:pPr>
      <w:r>
        <w:t>130DA.</w:t>
      </w:r>
      <w:r>
        <w:tab/>
        <w:t>Driver must not refuse payment or part</w:t>
      </w:r>
      <w:r>
        <w:noBreakHyphen/>
        <w:t>payment</w:t>
      </w:r>
      <w:r>
        <w:tab/>
      </w:r>
      <w:r>
        <w:fldChar w:fldCharType="begin"/>
      </w:r>
      <w:r>
        <w:instrText xml:space="preserve"> PAGEREF _Toc191042069 \h </w:instrText>
      </w:r>
      <w:r>
        <w:fldChar w:fldCharType="separate"/>
      </w:r>
      <w:r>
        <w:t>110</w:t>
      </w:r>
      <w:r>
        <w:fldChar w:fldCharType="end"/>
      </w:r>
    </w:p>
    <w:p>
      <w:pPr>
        <w:pStyle w:val="TOC8"/>
        <w:rPr>
          <w:rFonts w:asciiTheme="minorHAnsi" w:eastAsiaTheme="minorEastAsia" w:hAnsiTheme="minorHAnsi" w:cstheme="minorBidi"/>
          <w:szCs w:val="22"/>
        </w:rPr>
      </w:pPr>
      <w:r>
        <w:t>130DB.</w:t>
      </w:r>
      <w:r>
        <w:tab/>
        <w:t>Certain providers must not direct driver to refuse payment or part</w:t>
      </w:r>
      <w:r>
        <w:noBreakHyphen/>
        <w:t>payment</w:t>
      </w:r>
      <w:r>
        <w:tab/>
      </w:r>
      <w:r>
        <w:fldChar w:fldCharType="begin"/>
      </w:r>
      <w:r>
        <w:instrText xml:space="preserve"> PAGEREF _Toc191042070 \h </w:instrText>
      </w:r>
      <w:r>
        <w:fldChar w:fldCharType="separate"/>
      </w:r>
      <w:r>
        <w:t>110</w:t>
      </w:r>
      <w:r>
        <w:fldChar w:fldCharType="end"/>
      </w:r>
    </w:p>
    <w:p>
      <w:pPr>
        <w:pStyle w:val="TOC8"/>
        <w:rPr>
          <w:rFonts w:asciiTheme="minorHAnsi" w:eastAsiaTheme="minorEastAsia" w:hAnsiTheme="minorHAnsi" w:cstheme="minorBidi"/>
          <w:szCs w:val="22"/>
        </w:rPr>
      </w:pPr>
      <w:r>
        <w:t>130E.</w:t>
      </w:r>
      <w:r>
        <w:tab/>
        <w:t>Driver must not accept PTSS smartcard as payment or part</w:t>
      </w:r>
      <w:r>
        <w:noBreakHyphen/>
        <w:t>payment from person driver knows is not PTSS passenger</w:t>
      </w:r>
      <w:r>
        <w:tab/>
      </w:r>
      <w:r>
        <w:fldChar w:fldCharType="begin"/>
      </w:r>
      <w:r>
        <w:instrText xml:space="preserve"> PAGEREF _Toc191042071 \h </w:instrText>
      </w:r>
      <w:r>
        <w:fldChar w:fldCharType="separate"/>
      </w:r>
      <w:r>
        <w:t>111</w:t>
      </w:r>
      <w:r>
        <w:fldChar w:fldCharType="end"/>
      </w:r>
    </w:p>
    <w:p>
      <w:pPr>
        <w:pStyle w:val="TOC8"/>
        <w:rPr>
          <w:rFonts w:asciiTheme="minorHAnsi" w:eastAsiaTheme="minorEastAsia" w:hAnsiTheme="minorHAnsi" w:cstheme="minorBidi"/>
          <w:szCs w:val="22"/>
        </w:rPr>
      </w:pPr>
      <w:r>
        <w:t>130F.</w:t>
      </w:r>
      <w:r>
        <w:tab/>
        <w:t>Driver or provider of on</w:t>
      </w:r>
      <w:r>
        <w:noBreakHyphen/>
        <w:t>demand booking service must not enter false or misleading information</w:t>
      </w:r>
      <w:r>
        <w:tab/>
      </w:r>
      <w:r>
        <w:fldChar w:fldCharType="begin"/>
      </w:r>
      <w:r>
        <w:instrText xml:space="preserve"> PAGEREF _Toc191042072 \h </w:instrText>
      </w:r>
      <w:r>
        <w:fldChar w:fldCharType="separate"/>
      </w:r>
      <w:r>
        <w:t>111</w:t>
      </w:r>
      <w:r>
        <w:fldChar w:fldCharType="end"/>
      </w:r>
    </w:p>
    <w:p>
      <w:pPr>
        <w:pStyle w:val="TOC8"/>
        <w:rPr>
          <w:rFonts w:asciiTheme="minorHAnsi" w:eastAsiaTheme="minorEastAsia" w:hAnsiTheme="minorHAnsi" w:cstheme="minorBidi"/>
          <w:szCs w:val="22"/>
        </w:rPr>
      </w:pPr>
      <w:r>
        <w:t>130G.</w:t>
      </w:r>
      <w:r>
        <w:tab/>
        <w:t>Driver must not cause or permit another person to enter particular information</w:t>
      </w:r>
      <w:r>
        <w:tab/>
      </w:r>
      <w:r>
        <w:fldChar w:fldCharType="begin"/>
      </w:r>
      <w:r>
        <w:instrText xml:space="preserve"> PAGEREF _Toc191042073 \h </w:instrText>
      </w:r>
      <w:r>
        <w:fldChar w:fldCharType="separate"/>
      </w:r>
      <w:r>
        <w:t>111</w:t>
      </w:r>
      <w:r>
        <w:fldChar w:fldCharType="end"/>
      </w:r>
    </w:p>
    <w:p>
      <w:pPr>
        <w:pStyle w:val="TOC8"/>
        <w:rPr>
          <w:rFonts w:asciiTheme="minorHAnsi" w:eastAsiaTheme="minorEastAsia" w:hAnsiTheme="minorHAnsi" w:cstheme="minorBidi"/>
          <w:szCs w:val="22"/>
        </w:rPr>
      </w:pPr>
      <w:r>
        <w:t>130H.</w:t>
      </w:r>
      <w:r>
        <w:tab/>
        <w:t>Provider of on</w:t>
      </w:r>
      <w:r>
        <w:noBreakHyphen/>
        <w:t>demand booking service must not cause or permit another person to enter particular information</w:t>
      </w:r>
      <w:r>
        <w:tab/>
      </w:r>
      <w:r>
        <w:fldChar w:fldCharType="begin"/>
      </w:r>
      <w:r>
        <w:instrText xml:space="preserve"> PAGEREF _Toc191042074 \h </w:instrText>
      </w:r>
      <w:r>
        <w:fldChar w:fldCharType="separate"/>
      </w:r>
      <w:r>
        <w:t>112</w:t>
      </w:r>
      <w:r>
        <w:fldChar w:fldCharType="end"/>
      </w:r>
    </w:p>
    <w:p>
      <w:pPr>
        <w:pStyle w:val="TOC8"/>
        <w:rPr>
          <w:rFonts w:asciiTheme="minorHAnsi" w:eastAsiaTheme="minorEastAsia" w:hAnsiTheme="minorHAnsi" w:cstheme="minorBidi"/>
          <w:szCs w:val="22"/>
        </w:rPr>
      </w:pPr>
      <w:r>
        <w:t>130HA.</w:t>
      </w:r>
      <w:r>
        <w:tab/>
        <w:t>Provider of on</w:t>
      </w:r>
      <w:r>
        <w:noBreakHyphen/>
        <w:t>demand booking service must ensure vehicle fitted with PTSS electronic device that is not a mobile phone</w:t>
      </w:r>
      <w:r>
        <w:tab/>
      </w:r>
      <w:r>
        <w:fldChar w:fldCharType="begin"/>
      </w:r>
      <w:r>
        <w:instrText xml:space="preserve"> PAGEREF _Toc191042075 \h </w:instrText>
      </w:r>
      <w:r>
        <w:fldChar w:fldCharType="separate"/>
      </w:r>
      <w:r>
        <w:t>112</w:t>
      </w:r>
      <w:r>
        <w:fldChar w:fldCharType="end"/>
      </w:r>
    </w:p>
    <w:p>
      <w:pPr>
        <w:pStyle w:val="TOC8"/>
        <w:rPr>
          <w:rFonts w:asciiTheme="minorHAnsi" w:eastAsiaTheme="minorEastAsia" w:hAnsiTheme="minorHAnsi" w:cstheme="minorBidi"/>
          <w:szCs w:val="22"/>
        </w:rPr>
      </w:pPr>
      <w:r>
        <w:t>130HB.</w:t>
      </w:r>
      <w:r>
        <w:tab/>
        <w:t>Driver must ensure vehicle contains PTSS electronic device</w:t>
      </w:r>
      <w:r>
        <w:tab/>
      </w:r>
      <w:r>
        <w:fldChar w:fldCharType="begin"/>
      </w:r>
      <w:r>
        <w:instrText xml:space="preserve"> PAGEREF _Toc191042076 \h </w:instrText>
      </w:r>
      <w:r>
        <w:fldChar w:fldCharType="separate"/>
      </w:r>
      <w:r>
        <w:t>113</w:t>
      </w:r>
      <w:r>
        <w:fldChar w:fldCharType="end"/>
      </w:r>
    </w:p>
    <w:p>
      <w:pPr>
        <w:pStyle w:val="TOC8"/>
        <w:rPr>
          <w:rFonts w:asciiTheme="minorHAnsi" w:eastAsiaTheme="minorEastAsia" w:hAnsiTheme="minorHAnsi" w:cstheme="minorBidi"/>
          <w:szCs w:val="22"/>
        </w:rPr>
      </w:pPr>
      <w:r>
        <w:t>130I.</w:t>
      </w:r>
      <w:r>
        <w:tab/>
        <w:t>False claims for payment</w:t>
      </w:r>
      <w:r>
        <w:tab/>
      </w:r>
      <w:r>
        <w:fldChar w:fldCharType="begin"/>
      </w:r>
      <w:r>
        <w:instrText xml:space="preserve"> PAGEREF _Toc191042077 \h </w:instrText>
      </w:r>
      <w:r>
        <w:fldChar w:fldCharType="separate"/>
      </w:r>
      <w:r>
        <w:t>113</w:t>
      </w:r>
      <w:r>
        <w:fldChar w:fldCharType="end"/>
      </w:r>
    </w:p>
    <w:p>
      <w:pPr>
        <w:pStyle w:val="TOC8"/>
        <w:rPr>
          <w:rFonts w:asciiTheme="minorHAnsi" w:eastAsiaTheme="minorEastAsia" w:hAnsiTheme="minorHAnsi" w:cstheme="minorBidi"/>
          <w:szCs w:val="22"/>
        </w:rPr>
      </w:pPr>
      <w:r>
        <w:t>130J.</w:t>
      </w:r>
      <w:r>
        <w:tab/>
        <w:t>Providers of on</w:t>
      </w:r>
      <w:r>
        <w:noBreakHyphen/>
        <w:t>demand booking services to provide information about PTSS journeys</w:t>
      </w:r>
      <w:r>
        <w:tab/>
      </w:r>
      <w:r>
        <w:fldChar w:fldCharType="begin"/>
      </w:r>
      <w:r>
        <w:instrText xml:space="preserve"> PAGEREF _Toc191042078 \h </w:instrText>
      </w:r>
      <w:r>
        <w:fldChar w:fldCharType="separate"/>
      </w:r>
      <w:r>
        <w:t>114</w:t>
      </w:r>
      <w:r>
        <w:fldChar w:fldCharType="end"/>
      </w:r>
    </w:p>
    <w:p>
      <w:pPr>
        <w:pStyle w:val="TOC8"/>
        <w:rPr>
          <w:rFonts w:asciiTheme="minorHAnsi" w:eastAsiaTheme="minorEastAsia" w:hAnsiTheme="minorHAnsi" w:cstheme="minorBidi"/>
          <w:szCs w:val="22"/>
        </w:rPr>
      </w:pPr>
      <w:r>
        <w:t>130K.</w:t>
      </w:r>
      <w:r>
        <w:tab/>
        <w:t>CEO may recover subsidies paid</w:t>
      </w:r>
      <w:r>
        <w:tab/>
      </w:r>
      <w:r>
        <w:fldChar w:fldCharType="begin"/>
      </w:r>
      <w:r>
        <w:instrText xml:space="preserve"> PAGEREF _Toc191042079 \h </w:instrText>
      </w:r>
      <w:r>
        <w:fldChar w:fldCharType="separate"/>
      </w:r>
      <w:r>
        <w:t>115</w:t>
      </w:r>
      <w:r>
        <w:fldChar w:fldCharType="end"/>
      </w:r>
    </w:p>
    <w:p>
      <w:pPr>
        <w:pStyle w:val="TOC8"/>
        <w:rPr>
          <w:rFonts w:asciiTheme="minorHAnsi" w:eastAsiaTheme="minorEastAsia" w:hAnsiTheme="minorHAnsi" w:cstheme="minorBidi"/>
          <w:szCs w:val="22"/>
        </w:rPr>
      </w:pPr>
      <w:r>
        <w:t>130L.</w:t>
      </w:r>
      <w:r>
        <w:tab/>
        <w:t>CEO may approve guidelines</w:t>
      </w:r>
      <w:r>
        <w:tab/>
      </w:r>
      <w:r>
        <w:fldChar w:fldCharType="begin"/>
      </w:r>
      <w:r>
        <w:instrText xml:space="preserve"> PAGEREF _Toc191042080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Receipts</w:t>
      </w:r>
    </w:p>
    <w:p>
      <w:pPr>
        <w:pStyle w:val="TOC8"/>
        <w:rPr>
          <w:rFonts w:asciiTheme="minorHAnsi" w:eastAsiaTheme="minorEastAsia" w:hAnsiTheme="minorHAnsi" w:cstheme="minorBidi"/>
          <w:szCs w:val="22"/>
        </w:rPr>
      </w:pPr>
      <w:r>
        <w:t>131.</w:t>
      </w:r>
      <w:r>
        <w:tab/>
        <w:t>Receipts</w:t>
      </w:r>
      <w:r>
        <w:tab/>
      </w:r>
      <w:r>
        <w:fldChar w:fldCharType="begin"/>
      </w:r>
      <w:r>
        <w:instrText xml:space="preserve"> PAGEREF _Toc191042082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_Toc191042084 \h </w:instrText>
      </w:r>
      <w:r>
        <w:fldChar w:fldCharType="separate"/>
      </w:r>
      <w:r>
        <w:t>117</w:t>
      </w:r>
      <w:r>
        <w:fldChar w:fldCharType="end"/>
      </w:r>
    </w:p>
    <w:p>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_Toc191042085 \h </w:instrText>
      </w:r>
      <w:r>
        <w:fldChar w:fldCharType="separate"/>
      </w:r>
      <w:r>
        <w:t>118</w:t>
      </w:r>
      <w:r>
        <w:fldChar w:fldCharType="end"/>
      </w:r>
    </w:p>
    <w:p>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_Toc191042086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Other obligations</w:t>
      </w:r>
    </w:p>
    <w:p>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_Toc191042088 \h </w:instrText>
      </w:r>
      <w:r>
        <w:fldChar w:fldCharType="separate"/>
      </w:r>
      <w:r>
        <w:t>120</w:t>
      </w:r>
      <w:r>
        <w:fldChar w:fldCharType="end"/>
      </w:r>
    </w:p>
    <w:p>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_Toc191042089 \h </w:instrText>
      </w:r>
      <w:r>
        <w:fldChar w:fldCharType="separate"/>
      </w:r>
      <w:r>
        <w:t>121</w:t>
      </w:r>
      <w:r>
        <w:fldChar w:fldCharType="end"/>
      </w:r>
    </w:p>
    <w:p>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_Toc191042090 \h </w:instrText>
      </w:r>
      <w:r>
        <w:fldChar w:fldCharType="separate"/>
      </w:r>
      <w:r>
        <w:t>121</w:t>
      </w:r>
      <w:r>
        <w:fldChar w:fldCharType="end"/>
      </w:r>
    </w:p>
    <w:p>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_Toc191042091 \h </w:instrText>
      </w:r>
      <w:r>
        <w:fldChar w:fldCharType="separate"/>
      </w:r>
      <w:r>
        <w:t>121</w:t>
      </w:r>
      <w:r>
        <w:fldChar w:fldCharType="end"/>
      </w:r>
    </w:p>
    <w:p>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_Toc191042092 \h </w:instrText>
      </w:r>
      <w:r>
        <w:fldChar w:fldCharType="separate"/>
      </w:r>
      <w:r>
        <w:t>123</w:t>
      </w:r>
      <w:r>
        <w:fldChar w:fldCharType="end"/>
      </w:r>
    </w:p>
    <w:p>
      <w:pPr>
        <w:pStyle w:val="TOC8"/>
        <w:rPr>
          <w:rFonts w:asciiTheme="minorHAnsi" w:eastAsiaTheme="minorEastAsia" w:hAnsiTheme="minorHAnsi" w:cstheme="minorBidi"/>
          <w:szCs w:val="22"/>
        </w:rPr>
      </w:pPr>
      <w:r>
        <w:t>140.</w:t>
      </w:r>
      <w:r>
        <w:tab/>
        <w:t>Offence to operate unauthorised vehicle with passenger transport vehicle number plates</w:t>
      </w:r>
      <w:r>
        <w:tab/>
      </w:r>
      <w:r>
        <w:fldChar w:fldCharType="begin"/>
      </w:r>
      <w:r>
        <w:instrText xml:space="preserve"> PAGEREF _Toc191042093 \h </w:instrText>
      </w:r>
      <w:r>
        <w:fldChar w:fldCharType="separate"/>
      </w:r>
      <w:r>
        <w:t>123</w:t>
      </w:r>
      <w:r>
        <w:fldChar w:fldCharType="end"/>
      </w:r>
    </w:p>
    <w:p>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_Toc191042094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9 — Information</w:t>
      </w:r>
    </w:p>
    <w:p>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_Toc191042096 \h </w:instrText>
      </w:r>
      <w:r>
        <w:fldChar w:fldCharType="separate"/>
      </w:r>
      <w:r>
        <w:t>125</w:t>
      </w:r>
      <w:r>
        <w:fldChar w:fldCharType="end"/>
      </w:r>
    </w:p>
    <w:p>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_Toc191042097 \h </w:instrText>
      </w:r>
      <w:r>
        <w:fldChar w:fldCharType="separate"/>
      </w:r>
      <w:r>
        <w:t>125</w:t>
      </w:r>
      <w:r>
        <w:fldChar w:fldCharType="end"/>
      </w:r>
    </w:p>
    <w:p>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_Toc191042098 \h </w:instrText>
      </w:r>
      <w:r>
        <w:fldChar w:fldCharType="separate"/>
      </w:r>
      <w:r>
        <w:t>126</w:t>
      </w:r>
      <w:r>
        <w:fldChar w:fldCharType="end"/>
      </w:r>
    </w:p>
    <w:p>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_Toc191042099 \h </w:instrText>
      </w:r>
      <w:r>
        <w:fldChar w:fldCharType="separate"/>
      </w:r>
      <w:r>
        <w:t>126</w:t>
      </w:r>
      <w:r>
        <w:fldChar w:fldCharType="end"/>
      </w:r>
    </w:p>
    <w:p>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_Toc191042100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 and enforcement</w:t>
      </w:r>
    </w:p>
    <w:p>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_Toc191042102 \h </w:instrText>
      </w:r>
      <w:r>
        <w:fldChar w:fldCharType="separate"/>
      </w:r>
      <w:r>
        <w:t>129</w:t>
      </w:r>
      <w:r>
        <w:fldChar w:fldCharType="end"/>
      </w:r>
    </w:p>
    <w:p>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_Toc191042103 \h </w:instrText>
      </w:r>
      <w:r>
        <w:fldChar w:fldCharType="separate"/>
      </w:r>
      <w:r>
        <w:t>129</w:t>
      </w:r>
      <w:r>
        <w:fldChar w:fldCharType="end"/>
      </w:r>
    </w:p>
    <w:p>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_Toc191042104 \h </w:instrText>
      </w:r>
      <w:r>
        <w:fldChar w:fldCharType="separate"/>
      </w:r>
      <w:r>
        <w:t>130</w:t>
      </w:r>
      <w:r>
        <w:fldChar w:fldCharType="end"/>
      </w:r>
    </w:p>
    <w:p>
      <w:pPr>
        <w:pStyle w:val="TOC8"/>
        <w:rPr>
          <w:rFonts w:asciiTheme="minorHAnsi" w:eastAsiaTheme="minorEastAsia" w:hAnsiTheme="minorHAnsi" w:cstheme="minorBidi"/>
          <w:szCs w:val="22"/>
        </w:rPr>
      </w:pPr>
      <w:r>
        <w:t>150.</w:t>
      </w:r>
      <w:r>
        <w:tab/>
        <w:t>Forms</w:t>
      </w:r>
      <w:r>
        <w:tab/>
      </w:r>
      <w:r>
        <w:fldChar w:fldCharType="begin"/>
      </w:r>
      <w:r>
        <w:instrText xml:space="preserve"> PAGEREF _Toc191042105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11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_Toc191042108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_Toc191042111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General provisions relating to levy</w:t>
      </w:r>
    </w:p>
    <w:p>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_Toc191042113 \h </w:instrText>
      </w:r>
      <w:r>
        <w:fldChar w:fldCharType="separate"/>
      </w:r>
      <w:r>
        <w:t>133</w:t>
      </w:r>
      <w:r>
        <w:fldChar w:fldCharType="end"/>
      </w:r>
    </w:p>
    <w:p>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_Toc191042114 \h </w:instrText>
      </w:r>
      <w:r>
        <w:fldChar w:fldCharType="separate"/>
      </w:r>
      <w:r>
        <w:t>134</w:t>
      </w:r>
      <w:r>
        <w:fldChar w:fldCharType="end"/>
      </w:r>
    </w:p>
    <w:p>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_Toc191042115 \h </w:instrText>
      </w:r>
      <w:r>
        <w:fldChar w:fldCharType="separate"/>
      </w:r>
      <w:r>
        <w:t>135</w:t>
      </w:r>
      <w:r>
        <w:fldChar w:fldCharType="end"/>
      </w:r>
    </w:p>
    <w:p>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_Toc191042116 \h </w:instrText>
      </w:r>
      <w:r>
        <w:fldChar w:fldCharType="separate"/>
      </w:r>
      <w:r>
        <w:t>136</w:t>
      </w:r>
      <w:r>
        <w:fldChar w:fldCharType="end"/>
      </w:r>
    </w:p>
    <w:p>
      <w:pPr>
        <w:pStyle w:val="TOC8"/>
        <w:rPr>
          <w:rFonts w:asciiTheme="minorHAnsi" w:eastAsiaTheme="minorEastAsia" w:hAnsiTheme="minorHAnsi" w:cstheme="minorBidi"/>
          <w:szCs w:val="22"/>
        </w:rPr>
      </w:pPr>
      <w:r>
        <w:t>157.</w:t>
      </w:r>
      <w:r>
        <w:tab/>
        <w:t>Transactions relating to electric vehicles not leviable passenger service transactions</w:t>
      </w:r>
      <w:r>
        <w:tab/>
      </w:r>
      <w:r>
        <w:fldChar w:fldCharType="begin"/>
      </w:r>
      <w:r>
        <w:instrText xml:space="preserve"> PAGEREF _Toc191042117 \h </w:instrText>
      </w:r>
      <w:r>
        <w:fldChar w:fldCharType="separate"/>
      </w:r>
      <w:r>
        <w:t>137</w:t>
      </w:r>
      <w:r>
        <w:fldChar w:fldCharType="end"/>
      </w:r>
    </w:p>
    <w:p>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_Toc191042118 \h </w:instrText>
      </w:r>
      <w:r>
        <w:fldChar w:fldCharType="separate"/>
      </w:r>
      <w:r>
        <w:t>137</w:t>
      </w:r>
      <w:r>
        <w:fldChar w:fldCharType="end"/>
      </w:r>
    </w:p>
    <w:p>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_Toc191042119 \h </w:instrText>
      </w:r>
      <w:r>
        <w:fldChar w:fldCharType="separate"/>
      </w:r>
      <w:r>
        <w:t>138</w:t>
      </w:r>
      <w:r>
        <w:fldChar w:fldCharType="end"/>
      </w:r>
    </w:p>
    <w:p>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_Toc191042120 \h </w:instrText>
      </w:r>
      <w:r>
        <w:fldChar w:fldCharType="separate"/>
      </w:r>
      <w:r>
        <w:t>140</w:t>
      </w:r>
      <w:r>
        <w:fldChar w:fldCharType="end"/>
      </w:r>
    </w:p>
    <w:p>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_Toc191042121 \h </w:instrText>
      </w:r>
      <w:r>
        <w:fldChar w:fldCharType="separate"/>
      </w:r>
      <w:r>
        <w:t>140</w:t>
      </w:r>
      <w:r>
        <w:fldChar w:fldCharType="end"/>
      </w:r>
    </w:p>
    <w:p>
      <w:pPr>
        <w:pStyle w:val="TOC8"/>
        <w:rPr>
          <w:rFonts w:asciiTheme="minorHAnsi" w:eastAsiaTheme="minorEastAsia" w:hAnsiTheme="minorHAnsi" w:cstheme="minorBidi"/>
          <w:szCs w:val="22"/>
        </w:rPr>
      </w:pPr>
      <w:r>
        <w:t>162.</w:t>
      </w:r>
      <w:r>
        <w:tab/>
        <w:t>Returns (s. 250)</w:t>
      </w:r>
      <w:r>
        <w:tab/>
      </w:r>
      <w:r>
        <w:fldChar w:fldCharType="begin"/>
      </w:r>
      <w:r>
        <w:instrText xml:space="preserve"> PAGEREF _Toc191042122 \h </w:instrText>
      </w:r>
      <w:r>
        <w:fldChar w:fldCharType="separate"/>
      </w:r>
      <w:r>
        <w:t>141</w:t>
      </w:r>
      <w:r>
        <w:fldChar w:fldCharType="end"/>
      </w:r>
    </w:p>
    <w:p>
      <w:pPr>
        <w:pStyle w:val="TOC8"/>
        <w:rPr>
          <w:rFonts w:asciiTheme="minorHAnsi" w:eastAsiaTheme="minorEastAsia" w:hAnsiTheme="minorHAnsi" w:cstheme="minorBidi"/>
          <w:szCs w:val="22"/>
        </w:rPr>
      </w:pPr>
      <w:r>
        <w:t>163.</w:t>
      </w:r>
      <w:r>
        <w:tab/>
        <w:t>Records (s. 251)</w:t>
      </w:r>
      <w:r>
        <w:tab/>
      </w:r>
      <w:r>
        <w:fldChar w:fldCharType="begin"/>
      </w:r>
      <w:r>
        <w:instrText xml:space="preserve"> PAGEREF _Toc191042123 \h </w:instrText>
      </w:r>
      <w:r>
        <w:fldChar w:fldCharType="separate"/>
      </w:r>
      <w:r>
        <w:t>141</w:t>
      </w:r>
      <w:r>
        <w:fldChar w:fldCharType="end"/>
      </w:r>
    </w:p>
    <w:p>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_Toc191042124 \h </w:instrText>
      </w:r>
      <w:r>
        <w:fldChar w:fldCharType="separate"/>
      </w:r>
      <w:r>
        <w:t>142</w:t>
      </w:r>
      <w:r>
        <w:fldChar w:fldCharType="end"/>
      </w:r>
    </w:p>
    <w:p>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_Toc191042125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166.</w:t>
      </w:r>
      <w:r>
        <w:tab/>
        <w:t xml:space="preserve">Modifications of </w:t>
      </w:r>
      <w:r>
        <w:rPr>
          <w:i/>
        </w:rPr>
        <w:t>Taxation Administration Act 2003</w:t>
      </w:r>
      <w:r>
        <w:t xml:space="preserve"> (s. 243(2))</w:t>
      </w:r>
      <w:r>
        <w:tab/>
      </w:r>
      <w:r>
        <w:fldChar w:fldCharType="begin"/>
      </w:r>
      <w:r>
        <w:instrText xml:space="preserve"> PAGEREF _Toc191042127 \h </w:instrText>
      </w:r>
      <w:r>
        <w:fldChar w:fldCharType="separate"/>
      </w:r>
      <w:r>
        <w:t>144</w:t>
      </w:r>
      <w:r>
        <w:fldChar w:fldCharType="end"/>
      </w:r>
    </w:p>
    <w:p>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_Toc191042128 \h </w:instrText>
      </w:r>
      <w:r>
        <w:fldChar w:fldCharType="separate"/>
      </w:r>
      <w:r>
        <w:t>144</w:t>
      </w:r>
      <w:r>
        <w:fldChar w:fldCharType="end"/>
      </w:r>
    </w:p>
    <w:p>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_Toc191042129 \h </w:instrText>
      </w:r>
      <w:r>
        <w:fldChar w:fldCharType="separate"/>
      </w:r>
      <w:r>
        <w:t>144</w:t>
      </w:r>
      <w:r>
        <w:fldChar w:fldCharType="end"/>
      </w:r>
    </w:p>
    <w:p>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_Toc191042130 \h </w:instrText>
      </w:r>
      <w:r>
        <w:fldChar w:fldCharType="separate"/>
      </w:r>
      <w:r>
        <w:t>144</w:t>
      </w:r>
      <w:r>
        <w:fldChar w:fldCharType="end"/>
      </w:r>
    </w:p>
    <w:p>
      <w:pPr>
        <w:pStyle w:val="TOC8"/>
        <w:rPr>
          <w:rFonts w:asciiTheme="minorHAnsi" w:eastAsiaTheme="minorEastAsia" w:hAnsiTheme="minorHAnsi" w:cstheme="minorBidi"/>
          <w:szCs w:val="22"/>
        </w:rPr>
      </w:pPr>
      <w:r>
        <w:t>170.</w:t>
      </w:r>
      <w:r>
        <w:tab/>
        <w:t>Time for lodging objections</w:t>
      </w:r>
      <w:r>
        <w:tab/>
      </w:r>
      <w:r>
        <w:fldChar w:fldCharType="begin"/>
      </w:r>
      <w:r>
        <w:instrText xml:space="preserve"> PAGEREF _Toc191042131 \h </w:instrText>
      </w:r>
      <w:r>
        <w:fldChar w:fldCharType="separate"/>
      </w:r>
      <w:r>
        <w:t>145</w:t>
      </w:r>
      <w:r>
        <w:fldChar w:fldCharType="end"/>
      </w:r>
    </w:p>
    <w:p>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_Toc191042132 \h </w:instrText>
      </w:r>
      <w:r>
        <w:fldChar w:fldCharType="separate"/>
      </w:r>
      <w:r>
        <w:t>145</w:t>
      </w:r>
      <w:r>
        <w:fldChar w:fldCharType="end"/>
      </w:r>
    </w:p>
    <w:p>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_Toc191042133 \h </w:instrText>
      </w:r>
      <w:r>
        <w:fldChar w:fldCharType="separate"/>
      </w:r>
      <w:r>
        <w:t>145</w:t>
      </w:r>
      <w:r>
        <w:fldChar w:fldCharType="end"/>
      </w:r>
    </w:p>
    <w:p>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_Toc191042134 \h </w:instrText>
      </w:r>
      <w:r>
        <w:fldChar w:fldCharType="separate"/>
      </w:r>
      <w:r>
        <w:t>146</w:t>
      </w:r>
      <w:r>
        <w:fldChar w:fldCharType="end"/>
      </w:r>
    </w:p>
    <w:p>
      <w:pPr>
        <w:pStyle w:val="TOC8"/>
        <w:rPr>
          <w:rFonts w:asciiTheme="minorHAnsi" w:eastAsiaTheme="minorEastAsia" w:hAnsiTheme="minorHAnsi" w:cstheme="minorBidi"/>
          <w:szCs w:val="22"/>
        </w:rPr>
      </w:pPr>
      <w:r>
        <w:t>174.</w:t>
      </w:r>
      <w:r>
        <w:tab/>
        <w:t>Service</w:t>
      </w:r>
      <w:r>
        <w:tab/>
      </w:r>
      <w:r>
        <w:fldChar w:fldCharType="begin"/>
      </w:r>
      <w:r>
        <w:instrText xml:space="preserve"> PAGEREF _Toc191042135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_Toc191042137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_Toc191042139 \h </w:instrText>
      </w:r>
      <w:r>
        <w:fldChar w:fldCharType="separate"/>
      </w:r>
      <w:r>
        <w:t>147</w:t>
      </w:r>
      <w:r>
        <w:fldChar w:fldCharType="end"/>
      </w:r>
    </w:p>
    <w:p>
      <w:pPr>
        <w:pStyle w:val="TOC8"/>
        <w:rPr>
          <w:rFonts w:asciiTheme="minorHAnsi" w:eastAsiaTheme="minorEastAsia" w:hAnsiTheme="minorHAnsi" w:cstheme="minorBidi"/>
          <w:szCs w:val="22"/>
        </w:rPr>
      </w:pPr>
      <w:r>
        <w:t>177.</w:t>
      </w:r>
      <w:r>
        <w:tab/>
        <w:t>Fees</w:t>
      </w:r>
      <w:r>
        <w:tab/>
      </w:r>
      <w:r>
        <w:fldChar w:fldCharType="begin"/>
      </w:r>
      <w:r>
        <w:instrText xml:space="preserve"> PAGEREF _Toc191042140 \h </w:instrText>
      </w:r>
      <w:r>
        <w:fldChar w:fldCharType="separate"/>
      </w:r>
      <w:r>
        <w:t>147</w:t>
      </w:r>
      <w:r>
        <w:fldChar w:fldCharType="end"/>
      </w:r>
    </w:p>
    <w:p>
      <w:pPr>
        <w:pStyle w:val="TOC8"/>
        <w:rPr>
          <w:rFonts w:asciiTheme="minorHAnsi" w:eastAsiaTheme="minorEastAsia" w:hAnsiTheme="minorHAnsi" w:cstheme="minorBidi"/>
          <w:szCs w:val="22"/>
        </w:rPr>
      </w:pPr>
      <w:r>
        <w:lastRenderedPageBreak/>
        <w:t>178.</w:t>
      </w:r>
      <w:r>
        <w:tab/>
        <w:t>Waiver of fees</w:t>
      </w:r>
      <w:r>
        <w:tab/>
      </w:r>
      <w:r>
        <w:fldChar w:fldCharType="begin"/>
      </w:r>
      <w:r>
        <w:instrText xml:space="preserve"> PAGEREF _Toc191042141 \h </w:instrText>
      </w:r>
      <w:r>
        <w:fldChar w:fldCharType="separate"/>
      </w:r>
      <w:r>
        <w:t>149</w:t>
      </w:r>
      <w:r>
        <w:fldChar w:fldCharType="end"/>
      </w:r>
    </w:p>
    <w:p>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_Toc191042142 \h </w:instrText>
      </w:r>
      <w:r>
        <w:fldChar w:fldCharType="separate"/>
      </w:r>
      <w:r>
        <w:t>149</w:t>
      </w:r>
      <w:r>
        <w:fldChar w:fldCharType="end"/>
      </w:r>
    </w:p>
    <w:p>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_Toc191042143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_Toc191042146 \h </w:instrText>
      </w:r>
      <w:r>
        <w:fldChar w:fldCharType="separate"/>
      </w:r>
      <w:r>
        <w:t>152</w:t>
      </w:r>
      <w:r>
        <w:fldChar w:fldCharType="end"/>
      </w:r>
    </w:p>
    <w:p>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_Toc191042147 \h </w:instrText>
      </w:r>
      <w:r>
        <w:fldChar w:fldCharType="separate"/>
      </w:r>
      <w:r>
        <w:t>152</w:t>
      </w:r>
      <w:r>
        <w:fldChar w:fldCharType="end"/>
      </w:r>
    </w:p>
    <w:p>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_Toc191042148 \h </w:instrText>
      </w:r>
      <w:r>
        <w:fldChar w:fldCharType="separate"/>
      </w:r>
      <w:r>
        <w:t>153</w:t>
      </w:r>
      <w:r>
        <w:fldChar w:fldCharType="end"/>
      </w:r>
    </w:p>
    <w:p>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_Toc191042149 \h </w:instrText>
      </w:r>
      <w:r>
        <w:fldChar w:fldCharType="separate"/>
      </w:r>
      <w:r>
        <w:t>153</w:t>
      </w:r>
      <w:r>
        <w:fldChar w:fldCharType="end"/>
      </w:r>
    </w:p>
    <w:p>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_Toc191042150 \h </w:instrText>
      </w:r>
      <w:r>
        <w:fldChar w:fldCharType="separate"/>
      </w:r>
      <w:r>
        <w:t>154</w:t>
      </w:r>
      <w:r>
        <w:fldChar w:fldCharType="end"/>
      </w:r>
    </w:p>
    <w:p>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_Toc191042151 \h </w:instrText>
      </w:r>
      <w:r>
        <w:fldChar w:fldCharType="separate"/>
      </w:r>
      <w:r>
        <w:t>155</w:t>
      </w:r>
      <w:r>
        <w:fldChar w:fldCharType="end"/>
      </w:r>
    </w:p>
    <w:p>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_Toc191042152 \h </w:instrText>
      </w:r>
      <w:r>
        <w:fldChar w:fldCharType="separate"/>
      </w:r>
      <w:r>
        <w:t>156</w:t>
      </w:r>
      <w:r>
        <w:fldChar w:fldCharType="end"/>
      </w:r>
    </w:p>
    <w:p>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_Toc191042153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_Toc191042155 \h </w:instrText>
      </w:r>
      <w:r>
        <w:fldChar w:fldCharType="separate"/>
      </w:r>
      <w:r>
        <w:t>158</w:t>
      </w:r>
      <w:r>
        <w:fldChar w:fldCharType="end"/>
      </w:r>
    </w:p>
    <w:p>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_Toc191042156 \h </w:instrText>
      </w:r>
      <w:r>
        <w:fldChar w:fldCharType="separate"/>
      </w:r>
      <w:r>
        <w:t>158</w:t>
      </w:r>
      <w:r>
        <w:fldChar w:fldCharType="end"/>
      </w:r>
    </w:p>
    <w:p>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_Toc191042157 \h </w:instrText>
      </w:r>
      <w:r>
        <w:fldChar w:fldCharType="separate"/>
      </w:r>
      <w:r>
        <w:t>158</w:t>
      </w:r>
      <w:r>
        <w:fldChar w:fldCharType="end"/>
      </w:r>
    </w:p>
    <w:p>
      <w:pPr>
        <w:pStyle w:val="TOC8"/>
        <w:rPr>
          <w:rFonts w:asciiTheme="minorHAnsi" w:eastAsiaTheme="minorEastAsia" w:hAnsiTheme="minorHAnsi" w:cstheme="minorBidi"/>
          <w:szCs w:val="22"/>
        </w:rPr>
      </w:pPr>
      <w:r>
        <w:t>192.</w:t>
      </w:r>
      <w:r>
        <w:tab/>
        <w:t>Omnibus number plates</w:t>
      </w:r>
      <w:r>
        <w:tab/>
      </w:r>
      <w:r>
        <w:fldChar w:fldCharType="begin"/>
      </w:r>
      <w:r>
        <w:instrText xml:space="preserve"> PAGEREF _Toc191042158 \h </w:instrText>
      </w:r>
      <w:r>
        <w:fldChar w:fldCharType="separate"/>
      </w:r>
      <w:r>
        <w:t>159</w:t>
      </w:r>
      <w:r>
        <w:fldChar w:fldCharType="end"/>
      </w:r>
    </w:p>
    <w:p>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_Toc191042159 \h </w:instrText>
      </w:r>
      <w:r>
        <w:fldChar w:fldCharType="separate"/>
      </w:r>
      <w:r>
        <w:t>160</w:t>
      </w:r>
      <w:r>
        <w:fldChar w:fldCharType="end"/>
      </w:r>
    </w:p>
    <w:p>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_Toc191042160 \h </w:instrText>
      </w:r>
      <w:r>
        <w:fldChar w:fldCharType="separate"/>
      </w:r>
      <w:r>
        <w:t>161</w:t>
      </w:r>
      <w:r>
        <w:fldChar w:fldCharType="end"/>
      </w:r>
    </w:p>
    <w:p>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_Toc191042161 \h </w:instrText>
      </w:r>
      <w:r>
        <w:fldChar w:fldCharType="separate"/>
      </w:r>
      <w:r>
        <w:t>162</w:t>
      </w:r>
      <w:r>
        <w:fldChar w:fldCharType="end"/>
      </w:r>
    </w:p>
    <w:p>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_Toc191042162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 from </w:t>
      </w:r>
      <w:r>
        <w:rPr>
          <w:i/>
        </w:rPr>
        <w:t>Transport (Road Passenger Services) Regulations 2019</w:t>
      </w:r>
    </w:p>
    <w:p>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_Toc191042164 \h </w:instrText>
      </w:r>
      <w:r>
        <w:fldChar w:fldCharType="separate"/>
      </w:r>
      <w:r>
        <w:t>164</w:t>
      </w:r>
      <w:r>
        <w:fldChar w:fldCharType="end"/>
      </w:r>
    </w:p>
    <w:p>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_Toc191042165 \h </w:instrText>
      </w:r>
      <w:r>
        <w:fldChar w:fldCharType="separate"/>
      </w:r>
      <w:r>
        <w:t>164</w:t>
      </w:r>
      <w:r>
        <w:fldChar w:fldCharType="end"/>
      </w:r>
    </w:p>
    <w:p>
      <w:pPr>
        <w:pStyle w:val="TOC8"/>
        <w:rPr>
          <w:rFonts w:asciiTheme="minorHAnsi" w:eastAsiaTheme="minorEastAsia" w:hAnsiTheme="minorHAnsi" w:cstheme="minorBidi"/>
          <w:szCs w:val="22"/>
        </w:rPr>
      </w:pPr>
      <w:r>
        <w:lastRenderedPageBreak/>
        <w:t>199.</w:t>
      </w:r>
      <w:r>
        <w:tab/>
        <w:t>Provisions relating to disqualification periods under 2019 regulations</w:t>
      </w:r>
      <w:r>
        <w:tab/>
      </w:r>
      <w:r>
        <w:fldChar w:fldCharType="begin"/>
      </w:r>
      <w:r>
        <w:instrText xml:space="preserve"> PAGEREF _Toc191042166 \h </w:instrText>
      </w:r>
      <w:r>
        <w:fldChar w:fldCharType="separate"/>
      </w:r>
      <w:r>
        <w:t>165</w:t>
      </w:r>
      <w:r>
        <w:fldChar w:fldCharType="end"/>
      </w:r>
    </w:p>
    <w:p>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_Toc191042167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Transitional provision in relation to the </w:t>
      </w:r>
      <w:r>
        <w:rPr>
          <w:i/>
          <w:iCs/>
        </w:rPr>
        <w:t>Transport (Road Passenger Services) Amendment Regulations (No. 2) 2024</w:t>
      </w:r>
    </w:p>
    <w:p>
      <w:pPr>
        <w:pStyle w:val="TOC8"/>
        <w:rPr>
          <w:rFonts w:asciiTheme="minorHAnsi" w:eastAsiaTheme="minorEastAsia" w:hAnsiTheme="minorHAnsi" w:cstheme="minorBidi"/>
          <w:szCs w:val="22"/>
        </w:rPr>
      </w:pPr>
      <w:r>
        <w:t>200A.</w:t>
      </w:r>
      <w:r>
        <w:tab/>
        <w:t>Display of fare schedules</w:t>
      </w:r>
      <w:r>
        <w:tab/>
      </w:r>
      <w:r>
        <w:fldChar w:fldCharType="begin"/>
      </w:r>
      <w:r>
        <w:instrText xml:space="preserve"> PAGEREF _Toc191042169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14 — </w:t>
      </w:r>
      <w:r>
        <w:rPr>
          <w:i/>
        </w:rPr>
        <w:t>Transport (Road Passenger Services) Regulations 2019</w:t>
      </w:r>
      <w:r>
        <w:t xml:space="preserve"> repealed</w:t>
      </w:r>
    </w:p>
    <w:p>
      <w:pPr>
        <w:pStyle w:val="TOC8"/>
        <w:rPr>
          <w:rFonts w:asciiTheme="minorHAnsi" w:eastAsiaTheme="minorEastAsia" w:hAnsiTheme="minorHAnsi" w:cstheme="minorBidi"/>
          <w:szCs w:val="22"/>
        </w:rPr>
      </w:pPr>
      <w:r>
        <w:t>201.</w:t>
      </w:r>
      <w:r>
        <w:tab/>
      </w:r>
      <w:r>
        <w:rPr>
          <w:i/>
        </w:rPr>
        <w:t>Transport (Road Passenger Services) Regulations 2019</w:t>
      </w:r>
      <w:r>
        <w:t xml:space="preserve"> repealed</w:t>
      </w:r>
      <w:r>
        <w:tab/>
      </w:r>
      <w:r>
        <w:fldChar w:fldCharType="begin"/>
      </w:r>
      <w:r>
        <w:instrText xml:space="preserve"> PAGEREF _Toc191042171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Transport Regulations Amendment (Road Passenger Services) Regulations (No. 2) 2019</w:t>
      </w:r>
      <w:r>
        <w:t xml:space="preserve"> amended</w:t>
      </w:r>
    </w:p>
    <w:p>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_Toc191042173 \h </w:instrText>
      </w:r>
      <w:r>
        <w:fldChar w:fldCharType="separate"/>
      </w:r>
      <w:r>
        <w:t>168</w:t>
      </w:r>
      <w:r>
        <w:fldChar w:fldCharType="end"/>
      </w:r>
    </w:p>
    <w:p>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_Toc191042174 \h </w:instrText>
      </w:r>
      <w:r>
        <w:fldChar w:fldCharType="separate"/>
      </w:r>
      <w:r>
        <w:t>168</w:t>
      </w:r>
      <w:r>
        <w:fldChar w:fldCharType="end"/>
      </w:r>
    </w:p>
    <w:p>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_Toc191042175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general</w:t>
      </w:r>
    </w:p>
    <w:p>
      <w:pPr>
        <w:pStyle w:val="TOC4"/>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tabs>
          <w:tab w:val="right" w:leader="dot" w:pos="7077"/>
        </w:tabs>
        <w:rPr>
          <w:rFonts w:asciiTheme="minorHAnsi" w:eastAsiaTheme="minorEastAsia" w:hAnsiTheme="minorHAnsi" w:cstheme="minorBidi"/>
          <w:b w:val="0"/>
          <w:szCs w:val="22"/>
        </w:rPr>
      </w:pPr>
      <w:r>
        <w:t>Division 3 — Authorisation fee for passenger transport driver authorisation</w:t>
      </w:r>
    </w:p>
    <w:p>
      <w:pPr>
        <w:pStyle w:val="TOC4"/>
        <w:tabs>
          <w:tab w:val="right" w:leader="dot" w:pos="7077"/>
        </w:tabs>
        <w:rPr>
          <w:rFonts w:asciiTheme="minorHAnsi" w:eastAsiaTheme="minorEastAsia" w:hAnsiTheme="minorHAnsi" w:cstheme="minorBidi"/>
          <w:b w:val="0"/>
          <w:szCs w:val="22"/>
        </w:rPr>
      </w:pPr>
      <w:r>
        <w:t>Division 4 — Authorisation fees for passenger transport vehicle authorisations</w:t>
      </w:r>
    </w:p>
    <w:p>
      <w:pPr>
        <w:pStyle w:val="TOC2"/>
        <w:tabs>
          <w:tab w:val="right" w:leader="dot" w:pos="7077"/>
        </w:tabs>
        <w:rPr>
          <w:rFonts w:asciiTheme="minorHAnsi" w:eastAsiaTheme="minorEastAsia" w:hAnsiTheme="minorHAnsi" w:cstheme="minorBidi"/>
          <w:b w:val="0"/>
          <w:sz w:val="22"/>
          <w:szCs w:val="22"/>
        </w:rPr>
      </w:pPr>
      <w:r>
        <w:t>Schedule 2 — Disqualification offences and disqualification periods: on</w:t>
      </w:r>
      <w:r>
        <w:noBreakHyphen/>
        <w:t>demand booking services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_Toc191042182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Disqualification offences and disqualification periods: passenger transport drivers</w:t>
      </w:r>
    </w:p>
    <w:p>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_Toc191042184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Schedule 4 — Fares: metropolitan region</w:t>
      </w:r>
    </w:p>
    <w:p>
      <w:pPr>
        <w:pStyle w:val="TOC2"/>
        <w:tabs>
          <w:tab w:val="right" w:leader="dot" w:pos="7077"/>
        </w:tabs>
        <w:rPr>
          <w:rFonts w:asciiTheme="minorHAnsi" w:eastAsiaTheme="minorEastAsia" w:hAnsiTheme="minorHAnsi" w:cstheme="minorBidi"/>
          <w:b w:val="0"/>
          <w:sz w:val="22"/>
          <w:szCs w:val="22"/>
        </w:rPr>
      </w:pPr>
      <w:r>
        <w:t>Schedule 5 — Fares: regions</w:t>
      </w:r>
    </w:p>
    <w:p>
      <w:pPr>
        <w:pStyle w:val="TOC4"/>
        <w:tabs>
          <w:tab w:val="right" w:leader="dot" w:pos="7077"/>
        </w:tabs>
        <w:rPr>
          <w:rFonts w:asciiTheme="minorHAnsi" w:eastAsiaTheme="minorEastAsia" w:hAnsiTheme="minorHAnsi" w:cstheme="minorBidi"/>
          <w:b w:val="0"/>
          <w:szCs w:val="22"/>
        </w:rPr>
      </w:pPr>
      <w:r>
        <w:t>Division 1 — Gascoyne region</w:t>
      </w:r>
    </w:p>
    <w:p>
      <w:pPr>
        <w:pStyle w:val="TOC4"/>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tabs>
          <w:tab w:val="right" w:leader="dot" w:pos="7077"/>
        </w:tabs>
        <w:rPr>
          <w:rFonts w:asciiTheme="minorHAnsi" w:eastAsiaTheme="minorEastAsia" w:hAnsiTheme="minorHAnsi" w:cstheme="minorBidi"/>
          <w:b w:val="0"/>
          <w:szCs w:val="22"/>
        </w:rPr>
      </w:pPr>
      <w:r>
        <w:t>Division 3 — Great Southern region</w:t>
      </w:r>
    </w:p>
    <w:p>
      <w:pPr>
        <w:pStyle w:val="TOC4"/>
        <w:tabs>
          <w:tab w:val="right" w:leader="dot" w:pos="7077"/>
        </w:tabs>
        <w:rPr>
          <w:rFonts w:asciiTheme="minorHAnsi" w:eastAsiaTheme="minorEastAsia" w:hAnsiTheme="minorHAnsi" w:cstheme="minorBidi"/>
          <w:b w:val="0"/>
          <w:szCs w:val="22"/>
        </w:rPr>
      </w:pPr>
      <w:r>
        <w:t>Division 4 — Kimberley region</w:t>
      </w:r>
    </w:p>
    <w:p>
      <w:pPr>
        <w:pStyle w:val="TOC4"/>
        <w:tabs>
          <w:tab w:val="right" w:leader="dot" w:pos="7077"/>
        </w:tabs>
        <w:rPr>
          <w:rFonts w:asciiTheme="minorHAnsi" w:eastAsiaTheme="minorEastAsia" w:hAnsiTheme="minorHAnsi" w:cstheme="minorBidi"/>
          <w:b w:val="0"/>
          <w:szCs w:val="22"/>
        </w:rPr>
      </w:pPr>
      <w:r>
        <w:t>Division 5 — Mid West region</w:t>
      </w:r>
    </w:p>
    <w:p>
      <w:pPr>
        <w:pStyle w:val="TOC4"/>
        <w:tabs>
          <w:tab w:val="right" w:leader="dot" w:pos="7077"/>
        </w:tabs>
        <w:rPr>
          <w:rFonts w:asciiTheme="minorHAnsi" w:eastAsiaTheme="minorEastAsia" w:hAnsiTheme="minorHAnsi" w:cstheme="minorBidi"/>
          <w:b w:val="0"/>
          <w:szCs w:val="22"/>
        </w:rPr>
      </w:pPr>
      <w:r>
        <w:t>Division 6 — Peel region</w:t>
      </w:r>
    </w:p>
    <w:p>
      <w:pPr>
        <w:pStyle w:val="TOC4"/>
        <w:tabs>
          <w:tab w:val="right" w:leader="dot" w:pos="7077"/>
        </w:tabs>
        <w:rPr>
          <w:rFonts w:asciiTheme="minorHAnsi" w:eastAsiaTheme="minorEastAsia" w:hAnsiTheme="minorHAnsi" w:cstheme="minorBidi"/>
          <w:b w:val="0"/>
          <w:szCs w:val="22"/>
        </w:rPr>
      </w:pPr>
      <w:r>
        <w:t>Division 7 — Pilbara region</w:t>
      </w:r>
    </w:p>
    <w:p>
      <w:pPr>
        <w:pStyle w:val="TOC4"/>
        <w:tabs>
          <w:tab w:val="right" w:leader="dot" w:pos="7077"/>
        </w:tabs>
        <w:rPr>
          <w:rFonts w:asciiTheme="minorHAnsi" w:eastAsiaTheme="minorEastAsia" w:hAnsiTheme="minorHAnsi" w:cstheme="minorBidi"/>
          <w:b w:val="0"/>
          <w:szCs w:val="22"/>
        </w:rPr>
      </w:pPr>
      <w:r>
        <w:t>Division 8 — South West region</w:t>
      </w:r>
    </w:p>
    <w:p>
      <w:pPr>
        <w:pStyle w:val="TOC4"/>
        <w:tabs>
          <w:tab w:val="right" w:leader="dot" w:pos="7077"/>
        </w:tabs>
        <w:rPr>
          <w:rFonts w:asciiTheme="minorHAnsi" w:eastAsiaTheme="minorEastAsia" w:hAnsiTheme="minorHAnsi" w:cstheme="minorBidi"/>
          <w:b w:val="0"/>
          <w:szCs w:val="22"/>
        </w:rPr>
      </w:pPr>
      <w:r>
        <w:t>Division 9 — Wheatbelt region</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_Toc191042199 \h </w:instrText>
      </w:r>
      <w:r>
        <w:fldChar w:fldCharType="separate"/>
      </w:r>
      <w:r>
        <w:t>227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_Toc191042200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2" w:name="_Toc191024166"/>
      <w:bookmarkStart w:id="3" w:name="_Toc191025357"/>
      <w:bookmarkStart w:id="4" w:name="_Toc191041881"/>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91041882"/>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7" w:name="_Toc191041883"/>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8" w:name="_Toc191041884"/>
      <w:r>
        <w:rPr>
          <w:rStyle w:val="CharSectno"/>
        </w:rPr>
        <w:t>3</w:t>
      </w:r>
      <w:r>
        <w:t>.</w:t>
      </w:r>
      <w:r>
        <w:tab/>
        <w:t>Terms used</w:t>
      </w:r>
      <w:bookmarkEnd w:id="8"/>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w:t>
      </w:r>
      <w:r>
        <w:t>, followed by a designation, means the Australian Standard having that designation that is published by Standards Australia;</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lastRenderedPageBreak/>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lastRenderedPageBreak/>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lastRenderedPageBreak/>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lastRenderedPageBreak/>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w:t>
      </w:r>
      <w:r>
        <w:t xml:space="preserve">, followed by a designation, means the unit of competency having that designation that is published on the National Register (as defined in the </w:t>
      </w:r>
      <w:r>
        <w:rPr>
          <w:i/>
        </w:rPr>
        <w:t xml:space="preserve">National Vocational </w:t>
      </w:r>
      <w:r>
        <w:rPr>
          <w:i/>
        </w:rPr>
        <w:lastRenderedPageBreak/>
        <w:t>Education and Training Regulator Act 2011</w:t>
      </w:r>
      <w:r>
        <w:t xml:space="preserve"> (Commonwealth) section 3);</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 SL 2024/286 r. 4.]</w:t>
      </w:r>
    </w:p>
    <w:p>
      <w:pPr>
        <w:pStyle w:val="Heading2"/>
      </w:pPr>
      <w:bookmarkStart w:id="9" w:name="_Toc191024170"/>
      <w:bookmarkStart w:id="10" w:name="_Toc191025361"/>
      <w:bookmarkStart w:id="11" w:name="_Toc191041885"/>
      <w:r>
        <w:rPr>
          <w:rStyle w:val="CharPartNo"/>
        </w:rPr>
        <w:lastRenderedPageBreak/>
        <w:t>Part 2</w:t>
      </w:r>
      <w:r>
        <w:rPr>
          <w:rStyle w:val="CharDivNo"/>
        </w:rPr>
        <w:t> </w:t>
      </w:r>
      <w:r>
        <w:t>—</w:t>
      </w:r>
      <w:r>
        <w:rPr>
          <w:rStyle w:val="CharDivText"/>
        </w:rPr>
        <w:t> </w:t>
      </w:r>
      <w:r>
        <w:rPr>
          <w:rStyle w:val="CharPartText"/>
        </w:rPr>
        <w:t>Key concepts</w:t>
      </w:r>
      <w:bookmarkEnd w:id="9"/>
      <w:bookmarkEnd w:id="10"/>
      <w:bookmarkEnd w:id="11"/>
    </w:p>
    <w:p>
      <w:pPr>
        <w:pStyle w:val="Heading5"/>
      </w:pPr>
      <w:bookmarkStart w:id="12" w:name="_Toc191041886"/>
      <w:r>
        <w:rPr>
          <w:rStyle w:val="CharSectno"/>
        </w:rPr>
        <w:t>4</w:t>
      </w:r>
      <w:r>
        <w:t>.</w:t>
      </w:r>
      <w:r>
        <w:tab/>
        <w:t>Approved medical report (s. 4(1))</w:t>
      </w:r>
      <w:bookmarkEnd w:id="12"/>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13" w:name="_Toc191041887"/>
      <w:r>
        <w:rPr>
          <w:rStyle w:val="CharSectno"/>
        </w:rPr>
        <w:t>5</w:t>
      </w:r>
      <w:r>
        <w:t>.</w:t>
      </w:r>
      <w:r>
        <w:tab/>
        <w:t>Association arrangements (s. 4(1))</w:t>
      </w:r>
      <w:bookmarkEnd w:id="13"/>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Lines/>
      </w:pPr>
      <w:r>
        <w:lastRenderedPageBreak/>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4" w:name="_Toc191041888"/>
      <w:r>
        <w:rPr>
          <w:rStyle w:val="CharSectno"/>
        </w:rPr>
        <w:t>6</w:t>
      </w:r>
      <w:r>
        <w:t>.</w:t>
      </w:r>
      <w:r>
        <w:tab/>
        <w:t>Interstate driver authorisation (s. 4(1))</w:t>
      </w:r>
      <w:bookmarkEnd w:id="14"/>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5" w:name="_Toc191041889"/>
      <w:r>
        <w:rPr>
          <w:rStyle w:val="CharSectno"/>
        </w:rPr>
        <w:lastRenderedPageBreak/>
        <w:t>7</w:t>
      </w:r>
      <w:r>
        <w:t>.</w:t>
      </w:r>
      <w:r>
        <w:tab/>
        <w:t>Interstate vehicle authorisation (s. 4(1))</w:t>
      </w:r>
      <w:bookmarkEnd w:id="15"/>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6" w:name="_Toc191041890"/>
      <w:r>
        <w:rPr>
          <w:rStyle w:val="CharSectno"/>
        </w:rPr>
        <w:t>8</w:t>
      </w:r>
      <w:r>
        <w:t>.</w:t>
      </w:r>
      <w:r>
        <w:tab/>
        <w:t>On</w:t>
      </w:r>
      <w:r>
        <w:noBreakHyphen/>
        <w:t>demand passenger transport services (s. 5(3)(c))</w:t>
      </w:r>
      <w:bookmarkEnd w:id="16"/>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17" w:name="_Toc191041891"/>
      <w:r>
        <w:rPr>
          <w:rStyle w:val="CharSectno"/>
        </w:rPr>
        <w:t>9</w:t>
      </w:r>
      <w:r>
        <w:t>.</w:t>
      </w:r>
      <w:r>
        <w:tab/>
        <w:t>On</w:t>
      </w:r>
      <w:r>
        <w:noBreakHyphen/>
        <w:t>demand booking services (s. 10(3))</w:t>
      </w:r>
      <w:bookmarkEnd w:id="17"/>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18" w:name="_Toc191041892"/>
      <w:r>
        <w:rPr>
          <w:rStyle w:val="CharSectno"/>
        </w:rPr>
        <w:t>10</w:t>
      </w:r>
      <w:r>
        <w:t>.</w:t>
      </w:r>
      <w:r>
        <w:tab/>
        <w:t>Hire or reward (s. 11)</w:t>
      </w:r>
      <w:bookmarkEnd w:id="18"/>
    </w:p>
    <w:p>
      <w:pPr>
        <w:pStyle w:val="Subsection"/>
      </w:pPr>
      <w:r>
        <w:tab/>
        <w:t>(1)</w:t>
      </w:r>
      <w:r>
        <w:tab/>
        <w:t>For the purposes of section 11(1)(a)(i) of the Act, the prescribed amount in relation to a journey to transport passengers is 88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 SL 2024/286 r. 5.]</w:t>
      </w:r>
    </w:p>
    <w:p>
      <w:pPr>
        <w:pStyle w:val="Heading2"/>
      </w:pPr>
      <w:bookmarkStart w:id="19" w:name="_Toc191024178"/>
      <w:bookmarkStart w:id="20" w:name="_Toc191025369"/>
      <w:bookmarkStart w:id="21" w:name="_Toc191041893"/>
      <w:r>
        <w:rPr>
          <w:rStyle w:val="CharPartNo"/>
        </w:rPr>
        <w:lastRenderedPageBreak/>
        <w:t>Part 3</w:t>
      </w:r>
      <w:r>
        <w:t> — </w:t>
      </w:r>
      <w:r>
        <w:rPr>
          <w:rStyle w:val="CharPartText"/>
        </w:rPr>
        <w:t>Safety standards</w:t>
      </w:r>
      <w:bookmarkEnd w:id="19"/>
      <w:bookmarkEnd w:id="20"/>
      <w:bookmarkEnd w:id="21"/>
    </w:p>
    <w:p>
      <w:pPr>
        <w:pStyle w:val="Heading3"/>
      </w:pPr>
      <w:bookmarkStart w:id="22" w:name="_Toc191024179"/>
      <w:bookmarkStart w:id="23" w:name="_Toc191025370"/>
      <w:bookmarkStart w:id="24" w:name="_Toc191041894"/>
      <w:r>
        <w:rPr>
          <w:rStyle w:val="CharDivNo"/>
        </w:rPr>
        <w:t>Division 1</w:t>
      </w:r>
      <w:r>
        <w:t> — </w:t>
      </w:r>
      <w:r>
        <w:rPr>
          <w:rStyle w:val="CharDivText"/>
        </w:rPr>
        <w:t>Preliminary</w:t>
      </w:r>
      <w:bookmarkEnd w:id="22"/>
      <w:bookmarkEnd w:id="23"/>
      <w:bookmarkEnd w:id="24"/>
    </w:p>
    <w:p>
      <w:pPr>
        <w:pStyle w:val="Heading5"/>
      </w:pPr>
      <w:bookmarkStart w:id="25" w:name="_Toc191041895"/>
      <w:r>
        <w:rPr>
          <w:rStyle w:val="CharSectno"/>
        </w:rPr>
        <w:t>11</w:t>
      </w:r>
      <w:r>
        <w:t>.</w:t>
      </w:r>
      <w:r>
        <w:tab/>
        <w:t>Safety standards (s. 14(2))</w:t>
      </w:r>
      <w:bookmarkEnd w:id="25"/>
    </w:p>
    <w:p>
      <w:pPr>
        <w:pStyle w:val="Subsection"/>
      </w:pPr>
      <w:r>
        <w:tab/>
      </w:r>
      <w:r>
        <w:tab/>
        <w:t>For the purposes of section 14(2) of the Act, the provisions of Divisions 2 to 5 are specified as safety standards.</w:t>
      </w:r>
    </w:p>
    <w:p>
      <w:pPr>
        <w:pStyle w:val="Heading5"/>
      </w:pPr>
      <w:bookmarkStart w:id="26" w:name="_Toc191041896"/>
      <w:r>
        <w:rPr>
          <w:rStyle w:val="CharSectno"/>
        </w:rPr>
        <w:t>12</w:t>
      </w:r>
      <w:r>
        <w:t>.</w:t>
      </w:r>
      <w:r>
        <w:tab/>
        <w:t>Persons to whom specified safety standards apply</w:t>
      </w:r>
      <w:bookmarkEnd w:id="26"/>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27" w:name="_Toc191024182"/>
      <w:bookmarkStart w:id="28" w:name="_Toc191025373"/>
      <w:bookmarkStart w:id="29" w:name="_Toc191041897"/>
      <w:r>
        <w:rPr>
          <w:rStyle w:val="CharDivNo"/>
        </w:rPr>
        <w:t>Division 2</w:t>
      </w:r>
      <w:r>
        <w:t> — </w:t>
      </w:r>
      <w:r>
        <w:rPr>
          <w:rStyle w:val="CharDivText"/>
        </w:rPr>
        <w:t>Safety management system</w:t>
      </w:r>
      <w:bookmarkEnd w:id="27"/>
      <w:bookmarkEnd w:id="28"/>
      <w:bookmarkEnd w:id="29"/>
    </w:p>
    <w:p>
      <w:pPr>
        <w:pStyle w:val="Heading5"/>
      </w:pPr>
      <w:bookmarkStart w:id="30" w:name="_Toc191041898"/>
      <w:r>
        <w:rPr>
          <w:rStyle w:val="CharSectno"/>
        </w:rPr>
        <w:t>13</w:t>
      </w:r>
      <w:r>
        <w:t>.</w:t>
      </w:r>
      <w:r>
        <w:tab/>
        <w:t>Specified services</w:t>
      </w:r>
      <w:bookmarkEnd w:id="30"/>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31" w:name="_Toc191041899"/>
      <w:r>
        <w:rPr>
          <w:rStyle w:val="CharSectno"/>
        </w:rPr>
        <w:t>14</w:t>
      </w:r>
      <w:r>
        <w:t>.</w:t>
      </w:r>
      <w:r>
        <w:tab/>
        <w:t>Safety management system</w:t>
      </w:r>
      <w:bookmarkEnd w:id="31"/>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lastRenderedPageBreak/>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32" w:name="_Toc191041900"/>
      <w:r>
        <w:rPr>
          <w:rStyle w:val="CharSectno"/>
        </w:rPr>
        <w:t>15</w:t>
      </w:r>
      <w:r>
        <w:t>.</w:t>
      </w:r>
      <w:r>
        <w:tab/>
        <w:t>Offence of contravening safety standard</w:t>
      </w:r>
      <w:bookmarkEnd w:id="32"/>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33" w:name="_Toc191024186"/>
      <w:bookmarkStart w:id="34" w:name="_Toc191025377"/>
      <w:bookmarkStart w:id="35" w:name="_Toc191041901"/>
      <w:r>
        <w:rPr>
          <w:rStyle w:val="CharDivNo"/>
        </w:rPr>
        <w:t>Division 3</w:t>
      </w:r>
      <w:r>
        <w:t> — </w:t>
      </w:r>
      <w:r>
        <w:rPr>
          <w:rStyle w:val="CharDivText"/>
        </w:rPr>
        <w:t>Vehicle standards</w:t>
      </w:r>
      <w:bookmarkEnd w:id="33"/>
      <w:bookmarkEnd w:id="34"/>
      <w:bookmarkEnd w:id="35"/>
    </w:p>
    <w:p>
      <w:pPr>
        <w:pStyle w:val="Heading4"/>
      </w:pPr>
      <w:bookmarkStart w:id="36" w:name="_Toc191024187"/>
      <w:bookmarkStart w:id="37" w:name="_Toc191025378"/>
      <w:bookmarkStart w:id="38" w:name="_Toc191041902"/>
      <w:r>
        <w:t>Subdivision 1 — General standards</w:t>
      </w:r>
      <w:bookmarkEnd w:id="36"/>
      <w:bookmarkEnd w:id="37"/>
      <w:bookmarkEnd w:id="38"/>
    </w:p>
    <w:p>
      <w:pPr>
        <w:pStyle w:val="Heading5"/>
      </w:pPr>
      <w:bookmarkStart w:id="39" w:name="_Toc191041903"/>
      <w:r>
        <w:rPr>
          <w:rStyle w:val="CharSectno"/>
        </w:rPr>
        <w:t>16</w:t>
      </w:r>
      <w:r>
        <w:t>.</w:t>
      </w:r>
      <w:r>
        <w:tab/>
        <w:t>Vehicle licence and standards for vehicles</w:t>
      </w:r>
      <w:bookmarkEnd w:id="39"/>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40" w:name="_Toc191041904"/>
      <w:r>
        <w:rPr>
          <w:rStyle w:val="CharSectno"/>
        </w:rPr>
        <w:t>17</w:t>
      </w:r>
      <w:r>
        <w:t>.</w:t>
      </w:r>
      <w:r>
        <w:tab/>
        <w:t>Vehicle maintenance</w:t>
      </w:r>
      <w:bookmarkEnd w:id="40"/>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41" w:name="_Toc191024190"/>
      <w:bookmarkStart w:id="42" w:name="_Toc191025381"/>
      <w:bookmarkStart w:id="43" w:name="_Toc191041905"/>
      <w:r>
        <w:lastRenderedPageBreak/>
        <w:t>Subdivision 2 — Wheelchair accessible vehicle standards</w:t>
      </w:r>
      <w:bookmarkEnd w:id="41"/>
      <w:bookmarkEnd w:id="42"/>
      <w:bookmarkEnd w:id="43"/>
    </w:p>
    <w:p>
      <w:pPr>
        <w:pStyle w:val="Heading5"/>
      </w:pPr>
      <w:bookmarkStart w:id="44" w:name="_Toc191041906"/>
      <w:r>
        <w:rPr>
          <w:rStyle w:val="CharSectno"/>
        </w:rPr>
        <w:t>18</w:t>
      </w:r>
      <w:r>
        <w:t>.</w:t>
      </w:r>
      <w:r>
        <w:tab/>
        <w:t>Wheelchair accessible vehicles: applicable standards</w:t>
      </w:r>
      <w:bookmarkEnd w:id="44"/>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 3856.1:2021, Hoists and ramps for people with disabilities — Vehicle mounted, Part 1: Product requirements;</w:t>
      </w:r>
    </w:p>
    <w:p>
      <w:pPr>
        <w:pStyle w:val="Indenti"/>
      </w:pPr>
      <w:r>
        <w:tab/>
        <w:t>(ii)</w:t>
      </w:r>
      <w:r>
        <w:tab/>
        <w:t>AS 3856.2:2021, Hoists and ramps for people with disabilities — Vehicle fitted, Part 2: Fitting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lastRenderedPageBreak/>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Footnotesection"/>
      </w:pPr>
      <w:r>
        <w:tab/>
        <w:t>[Regulation 18 amended: SL 2024/286 r. 6.]</w:t>
      </w:r>
    </w:p>
    <w:p>
      <w:pPr>
        <w:pStyle w:val="Heading5"/>
      </w:pPr>
      <w:bookmarkStart w:id="45" w:name="_Toc191041907"/>
      <w:r>
        <w:rPr>
          <w:rStyle w:val="CharSectno"/>
        </w:rPr>
        <w:t>19</w:t>
      </w:r>
      <w:r>
        <w:t>.</w:t>
      </w:r>
      <w:r>
        <w:tab/>
        <w:t>Wheelchair accessible vehicles: operation standards</w:t>
      </w:r>
      <w:bookmarkEnd w:id="45"/>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46" w:name="_Toc191024193"/>
      <w:bookmarkStart w:id="47" w:name="_Toc191025384"/>
      <w:bookmarkStart w:id="48" w:name="_Toc191041908"/>
      <w:r>
        <w:t>Subdivision 3 — Motor cycle standards</w:t>
      </w:r>
      <w:bookmarkEnd w:id="46"/>
      <w:bookmarkEnd w:id="47"/>
      <w:bookmarkEnd w:id="48"/>
    </w:p>
    <w:p>
      <w:pPr>
        <w:pStyle w:val="Heading5"/>
      </w:pPr>
      <w:bookmarkStart w:id="49" w:name="_Toc191041909"/>
      <w:r>
        <w:rPr>
          <w:rStyle w:val="CharSectno"/>
        </w:rPr>
        <w:t>20</w:t>
      </w:r>
      <w:r>
        <w:t>.</w:t>
      </w:r>
      <w:r>
        <w:tab/>
        <w:t>Motor cycles: applicable standards</w:t>
      </w:r>
      <w:bookmarkEnd w:id="49"/>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lastRenderedPageBreak/>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50" w:name="_Toc191041910"/>
      <w:r>
        <w:rPr>
          <w:rStyle w:val="CharSectno"/>
        </w:rPr>
        <w:t>21</w:t>
      </w:r>
      <w:r>
        <w:t>.</w:t>
      </w:r>
      <w:r>
        <w:tab/>
        <w:t>Motor cycle requirements</w:t>
      </w:r>
      <w:bookmarkEnd w:id="50"/>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lastRenderedPageBreak/>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51" w:name="_Toc191024196"/>
      <w:bookmarkStart w:id="52" w:name="_Toc191025387"/>
      <w:bookmarkStart w:id="53" w:name="_Toc191041911"/>
      <w:r>
        <w:t>Subdivision 4 — Specific requirements: on</w:t>
      </w:r>
      <w:r>
        <w:noBreakHyphen/>
        <w:t>demand rank or hail vehicles</w:t>
      </w:r>
      <w:bookmarkEnd w:id="51"/>
      <w:bookmarkEnd w:id="52"/>
      <w:bookmarkEnd w:id="53"/>
    </w:p>
    <w:p>
      <w:pPr>
        <w:pStyle w:val="Heading5"/>
      </w:pPr>
      <w:bookmarkStart w:id="54" w:name="_Toc191041912"/>
      <w:r>
        <w:rPr>
          <w:rStyle w:val="CharSectno"/>
        </w:rPr>
        <w:t>22</w:t>
      </w:r>
      <w:r>
        <w:t>.</w:t>
      </w:r>
      <w:r>
        <w:tab/>
        <w:t>Markings, lights and signs: on</w:t>
      </w:r>
      <w:r>
        <w:noBreakHyphen/>
        <w:t>demand rank or hail vehicles</w:t>
      </w:r>
      <w:bookmarkEnd w:id="54"/>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keepNext/>
        <w:keepLines/>
      </w:pPr>
      <w:r>
        <w:lastRenderedPageBreak/>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55" w:name="_Toc191041913"/>
      <w:r>
        <w:rPr>
          <w:rStyle w:val="CharSectno"/>
        </w:rPr>
        <w:t>23</w:t>
      </w:r>
      <w:r>
        <w:t>.</w:t>
      </w:r>
      <w:r>
        <w:tab/>
        <w:t>Livery: on</w:t>
      </w:r>
      <w:r>
        <w:noBreakHyphen/>
        <w:t>demand rank or hail vehicles</w:t>
      </w:r>
      <w:bookmarkEnd w:id="55"/>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56" w:name="_Toc191041914"/>
      <w:r>
        <w:rPr>
          <w:rStyle w:val="CharSectno"/>
        </w:rPr>
        <w:t>24</w:t>
      </w:r>
      <w:r>
        <w:t>.</w:t>
      </w:r>
      <w:r>
        <w:tab/>
        <w:t>When roof lights to be lit: on</w:t>
      </w:r>
      <w:r>
        <w:noBreakHyphen/>
        <w:t>demand rank or hail vehicles</w:t>
      </w:r>
      <w:bookmarkEnd w:id="56"/>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keepNext/>
      </w:pPr>
      <w:r>
        <w:lastRenderedPageBreak/>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57" w:name="_Toc191041915"/>
      <w:r>
        <w:rPr>
          <w:rStyle w:val="CharSectno"/>
        </w:rPr>
        <w:t>25</w:t>
      </w:r>
      <w:r>
        <w:t>.</w:t>
      </w:r>
      <w:r>
        <w:tab/>
        <w:t>Contact information: on</w:t>
      </w:r>
      <w:r>
        <w:noBreakHyphen/>
        <w:t>demand rank or hail vehicles</w:t>
      </w:r>
      <w:bookmarkEnd w:id="57"/>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58" w:name="_Toc191024201"/>
      <w:bookmarkStart w:id="59" w:name="_Toc191025392"/>
      <w:bookmarkStart w:id="60" w:name="_Toc191041916"/>
      <w:r>
        <w:lastRenderedPageBreak/>
        <w:t>Subdivision 5 — Specific requirements: on</w:t>
      </w:r>
      <w:r>
        <w:noBreakHyphen/>
        <w:t>demand charter vehicles</w:t>
      </w:r>
      <w:bookmarkEnd w:id="58"/>
      <w:bookmarkEnd w:id="59"/>
      <w:bookmarkEnd w:id="60"/>
    </w:p>
    <w:p>
      <w:pPr>
        <w:pStyle w:val="Heading5"/>
      </w:pPr>
      <w:bookmarkStart w:id="61" w:name="_Toc191041917"/>
      <w:r>
        <w:rPr>
          <w:rStyle w:val="CharSectno"/>
        </w:rPr>
        <w:t>26</w:t>
      </w:r>
      <w:r>
        <w:t>.</w:t>
      </w:r>
      <w:r>
        <w:tab/>
        <w:t>Signs, lights and markings: on</w:t>
      </w:r>
      <w:r>
        <w:noBreakHyphen/>
        <w:t>demand charter vehicles not to be represented as on</w:t>
      </w:r>
      <w:r>
        <w:noBreakHyphen/>
        <w:t>demand rank or hail vehicles</w:t>
      </w:r>
      <w:bookmarkEnd w:id="61"/>
    </w:p>
    <w:p>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62" w:name="_Toc191041918"/>
      <w:r>
        <w:rPr>
          <w:rStyle w:val="CharSectno"/>
        </w:rPr>
        <w:lastRenderedPageBreak/>
        <w:t>27</w:t>
      </w:r>
      <w:r>
        <w:t>.</w:t>
      </w:r>
      <w:r>
        <w:tab/>
        <w:t>Signs and livery: on</w:t>
      </w:r>
      <w:r>
        <w:noBreakHyphen/>
        <w:t>demand charter vehicles</w:t>
      </w:r>
      <w:bookmarkEnd w:id="62"/>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lastRenderedPageBreak/>
        <w:tab/>
        <w:t>(6)</w:t>
      </w:r>
      <w:r>
        <w:tab/>
        <w:t>The provider of the on</w:t>
      </w:r>
      <w:r>
        <w:noBreakHyphen/>
        <w:t>demand passenger transport service is a responsible person in relation to this safety standard.</w:t>
      </w:r>
    </w:p>
    <w:p>
      <w:pPr>
        <w:pStyle w:val="Heading5"/>
      </w:pPr>
      <w:bookmarkStart w:id="63" w:name="_Toc191041919"/>
      <w:r>
        <w:rPr>
          <w:rStyle w:val="CharSectno"/>
        </w:rPr>
        <w:t>28</w:t>
      </w:r>
      <w:r>
        <w:t>.</w:t>
      </w:r>
      <w:r>
        <w:tab/>
        <w:t>Exception to signs and livery requirements relating to family violence: on</w:t>
      </w:r>
      <w:r>
        <w:noBreakHyphen/>
        <w:t>demand charter vehicles</w:t>
      </w:r>
      <w:bookmarkEnd w:id="63"/>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lastRenderedPageBreak/>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64" w:name="_Toc191024205"/>
      <w:bookmarkStart w:id="65" w:name="_Toc191025396"/>
      <w:bookmarkStart w:id="66" w:name="_Toc191041920"/>
      <w:r>
        <w:t>Subdivision 6 — Driver identity documents</w:t>
      </w:r>
      <w:bookmarkEnd w:id="64"/>
      <w:bookmarkEnd w:id="65"/>
      <w:bookmarkEnd w:id="66"/>
    </w:p>
    <w:p>
      <w:pPr>
        <w:pStyle w:val="Heading5"/>
      </w:pPr>
      <w:bookmarkStart w:id="67" w:name="_Toc191041921"/>
      <w:r>
        <w:rPr>
          <w:rStyle w:val="CharSectno"/>
        </w:rPr>
        <w:t>29</w:t>
      </w:r>
      <w:r>
        <w:t>.</w:t>
      </w:r>
      <w:r>
        <w:tab/>
        <w:t>Driver identity document: on</w:t>
      </w:r>
      <w:r>
        <w:noBreakHyphen/>
        <w:t>demand rank or hail vehicle</w:t>
      </w:r>
      <w:bookmarkEnd w:id="67"/>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keepNext/>
      </w:pPr>
      <w:r>
        <w:lastRenderedPageBreak/>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68" w:name="_Toc191041922"/>
      <w:r>
        <w:rPr>
          <w:rStyle w:val="CharSectno"/>
        </w:rPr>
        <w:t>30</w:t>
      </w:r>
      <w:r>
        <w:t>.</w:t>
      </w:r>
      <w:r>
        <w:tab/>
        <w:t>Display of driver identity document: on</w:t>
      </w:r>
      <w:r>
        <w:noBreakHyphen/>
        <w:t>demand rank or hail vehicle</w:t>
      </w:r>
      <w:bookmarkEnd w:id="68"/>
    </w:p>
    <w:p>
      <w:pPr>
        <w:pStyle w:val="Subsection"/>
      </w:pPr>
      <w:r>
        <w:tab/>
        <w:t>(1)</w:t>
      </w:r>
      <w:r>
        <w:tab/>
        <w:t>The driver identity document of the driver of an on</w:t>
      </w:r>
      <w:r>
        <w:noBreakHyphen/>
        <w:t>demand rank or hail vehicle must be displayed prominently in the vehicle.</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passenger transport service that is provided using the vehicle.</w:t>
      </w:r>
    </w:p>
    <w:p>
      <w:pPr>
        <w:pStyle w:val="Footnotesection"/>
      </w:pPr>
      <w:r>
        <w:tab/>
        <w:t>[Regulation 30 amended: SL 2024/286 r. 7.]</w:t>
      </w:r>
    </w:p>
    <w:p>
      <w:pPr>
        <w:pStyle w:val="Heading5"/>
      </w:pPr>
      <w:bookmarkStart w:id="69" w:name="_Toc191041923"/>
      <w:r>
        <w:rPr>
          <w:rStyle w:val="CharSectno"/>
        </w:rPr>
        <w:lastRenderedPageBreak/>
        <w:t>31</w:t>
      </w:r>
      <w:r>
        <w:t>.</w:t>
      </w:r>
      <w:r>
        <w:tab/>
        <w:t>Provision or display of driver identity information: on</w:t>
      </w:r>
      <w:r>
        <w:noBreakHyphen/>
        <w:t>demand charter vehicle</w:t>
      </w:r>
      <w:bookmarkEnd w:id="69"/>
    </w:p>
    <w:p>
      <w:pPr>
        <w:pStyle w:val="Subsection"/>
        <w:keepNext/>
      </w:pPr>
      <w:r>
        <w:tab/>
        <w:t>(1)</w:t>
      </w:r>
      <w:r>
        <w:tab/>
        <w:t xml:space="preserve">In this regulation — </w:t>
      </w:r>
    </w:p>
    <w:p>
      <w:pPr>
        <w:pStyle w:val="Defstart"/>
        <w:keepNex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prominently in the vehicle.</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keepNext/>
      </w:pPr>
      <w:r>
        <w:lastRenderedPageBreak/>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prominently in the vehicle.</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Footnotesection"/>
      </w:pPr>
      <w:r>
        <w:tab/>
        <w:t>[Regulation 31 amended: SL 2024/286 r. 8.]</w:t>
      </w:r>
    </w:p>
    <w:p>
      <w:pPr>
        <w:pStyle w:val="Heading4"/>
      </w:pPr>
      <w:bookmarkStart w:id="70" w:name="_Toc191024209"/>
      <w:bookmarkStart w:id="71" w:name="_Toc191025400"/>
      <w:bookmarkStart w:id="72" w:name="_Toc191041924"/>
      <w:r>
        <w:t>Subdivision 7 — Offences</w:t>
      </w:r>
      <w:bookmarkEnd w:id="70"/>
      <w:bookmarkEnd w:id="71"/>
      <w:bookmarkEnd w:id="72"/>
    </w:p>
    <w:p>
      <w:pPr>
        <w:pStyle w:val="Heading5"/>
      </w:pPr>
      <w:bookmarkStart w:id="73" w:name="_Toc191041925"/>
      <w:r>
        <w:rPr>
          <w:rStyle w:val="CharSectno"/>
        </w:rPr>
        <w:t>32</w:t>
      </w:r>
      <w:r>
        <w:t>.</w:t>
      </w:r>
      <w:r>
        <w:tab/>
        <w:t>Offence of contravening safety standard</w:t>
      </w:r>
      <w:bookmarkEnd w:id="73"/>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74" w:name="_Toc191024211"/>
      <w:bookmarkStart w:id="75" w:name="_Toc191025402"/>
      <w:bookmarkStart w:id="76" w:name="_Toc191041926"/>
      <w:r>
        <w:rPr>
          <w:rStyle w:val="CharDivNo"/>
        </w:rPr>
        <w:t>Division 4</w:t>
      </w:r>
      <w:r>
        <w:t> — </w:t>
      </w:r>
      <w:r>
        <w:rPr>
          <w:rStyle w:val="CharDivText"/>
        </w:rPr>
        <w:t>Provision of information</w:t>
      </w:r>
      <w:bookmarkEnd w:id="74"/>
      <w:bookmarkEnd w:id="75"/>
      <w:bookmarkEnd w:id="76"/>
    </w:p>
    <w:p>
      <w:pPr>
        <w:pStyle w:val="Heading5"/>
      </w:pPr>
      <w:bookmarkStart w:id="77" w:name="_Toc191041927"/>
      <w:r>
        <w:rPr>
          <w:rStyle w:val="CharSectno"/>
        </w:rPr>
        <w:t>33</w:t>
      </w:r>
      <w:r>
        <w:t>.</w:t>
      </w:r>
      <w:r>
        <w:tab/>
        <w:t>Information to be made available by provider of on</w:t>
      </w:r>
      <w:r>
        <w:noBreakHyphen/>
        <w:t>demand booking service</w:t>
      </w:r>
      <w:bookmarkEnd w:id="77"/>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78" w:name="_Toc191041928"/>
      <w:r>
        <w:rPr>
          <w:rStyle w:val="CharSectno"/>
        </w:rPr>
        <w:lastRenderedPageBreak/>
        <w:t>34</w:t>
      </w:r>
      <w:r>
        <w:t>.</w:t>
      </w:r>
      <w:r>
        <w:tab/>
        <w:t>Offence of contravening safety standard</w:t>
      </w:r>
      <w:bookmarkEnd w:id="78"/>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79" w:name="_Toc191024214"/>
      <w:bookmarkStart w:id="80" w:name="_Toc191025405"/>
      <w:bookmarkStart w:id="81" w:name="_Toc191041929"/>
      <w:r>
        <w:rPr>
          <w:rStyle w:val="CharDivNo"/>
        </w:rPr>
        <w:t>Division 5</w:t>
      </w:r>
      <w:r>
        <w:t> — </w:t>
      </w:r>
      <w:r>
        <w:rPr>
          <w:rStyle w:val="CharDivText"/>
        </w:rPr>
        <w:t>Driver competence and reporting</w:t>
      </w:r>
      <w:bookmarkEnd w:id="79"/>
      <w:bookmarkEnd w:id="80"/>
      <w:bookmarkEnd w:id="81"/>
    </w:p>
    <w:p>
      <w:pPr>
        <w:pStyle w:val="Heading5"/>
      </w:pPr>
      <w:bookmarkStart w:id="82" w:name="_Toc191041930"/>
      <w:r>
        <w:rPr>
          <w:rStyle w:val="CharSectno"/>
        </w:rPr>
        <w:t>35</w:t>
      </w:r>
      <w:r>
        <w:t>.</w:t>
      </w:r>
      <w:r>
        <w:tab/>
        <w:t>Driver of wheelchair accessible vehicle to be competent in loading and unloading wheelchair passengers</w:t>
      </w:r>
      <w:bookmarkEnd w:id="82"/>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TLIC0026 — Provide wheelchair accessible taxi services to passengers with disabilities (Release 1)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lastRenderedPageBreak/>
        <w:tab/>
        <w:t>(4)</w:t>
      </w:r>
      <w:r>
        <w:tab/>
        <w:t>The provider of the vehicle for use in providing the passenger transport service is a responsible person in relation to this safety standard.</w:t>
      </w:r>
    </w:p>
    <w:p>
      <w:pPr>
        <w:pStyle w:val="Footnotesection"/>
      </w:pPr>
      <w:r>
        <w:tab/>
        <w:t>[Regulation 35 amended: SL 2024/286 r. 9.]</w:t>
      </w:r>
    </w:p>
    <w:p>
      <w:pPr>
        <w:pStyle w:val="Heading5"/>
      </w:pPr>
      <w:bookmarkStart w:id="83" w:name="_Toc191041931"/>
      <w:r>
        <w:rPr>
          <w:rStyle w:val="CharSectno"/>
        </w:rPr>
        <w:t>36</w:t>
      </w:r>
      <w:r>
        <w:t>.</w:t>
      </w:r>
      <w:r>
        <w:tab/>
        <w:t>Driver reporting requirements</w:t>
      </w:r>
      <w:bookmarkEnd w:id="83"/>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pPr>
      <w:r>
        <w:lastRenderedPageBreak/>
        <w:tab/>
        <w:t>(b)</w:t>
      </w:r>
      <w:r>
        <w:tab/>
        <w:t>the provider of a passenger transport service provided using a vehicle driven by the passenger transport driver.</w:t>
      </w:r>
    </w:p>
    <w:p>
      <w:pPr>
        <w:pStyle w:val="Heading5"/>
      </w:pPr>
      <w:bookmarkStart w:id="84" w:name="_Toc191041932"/>
      <w:r>
        <w:rPr>
          <w:rStyle w:val="CharSectno"/>
        </w:rPr>
        <w:t>37</w:t>
      </w:r>
      <w:r>
        <w:t>.</w:t>
      </w:r>
      <w:r>
        <w:tab/>
        <w:t>Offence of contravening safety standard</w:t>
      </w:r>
      <w:bookmarkEnd w:id="84"/>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85" w:name="_Toc191024218"/>
      <w:bookmarkStart w:id="86" w:name="_Toc191025409"/>
      <w:bookmarkStart w:id="87" w:name="_Toc191041933"/>
      <w:r>
        <w:rPr>
          <w:rStyle w:val="CharPartNo"/>
        </w:rPr>
        <w:lastRenderedPageBreak/>
        <w:t>Part 4</w:t>
      </w:r>
      <w:r>
        <w:t> — </w:t>
      </w:r>
      <w:r>
        <w:rPr>
          <w:rStyle w:val="CharPartText"/>
        </w:rPr>
        <w:t>Authorisation of on</w:t>
      </w:r>
      <w:r>
        <w:rPr>
          <w:rStyle w:val="CharPartText"/>
        </w:rPr>
        <w:noBreakHyphen/>
        <w:t>demand booking services</w:t>
      </w:r>
      <w:bookmarkEnd w:id="85"/>
      <w:bookmarkEnd w:id="86"/>
      <w:bookmarkEnd w:id="87"/>
    </w:p>
    <w:p>
      <w:pPr>
        <w:pStyle w:val="Heading3"/>
      </w:pPr>
      <w:bookmarkStart w:id="88" w:name="_Toc191024219"/>
      <w:bookmarkStart w:id="89" w:name="_Toc191025410"/>
      <w:bookmarkStart w:id="90" w:name="_Toc191041934"/>
      <w:r>
        <w:rPr>
          <w:rStyle w:val="CharDivNo"/>
        </w:rPr>
        <w:t>Division 1</w:t>
      </w:r>
      <w:r>
        <w:t> — </w:t>
      </w:r>
      <w:r>
        <w:rPr>
          <w:rStyle w:val="CharDivText"/>
        </w:rPr>
        <w:t>Preliminary</w:t>
      </w:r>
      <w:bookmarkEnd w:id="88"/>
      <w:bookmarkEnd w:id="89"/>
      <w:bookmarkEnd w:id="90"/>
    </w:p>
    <w:p>
      <w:pPr>
        <w:pStyle w:val="Heading5"/>
      </w:pPr>
      <w:bookmarkStart w:id="91" w:name="_Toc191041935"/>
      <w:r>
        <w:rPr>
          <w:rStyle w:val="CharSectno"/>
        </w:rPr>
        <w:t>38</w:t>
      </w:r>
      <w:r>
        <w:t>.</w:t>
      </w:r>
      <w:r>
        <w:tab/>
        <w:t>Term used: disqualification offence</w:t>
      </w:r>
      <w:bookmarkEnd w:id="91"/>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92" w:name="_Toc191041936"/>
      <w:r>
        <w:rPr>
          <w:rStyle w:val="CharSectno"/>
        </w:rPr>
        <w:t>39</w:t>
      </w:r>
      <w:r>
        <w:t>.</w:t>
      </w:r>
      <w:r>
        <w:tab/>
        <w:t>Prescribed functions for which provider of principal booking service is responsible (s. 27(3))</w:t>
      </w:r>
      <w:bookmarkEnd w:id="92"/>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lastRenderedPageBreak/>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93" w:name="_Toc191024222"/>
      <w:bookmarkStart w:id="94" w:name="_Toc191025413"/>
      <w:bookmarkStart w:id="95" w:name="_Toc191041937"/>
      <w:r>
        <w:rPr>
          <w:rStyle w:val="CharDivNo"/>
        </w:rPr>
        <w:t>Division 2</w:t>
      </w:r>
      <w:r>
        <w:t> — </w:t>
      </w:r>
      <w:r>
        <w:rPr>
          <w:rStyle w:val="CharDivText"/>
        </w:rPr>
        <w:t>Applications for on</w:t>
      </w:r>
      <w:r>
        <w:rPr>
          <w:rStyle w:val="CharDivText"/>
        </w:rPr>
        <w:noBreakHyphen/>
        <w:t>demand booking service authorisations</w:t>
      </w:r>
      <w:bookmarkEnd w:id="93"/>
      <w:bookmarkEnd w:id="94"/>
      <w:bookmarkEnd w:id="95"/>
    </w:p>
    <w:p>
      <w:pPr>
        <w:pStyle w:val="Heading5"/>
      </w:pPr>
      <w:bookmarkStart w:id="96" w:name="_Toc191041938"/>
      <w:r>
        <w:rPr>
          <w:rStyle w:val="CharSectno"/>
        </w:rPr>
        <w:t>40</w:t>
      </w:r>
      <w:r>
        <w:t>.</w:t>
      </w:r>
      <w:r>
        <w:tab/>
        <w:t>Information to be included in on</w:t>
      </w:r>
      <w:r>
        <w:noBreakHyphen/>
        <w:t>demand booking service authorisation application (s. 29(4)(e))</w:t>
      </w:r>
      <w:bookmarkEnd w:id="96"/>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pPr>
        <w:pStyle w:val="Heading5"/>
      </w:pPr>
      <w:bookmarkStart w:id="97" w:name="_Toc191041939"/>
      <w:r>
        <w:rPr>
          <w:rStyle w:val="CharSectno"/>
        </w:rPr>
        <w:t>41</w:t>
      </w:r>
      <w:r>
        <w:t>.</w:t>
      </w:r>
      <w:r>
        <w:tab/>
        <w:t>Documents to be included in on</w:t>
      </w:r>
      <w:r>
        <w:noBreakHyphen/>
        <w:t>demand booking service authorisation application (s. 29(4)(e))</w:t>
      </w:r>
      <w:bookmarkEnd w:id="97"/>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98" w:name="_Toc191041940"/>
      <w:r>
        <w:rPr>
          <w:rStyle w:val="CharSectno"/>
        </w:rPr>
        <w:t>42</w:t>
      </w:r>
      <w:r>
        <w:t>.</w:t>
      </w:r>
      <w:r>
        <w:tab/>
        <w:t>Declaration as to persons nominated as responsible officers</w:t>
      </w:r>
      <w:bookmarkEnd w:id="98"/>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99" w:name="_Toc191024226"/>
      <w:bookmarkStart w:id="100" w:name="_Toc191025417"/>
      <w:bookmarkStart w:id="101" w:name="_Toc191041941"/>
      <w:r>
        <w:rPr>
          <w:rStyle w:val="CharDivNo"/>
        </w:rPr>
        <w:t>Division 3</w:t>
      </w:r>
      <w:r>
        <w:t> — </w:t>
      </w:r>
      <w:r>
        <w:rPr>
          <w:rStyle w:val="CharDivText"/>
        </w:rPr>
        <w:t>Grant, duration and renewal of on</w:t>
      </w:r>
      <w:r>
        <w:rPr>
          <w:rStyle w:val="CharDivText"/>
        </w:rPr>
        <w:noBreakHyphen/>
        <w:t>demand booking service authorisations</w:t>
      </w:r>
      <w:bookmarkEnd w:id="99"/>
      <w:bookmarkEnd w:id="100"/>
      <w:bookmarkEnd w:id="101"/>
    </w:p>
    <w:p>
      <w:pPr>
        <w:pStyle w:val="Heading5"/>
      </w:pPr>
      <w:bookmarkStart w:id="102" w:name="_Toc191041942"/>
      <w:r>
        <w:rPr>
          <w:rStyle w:val="CharSectno"/>
        </w:rPr>
        <w:t>43</w:t>
      </w:r>
      <w:r>
        <w:t>.</w:t>
      </w:r>
      <w:r>
        <w:tab/>
        <w:t>Condition for maximum number of vehicles</w:t>
      </w:r>
      <w:bookmarkEnd w:id="102"/>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03" w:name="_Toc191041943"/>
      <w:r>
        <w:rPr>
          <w:rStyle w:val="CharSectno"/>
        </w:rPr>
        <w:t>44</w:t>
      </w:r>
      <w:r>
        <w:t>.</w:t>
      </w:r>
      <w:r>
        <w:tab/>
        <w:t>Variation of maximum number of vehicles</w:t>
      </w:r>
      <w:bookmarkEnd w:id="103"/>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lastRenderedPageBreak/>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04" w:name="_Toc191041944"/>
      <w:r>
        <w:rPr>
          <w:rStyle w:val="CharSectno"/>
        </w:rPr>
        <w:t>45</w:t>
      </w:r>
      <w:r>
        <w:t>.</w:t>
      </w:r>
      <w:r>
        <w:tab/>
        <w:t>Duration of on</w:t>
      </w:r>
      <w:r>
        <w:noBreakHyphen/>
        <w:t>demand booking service authorisation (s. 39(1))</w:t>
      </w:r>
      <w:bookmarkEnd w:id="104"/>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05" w:name="_Toc191041945"/>
      <w:r>
        <w:rPr>
          <w:rStyle w:val="CharSectno"/>
        </w:rPr>
        <w:lastRenderedPageBreak/>
        <w:t>46</w:t>
      </w:r>
      <w:r>
        <w:t>.</w:t>
      </w:r>
      <w:r>
        <w:tab/>
        <w:t>Renewal of on</w:t>
      </w:r>
      <w:r>
        <w:noBreakHyphen/>
        <w:t>demand booking service authorisation</w:t>
      </w:r>
      <w:bookmarkEnd w:id="105"/>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lastRenderedPageBreak/>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06" w:name="_Toc191041946"/>
      <w:r>
        <w:rPr>
          <w:rStyle w:val="CharSectno"/>
        </w:rPr>
        <w:t>47</w:t>
      </w:r>
      <w:r>
        <w:t>.</w:t>
      </w:r>
      <w:r>
        <w:tab/>
        <w:t>Surrender of on</w:t>
      </w:r>
      <w:r>
        <w:noBreakHyphen/>
        <w:t>demand booking service authorisation</w:t>
      </w:r>
      <w:bookmarkEnd w:id="106"/>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07" w:name="_Toc191024232"/>
      <w:bookmarkStart w:id="108" w:name="_Toc191025423"/>
      <w:bookmarkStart w:id="109" w:name="_Toc191041947"/>
      <w:r>
        <w:rPr>
          <w:rStyle w:val="CharDivNo"/>
        </w:rPr>
        <w:t>Division 4</w:t>
      </w:r>
      <w:r>
        <w:t> — </w:t>
      </w:r>
      <w:r>
        <w:rPr>
          <w:rStyle w:val="CharDivText"/>
        </w:rPr>
        <w:t>Responsible officers</w:t>
      </w:r>
      <w:bookmarkEnd w:id="107"/>
      <w:bookmarkEnd w:id="108"/>
      <w:bookmarkEnd w:id="109"/>
    </w:p>
    <w:p>
      <w:pPr>
        <w:pStyle w:val="Heading5"/>
      </w:pPr>
      <w:bookmarkStart w:id="110" w:name="_Toc191041948"/>
      <w:r>
        <w:rPr>
          <w:rStyle w:val="CharSectno"/>
        </w:rPr>
        <w:t>48</w:t>
      </w:r>
      <w:r>
        <w:t>.</w:t>
      </w:r>
      <w:r>
        <w:tab/>
        <w:t>Responsible officer must be ordinarily resident in Australia (s. 30(f))</w:t>
      </w:r>
      <w:bookmarkEnd w:id="110"/>
    </w:p>
    <w:p>
      <w:pPr>
        <w:pStyle w:val="Subsection"/>
      </w:pPr>
      <w:r>
        <w:tab/>
      </w:r>
      <w:r>
        <w:tab/>
        <w:t>For the purposes of section 30(f) of the Act, a person nominated under section 29(4)(c) of the Act or regulation 50 must be ordinarily resident in Australia.</w:t>
      </w:r>
    </w:p>
    <w:p>
      <w:pPr>
        <w:pStyle w:val="Heading5"/>
      </w:pPr>
      <w:bookmarkStart w:id="111" w:name="_Toc191041949"/>
      <w:r>
        <w:rPr>
          <w:rStyle w:val="CharSectno"/>
        </w:rPr>
        <w:t>49</w:t>
      </w:r>
      <w:r>
        <w:t>.</w:t>
      </w:r>
      <w:r>
        <w:tab/>
        <w:t>At least 1 responsible officer to be resident in State</w:t>
      </w:r>
      <w:bookmarkEnd w:id="111"/>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12" w:name="_Toc191041950"/>
      <w:r>
        <w:rPr>
          <w:rStyle w:val="CharSectno"/>
        </w:rPr>
        <w:t>50</w:t>
      </w:r>
      <w:r>
        <w:t>.</w:t>
      </w:r>
      <w:r>
        <w:tab/>
        <w:t>Nomination of additional or replacement responsible officer</w:t>
      </w:r>
      <w:bookmarkEnd w:id="112"/>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13" w:name="_Toc191041951"/>
      <w:r>
        <w:rPr>
          <w:rStyle w:val="CharSectno"/>
        </w:rPr>
        <w:t>51</w:t>
      </w:r>
      <w:r>
        <w:t>.</w:t>
      </w:r>
      <w:r>
        <w:tab/>
        <w:t>Acceptance of or refusal to accept nomination of additional or replacement responsible officer</w:t>
      </w:r>
      <w:bookmarkEnd w:id="113"/>
    </w:p>
    <w:p>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114" w:name="_Toc191024237"/>
      <w:bookmarkStart w:id="115" w:name="_Toc191025428"/>
      <w:bookmarkStart w:id="116" w:name="_Toc191041952"/>
      <w:r>
        <w:rPr>
          <w:rStyle w:val="CharDivNo"/>
        </w:rPr>
        <w:lastRenderedPageBreak/>
        <w:t>Division 5</w:t>
      </w:r>
      <w:r>
        <w:t> — </w:t>
      </w:r>
      <w:r>
        <w:rPr>
          <w:rStyle w:val="CharDivText"/>
        </w:rPr>
        <w:t>Disqualification</w:t>
      </w:r>
      <w:bookmarkEnd w:id="114"/>
      <w:bookmarkEnd w:id="115"/>
      <w:bookmarkEnd w:id="116"/>
    </w:p>
    <w:p>
      <w:pPr>
        <w:pStyle w:val="Heading5"/>
      </w:pPr>
      <w:bookmarkStart w:id="117" w:name="_Toc191041953"/>
      <w:r>
        <w:rPr>
          <w:rStyle w:val="CharSectno"/>
        </w:rPr>
        <w:t>52</w:t>
      </w:r>
      <w:r>
        <w:t>.</w:t>
      </w:r>
      <w:r>
        <w:tab/>
        <w:t>Disqualification offences and disqualification periods (s. 26 and 46)</w:t>
      </w:r>
      <w:bookmarkEnd w:id="117"/>
    </w:p>
    <w:p>
      <w:pPr>
        <w:pStyle w:val="Subsection"/>
      </w:pPr>
      <w:r>
        <w:tab/>
      </w:r>
      <w:r>
        <w:tab/>
        <w:t>The disqualification offences and disqualification periods set out in Schedule 2 are prescribed for the purposes of Part 3 of the Act.</w:t>
      </w:r>
    </w:p>
    <w:p>
      <w:pPr>
        <w:pStyle w:val="Heading5"/>
      </w:pPr>
      <w:bookmarkStart w:id="118" w:name="_Toc191041954"/>
      <w:r>
        <w:rPr>
          <w:rStyle w:val="CharSectno"/>
        </w:rPr>
        <w:t>53</w:t>
      </w:r>
      <w:r>
        <w:t>.</w:t>
      </w:r>
      <w:r>
        <w:tab/>
        <w:t>Reinstatement of authorisation if conviction quashed or set aside</w:t>
      </w:r>
      <w:bookmarkEnd w:id="118"/>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119" w:name="_Toc191041955"/>
      <w:r>
        <w:rPr>
          <w:rStyle w:val="CharSectno"/>
        </w:rPr>
        <w:t>54</w:t>
      </w:r>
      <w:r>
        <w:t>.</w:t>
      </w:r>
      <w:r>
        <w:tab/>
        <w:t>Requirement to notify CEO of charge or conviction for disqualification offence</w:t>
      </w:r>
      <w:bookmarkEnd w:id="119"/>
    </w:p>
    <w:p>
      <w:pPr>
        <w:pStyle w:val="Subsection"/>
        <w:keepNext/>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pPr>
        <w:pStyle w:val="Penstart"/>
        <w:keepNex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20" w:name="_Toc191024241"/>
      <w:bookmarkStart w:id="121" w:name="_Toc191025432"/>
      <w:bookmarkStart w:id="122" w:name="_Toc191041956"/>
      <w:r>
        <w:rPr>
          <w:rStyle w:val="CharDivNo"/>
        </w:rPr>
        <w:t>Division 6</w:t>
      </w:r>
      <w:r>
        <w:t> — </w:t>
      </w:r>
      <w:r>
        <w:rPr>
          <w:rStyle w:val="CharDivText"/>
        </w:rPr>
        <w:t>Changes to information</w:t>
      </w:r>
      <w:bookmarkEnd w:id="120"/>
      <w:bookmarkEnd w:id="121"/>
      <w:bookmarkEnd w:id="122"/>
    </w:p>
    <w:p>
      <w:pPr>
        <w:pStyle w:val="Heading5"/>
      </w:pPr>
      <w:bookmarkStart w:id="123" w:name="_Toc191041957"/>
      <w:r>
        <w:rPr>
          <w:rStyle w:val="CharSectno"/>
        </w:rPr>
        <w:t>55</w:t>
      </w:r>
      <w:r>
        <w:t>.</w:t>
      </w:r>
      <w:r>
        <w:tab/>
        <w:t>Provider of on</w:t>
      </w:r>
      <w:r>
        <w:noBreakHyphen/>
        <w:t>demand booking service to notify change in circumstances</w:t>
      </w:r>
      <w:bookmarkEnd w:id="123"/>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124" w:name="_Toc191024243"/>
      <w:bookmarkStart w:id="125" w:name="_Toc191025434"/>
      <w:bookmarkStart w:id="126" w:name="_Toc191041958"/>
      <w:r>
        <w:rPr>
          <w:rStyle w:val="CharDivNo"/>
        </w:rPr>
        <w:t>Division 7</w:t>
      </w:r>
      <w:r>
        <w:t> — </w:t>
      </w:r>
      <w:r>
        <w:rPr>
          <w:rStyle w:val="CharDivText"/>
        </w:rPr>
        <w:t>Records</w:t>
      </w:r>
      <w:bookmarkEnd w:id="124"/>
      <w:bookmarkEnd w:id="125"/>
      <w:bookmarkEnd w:id="126"/>
    </w:p>
    <w:p>
      <w:pPr>
        <w:pStyle w:val="Heading4"/>
      </w:pPr>
      <w:bookmarkStart w:id="127" w:name="_Toc191024244"/>
      <w:bookmarkStart w:id="128" w:name="_Toc191025435"/>
      <w:bookmarkStart w:id="129" w:name="_Toc191041959"/>
      <w:r>
        <w:t>Subdivision 1 — Records of drivers, vehicles and bookings</w:t>
      </w:r>
      <w:bookmarkEnd w:id="127"/>
      <w:bookmarkEnd w:id="128"/>
      <w:bookmarkEnd w:id="129"/>
    </w:p>
    <w:p>
      <w:pPr>
        <w:pStyle w:val="Heading5"/>
      </w:pPr>
      <w:bookmarkStart w:id="130" w:name="_Toc191041960"/>
      <w:r>
        <w:rPr>
          <w:rStyle w:val="CharSectno"/>
        </w:rPr>
        <w:t>56</w:t>
      </w:r>
      <w:r>
        <w:t>.</w:t>
      </w:r>
      <w:r>
        <w:tab/>
        <w:t>Obligations in this Division are conditions on authorisation</w:t>
      </w:r>
      <w:bookmarkEnd w:id="130"/>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131" w:name="_Toc191041961"/>
      <w:r>
        <w:rPr>
          <w:rStyle w:val="CharSectno"/>
        </w:rPr>
        <w:lastRenderedPageBreak/>
        <w:t>57</w:t>
      </w:r>
      <w:r>
        <w:t>.</w:t>
      </w:r>
      <w:r>
        <w:tab/>
        <w:t>Records of drivers and vehicles</w:t>
      </w:r>
      <w:bookmarkEnd w:id="131"/>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132" w:name="_Toc191041962"/>
      <w:r>
        <w:rPr>
          <w:rStyle w:val="CharSectno"/>
        </w:rPr>
        <w:t>58</w:t>
      </w:r>
      <w:r>
        <w:t>.</w:t>
      </w:r>
      <w:r>
        <w:tab/>
        <w:t>Records of bookings for on</w:t>
      </w:r>
      <w:r>
        <w:noBreakHyphen/>
        <w:t>demand passenger transport services</w:t>
      </w:r>
      <w:bookmarkEnd w:id="132"/>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lastRenderedPageBreak/>
        <w:tab/>
        <w:t>(7)</w:t>
      </w:r>
      <w:r>
        <w:tab/>
        <w:t>A record referred to in subregulation (4) must be retained for at least 2 years after the day on which the booking request is made.</w:t>
      </w:r>
    </w:p>
    <w:p>
      <w:pPr>
        <w:pStyle w:val="Heading4"/>
      </w:pPr>
      <w:bookmarkStart w:id="133" w:name="_Toc191024248"/>
      <w:bookmarkStart w:id="134" w:name="_Toc191025439"/>
      <w:bookmarkStart w:id="135" w:name="_Toc191041963"/>
      <w:r>
        <w:t>Subdivision 2 — Records of association arrangements</w:t>
      </w:r>
      <w:bookmarkEnd w:id="133"/>
      <w:bookmarkEnd w:id="134"/>
      <w:bookmarkEnd w:id="135"/>
    </w:p>
    <w:p>
      <w:pPr>
        <w:pStyle w:val="Heading5"/>
      </w:pPr>
      <w:bookmarkStart w:id="136" w:name="_Toc191041964"/>
      <w:r>
        <w:rPr>
          <w:rStyle w:val="CharSectno"/>
        </w:rPr>
        <w:t>59</w:t>
      </w:r>
      <w:r>
        <w:t>.</w:t>
      </w:r>
      <w:r>
        <w:tab/>
        <w:t>Records of association arrangements</w:t>
      </w:r>
      <w:bookmarkEnd w:id="136"/>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137" w:name="_Toc191024250"/>
      <w:bookmarkStart w:id="138" w:name="_Toc191025441"/>
      <w:bookmarkStart w:id="139" w:name="_Toc191041965"/>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37"/>
      <w:bookmarkEnd w:id="138"/>
      <w:bookmarkEnd w:id="139"/>
    </w:p>
    <w:p>
      <w:pPr>
        <w:pStyle w:val="Heading5"/>
      </w:pPr>
      <w:bookmarkStart w:id="140" w:name="_Toc191041966"/>
      <w:r>
        <w:rPr>
          <w:rStyle w:val="CharSectno"/>
        </w:rPr>
        <w:t>60</w:t>
      </w:r>
      <w:r>
        <w:t>.</w:t>
      </w:r>
      <w:r>
        <w:tab/>
        <w:t>Offence to offer or advertise on</w:t>
      </w:r>
      <w:r>
        <w:noBreakHyphen/>
        <w:t>demand booking service or on</w:t>
      </w:r>
      <w:r>
        <w:noBreakHyphen/>
        <w:t>demand passenger transport service unless authorised</w:t>
      </w:r>
      <w:bookmarkEnd w:id="140"/>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41" w:name="_Toc191041967"/>
      <w:r>
        <w:rPr>
          <w:rStyle w:val="CharSectno"/>
        </w:rPr>
        <w:t>61</w:t>
      </w:r>
      <w:r>
        <w:t>.</w:t>
      </w:r>
      <w:r>
        <w:tab/>
        <w:t>Name or authorisation number of provider must be included in advertising</w:t>
      </w:r>
      <w:bookmarkEnd w:id="141"/>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keepNext/>
      </w:pPr>
      <w:r>
        <w:lastRenderedPageBreak/>
        <w:tab/>
        <w:t>(c)</w:t>
      </w:r>
      <w:r>
        <w:tab/>
        <w:t>a business name used by the provider in connection with the provision of the on</w:t>
      </w:r>
      <w:r>
        <w:noBreakHyphen/>
        <w:t>demand booking service.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61 amended: SL 2024/286 r. 10.]</w:t>
      </w:r>
    </w:p>
    <w:p>
      <w:pPr>
        <w:pStyle w:val="Heading3"/>
      </w:pPr>
      <w:bookmarkStart w:id="142" w:name="_Toc191024253"/>
      <w:bookmarkStart w:id="143" w:name="_Toc191025444"/>
      <w:bookmarkStart w:id="144" w:name="_Toc191041968"/>
      <w:r>
        <w:rPr>
          <w:rStyle w:val="CharDivNo"/>
        </w:rPr>
        <w:lastRenderedPageBreak/>
        <w:t>Division 9</w:t>
      </w:r>
      <w:r>
        <w:t> — </w:t>
      </w:r>
      <w:r>
        <w:rPr>
          <w:rStyle w:val="CharDivText"/>
        </w:rPr>
        <w:t>Complaints</w:t>
      </w:r>
      <w:bookmarkEnd w:id="142"/>
      <w:bookmarkEnd w:id="143"/>
      <w:bookmarkEnd w:id="144"/>
    </w:p>
    <w:p>
      <w:pPr>
        <w:pStyle w:val="Heading5"/>
      </w:pPr>
      <w:bookmarkStart w:id="145" w:name="_Toc191041969"/>
      <w:r>
        <w:rPr>
          <w:rStyle w:val="CharSectno"/>
        </w:rPr>
        <w:t>62</w:t>
      </w:r>
      <w:r>
        <w:t>.</w:t>
      </w:r>
      <w:r>
        <w:tab/>
        <w:t>Complaints resolution procedure</w:t>
      </w:r>
      <w:bookmarkEnd w:id="145"/>
    </w:p>
    <w:p>
      <w:pPr>
        <w:pStyle w:val="Subsection"/>
        <w:keepNext/>
      </w:pPr>
      <w:r>
        <w:tab/>
      </w:r>
      <w:r>
        <w:tab/>
        <w:t>The provider of an authorised on</w:t>
      </w:r>
      <w:r>
        <w:noBreakHyphen/>
        <w:t xml:space="preserve">demand booking service must ensure that — </w:t>
      </w:r>
    </w:p>
    <w:p>
      <w:pPr>
        <w:pStyle w:val="Indenta"/>
        <w:keepNext/>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46" w:name="_Toc191041970"/>
      <w:r>
        <w:rPr>
          <w:rStyle w:val="CharSectno"/>
        </w:rPr>
        <w:t>63</w:t>
      </w:r>
      <w:r>
        <w:t>.</w:t>
      </w:r>
      <w:r>
        <w:tab/>
        <w:t>Records of customer complaints</w:t>
      </w:r>
      <w:bookmarkEnd w:id="146"/>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lastRenderedPageBreak/>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147" w:name="_Toc191024256"/>
      <w:bookmarkStart w:id="148" w:name="_Toc191025447"/>
      <w:bookmarkStart w:id="149" w:name="_Toc191041971"/>
      <w:r>
        <w:rPr>
          <w:rStyle w:val="CharDivNo"/>
        </w:rPr>
        <w:t>Division 10</w:t>
      </w:r>
      <w:r>
        <w:t> — </w:t>
      </w:r>
      <w:r>
        <w:rPr>
          <w:rStyle w:val="CharDivText"/>
        </w:rPr>
        <w:t>Miscellaneous</w:t>
      </w:r>
      <w:bookmarkEnd w:id="147"/>
      <w:bookmarkEnd w:id="148"/>
      <w:bookmarkEnd w:id="149"/>
    </w:p>
    <w:p>
      <w:pPr>
        <w:pStyle w:val="Heading5"/>
      </w:pPr>
      <w:bookmarkStart w:id="150" w:name="_Toc191041972"/>
      <w:r>
        <w:rPr>
          <w:rStyle w:val="CharSectno"/>
        </w:rPr>
        <w:t>64</w:t>
      </w:r>
      <w:r>
        <w:t>.</w:t>
      </w:r>
      <w:r>
        <w:tab/>
        <w:t>List of authorised on</w:t>
      </w:r>
      <w:r>
        <w:noBreakHyphen/>
        <w:t>demand booking services (s. 41)</w:t>
      </w:r>
      <w:bookmarkEnd w:id="150"/>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each business name used by the provider in connection with the provision of the on</w:t>
      </w:r>
      <w:r>
        <w:noBreakHyphen/>
        <w:t>demand booking service;</w:t>
      </w:r>
    </w:p>
    <w:p>
      <w:pPr>
        <w:pStyle w:val="Indenta"/>
      </w:pPr>
      <w:r>
        <w:tab/>
        <w:t>(c)</w:t>
      </w:r>
      <w:r>
        <w:tab/>
        <w:t>the authorisation number for the on</w:t>
      </w:r>
      <w:r>
        <w:noBreakHyphen/>
        <w:t>demand booking service authorisation.</w:t>
      </w:r>
    </w:p>
    <w:p>
      <w:pPr>
        <w:pStyle w:val="Footnotesection"/>
      </w:pPr>
      <w:r>
        <w:tab/>
        <w:t>[Regulation 64 amended: SL 2024/286 r. 11.]</w:t>
      </w:r>
    </w:p>
    <w:p>
      <w:pPr>
        <w:pStyle w:val="Heading2"/>
      </w:pPr>
      <w:bookmarkStart w:id="151" w:name="_Toc191024258"/>
      <w:bookmarkStart w:id="152" w:name="_Toc191025449"/>
      <w:bookmarkStart w:id="153" w:name="_Toc191041973"/>
      <w:r>
        <w:rPr>
          <w:rStyle w:val="CharPartNo"/>
        </w:rPr>
        <w:lastRenderedPageBreak/>
        <w:t>Part 5</w:t>
      </w:r>
      <w:r>
        <w:t> — </w:t>
      </w:r>
      <w:r>
        <w:rPr>
          <w:rStyle w:val="CharPartText"/>
        </w:rPr>
        <w:t>Authorisation of regular passenger transport services</w:t>
      </w:r>
      <w:bookmarkEnd w:id="151"/>
      <w:bookmarkEnd w:id="152"/>
      <w:bookmarkEnd w:id="153"/>
    </w:p>
    <w:p>
      <w:pPr>
        <w:pStyle w:val="Heading3"/>
      </w:pPr>
      <w:bookmarkStart w:id="154" w:name="_Toc191024259"/>
      <w:bookmarkStart w:id="155" w:name="_Toc191025450"/>
      <w:bookmarkStart w:id="156" w:name="_Toc191041974"/>
      <w:r>
        <w:rPr>
          <w:rStyle w:val="CharDivNo"/>
        </w:rPr>
        <w:t>Division 1</w:t>
      </w:r>
      <w:r>
        <w:t> — </w:t>
      </w:r>
      <w:r>
        <w:rPr>
          <w:rStyle w:val="CharDivText"/>
        </w:rPr>
        <w:t>Preliminary</w:t>
      </w:r>
      <w:bookmarkEnd w:id="154"/>
      <w:bookmarkEnd w:id="155"/>
      <w:bookmarkEnd w:id="156"/>
    </w:p>
    <w:p>
      <w:pPr>
        <w:pStyle w:val="Heading5"/>
      </w:pPr>
      <w:bookmarkStart w:id="157" w:name="_Toc191041975"/>
      <w:r>
        <w:rPr>
          <w:rStyle w:val="CharSectno"/>
        </w:rPr>
        <w:t>65</w:t>
      </w:r>
      <w:r>
        <w:t>.</w:t>
      </w:r>
      <w:r>
        <w:tab/>
        <w:t>Exemption for contracted provider of authorised regular passenger transport service</w:t>
      </w:r>
      <w:bookmarkEnd w:id="157"/>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w:t>
      </w:r>
    </w:p>
    <w:p>
      <w:pPr>
        <w:pStyle w:val="Heading3"/>
      </w:pPr>
      <w:bookmarkStart w:id="158" w:name="_Toc191024261"/>
      <w:bookmarkStart w:id="159" w:name="_Toc191025452"/>
      <w:bookmarkStart w:id="160" w:name="_Toc191041976"/>
      <w:r>
        <w:rPr>
          <w:rStyle w:val="CharDivNo"/>
        </w:rPr>
        <w:lastRenderedPageBreak/>
        <w:t>Division 2</w:t>
      </w:r>
      <w:r>
        <w:t> — </w:t>
      </w:r>
      <w:r>
        <w:rPr>
          <w:rStyle w:val="CharDivText"/>
        </w:rPr>
        <w:t>Grant, duration and renewal of regular passenger service authorisations</w:t>
      </w:r>
      <w:bookmarkEnd w:id="158"/>
      <w:bookmarkEnd w:id="159"/>
      <w:bookmarkEnd w:id="160"/>
    </w:p>
    <w:p>
      <w:pPr>
        <w:pStyle w:val="Heading5"/>
      </w:pPr>
      <w:bookmarkStart w:id="161" w:name="_Toc191041977"/>
      <w:r>
        <w:rPr>
          <w:rStyle w:val="CharSectno"/>
        </w:rPr>
        <w:t>66</w:t>
      </w:r>
      <w:r>
        <w:t>.</w:t>
      </w:r>
      <w:r>
        <w:tab/>
        <w:t>Application for approval of temporary variation of route or area (s. 70(2))</w:t>
      </w:r>
      <w:bookmarkEnd w:id="161"/>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162" w:name="_Toc191041978"/>
      <w:r>
        <w:rPr>
          <w:rStyle w:val="CharSectno"/>
        </w:rPr>
        <w:t>67</w:t>
      </w:r>
      <w:r>
        <w:t>.</w:t>
      </w:r>
      <w:r>
        <w:tab/>
        <w:t>Temporary variation of route or area (s. 70(2))</w:t>
      </w:r>
      <w:bookmarkEnd w:id="162"/>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163" w:name="_Toc191041979"/>
      <w:r>
        <w:rPr>
          <w:rStyle w:val="CharSectno"/>
        </w:rPr>
        <w:t>68</w:t>
      </w:r>
      <w:r>
        <w:t>.</w:t>
      </w:r>
      <w:r>
        <w:tab/>
        <w:t>Duration of regular passenger transport service authorisation (s. 74(1))</w:t>
      </w:r>
      <w:bookmarkEnd w:id="163"/>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lastRenderedPageBreak/>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164" w:name="_Toc191041980"/>
      <w:r>
        <w:rPr>
          <w:rStyle w:val="CharSectno"/>
        </w:rPr>
        <w:t>69</w:t>
      </w:r>
      <w:r>
        <w:t>.</w:t>
      </w:r>
      <w:r>
        <w:tab/>
        <w:t>Renewal of regular passenger transport service authorisation</w:t>
      </w:r>
      <w:bookmarkEnd w:id="164"/>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lastRenderedPageBreak/>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165" w:name="_Toc191024266"/>
      <w:bookmarkStart w:id="166" w:name="_Toc191025457"/>
      <w:bookmarkStart w:id="167" w:name="_Toc191041981"/>
      <w:r>
        <w:rPr>
          <w:rStyle w:val="CharDivNo"/>
        </w:rPr>
        <w:t>Division 3</w:t>
      </w:r>
      <w:r>
        <w:t> — </w:t>
      </w:r>
      <w:r>
        <w:rPr>
          <w:rStyle w:val="CharDivText"/>
        </w:rPr>
        <w:t>Changes to information</w:t>
      </w:r>
      <w:bookmarkEnd w:id="165"/>
      <w:bookmarkEnd w:id="166"/>
      <w:bookmarkEnd w:id="167"/>
    </w:p>
    <w:p>
      <w:pPr>
        <w:pStyle w:val="Heading5"/>
      </w:pPr>
      <w:bookmarkStart w:id="168" w:name="_Toc191041982"/>
      <w:r>
        <w:rPr>
          <w:rStyle w:val="CharSectno"/>
        </w:rPr>
        <w:t>70</w:t>
      </w:r>
      <w:r>
        <w:t>.</w:t>
      </w:r>
      <w:r>
        <w:tab/>
        <w:t>Provider of authorised regular passenger transport service to notify change in circumstances</w:t>
      </w:r>
      <w:bookmarkEnd w:id="168"/>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69" w:name="_Toc191024268"/>
      <w:bookmarkStart w:id="170" w:name="_Toc191025459"/>
      <w:bookmarkStart w:id="171" w:name="_Toc191041983"/>
      <w:r>
        <w:rPr>
          <w:rStyle w:val="CharDivNo"/>
        </w:rPr>
        <w:lastRenderedPageBreak/>
        <w:t>Division 4</w:t>
      </w:r>
      <w:r>
        <w:t> — </w:t>
      </w:r>
      <w:r>
        <w:rPr>
          <w:rStyle w:val="CharDivText"/>
        </w:rPr>
        <w:t>Conditions of authorisation</w:t>
      </w:r>
      <w:bookmarkEnd w:id="169"/>
      <w:bookmarkEnd w:id="170"/>
      <w:bookmarkEnd w:id="171"/>
    </w:p>
    <w:p>
      <w:pPr>
        <w:pStyle w:val="Heading5"/>
      </w:pPr>
      <w:bookmarkStart w:id="172" w:name="_Toc191041984"/>
      <w:r>
        <w:rPr>
          <w:rStyle w:val="CharSectno"/>
        </w:rPr>
        <w:t>71</w:t>
      </w:r>
      <w:r>
        <w:t>.</w:t>
      </w:r>
      <w:r>
        <w:tab/>
        <w:t>Obligations in this Division are conditions on authorisation</w:t>
      </w:r>
      <w:bookmarkEnd w:id="172"/>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173" w:name="_Toc191041985"/>
      <w:r>
        <w:rPr>
          <w:rStyle w:val="CharSectno"/>
        </w:rPr>
        <w:t>72</w:t>
      </w:r>
      <w:r>
        <w:t>.</w:t>
      </w:r>
      <w:r>
        <w:tab/>
        <w:t>Use of regular passenger transport vehicles</w:t>
      </w:r>
      <w:bookmarkEnd w:id="173"/>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174" w:name="_Toc191041986"/>
      <w:r>
        <w:rPr>
          <w:rStyle w:val="CharSectno"/>
        </w:rPr>
        <w:t>73</w:t>
      </w:r>
      <w:r>
        <w:t>.</w:t>
      </w:r>
      <w:r>
        <w:tab/>
        <w:t>Fares</w:t>
      </w:r>
      <w:bookmarkEnd w:id="174"/>
    </w:p>
    <w:p>
      <w:pPr>
        <w:pStyle w:val="Subsection"/>
      </w:pPr>
      <w:r>
        <w:tab/>
        <w:t>(1)</w:t>
      </w:r>
      <w:r>
        <w:tab/>
        <w:t>The provider of an authorised regular passenger transport service must use a transparent process for the determination of fares.</w:t>
      </w:r>
    </w:p>
    <w:p>
      <w:pPr>
        <w:pStyle w:val="Subsection"/>
        <w:keepNext/>
      </w:pPr>
      <w:r>
        <w:tab/>
        <w:t>(2)</w:t>
      </w:r>
      <w:r>
        <w:tab/>
        <w:t xml:space="preserve">The provider of an authorised regular passenger transport service must make the amount of any fare to be charged </w:t>
      </w:r>
      <w:r>
        <w:lastRenderedPageBreak/>
        <w:t>available to a passenger by publication or otherwise a reasonable time before a journey begins.</w:t>
      </w:r>
    </w:p>
    <w:p>
      <w:pPr>
        <w:pStyle w:val="Heading5"/>
      </w:pPr>
      <w:bookmarkStart w:id="175" w:name="_Toc191041987"/>
      <w:r>
        <w:rPr>
          <w:rStyle w:val="CharSectno"/>
        </w:rPr>
        <w:t>74</w:t>
      </w:r>
      <w:r>
        <w:t>.</w:t>
      </w:r>
      <w:r>
        <w:tab/>
        <w:t>Records</w:t>
      </w:r>
      <w:bookmarkEnd w:id="175"/>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176" w:name="_Toc191024273"/>
      <w:bookmarkStart w:id="177" w:name="_Toc191025464"/>
      <w:bookmarkStart w:id="178" w:name="_Toc191041988"/>
      <w:r>
        <w:rPr>
          <w:rStyle w:val="CharDivNo"/>
        </w:rPr>
        <w:t>Division 5</w:t>
      </w:r>
      <w:r>
        <w:t> — </w:t>
      </w:r>
      <w:r>
        <w:rPr>
          <w:rStyle w:val="CharDivText"/>
        </w:rPr>
        <w:t>Offences relating to advertising by providers of regular passenger transport services</w:t>
      </w:r>
      <w:bookmarkEnd w:id="176"/>
      <w:bookmarkEnd w:id="177"/>
      <w:bookmarkEnd w:id="178"/>
    </w:p>
    <w:p>
      <w:pPr>
        <w:pStyle w:val="Heading5"/>
      </w:pPr>
      <w:bookmarkStart w:id="179" w:name="_Toc191041989"/>
      <w:r>
        <w:rPr>
          <w:rStyle w:val="CharSectno"/>
        </w:rPr>
        <w:t>75</w:t>
      </w:r>
      <w:r>
        <w:t>.</w:t>
      </w:r>
      <w:r>
        <w:tab/>
        <w:t>Offence to offer or advertise regular passenger transport service unless authorised</w:t>
      </w:r>
      <w:bookmarkEnd w:id="179"/>
    </w:p>
    <w:p>
      <w:pPr>
        <w:pStyle w:val="Subsection"/>
        <w:keepNext/>
      </w:pPr>
      <w:r>
        <w:tab/>
      </w:r>
      <w:r>
        <w:tab/>
        <w:t xml:space="preserve">The provider of a regular passenger transport service must not offer to provide, advertise, or authorise or permit the publication </w:t>
      </w:r>
      <w:r>
        <w:lastRenderedPageBreak/>
        <w:t xml:space="preserve">of an advertisement for, the regular passenger transport service unless the provider — </w:t>
      </w:r>
    </w:p>
    <w:p>
      <w:pPr>
        <w:pStyle w:val="Indenta"/>
        <w:keepNext/>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80" w:name="_Toc191041990"/>
      <w:r>
        <w:rPr>
          <w:rStyle w:val="CharSectno"/>
        </w:rPr>
        <w:t>76</w:t>
      </w:r>
      <w:r>
        <w:t>.</w:t>
      </w:r>
      <w:r>
        <w:tab/>
        <w:t>Name or authorisation number of provider must be included in advertising</w:t>
      </w:r>
      <w:bookmarkEnd w:id="180"/>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business name used by the provider in connection with the provision of the regular passenger transport service;</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keepNext/>
      </w:pPr>
      <w:r>
        <w:lastRenderedPageBreak/>
        <w:tab/>
        <w:t>(iii)</w:t>
      </w:r>
      <w:r>
        <w:tab/>
        <w:t>a business name used by the authorised provider in connection with the provision of the authorised regular passenger transport service.</w:t>
      </w:r>
    </w:p>
    <w:p>
      <w:pPr>
        <w:pStyle w:val="Penstart"/>
        <w:keepNext/>
      </w:pPr>
      <w:r>
        <w:tab/>
        <w:t>Penalty:</w:t>
      </w:r>
    </w:p>
    <w:p>
      <w:pPr>
        <w:pStyle w:val="Penpara"/>
        <w:keepNext/>
      </w:pPr>
      <w:r>
        <w:tab/>
        <w:t>(a)</w:t>
      </w:r>
      <w:r>
        <w:tab/>
        <w:t>for an individual, a fine of $9 000;</w:t>
      </w:r>
    </w:p>
    <w:p>
      <w:pPr>
        <w:pStyle w:val="Penpara"/>
        <w:keepNext/>
      </w:pPr>
      <w:r>
        <w:tab/>
        <w:t>(b)</w:t>
      </w:r>
      <w:r>
        <w:tab/>
        <w:t>for a body corporate, a fine of $30 000.</w:t>
      </w:r>
    </w:p>
    <w:p>
      <w:pPr>
        <w:pStyle w:val="Footnotesection"/>
      </w:pPr>
      <w:r>
        <w:tab/>
        <w:t>[Regulation 76 amended: SL 2024/286 r. 12.]</w:t>
      </w:r>
    </w:p>
    <w:p>
      <w:pPr>
        <w:pStyle w:val="Heading3"/>
      </w:pPr>
      <w:bookmarkStart w:id="181" w:name="_Toc191024276"/>
      <w:bookmarkStart w:id="182" w:name="_Toc191025467"/>
      <w:bookmarkStart w:id="183" w:name="_Toc191041991"/>
      <w:r>
        <w:rPr>
          <w:rStyle w:val="CharDivNo"/>
        </w:rPr>
        <w:t>Division 6</w:t>
      </w:r>
      <w:r>
        <w:t> — </w:t>
      </w:r>
      <w:r>
        <w:rPr>
          <w:rStyle w:val="CharDivText"/>
        </w:rPr>
        <w:t>Complaints</w:t>
      </w:r>
      <w:bookmarkEnd w:id="181"/>
      <w:bookmarkEnd w:id="182"/>
      <w:bookmarkEnd w:id="183"/>
    </w:p>
    <w:p>
      <w:pPr>
        <w:pStyle w:val="Heading5"/>
      </w:pPr>
      <w:bookmarkStart w:id="184" w:name="_Toc191041992"/>
      <w:r>
        <w:rPr>
          <w:rStyle w:val="CharSectno"/>
        </w:rPr>
        <w:t>77</w:t>
      </w:r>
      <w:r>
        <w:t>.</w:t>
      </w:r>
      <w:r>
        <w:tab/>
        <w:t>Complaints resolution procedure</w:t>
      </w:r>
      <w:bookmarkEnd w:id="184"/>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85" w:name="_Toc191041993"/>
      <w:r>
        <w:rPr>
          <w:rStyle w:val="CharSectno"/>
        </w:rPr>
        <w:lastRenderedPageBreak/>
        <w:t>78</w:t>
      </w:r>
      <w:r>
        <w:t>.</w:t>
      </w:r>
      <w:r>
        <w:tab/>
        <w:t>Records of customer complaints</w:t>
      </w:r>
      <w:bookmarkEnd w:id="185"/>
    </w:p>
    <w:p>
      <w:pPr>
        <w:pStyle w:val="Subsection"/>
        <w:keepNext/>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186" w:name="_Toc191024279"/>
      <w:bookmarkStart w:id="187" w:name="_Toc191025470"/>
      <w:bookmarkStart w:id="188" w:name="_Toc191041994"/>
      <w:r>
        <w:rPr>
          <w:rStyle w:val="CharPartNo"/>
        </w:rPr>
        <w:lastRenderedPageBreak/>
        <w:t>Part 6</w:t>
      </w:r>
      <w:r>
        <w:t> — </w:t>
      </w:r>
      <w:r>
        <w:rPr>
          <w:rStyle w:val="CharPartText"/>
        </w:rPr>
        <w:t>Authorisation of passenger transport drivers</w:t>
      </w:r>
      <w:bookmarkEnd w:id="186"/>
      <w:bookmarkEnd w:id="187"/>
      <w:bookmarkEnd w:id="188"/>
    </w:p>
    <w:p>
      <w:pPr>
        <w:pStyle w:val="Heading3"/>
      </w:pPr>
      <w:bookmarkStart w:id="189" w:name="_Toc191024280"/>
      <w:bookmarkStart w:id="190" w:name="_Toc191025471"/>
      <w:bookmarkStart w:id="191" w:name="_Toc191041995"/>
      <w:r>
        <w:rPr>
          <w:rStyle w:val="CharDivNo"/>
        </w:rPr>
        <w:t>Division 1</w:t>
      </w:r>
      <w:r>
        <w:t> — </w:t>
      </w:r>
      <w:r>
        <w:rPr>
          <w:rStyle w:val="CharDivText"/>
        </w:rPr>
        <w:t>Preliminary</w:t>
      </w:r>
      <w:bookmarkEnd w:id="189"/>
      <w:bookmarkEnd w:id="190"/>
      <w:bookmarkEnd w:id="191"/>
    </w:p>
    <w:p>
      <w:pPr>
        <w:pStyle w:val="Heading5"/>
      </w:pPr>
      <w:bookmarkStart w:id="192" w:name="_Toc191041996"/>
      <w:r>
        <w:rPr>
          <w:rStyle w:val="CharSectno"/>
        </w:rPr>
        <w:t>79</w:t>
      </w:r>
      <w:r>
        <w:t>.</w:t>
      </w:r>
      <w:r>
        <w:tab/>
        <w:t>Term used: disqualification offence</w:t>
      </w:r>
      <w:bookmarkEnd w:id="19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193" w:name="_Toc191041997"/>
      <w:r>
        <w:rPr>
          <w:rStyle w:val="CharSectno"/>
        </w:rPr>
        <w:t>80</w:t>
      </w:r>
      <w:r>
        <w:t>.</w:t>
      </w:r>
      <w:r>
        <w:tab/>
        <w:t>Driving vehicle with interstate driver authorisation (s. 90 and 91)</w:t>
      </w:r>
      <w:bookmarkEnd w:id="193"/>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keepNext/>
      </w:pPr>
      <w:r>
        <w:lastRenderedPageBreak/>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194" w:name="_Toc191041998"/>
      <w:r>
        <w:rPr>
          <w:rStyle w:val="CharSectno"/>
        </w:rPr>
        <w:t>81</w:t>
      </w:r>
      <w:r>
        <w:t>.</w:t>
      </w:r>
      <w:r>
        <w:tab/>
        <w:t>Exemption from s. 90 and 91 where driver has interstate driver authorisation and conditions complied with to the extent possible in the State</w:t>
      </w:r>
      <w:bookmarkEnd w:id="194"/>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keepNext/>
      </w:pPr>
      <w:r>
        <w:lastRenderedPageBreak/>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195" w:name="_Toc191024284"/>
      <w:bookmarkStart w:id="196" w:name="_Toc191025475"/>
      <w:bookmarkStart w:id="197" w:name="_Toc191041999"/>
      <w:r>
        <w:rPr>
          <w:rStyle w:val="CharDivNo"/>
        </w:rPr>
        <w:t>Division 2</w:t>
      </w:r>
      <w:r>
        <w:t> — </w:t>
      </w:r>
      <w:r>
        <w:rPr>
          <w:rStyle w:val="CharDivText"/>
        </w:rPr>
        <w:t>Applications for passenger transport driver authorisations</w:t>
      </w:r>
      <w:bookmarkEnd w:id="195"/>
      <w:bookmarkEnd w:id="196"/>
      <w:bookmarkEnd w:id="197"/>
    </w:p>
    <w:p>
      <w:pPr>
        <w:pStyle w:val="Heading5"/>
      </w:pPr>
      <w:bookmarkStart w:id="198" w:name="_Toc191042000"/>
      <w:r>
        <w:rPr>
          <w:rStyle w:val="CharSectno"/>
        </w:rPr>
        <w:t>82</w:t>
      </w:r>
      <w:r>
        <w:t>.</w:t>
      </w:r>
      <w:r>
        <w:tab/>
        <w:t>Documents to be included in passenger transport driver authorisation application</w:t>
      </w:r>
      <w:bookmarkEnd w:id="198"/>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199" w:name="_Toc191024286"/>
      <w:bookmarkStart w:id="200" w:name="_Toc191025477"/>
      <w:bookmarkStart w:id="201" w:name="_Toc191042001"/>
      <w:r>
        <w:rPr>
          <w:rStyle w:val="CharDivNo"/>
        </w:rPr>
        <w:lastRenderedPageBreak/>
        <w:t>Division 3</w:t>
      </w:r>
      <w:r>
        <w:t> — </w:t>
      </w:r>
      <w:r>
        <w:rPr>
          <w:rStyle w:val="CharDivText"/>
        </w:rPr>
        <w:t>Grant, duration and renewal of passenger transport driver authorisations</w:t>
      </w:r>
      <w:bookmarkEnd w:id="199"/>
      <w:bookmarkEnd w:id="200"/>
      <w:bookmarkEnd w:id="201"/>
    </w:p>
    <w:p>
      <w:pPr>
        <w:pStyle w:val="Heading5"/>
        <w:keepLines w:val="0"/>
      </w:pPr>
      <w:bookmarkStart w:id="202" w:name="_Toc191042002"/>
      <w:r>
        <w:rPr>
          <w:rStyle w:val="CharSectno"/>
        </w:rPr>
        <w:t>83</w:t>
      </w:r>
      <w:r>
        <w:t>.</w:t>
      </w:r>
      <w:r>
        <w:tab/>
        <w:t>Grant of passenger transport driver authorisation (s. 96(b))</w:t>
      </w:r>
      <w:bookmarkEnd w:id="202"/>
    </w:p>
    <w:p>
      <w:pPr>
        <w:pStyle w:val="Subsection"/>
        <w:keepNext/>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203" w:name="_Toc191042003"/>
      <w:r>
        <w:rPr>
          <w:rStyle w:val="CharSectno"/>
        </w:rPr>
        <w:t>84</w:t>
      </w:r>
      <w:r>
        <w:t>.</w:t>
      </w:r>
      <w:r>
        <w:tab/>
        <w:t>Duration of passenger transport driver authorisation (s. 104(1))</w:t>
      </w:r>
      <w:bookmarkEnd w:id="203"/>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keepNext/>
      </w:pPr>
      <w:r>
        <w:tab/>
        <w:t>(3)</w:t>
      </w:r>
      <w:r>
        <w:tab/>
        <w:t xml:space="preserve">Despite subregulation (2), if a passenger transport driver authorisation is a further authorisation granted by way of renewal under regulation 85(4) after the expiry of the prior </w:t>
      </w:r>
      <w:r>
        <w:lastRenderedPageBreak/>
        <w:t xml:space="preserve">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204" w:name="_Toc191042004"/>
      <w:r>
        <w:rPr>
          <w:rStyle w:val="CharSectno"/>
        </w:rPr>
        <w:t>85</w:t>
      </w:r>
      <w:r>
        <w:t>.</w:t>
      </w:r>
      <w:r>
        <w:tab/>
        <w:t>Renewal of passenger transport driver authorisation</w:t>
      </w:r>
      <w:bookmarkEnd w:id="204"/>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lastRenderedPageBreak/>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keepNext/>
      </w:pPr>
      <w:r>
        <w:lastRenderedPageBreak/>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205" w:name="_Toc191042005"/>
      <w:r>
        <w:rPr>
          <w:rStyle w:val="CharSectno"/>
        </w:rPr>
        <w:t>86</w:t>
      </w:r>
      <w:r>
        <w:t>.</w:t>
      </w:r>
      <w:r>
        <w:tab/>
        <w:t>Approved medical report required to be included in renewal application after shorter period</w:t>
      </w:r>
      <w:bookmarkEnd w:id="205"/>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206" w:name="_Toc191042006"/>
      <w:r>
        <w:rPr>
          <w:rStyle w:val="CharSectno"/>
        </w:rPr>
        <w:t>87</w:t>
      </w:r>
      <w:r>
        <w:t>.</w:t>
      </w:r>
      <w:r>
        <w:tab/>
        <w:t>Surrender of passenger transport driver authorisation</w:t>
      </w:r>
      <w:bookmarkEnd w:id="206"/>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207" w:name="_Toc191024292"/>
      <w:bookmarkStart w:id="208" w:name="_Toc191025483"/>
      <w:bookmarkStart w:id="209" w:name="_Toc191042007"/>
      <w:r>
        <w:rPr>
          <w:rStyle w:val="CharDivNo"/>
        </w:rPr>
        <w:lastRenderedPageBreak/>
        <w:t>Division 4</w:t>
      </w:r>
      <w:r>
        <w:t> — </w:t>
      </w:r>
      <w:r>
        <w:rPr>
          <w:rStyle w:val="CharDivText"/>
        </w:rPr>
        <w:t>Suspension, cancellation and disqualification</w:t>
      </w:r>
      <w:bookmarkEnd w:id="207"/>
      <w:bookmarkEnd w:id="208"/>
      <w:bookmarkEnd w:id="209"/>
    </w:p>
    <w:p>
      <w:pPr>
        <w:pStyle w:val="Heading5"/>
      </w:pPr>
      <w:bookmarkStart w:id="210" w:name="_Toc191042008"/>
      <w:r>
        <w:rPr>
          <w:rStyle w:val="CharSectno"/>
        </w:rPr>
        <w:t>88</w:t>
      </w:r>
      <w:r>
        <w:t>.</w:t>
      </w:r>
      <w:r>
        <w:tab/>
        <w:t>Disqualification offences and disqualification periods (s. 89 and 115)</w:t>
      </w:r>
      <w:bookmarkEnd w:id="210"/>
    </w:p>
    <w:p>
      <w:pPr>
        <w:pStyle w:val="Subsection"/>
      </w:pPr>
      <w:r>
        <w:tab/>
      </w:r>
      <w:r>
        <w:tab/>
        <w:t>The disqualification offences and disqualification periods set out in Schedule 3 are prescribed for the purposes of Part 5 of the Act.</w:t>
      </w:r>
    </w:p>
    <w:p>
      <w:pPr>
        <w:pStyle w:val="Heading5"/>
      </w:pPr>
      <w:bookmarkStart w:id="211" w:name="_Toc191042009"/>
      <w:r>
        <w:rPr>
          <w:rStyle w:val="CharSectno"/>
        </w:rPr>
        <w:t>89</w:t>
      </w:r>
      <w:r>
        <w:t>.</w:t>
      </w:r>
      <w:r>
        <w:tab/>
        <w:t>Reinstatement of authorisation if conviction quashed or set aside</w:t>
      </w:r>
      <w:bookmarkEnd w:id="211"/>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212" w:name="_Toc191042010"/>
      <w:r>
        <w:rPr>
          <w:rStyle w:val="CharSectno"/>
        </w:rPr>
        <w:t>90</w:t>
      </w:r>
      <w:r>
        <w:t>.</w:t>
      </w:r>
      <w:r>
        <w:tab/>
        <w:t>Requirement to notify CEO of charge or conviction for disqualification offence</w:t>
      </w:r>
      <w:bookmarkEnd w:id="212"/>
    </w:p>
    <w:p>
      <w:pPr>
        <w:pStyle w:val="Subsection"/>
        <w:keepNext/>
      </w:pPr>
      <w:r>
        <w:tab/>
      </w:r>
      <w:r>
        <w:tab/>
        <w:t xml:space="preserve">If the holder of a passenger transport driver authorisation is charged with or convicted of a disqualification offence, the holder must give written notice of the charge or conviction to </w:t>
      </w:r>
      <w:r>
        <w:lastRenderedPageBreak/>
        <w:t>the CEO as soon as practicable after becoming aware of the charge or conviction.</w:t>
      </w:r>
    </w:p>
    <w:p>
      <w:pPr>
        <w:pStyle w:val="Penstart"/>
      </w:pPr>
      <w:r>
        <w:tab/>
        <w:t>Penalty: a fine of $3 000.</w:t>
      </w:r>
    </w:p>
    <w:p>
      <w:pPr>
        <w:pStyle w:val="Heading3"/>
      </w:pPr>
      <w:bookmarkStart w:id="213" w:name="_Toc191024296"/>
      <w:bookmarkStart w:id="214" w:name="_Toc191025487"/>
      <w:bookmarkStart w:id="215" w:name="_Toc191042011"/>
      <w:r>
        <w:rPr>
          <w:rStyle w:val="CharDivNo"/>
        </w:rPr>
        <w:t>Division 5</w:t>
      </w:r>
      <w:r>
        <w:t> — </w:t>
      </w:r>
      <w:r>
        <w:rPr>
          <w:rStyle w:val="CharDivText"/>
        </w:rPr>
        <w:t>Changes to information</w:t>
      </w:r>
      <w:bookmarkEnd w:id="213"/>
      <w:bookmarkEnd w:id="214"/>
      <w:bookmarkEnd w:id="215"/>
    </w:p>
    <w:p>
      <w:pPr>
        <w:pStyle w:val="Heading5"/>
      </w:pPr>
      <w:bookmarkStart w:id="216" w:name="_Toc191042012"/>
      <w:r>
        <w:rPr>
          <w:rStyle w:val="CharSectno"/>
        </w:rPr>
        <w:t>91</w:t>
      </w:r>
      <w:r>
        <w:t>.</w:t>
      </w:r>
      <w:r>
        <w:tab/>
        <w:t>Authorisation holder to notify change in circumstances</w:t>
      </w:r>
      <w:bookmarkEnd w:id="216"/>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217" w:name="_Toc191024298"/>
      <w:bookmarkStart w:id="218" w:name="_Toc191025489"/>
      <w:bookmarkStart w:id="219" w:name="_Toc191042013"/>
      <w:r>
        <w:rPr>
          <w:rStyle w:val="CharDivNo"/>
        </w:rPr>
        <w:t>Division 6</w:t>
      </w:r>
      <w:r>
        <w:t> — </w:t>
      </w:r>
      <w:r>
        <w:rPr>
          <w:rStyle w:val="CharDivText"/>
        </w:rPr>
        <w:t>Miscellaneous</w:t>
      </w:r>
      <w:bookmarkEnd w:id="217"/>
      <w:bookmarkEnd w:id="218"/>
      <w:bookmarkEnd w:id="219"/>
    </w:p>
    <w:p>
      <w:pPr>
        <w:pStyle w:val="Heading5"/>
      </w:pPr>
      <w:bookmarkStart w:id="220" w:name="_Toc191042014"/>
      <w:r>
        <w:rPr>
          <w:rStyle w:val="CharSectno"/>
        </w:rPr>
        <w:t>92</w:t>
      </w:r>
      <w:r>
        <w:t>.</w:t>
      </w:r>
      <w:r>
        <w:tab/>
        <w:t>CEO may require authorisation holder to provide certain documents</w:t>
      </w:r>
      <w:bookmarkEnd w:id="220"/>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lastRenderedPageBreak/>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221" w:name="_Toc191042015"/>
      <w:r>
        <w:rPr>
          <w:rStyle w:val="CharSectno"/>
        </w:rPr>
        <w:t>93</w:t>
      </w:r>
      <w:r>
        <w:t>.</w:t>
      </w:r>
      <w:r>
        <w:tab/>
        <w:t>Authorisation holder may provide criminal record check or approved medical report to CEO</w:t>
      </w:r>
      <w:bookmarkEnd w:id="221"/>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222" w:name="_Toc191042016"/>
      <w:r>
        <w:rPr>
          <w:rStyle w:val="CharSectno"/>
        </w:rPr>
        <w:t>94</w:t>
      </w:r>
      <w:r>
        <w:t>.</w:t>
      </w:r>
      <w:r>
        <w:tab/>
        <w:t>CEO may issue documents for purposes of r. 29 and 31</w:t>
      </w:r>
      <w:bookmarkEnd w:id="222"/>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lastRenderedPageBreak/>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223" w:name="_Toc191024302"/>
      <w:bookmarkStart w:id="224" w:name="_Toc191025493"/>
      <w:bookmarkStart w:id="225" w:name="_Toc191042017"/>
      <w:r>
        <w:rPr>
          <w:rStyle w:val="CharPartNo"/>
        </w:rPr>
        <w:lastRenderedPageBreak/>
        <w:t>Part 7</w:t>
      </w:r>
      <w:r>
        <w:t> — </w:t>
      </w:r>
      <w:r>
        <w:rPr>
          <w:rStyle w:val="CharPartText"/>
        </w:rPr>
        <w:t>Authorisation of passenger transport vehicles</w:t>
      </w:r>
      <w:bookmarkEnd w:id="223"/>
      <w:bookmarkEnd w:id="224"/>
      <w:bookmarkEnd w:id="225"/>
    </w:p>
    <w:p>
      <w:pPr>
        <w:pStyle w:val="Heading3"/>
      </w:pPr>
      <w:bookmarkStart w:id="226" w:name="_Toc191024303"/>
      <w:bookmarkStart w:id="227" w:name="_Toc191025494"/>
      <w:bookmarkStart w:id="228" w:name="_Toc191042018"/>
      <w:r>
        <w:rPr>
          <w:rStyle w:val="CharDivNo"/>
        </w:rPr>
        <w:t>Division 1</w:t>
      </w:r>
      <w:r>
        <w:t> — </w:t>
      </w:r>
      <w:r>
        <w:rPr>
          <w:rStyle w:val="CharDivText"/>
        </w:rPr>
        <w:t>Preliminary</w:t>
      </w:r>
      <w:bookmarkEnd w:id="226"/>
      <w:bookmarkEnd w:id="227"/>
      <w:bookmarkEnd w:id="228"/>
    </w:p>
    <w:p>
      <w:pPr>
        <w:pStyle w:val="Heading5"/>
      </w:pPr>
      <w:bookmarkStart w:id="229" w:name="_Toc191042019"/>
      <w:r>
        <w:rPr>
          <w:rStyle w:val="CharSectno"/>
        </w:rPr>
        <w:t>95</w:t>
      </w:r>
      <w:r>
        <w:t>.</w:t>
      </w:r>
      <w:r>
        <w:tab/>
        <w:t>Driving or operating vehicle with interstate vehicle authorisation (s. 121 and 122)</w:t>
      </w:r>
      <w:bookmarkEnd w:id="229"/>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230" w:name="_Toc191042020"/>
      <w:r>
        <w:rPr>
          <w:rStyle w:val="CharSectno"/>
        </w:rPr>
        <w:t>96</w:t>
      </w:r>
      <w:r>
        <w:t>.</w:t>
      </w:r>
      <w:r>
        <w:tab/>
        <w:t>Exemption from s. 121 and 122 for vehicle with interstate vehicle authorisation where conditions complied with to extent possible in the State</w:t>
      </w:r>
      <w:bookmarkEnd w:id="230"/>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lastRenderedPageBreak/>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231" w:name="_Toc191042021"/>
      <w:r>
        <w:rPr>
          <w:rStyle w:val="CharSectno"/>
        </w:rPr>
        <w:t>97</w:t>
      </w:r>
      <w:r>
        <w:t>.</w:t>
      </w:r>
      <w:r>
        <w:tab/>
        <w:t>Replacement vehicles (s. 121 and 122)</w:t>
      </w:r>
      <w:bookmarkEnd w:id="231"/>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232" w:name="_Toc191024307"/>
      <w:bookmarkStart w:id="233" w:name="_Toc191025498"/>
      <w:bookmarkStart w:id="234" w:name="_Toc191042022"/>
      <w:r>
        <w:rPr>
          <w:rStyle w:val="CharDivNo"/>
        </w:rPr>
        <w:lastRenderedPageBreak/>
        <w:t>Division 2</w:t>
      </w:r>
      <w:r>
        <w:t> — </w:t>
      </w:r>
      <w:r>
        <w:rPr>
          <w:rStyle w:val="CharDivText"/>
        </w:rPr>
        <w:t>Grant, duration and renewal of passenger transport vehicle authorisations</w:t>
      </w:r>
      <w:bookmarkEnd w:id="232"/>
      <w:bookmarkEnd w:id="233"/>
      <w:bookmarkEnd w:id="234"/>
    </w:p>
    <w:p>
      <w:pPr>
        <w:pStyle w:val="Heading5"/>
      </w:pPr>
      <w:bookmarkStart w:id="235" w:name="_Toc191042023"/>
      <w:r>
        <w:rPr>
          <w:rStyle w:val="CharSectno"/>
        </w:rPr>
        <w:t>98</w:t>
      </w:r>
      <w:r>
        <w:t>.</w:t>
      </w:r>
      <w:r>
        <w:tab/>
        <w:t>Requirements for authorisation of vehicle (s. 126 and 133)</w:t>
      </w:r>
      <w:bookmarkEnd w:id="235"/>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236" w:name="_Toc191042024"/>
      <w:r>
        <w:rPr>
          <w:rStyle w:val="CharSectno"/>
        </w:rPr>
        <w:lastRenderedPageBreak/>
        <w:t>99</w:t>
      </w:r>
      <w:r>
        <w:t>.</w:t>
      </w:r>
      <w:r>
        <w:tab/>
        <w:t>Duration of passenger transport vehicle authorisation (s. 137(1))</w:t>
      </w:r>
      <w:bookmarkEnd w:id="236"/>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237" w:name="_Toc191042025"/>
      <w:r>
        <w:rPr>
          <w:rStyle w:val="CharSectno"/>
        </w:rPr>
        <w:t>100</w:t>
      </w:r>
      <w:r>
        <w:t>.</w:t>
      </w:r>
      <w:r>
        <w:tab/>
        <w:t>Renewal of passenger transport vehicle authorisation</w:t>
      </w:r>
      <w:bookmarkEnd w:id="237"/>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lastRenderedPageBreak/>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38" w:name="_Toc191042026"/>
      <w:r>
        <w:rPr>
          <w:rStyle w:val="CharSectno"/>
        </w:rPr>
        <w:t>101</w:t>
      </w:r>
      <w:r>
        <w:t>.</w:t>
      </w:r>
      <w:r>
        <w:tab/>
        <w:t>Cancellation of authorisation: transfer of ownership of vehicle (s. 148)</w:t>
      </w:r>
      <w:bookmarkEnd w:id="238"/>
    </w:p>
    <w:p>
      <w:pPr>
        <w:pStyle w:val="Subsection"/>
      </w:pPr>
      <w:r>
        <w:tab/>
      </w:r>
      <w:r>
        <w:tab/>
        <w:t>For the purposes of section 148(2) of the Act, the prescribed period is 14 days.</w:t>
      </w:r>
    </w:p>
    <w:p>
      <w:pPr>
        <w:pStyle w:val="Heading5"/>
      </w:pPr>
      <w:bookmarkStart w:id="239" w:name="_Toc191042027"/>
      <w:r>
        <w:rPr>
          <w:rStyle w:val="CharSectno"/>
        </w:rPr>
        <w:lastRenderedPageBreak/>
        <w:t>102</w:t>
      </w:r>
      <w:r>
        <w:t>.</w:t>
      </w:r>
      <w:r>
        <w:tab/>
        <w:t>Cancellation of authorisation on request (s. 149(3))</w:t>
      </w:r>
      <w:bookmarkEnd w:id="239"/>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240" w:name="_Toc191024313"/>
      <w:bookmarkStart w:id="241" w:name="_Toc191025504"/>
      <w:bookmarkStart w:id="242" w:name="_Toc191042028"/>
      <w:r>
        <w:rPr>
          <w:rStyle w:val="CharDivNo"/>
        </w:rPr>
        <w:t>Division 3</w:t>
      </w:r>
      <w:r>
        <w:t> — </w:t>
      </w:r>
      <w:r>
        <w:rPr>
          <w:rStyle w:val="CharDivText"/>
        </w:rPr>
        <w:t>Changes to information</w:t>
      </w:r>
      <w:bookmarkEnd w:id="240"/>
      <w:bookmarkEnd w:id="241"/>
      <w:bookmarkEnd w:id="242"/>
    </w:p>
    <w:p>
      <w:pPr>
        <w:pStyle w:val="Heading5"/>
      </w:pPr>
      <w:bookmarkStart w:id="243" w:name="_Toc191042029"/>
      <w:r>
        <w:rPr>
          <w:rStyle w:val="CharSectno"/>
        </w:rPr>
        <w:t>103</w:t>
      </w:r>
      <w:r>
        <w:t>.</w:t>
      </w:r>
      <w:r>
        <w:tab/>
        <w:t>Holder of passenger transport vehicle authorisation to notify change in circumstances</w:t>
      </w:r>
      <w:bookmarkEnd w:id="243"/>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244" w:name="_Toc191024315"/>
      <w:bookmarkStart w:id="245" w:name="_Toc191025506"/>
      <w:bookmarkStart w:id="246" w:name="_Toc191042030"/>
      <w:r>
        <w:rPr>
          <w:rStyle w:val="CharPartNo"/>
        </w:rPr>
        <w:lastRenderedPageBreak/>
        <w:t>Part 8</w:t>
      </w:r>
      <w:r>
        <w:t> — </w:t>
      </w:r>
      <w:r>
        <w:rPr>
          <w:rStyle w:val="CharPartText"/>
        </w:rPr>
        <w:t>Requirements relating to passenger transport services</w:t>
      </w:r>
      <w:bookmarkEnd w:id="244"/>
      <w:bookmarkEnd w:id="245"/>
      <w:bookmarkEnd w:id="246"/>
    </w:p>
    <w:p>
      <w:pPr>
        <w:pStyle w:val="Heading3"/>
      </w:pPr>
      <w:bookmarkStart w:id="247" w:name="_Toc191024316"/>
      <w:bookmarkStart w:id="248" w:name="_Toc191025507"/>
      <w:bookmarkStart w:id="249" w:name="_Toc191042031"/>
      <w:r>
        <w:rPr>
          <w:rStyle w:val="CharDivNo"/>
        </w:rPr>
        <w:t>Division 1</w:t>
      </w:r>
      <w:r>
        <w:t> — </w:t>
      </w:r>
      <w:r>
        <w:rPr>
          <w:rStyle w:val="CharDivText"/>
        </w:rPr>
        <w:t>Notifiable occurrences</w:t>
      </w:r>
      <w:bookmarkEnd w:id="247"/>
      <w:bookmarkEnd w:id="248"/>
      <w:bookmarkEnd w:id="249"/>
    </w:p>
    <w:p>
      <w:pPr>
        <w:pStyle w:val="Heading5"/>
      </w:pPr>
      <w:bookmarkStart w:id="250" w:name="_Toc191042032"/>
      <w:r>
        <w:rPr>
          <w:rStyle w:val="CharSectno"/>
        </w:rPr>
        <w:t>104</w:t>
      </w:r>
      <w:r>
        <w:t>.</w:t>
      </w:r>
      <w:r>
        <w:tab/>
        <w:t>Term used: notifiable occurrence</w:t>
      </w:r>
      <w:bookmarkEnd w:id="250"/>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lastRenderedPageBreak/>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251" w:name="_Toc191042033"/>
      <w:r>
        <w:rPr>
          <w:rStyle w:val="CharSectno"/>
        </w:rPr>
        <w:t>105</w:t>
      </w:r>
      <w:r>
        <w:t>.</w:t>
      </w:r>
      <w:r>
        <w:tab/>
        <w:t>Reporting of notifiable occurrences</w:t>
      </w:r>
      <w:bookmarkEnd w:id="251"/>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252" w:name="_Toc191042034"/>
      <w:r>
        <w:rPr>
          <w:rStyle w:val="CharSectno"/>
        </w:rPr>
        <w:t>106</w:t>
      </w:r>
      <w:r>
        <w:t>.</w:t>
      </w:r>
      <w:r>
        <w:tab/>
        <w:t>Provider of on</w:t>
      </w:r>
      <w:r>
        <w:noBreakHyphen/>
        <w:t>demand booking service to report allegations about driver conduct</w:t>
      </w:r>
      <w:bookmarkEnd w:id="252"/>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253" w:name="_Toc191024320"/>
      <w:bookmarkStart w:id="254" w:name="_Toc191025511"/>
      <w:bookmarkStart w:id="255" w:name="_Toc191042035"/>
      <w:r>
        <w:rPr>
          <w:rStyle w:val="CharDivNo"/>
        </w:rPr>
        <w:lastRenderedPageBreak/>
        <w:t>Division 2</w:t>
      </w:r>
      <w:r>
        <w:t> — </w:t>
      </w:r>
      <w:r>
        <w:rPr>
          <w:rStyle w:val="CharDivText"/>
        </w:rPr>
        <w:t>Camera surveillance</w:t>
      </w:r>
      <w:bookmarkEnd w:id="253"/>
      <w:bookmarkEnd w:id="254"/>
      <w:bookmarkEnd w:id="255"/>
    </w:p>
    <w:p>
      <w:pPr>
        <w:pStyle w:val="Heading5"/>
      </w:pPr>
      <w:bookmarkStart w:id="256" w:name="_Toc191042036"/>
      <w:r>
        <w:rPr>
          <w:rStyle w:val="CharSectno"/>
        </w:rPr>
        <w:t>107</w:t>
      </w:r>
      <w:r>
        <w:t>.</w:t>
      </w:r>
      <w:r>
        <w:tab/>
        <w:t>Terms used</w:t>
      </w:r>
      <w:bookmarkEnd w:id="256"/>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257" w:name="_Toc191042037"/>
      <w:r>
        <w:rPr>
          <w:rStyle w:val="CharSectno"/>
        </w:rPr>
        <w:lastRenderedPageBreak/>
        <w:t>108</w:t>
      </w:r>
      <w:r>
        <w:t>.</w:t>
      </w:r>
      <w:r>
        <w:tab/>
        <w:t>Camera surveillance units</w:t>
      </w:r>
      <w:bookmarkEnd w:id="257"/>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258" w:name="_Toc191042038"/>
      <w:r>
        <w:rPr>
          <w:rStyle w:val="CharSectno"/>
        </w:rPr>
        <w:t>109</w:t>
      </w:r>
      <w:r>
        <w:t>.</w:t>
      </w:r>
      <w:r>
        <w:tab/>
        <w:t>Signs about camera surveillance</w:t>
      </w:r>
      <w:bookmarkEnd w:id="258"/>
    </w:p>
    <w:p>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259" w:name="_Toc191042039"/>
      <w:r>
        <w:rPr>
          <w:rStyle w:val="CharSectno"/>
        </w:rPr>
        <w:lastRenderedPageBreak/>
        <w:t>110</w:t>
      </w:r>
      <w:r>
        <w:t>.</w:t>
      </w:r>
      <w:r>
        <w:tab/>
        <w:t>Recordings taken by camera surveillance units</w:t>
      </w:r>
      <w:bookmarkEnd w:id="259"/>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60" w:name="_Toc191042040"/>
      <w:r>
        <w:rPr>
          <w:rStyle w:val="CharSectno"/>
        </w:rPr>
        <w:t>111</w:t>
      </w:r>
      <w:r>
        <w:t>.</w:t>
      </w:r>
      <w:r>
        <w:tab/>
        <w:t>Safeguards applying to camera surveillance units</w:t>
      </w:r>
      <w:bookmarkEnd w:id="260"/>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lastRenderedPageBreak/>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261" w:name="_Toc191042041"/>
      <w:r>
        <w:rPr>
          <w:rStyle w:val="CharSectno"/>
        </w:rPr>
        <w:t>112</w:t>
      </w:r>
      <w:r>
        <w:t>.</w:t>
      </w:r>
      <w:r>
        <w:tab/>
        <w:t>Production of camera recordings to authorised officers</w:t>
      </w:r>
      <w:bookmarkEnd w:id="261"/>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lastRenderedPageBreak/>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262" w:name="_Toc191042042"/>
      <w:r>
        <w:rPr>
          <w:rStyle w:val="CharSectno"/>
        </w:rPr>
        <w:t>113</w:t>
      </w:r>
      <w:r>
        <w:t>.</w:t>
      </w:r>
      <w:r>
        <w:tab/>
        <w:t>Use of recordings taken by camera surveillance units</w:t>
      </w:r>
      <w:bookmarkEnd w:id="262"/>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lastRenderedPageBreak/>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lastRenderedPageBreak/>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263" w:name="_Toc191042043"/>
      <w:r>
        <w:rPr>
          <w:rStyle w:val="CharSectno"/>
        </w:rPr>
        <w:t>114</w:t>
      </w:r>
      <w:r>
        <w:t>.</w:t>
      </w:r>
      <w:r>
        <w:tab/>
        <w:t>Deletion, destruction or disposal of copies of recordings</w:t>
      </w:r>
      <w:bookmarkEnd w:id="263"/>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lastRenderedPageBreak/>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264" w:name="_Toc191024329"/>
      <w:bookmarkStart w:id="265" w:name="_Toc191025520"/>
      <w:bookmarkStart w:id="266" w:name="_Toc191042044"/>
      <w:r>
        <w:rPr>
          <w:rStyle w:val="CharDivNo"/>
        </w:rPr>
        <w:lastRenderedPageBreak/>
        <w:t>Division 3</w:t>
      </w:r>
      <w:r>
        <w:t> — </w:t>
      </w:r>
      <w:r>
        <w:rPr>
          <w:rStyle w:val="CharDivText"/>
        </w:rPr>
        <w:t>Fares and fare devices</w:t>
      </w:r>
      <w:bookmarkEnd w:id="264"/>
      <w:bookmarkEnd w:id="265"/>
      <w:bookmarkEnd w:id="266"/>
    </w:p>
    <w:p>
      <w:pPr>
        <w:pStyle w:val="Heading4"/>
        <w:spacing w:before="200"/>
      </w:pPr>
      <w:bookmarkStart w:id="267" w:name="_Toc191024330"/>
      <w:bookmarkStart w:id="268" w:name="_Toc191025521"/>
      <w:bookmarkStart w:id="269" w:name="_Toc191042045"/>
      <w:r>
        <w:t>Subdivision 1 — Requirements for fares that apply only to on</w:t>
      </w:r>
      <w:r>
        <w:noBreakHyphen/>
        <w:t>demand rank or hail vehicles</w:t>
      </w:r>
      <w:bookmarkEnd w:id="267"/>
      <w:bookmarkEnd w:id="268"/>
      <w:bookmarkEnd w:id="269"/>
    </w:p>
    <w:p>
      <w:pPr>
        <w:pStyle w:val="Heading5"/>
      </w:pPr>
      <w:bookmarkStart w:id="270" w:name="_Toc191042046"/>
      <w:r>
        <w:rPr>
          <w:rStyle w:val="CharSectno"/>
        </w:rPr>
        <w:t>115</w:t>
      </w:r>
      <w:r>
        <w:t>.</w:t>
      </w:r>
      <w:r>
        <w:tab/>
        <w:t>Term used: relevant person</w:t>
      </w:r>
      <w:bookmarkEnd w:id="270"/>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271" w:name="_Toc191042047"/>
      <w:r>
        <w:rPr>
          <w:rStyle w:val="CharSectno"/>
        </w:rPr>
        <w:t>116</w:t>
      </w:r>
      <w:r>
        <w:t>.</w:t>
      </w:r>
      <w:r>
        <w:tab/>
        <w:t>Maximum fares, surcharges and fees: metropolitan region</w:t>
      </w:r>
      <w:bookmarkEnd w:id="271"/>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w:t>
      </w:r>
      <w:r>
        <w:lastRenderedPageBreak/>
        <w:t xml:space="preserve">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272" w:name="_Toc191042048"/>
      <w:r>
        <w:rPr>
          <w:rStyle w:val="CharSectno"/>
        </w:rPr>
        <w:t>117</w:t>
      </w:r>
      <w:r>
        <w:t>.</w:t>
      </w:r>
      <w:r>
        <w:tab/>
        <w:t>Maximum fares, surcharges and fees: regions</w:t>
      </w:r>
      <w:bookmarkEnd w:id="272"/>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for the region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lastRenderedPageBreak/>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for the region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Footnotesection"/>
      </w:pPr>
      <w:r>
        <w:tab/>
        <w:t>[Regulation 117 amended: SL 2024/40 r. 4.]</w:t>
      </w:r>
    </w:p>
    <w:p>
      <w:pPr>
        <w:pStyle w:val="Heading5"/>
        <w:keepNext w:val="0"/>
      </w:pPr>
      <w:bookmarkStart w:id="273" w:name="_Toc191042049"/>
      <w:r>
        <w:rPr>
          <w:rStyle w:val="CharSectno"/>
        </w:rPr>
        <w:t>118</w:t>
      </w:r>
      <w:r>
        <w:t>.</w:t>
      </w:r>
      <w:r>
        <w:tab/>
        <w:t>Fare schedule to be displayed in vehicle</w:t>
      </w:r>
      <w:bookmarkEnd w:id="273"/>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keepNext/>
      </w:pPr>
      <w:r>
        <w:lastRenderedPageBreak/>
        <w:tab/>
        <w:t>(b)</w:t>
      </w:r>
      <w:r>
        <w:tab/>
        <w:t>to passengers in the vehicle who wish to view it.</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 xml:space="preserve">a fare schedule that complies with subregulations (2) and (3) is displayed in the vehicle in a position from </w:t>
      </w:r>
      <w:r>
        <w:lastRenderedPageBreak/>
        <w:t>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274" w:name="_Toc191042050"/>
      <w:r>
        <w:rPr>
          <w:rStyle w:val="CharSectno"/>
        </w:rPr>
        <w:t>119</w:t>
      </w:r>
      <w:r>
        <w:t>.</w:t>
      </w:r>
      <w:r>
        <w:tab/>
        <w:t>Deposit</w:t>
      </w:r>
      <w:bookmarkEnd w:id="274"/>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275" w:name="_Toc191042051"/>
      <w:r>
        <w:rPr>
          <w:rStyle w:val="CharSectno"/>
        </w:rPr>
        <w:t>120</w:t>
      </w:r>
      <w:r>
        <w:t>.</w:t>
      </w:r>
      <w:r>
        <w:tab/>
        <w:t>Contract fares</w:t>
      </w:r>
      <w:bookmarkEnd w:id="275"/>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or a PTSS smartcard (as defined in regulation 130A)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lastRenderedPageBreak/>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Footnotesection"/>
      </w:pPr>
      <w:r>
        <w:tab/>
        <w:t>[Regulation 120 amended: SL 2024/245 r. 4.]</w:t>
      </w:r>
    </w:p>
    <w:p>
      <w:pPr>
        <w:pStyle w:val="Heading5"/>
      </w:pPr>
      <w:bookmarkStart w:id="276" w:name="_Toc191042052"/>
      <w:r>
        <w:rPr>
          <w:rStyle w:val="CharSectno"/>
        </w:rPr>
        <w:t>121</w:t>
      </w:r>
      <w:r>
        <w:t>.</w:t>
      </w:r>
      <w:r>
        <w:tab/>
        <w:t>Written confirmation of contract fare</w:t>
      </w:r>
      <w:bookmarkEnd w:id="276"/>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lastRenderedPageBreak/>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277" w:name="_Toc191042053"/>
      <w:r>
        <w:rPr>
          <w:rStyle w:val="CharSectno"/>
        </w:rPr>
        <w:t>122</w:t>
      </w:r>
      <w:r>
        <w:t>.</w:t>
      </w:r>
      <w:r>
        <w:tab/>
        <w:t>Passenger subsidy scheme vouchers</w:t>
      </w:r>
      <w:bookmarkEnd w:id="277"/>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 xml:space="preserve">payment of a Schedule 4 </w:t>
      </w:r>
      <w:r>
        <w:lastRenderedPageBreak/>
        <w:t>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278" w:name="_Toc191042054"/>
      <w:r>
        <w:rPr>
          <w:rStyle w:val="CharSectno"/>
        </w:rPr>
        <w:t>123</w:t>
      </w:r>
      <w:r>
        <w:t>.</w:t>
      </w:r>
      <w:r>
        <w:tab/>
        <w:t>Guidelines</w:t>
      </w:r>
      <w:bookmarkEnd w:id="278"/>
    </w:p>
    <w:p>
      <w:pPr>
        <w:pStyle w:val="Subsection"/>
      </w:pPr>
      <w:r>
        <w:tab/>
        <w:t>(1)</w:t>
      </w:r>
      <w:r>
        <w:tab/>
        <w:t>The CEO may approve guidelines for the purposes of regulation 122.</w:t>
      </w:r>
    </w:p>
    <w:p>
      <w:pPr>
        <w:pStyle w:val="Subsection"/>
      </w:pPr>
      <w:r>
        <w:lastRenderedPageBreak/>
        <w:tab/>
        <w:t>(2)</w:t>
      </w:r>
      <w:r>
        <w:tab/>
        <w:t>The CEO must publish the approved guidelines on the Department’s website.</w:t>
      </w:r>
    </w:p>
    <w:p>
      <w:pPr>
        <w:pStyle w:val="Heading5"/>
      </w:pPr>
      <w:bookmarkStart w:id="279" w:name="_Toc191042055"/>
      <w:r>
        <w:rPr>
          <w:rStyle w:val="CharSectno"/>
        </w:rPr>
        <w:t>124</w:t>
      </w:r>
      <w:r>
        <w:t>.</w:t>
      </w:r>
      <w:r>
        <w:tab/>
        <w:t>Commencement and termination of journey in on</w:t>
      </w:r>
      <w:r>
        <w:noBreakHyphen/>
        <w:t>demand rank or hail vehicle</w:t>
      </w:r>
      <w:bookmarkEnd w:id="279"/>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lastRenderedPageBreak/>
        <w:tab/>
        <w:t>(4)</w:t>
      </w:r>
      <w:r>
        <w:tab/>
        <w:t>This regulation does not apply if the on</w:t>
      </w:r>
      <w:r>
        <w:noBreakHyphen/>
        <w:t>demand passenger transport service is provided for a contract fare.</w:t>
      </w:r>
    </w:p>
    <w:p>
      <w:pPr>
        <w:pStyle w:val="Heading5"/>
      </w:pPr>
      <w:bookmarkStart w:id="280" w:name="_Toc191042056"/>
      <w:r>
        <w:rPr>
          <w:rStyle w:val="CharSectno"/>
        </w:rPr>
        <w:t>125</w:t>
      </w:r>
      <w:r>
        <w:t>.</w:t>
      </w:r>
      <w:r>
        <w:tab/>
        <w:t>Multiple hiring</w:t>
      </w:r>
      <w:bookmarkEnd w:id="280"/>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lastRenderedPageBreak/>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281" w:name="_Toc191042057"/>
      <w:r>
        <w:rPr>
          <w:rStyle w:val="CharSectno"/>
        </w:rPr>
        <w:t>126</w:t>
      </w:r>
      <w:r>
        <w:t>.</w:t>
      </w:r>
      <w:r>
        <w:tab/>
        <w:t>Surcharge for non</w:t>
      </w:r>
      <w:r>
        <w:noBreakHyphen/>
        <w:t>cash payment</w:t>
      </w:r>
      <w:bookmarkEnd w:id="281"/>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lastRenderedPageBreak/>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282" w:name="_Toc191024343"/>
      <w:bookmarkStart w:id="283" w:name="_Toc191025534"/>
      <w:bookmarkStart w:id="284" w:name="_Toc191042058"/>
      <w:r>
        <w:t>Subdivision 2 — Other requirements for fares</w:t>
      </w:r>
      <w:bookmarkEnd w:id="282"/>
      <w:bookmarkEnd w:id="283"/>
      <w:bookmarkEnd w:id="284"/>
    </w:p>
    <w:p>
      <w:pPr>
        <w:pStyle w:val="Heading5"/>
      </w:pPr>
      <w:bookmarkStart w:id="285" w:name="_Toc191042059"/>
      <w:r>
        <w:rPr>
          <w:rStyle w:val="CharSectno"/>
        </w:rPr>
        <w:t>127</w:t>
      </w:r>
      <w:r>
        <w:t>.</w:t>
      </w:r>
      <w:r>
        <w:tab/>
        <w:t>Terms used</w:t>
      </w:r>
      <w:bookmarkEnd w:id="285"/>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lastRenderedPageBreak/>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286" w:name="_Toc191042060"/>
      <w:r>
        <w:rPr>
          <w:rStyle w:val="CharSectno"/>
        </w:rPr>
        <w:t>128</w:t>
      </w:r>
      <w:r>
        <w:t>.</w:t>
      </w:r>
      <w:r>
        <w:tab/>
        <w:t>Fare amounts for passenger transport services using on</w:t>
      </w:r>
      <w:r>
        <w:noBreakHyphen/>
        <w:t>demand vehicles</w:t>
      </w:r>
      <w:bookmarkEnd w:id="286"/>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keepNext/>
      </w:pPr>
      <w:r>
        <w:lastRenderedPageBreak/>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287" w:name="_Toc191042061"/>
      <w:r>
        <w:rPr>
          <w:rStyle w:val="CharSectno"/>
        </w:rPr>
        <w:t>129</w:t>
      </w:r>
      <w:r>
        <w:t>.</w:t>
      </w:r>
      <w:r>
        <w:tab/>
        <w:t>Certain fares and charges prohibited in certain declared emergencies</w:t>
      </w:r>
      <w:bookmarkEnd w:id="287"/>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 xml:space="preserve">jumping fee, is not charged </w:t>
      </w:r>
      <w:r>
        <w:lastRenderedPageBreak/>
        <w:t>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288" w:name="_Toc191042062"/>
      <w:r>
        <w:rPr>
          <w:rStyle w:val="CharSectno"/>
        </w:rPr>
        <w:t>129A</w:t>
      </w:r>
      <w:r>
        <w:t>.</w:t>
      </w:r>
      <w:r>
        <w:tab/>
        <w:t>Exempt areas in relation to emergency declarations</w:t>
      </w:r>
      <w:bookmarkEnd w:id="288"/>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keepNext/>
      </w:pPr>
      <w:r>
        <w:lastRenderedPageBreak/>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289" w:name="_Toc191042063"/>
      <w:r>
        <w:rPr>
          <w:rStyle w:val="CharSectno"/>
        </w:rPr>
        <w:t>130</w:t>
      </w:r>
      <w:r>
        <w:t>.</w:t>
      </w:r>
      <w:r>
        <w:tab/>
        <w:t>Parking fees and cleaning costs</w:t>
      </w:r>
      <w:bookmarkEnd w:id="289"/>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290" w:name="_Toc191024349"/>
      <w:bookmarkStart w:id="291" w:name="_Toc191025540"/>
      <w:bookmarkStart w:id="292" w:name="_Toc191042064"/>
      <w:r>
        <w:t>Subdivision 2A — Passenger Transport Subsidy Scheme (PTSS)</w:t>
      </w:r>
      <w:bookmarkEnd w:id="290"/>
      <w:bookmarkEnd w:id="291"/>
      <w:bookmarkEnd w:id="292"/>
    </w:p>
    <w:p>
      <w:pPr>
        <w:pStyle w:val="Footnoteheading"/>
      </w:pPr>
      <w:r>
        <w:tab/>
        <w:t>[Heading inserted: SL 2024/245 r. 5.]</w:t>
      </w:r>
    </w:p>
    <w:p>
      <w:pPr>
        <w:pStyle w:val="Heading5"/>
      </w:pPr>
      <w:bookmarkStart w:id="293" w:name="_Toc191042065"/>
      <w:r>
        <w:rPr>
          <w:rStyle w:val="CharSectno"/>
        </w:rPr>
        <w:t>130A</w:t>
      </w:r>
      <w:r>
        <w:t>.</w:t>
      </w:r>
      <w:r>
        <w:tab/>
        <w:t>Terms used</w:t>
      </w:r>
      <w:bookmarkEnd w:id="293"/>
    </w:p>
    <w:p>
      <w:pPr>
        <w:pStyle w:val="Subsection"/>
      </w:pPr>
      <w:r>
        <w:tab/>
      </w:r>
      <w:r>
        <w:tab/>
        <w:t xml:space="preserve">In this Subdivision — </w:t>
      </w:r>
    </w:p>
    <w:p>
      <w:pPr>
        <w:pStyle w:val="Defstart"/>
        <w:rPr>
          <w:rStyle w:val="DraftersNotes"/>
          <w:b w:val="0"/>
          <w:i w:val="0"/>
          <w:sz w:val="24"/>
        </w:rPr>
      </w:pPr>
      <w:r>
        <w:tab/>
      </w:r>
      <w:r>
        <w:rPr>
          <w:rStyle w:val="CharDefText"/>
        </w:rPr>
        <w:t>guidelines</w:t>
      </w:r>
      <w:r>
        <w:t xml:space="preserve"> means guidelines approved and published by the CEO under regulation 130L;</w:t>
      </w:r>
    </w:p>
    <w:p>
      <w:pPr>
        <w:pStyle w:val="Defstart"/>
      </w:pPr>
      <w:r>
        <w:tab/>
      </w:r>
      <w:r>
        <w:rPr>
          <w:rStyle w:val="CharDefText"/>
        </w:rPr>
        <w:t>PTSS electronic device</w:t>
      </w:r>
      <w:r>
        <w:t xml:space="preserve"> means either of the following that is capable of being used to make a claim for payment of a subsidy under regulation 130C — </w:t>
      </w:r>
    </w:p>
    <w:p>
      <w:pPr>
        <w:pStyle w:val="Defpara"/>
      </w:pPr>
      <w:r>
        <w:tab/>
        <w:t>(a)</w:t>
      </w:r>
      <w:r>
        <w:tab/>
        <w:t>a mobile phone;</w:t>
      </w:r>
    </w:p>
    <w:p>
      <w:pPr>
        <w:pStyle w:val="Defpara"/>
        <w:rPr>
          <w:rStyle w:val="DraftersNotes"/>
          <w:b w:val="0"/>
          <w:i w:val="0"/>
          <w:sz w:val="24"/>
        </w:rPr>
      </w:pPr>
      <w:r>
        <w:lastRenderedPageBreak/>
        <w:tab/>
        <w:t>(b)</w:t>
      </w:r>
      <w:r>
        <w:tab/>
        <w:t>an electronic device fitted into an on</w:t>
      </w:r>
      <w:r>
        <w:noBreakHyphen/>
        <w:t>demand rank or hail vehicle;</w:t>
      </w:r>
    </w:p>
    <w:p>
      <w:pPr>
        <w:pStyle w:val="Defstart"/>
      </w:pPr>
      <w:r>
        <w:tab/>
      </w:r>
      <w:r>
        <w:rPr>
          <w:rStyle w:val="CharDefText"/>
        </w:rPr>
        <w:t>PTSS electronic interface</w:t>
      </w:r>
      <w:r>
        <w:t xml:space="preserve"> means — </w:t>
      </w:r>
    </w:p>
    <w:p>
      <w:pPr>
        <w:pStyle w:val="Defpara"/>
      </w:pPr>
      <w:r>
        <w:tab/>
        <w:t>(a)</w:t>
      </w:r>
      <w:r>
        <w:tab/>
        <w:t>a PTSS electronic device; or</w:t>
      </w:r>
    </w:p>
    <w:p>
      <w:pPr>
        <w:pStyle w:val="Defpara"/>
      </w:pPr>
      <w:r>
        <w:tab/>
        <w:t>(b)</w:t>
      </w:r>
      <w:r>
        <w:tab/>
        <w:t>the part of the Department’s website that allows for the entry of information about PTSS journeys;</w:t>
      </w:r>
    </w:p>
    <w:p>
      <w:pPr>
        <w:pStyle w:val="Defstart"/>
      </w:pPr>
      <w:r>
        <w:tab/>
      </w:r>
      <w:r>
        <w:rPr>
          <w:rStyle w:val="CharDefText"/>
        </w:rPr>
        <w:t>PTSS journey</w:t>
      </w:r>
      <w:r>
        <w:t xml:space="preserve"> means a journey that — </w:t>
      </w:r>
    </w:p>
    <w:p>
      <w:pPr>
        <w:pStyle w:val="Defpara"/>
      </w:pPr>
      <w:r>
        <w:tab/>
        <w:t>(a)</w:t>
      </w:r>
      <w:r>
        <w:tab/>
        <w:t>is made as part of an on</w:t>
      </w:r>
      <w:r>
        <w:noBreakHyphen/>
        <w:t>demand passenger transport service; and</w:t>
      </w:r>
    </w:p>
    <w:p>
      <w:pPr>
        <w:pStyle w:val="Defpara"/>
      </w:pPr>
      <w:r>
        <w:tab/>
        <w:t>(b)</w:t>
      </w:r>
      <w:r>
        <w:tab/>
        <w:t>transports a PTSS passenger using an on</w:t>
      </w:r>
      <w:r>
        <w:noBreakHyphen/>
        <w:t>demand rank or hail vehicle; and</w:t>
      </w:r>
    </w:p>
    <w:p>
      <w:pPr>
        <w:pStyle w:val="Defpara"/>
      </w:pPr>
      <w:r>
        <w:tab/>
        <w:t>(c)</w:t>
      </w:r>
      <w:r>
        <w:tab/>
        <w:t>is carried out substantially in accordance with the guidelines;</w:t>
      </w:r>
    </w:p>
    <w:p>
      <w:pPr>
        <w:pStyle w:val="Defstart"/>
        <w:rPr>
          <w:rStyle w:val="DraftersNotes"/>
          <w:b w:val="0"/>
          <w:i w:val="0"/>
          <w:sz w:val="24"/>
        </w:rPr>
      </w:pPr>
      <w:r>
        <w:tab/>
      </w:r>
      <w:r>
        <w:rPr>
          <w:rStyle w:val="CharDefText"/>
        </w:rPr>
        <w:t>PTSS passenger</w:t>
      </w:r>
      <w:r>
        <w:t xml:space="preserve"> means a person who holds a current PTSS smartcard that was issued to the person;</w:t>
      </w:r>
    </w:p>
    <w:p>
      <w:pPr>
        <w:pStyle w:val="Defstart"/>
      </w:pPr>
      <w:r>
        <w:tab/>
      </w:r>
      <w:r>
        <w:rPr>
          <w:rStyle w:val="CharDefText"/>
        </w:rPr>
        <w:t>PTSS smartcard</w:t>
      </w:r>
      <w:r>
        <w:t xml:space="preserve"> means an electronic card that may be used, in accordance with the guidelines, for payment or part</w:t>
      </w:r>
      <w:r>
        <w:noBreakHyphen/>
        <w:t>payment of a Schedule 4 fare, a Schedule 5 fare or a contract fare.</w:t>
      </w:r>
    </w:p>
    <w:p>
      <w:pPr>
        <w:pStyle w:val="Footnotesection"/>
      </w:pPr>
      <w:r>
        <w:tab/>
        <w:t>[Regulation 130A inserted: SL 2024/245 r. 5.]</w:t>
      </w:r>
    </w:p>
    <w:p>
      <w:pPr>
        <w:pStyle w:val="Heading5"/>
      </w:pPr>
      <w:bookmarkStart w:id="294" w:name="_Toc191042066"/>
      <w:r>
        <w:rPr>
          <w:rStyle w:val="CharSectno"/>
        </w:rPr>
        <w:t>130B</w:t>
      </w:r>
      <w:r>
        <w:t>.</w:t>
      </w:r>
      <w:r>
        <w:tab/>
        <w:t>CEO may issue smartcards</w:t>
      </w:r>
      <w:bookmarkEnd w:id="294"/>
    </w:p>
    <w:p>
      <w:pPr>
        <w:pStyle w:val="Subsection"/>
      </w:pPr>
      <w:r>
        <w:tab/>
      </w:r>
      <w:r>
        <w:tab/>
        <w:t>The CEO may, in accordance with the guidelines, issue a PTSS smartcard to a person.</w:t>
      </w:r>
    </w:p>
    <w:p>
      <w:pPr>
        <w:pStyle w:val="Footnotesection"/>
      </w:pPr>
      <w:r>
        <w:tab/>
        <w:t>[Regulation 130B inserted: SL 2024/245 r. 5.]</w:t>
      </w:r>
    </w:p>
    <w:p>
      <w:pPr>
        <w:pStyle w:val="Heading5"/>
      </w:pPr>
      <w:bookmarkStart w:id="295" w:name="_Toc191042067"/>
      <w:r>
        <w:rPr>
          <w:rStyle w:val="CharSectno"/>
        </w:rPr>
        <w:t>130C</w:t>
      </w:r>
      <w:r>
        <w:t>.</w:t>
      </w:r>
      <w:r>
        <w:tab/>
        <w:t>CEO may pay subsidy</w:t>
      </w:r>
      <w:bookmarkEnd w:id="295"/>
    </w:p>
    <w:p>
      <w:pPr>
        <w:pStyle w:val="Subsection"/>
      </w:pPr>
      <w:r>
        <w:tab/>
      </w:r>
      <w:r>
        <w:tab/>
        <w:t>The CEO may, in accordance with the guidelines, pay a subsidy to a person in relation to the fare for a PTSS journey.</w:t>
      </w:r>
    </w:p>
    <w:p>
      <w:pPr>
        <w:pStyle w:val="Footnotesection"/>
      </w:pPr>
      <w:r>
        <w:tab/>
        <w:t>[Regulation 130C inserted: SL 2024/245 r. 5.]</w:t>
      </w:r>
    </w:p>
    <w:p>
      <w:pPr>
        <w:pStyle w:val="Heading5"/>
      </w:pPr>
      <w:bookmarkStart w:id="296" w:name="_Toc191042068"/>
      <w:r>
        <w:rPr>
          <w:rStyle w:val="CharSectno"/>
        </w:rPr>
        <w:lastRenderedPageBreak/>
        <w:t>130D</w:t>
      </w:r>
      <w:r>
        <w:t>.</w:t>
      </w:r>
      <w:r>
        <w:tab/>
        <w:t>Person must not provide PTSS smartcard as payment or part</w:t>
      </w:r>
      <w:r>
        <w:noBreakHyphen/>
        <w:t>payment unless PTSS passenger</w:t>
      </w:r>
      <w:bookmarkEnd w:id="296"/>
    </w:p>
    <w:p>
      <w:pPr>
        <w:pStyle w:val="Subsection"/>
      </w:pPr>
      <w:r>
        <w:tab/>
      </w:r>
      <w:r>
        <w:tab/>
        <w:t>A person must not provide a driver of an on</w:t>
      </w:r>
      <w:r>
        <w:noBreakHyphen/>
        <w:t>demand rank or hail vehicle a PTSS smartcard as payment or part</w:t>
      </w:r>
      <w:r>
        <w:noBreakHyphen/>
        <w:t>payment of a Schedule 4 fare, a Schedule 5 fare or a contract fare unless the person is a PTSS passenger and the PTSS smartcard is held by the person.</w:t>
      </w:r>
    </w:p>
    <w:p>
      <w:pPr>
        <w:pStyle w:val="Penstart"/>
      </w:pPr>
      <w:r>
        <w:tab/>
        <w:t>Penalty: a fine of $9 000.</w:t>
      </w:r>
    </w:p>
    <w:p>
      <w:pPr>
        <w:pStyle w:val="Footnotesection"/>
      </w:pPr>
      <w:r>
        <w:tab/>
        <w:t>[Regulation 130D inserted: SL 2024/245 r. 5.]</w:t>
      </w:r>
    </w:p>
    <w:p>
      <w:pPr>
        <w:pStyle w:val="Heading5"/>
      </w:pPr>
      <w:bookmarkStart w:id="297" w:name="_Toc183085280"/>
      <w:bookmarkStart w:id="298" w:name="_Toc183085413"/>
      <w:bookmarkStart w:id="299" w:name="_Toc191042069"/>
      <w:r>
        <w:rPr>
          <w:rStyle w:val="CharSectno"/>
        </w:rPr>
        <w:t>130DA</w:t>
      </w:r>
      <w:r>
        <w:t>.</w:t>
      </w:r>
      <w:r>
        <w:tab/>
        <w:t>Driver must not refuse payment or part</w:t>
      </w:r>
      <w:r>
        <w:noBreakHyphen/>
        <w:t>payment</w:t>
      </w:r>
      <w:bookmarkEnd w:id="297"/>
      <w:bookmarkEnd w:id="298"/>
      <w:bookmarkEnd w:id="299"/>
    </w:p>
    <w:p>
      <w:pPr>
        <w:pStyle w:val="Subsection"/>
      </w:pPr>
      <w:r>
        <w:tab/>
      </w:r>
      <w:r>
        <w:tab/>
        <w:t>A driver of an on</w:t>
      </w:r>
      <w:r>
        <w:noBreakHyphen/>
        <w:t>demand rank or hail vehicle must not refuse to accept a PTSS smartcard as payment or part</w:t>
      </w:r>
      <w:r>
        <w:noBreakHyphen/>
        <w:t>payment of a Schedule 4 fare, a Schedule 5 fare or a contract fare if the payment or part</w:t>
      </w:r>
      <w:r>
        <w:noBreakHyphen/>
        <w:t>payment is in accordance with the guidelines.</w:t>
      </w:r>
    </w:p>
    <w:p>
      <w:pPr>
        <w:pStyle w:val="Penstart"/>
        <w:rPr>
          <w:rStyle w:val="DraftersNotes"/>
          <w:b w:val="0"/>
          <w:i w:val="0"/>
          <w:sz w:val="24"/>
        </w:rPr>
      </w:pPr>
      <w:r>
        <w:tab/>
        <w:t>Penalty: a fine of $9 000.</w:t>
      </w:r>
    </w:p>
    <w:p>
      <w:pPr>
        <w:pStyle w:val="Footnotesection"/>
      </w:pPr>
      <w:bookmarkStart w:id="300" w:name="_Toc183085281"/>
      <w:bookmarkStart w:id="301" w:name="_Toc183085414"/>
      <w:r>
        <w:tab/>
        <w:t>[Regulation 130DA inserted: SL 2024/245 r. 7.]</w:t>
      </w:r>
    </w:p>
    <w:p>
      <w:pPr>
        <w:pStyle w:val="Heading5"/>
      </w:pPr>
      <w:bookmarkStart w:id="302" w:name="_Toc191042070"/>
      <w:r>
        <w:rPr>
          <w:rStyle w:val="CharSectno"/>
        </w:rPr>
        <w:t>130DB</w:t>
      </w:r>
      <w:r>
        <w:t>.</w:t>
      </w:r>
      <w:r>
        <w:tab/>
        <w:t>Certain providers must not direct driver to refuse payment or part</w:t>
      </w:r>
      <w:r>
        <w:noBreakHyphen/>
        <w:t>payment</w:t>
      </w:r>
      <w:bookmarkEnd w:id="300"/>
      <w:bookmarkEnd w:id="301"/>
      <w:bookmarkEnd w:id="302"/>
    </w:p>
    <w:p>
      <w:pPr>
        <w:pStyle w:val="Subsection"/>
      </w:pPr>
      <w:r>
        <w:tab/>
      </w:r>
      <w:r>
        <w:tab/>
        <w:t>The following persons must not direct a driver of an on</w:t>
      </w:r>
      <w:r>
        <w:noBreakHyphen/>
        <w:t>demand rank or hail vehicle to refuse to accept a PTSS smartcard as payment or part</w:t>
      </w:r>
      <w:r>
        <w:noBreakHyphen/>
        <w:t>payment of a Schedule 4 fare, a Schedule 5 fare or a contract fare if the payment or part</w:t>
      </w:r>
      <w:r>
        <w:noBreakHyphen/>
        <w:t xml:space="preserve">payment is in accordance with the guidelines — </w:t>
      </w:r>
    </w:p>
    <w:p>
      <w:pPr>
        <w:pStyle w:val="Indenta"/>
      </w:pPr>
      <w:r>
        <w:tab/>
        <w:t>(a)</w:t>
      </w:r>
      <w:r>
        <w:tab/>
        <w:t>the provider of an on</w:t>
      </w:r>
      <w:r>
        <w:noBreakHyphen/>
        <w:t>demand booking service;</w:t>
      </w:r>
    </w:p>
    <w:p>
      <w:pPr>
        <w:pStyle w:val="Indenta"/>
      </w:pPr>
      <w:r>
        <w:tab/>
        <w:t>(b)</w:t>
      </w:r>
      <w:r>
        <w:tab/>
        <w:t>the provider of an on</w:t>
      </w:r>
      <w:r>
        <w:noBreakHyphen/>
        <w:t>demand passenger transport service;</w:t>
      </w:r>
    </w:p>
    <w:p>
      <w:pPr>
        <w:pStyle w:val="Indenta"/>
      </w:pPr>
      <w:r>
        <w:tab/>
        <w:t>(c)</w:t>
      </w:r>
      <w:r>
        <w:tab/>
        <w:t>the provider of an on</w:t>
      </w:r>
      <w:r>
        <w:noBreakHyphen/>
        <w:t>demand rank or hail vehicle.</w:t>
      </w:r>
    </w:p>
    <w:p>
      <w:pPr>
        <w:pStyle w:val="Penstart"/>
      </w:pPr>
      <w:r>
        <w:tab/>
        <w:t xml:space="preserve">Penalty: </w:t>
      </w:r>
    </w:p>
    <w:p>
      <w:pPr>
        <w:pStyle w:val="Penpara"/>
      </w:pPr>
      <w:r>
        <w:tab/>
        <w:t>(a)</w:t>
      </w:r>
      <w:r>
        <w:tab/>
        <w:t>for an individual, a fine of $9 000;</w:t>
      </w:r>
    </w:p>
    <w:p>
      <w:pPr>
        <w:pStyle w:val="Penpara"/>
        <w:keepNext/>
      </w:pPr>
      <w:r>
        <w:lastRenderedPageBreak/>
        <w:tab/>
        <w:t>(b)</w:t>
      </w:r>
      <w:r>
        <w:tab/>
        <w:t>for a body corporate, a fine of $30 000.</w:t>
      </w:r>
    </w:p>
    <w:p>
      <w:pPr>
        <w:pStyle w:val="Footnotesection"/>
      </w:pPr>
      <w:r>
        <w:tab/>
        <w:t>[Regulation 130DB inserted: SL 2024/245 r. 7.]</w:t>
      </w:r>
    </w:p>
    <w:p>
      <w:pPr>
        <w:pStyle w:val="Heading5"/>
      </w:pPr>
      <w:bookmarkStart w:id="303" w:name="_Toc191042071"/>
      <w:r>
        <w:rPr>
          <w:rStyle w:val="CharSectno"/>
        </w:rPr>
        <w:t>130E</w:t>
      </w:r>
      <w:r>
        <w:t>.</w:t>
      </w:r>
      <w:r>
        <w:tab/>
        <w:t>Driver must not accept PTSS smartcard as payment or part</w:t>
      </w:r>
      <w:r>
        <w:noBreakHyphen/>
        <w:t>payment from person driver knows is not PTSS passenger</w:t>
      </w:r>
      <w:bookmarkEnd w:id="303"/>
    </w:p>
    <w:p>
      <w:pPr>
        <w:pStyle w:val="Subsection"/>
      </w:pPr>
      <w:r>
        <w:tab/>
      </w:r>
      <w:r>
        <w:tab/>
        <w:t>A driver of an on</w:t>
      </w:r>
      <w:r>
        <w:noBreakHyphen/>
        <w:t>demand rank or hail vehicle must not accept a PTSS smartcard from a person as payment or part</w:t>
      </w:r>
      <w:r>
        <w:noBreakHyphen/>
        <w:t>payment of a Schedule 4 fare, a Schedule 5 fare or a contract fare if the driver knows, or ought to know, that the person is not a PTSS passenger.</w:t>
      </w:r>
    </w:p>
    <w:p>
      <w:pPr>
        <w:pStyle w:val="Penstart"/>
      </w:pPr>
      <w:r>
        <w:tab/>
        <w:t>Penalty: a fine of $9 000.</w:t>
      </w:r>
    </w:p>
    <w:p>
      <w:pPr>
        <w:pStyle w:val="Footnotesection"/>
        <w:rPr>
          <w:rStyle w:val="DraftersNotes"/>
          <w:b w:val="0"/>
          <w:sz w:val="24"/>
        </w:rPr>
      </w:pPr>
      <w:r>
        <w:tab/>
        <w:t>[Regulation 130E inserted: SL 2024/245 r. 5.]</w:t>
      </w:r>
    </w:p>
    <w:p>
      <w:pPr>
        <w:pStyle w:val="Heading5"/>
      </w:pPr>
      <w:bookmarkStart w:id="304" w:name="_Toc191042072"/>
      <w:r>
        <w:rPr>
          <w:rStyle w:val="CharSectno"/>
        </w:rPr>
        <w:t>130F</w:t>
      </w:r>
      <w:r>
        <w:t>.</w:t>
      </w:r>
      <w:r>
        <w:tab/>
        <w:t>Driver or provider of on</w:t>
      </w:r>
      <w:r>
        <w:noBreakHyphen/>
        <w:t>demand booking service must not enter false or misleading information</w:t>
      </w:r>
      <w:bookmarkEnd w:id="304"/>
    </w:p>
    <w:p>
      <w:pPr>
        <w:pStyle w:val="Subsection"/>
      </w:pPr>
      <w:r>
        <w:tab/>
      </w:r>
      <w:r>
        <w:tab/>
        <w:t>A driver of an on</w:t>
      </w:r>
      <w:r>
        <w:noBreakHyphen/>
        <w:t>demand rank or hail vehicle or the provider of an on</w:t>
      </w:r>
      <w:r>
        <w:noBreakHyphen/>
        <w:t>demand booking service must not enter information about a PTSS journey into a PTSS electronic interface that the driver or provider knows, or ought to know, is false or misleading in a material particular.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130F inserted: SL 2024/245 r. 5.]</w:t>
      </w:r>
    </w:p>
    <w:p>
      <w:pPr>
        <w:pStyle w:val="Heading5"/>
      </w:pPr>
      <w:bookmarkStart w:id="305" w:name="_Toc191042073"/>
      <w:r>
        <w:rPr>
          <w:rStyle w:val="CharSectno"/>
        </w:rPr>
        <w:t>130G</w:t>
      </w:r>
      <w:r>
        <w:t>.</w:t>
      </w:r>
      <w:r>
        <w:tab/>
        <w:t>Driver must not cause or permit another person to enter particular information</w:t>
      </w:r>
      <w:bookmarkEnd w:id="305"/>
    </w:p>
    <w:p>
      <w:pPr>
        <w:pStyle w:val="Subsection"/>
        <w:keepNext/>
      </w:pPr>
      <w:r>
        <w:tab/>
      </w:r>
      <w:r>
        <w:tab/>
        <w:t>A driver of an on</w:t>
      </w:r>
      <w:r>
        <w:noBreakHyphen/>
        <w:t xml:space="preserve">demand rank or hail vehicle must not cause or permit a person, other than the following persons, to enter </w:t>
      </w:r>
      <w:r>
        <w:lastRenderedPageBreak/>
        <w:t xml:space="preserve">information about a PTSS journey into a PTSS electronic interface — </w:t>
      </w:r>
    </w:p>
    <w:p>
      <w:pPr>
        <w:pStyle w:val="Indenta"/>
      </w:pPr>
      <w:r>
        <w:tab/>
        <w:t>(a)</w:t>
      </w:r>
      <w:r>
        <w:tab/>
        <w:t>the provider of an on</w:t>
      </w:r>
      <w:r>
        <w:noBreakHyphen/>
        <w:t>demand booking service that provided an on</w:t>
      </w:r>
      <w:r>
        <w:noBreakHyphen/>
        <w:t>demand booking service for the PTSS journey;</w:t>
      </w:r>
    </w:p>
    <w:p>
      <w:pPr>
        <w:pStyle w:val="Indenta"/>
      </w:pPr>
      <w:r>
        <w:tab/>
        <w:t>(b)</w:t>
      </w:r>
      <w:r>
        <w:tab/>
        <w:t>an employee or agent of the provider.</w:t>
      </w:r>
    </w:p>
    <w:p>
      <w:pPr>
        <w:pStyle w:val="Penstart"/>
      </w:pPr>
      <w:r>
        <w:tab/>
        <w:t>Penalty: a fine of $9 000.</w:t>
      </w:r>
    </w:p>
    <w:p>
      <w:pPr>
        <w:pStyle w:val="Footnotesection"/>
      </w:pPr>
      <w:r>
        <w:tab/>
        <w:t>[Regulation 130G inserted: SL 2024/245 r. 5.]</w:t>
      </w:r>
    </w:p>
    <w:p>
      <w:pPr>
        <w:pStyle w:val="Heading5"/>
      </w:pPr>
      <w:bookmarkStart w:id="306" w:name="_Toc191042074"/>
      <w:r>
        <w:rPr>
          <w:rStyle w:val="CharSectno"/>
        </w:rPr>
        <w:t>130H</w:t>
      </w:r>
      <w:r>
        <w:t>.</w:t>
      </w:r>
      <w:r>
        <w:tab/>
        <w:t>Provider of on</w:t>
      </w:r>
      <w:r>
        <w:noBreakHyphen/>
        <w:t>demand booking service must not cause or permit another person to enter particular information</w:t>
      </w:r>
      <w:bookmarkEnd w:id="306"/>
    </w:p>
    <w:p>
      <w:pPr>
        <w:pStyle w:val="Subsection"/>
      </w:pPr>
      <w:r>
        <w:tab/>
      </w:r>
      <w:r>
        <w:tab/>
        <w:t>A provider of an on</w:t>
      </w:r>
      <w:r>
        <w:noBreakHyphen/>
        <w:t xml:space="preserve">demand booking service must not cause or permit a person, other than the following persons, to enter information about a PTSS journey into a PTSS electronic interface — </w:t>
      </w:r>
    </w:p>
    <w:p>
      <w:pPr>
        <w:pStyle w:val="Indenta"/>
      </w:pPr>
      <w:r>
        <w:tab/>
        <w:t>(a)</w:t>
      </w:r>
      <w:r>
        <w:tab/>
        <w:t>the driver of the on</w:t>
      </w:r>
      <w:r>
        <w:noBreakHyphen/>
        <w:t>demand rank or hail vehicle used for the journey;</w:t>
      </w:r>
    </w:p>
    <w:p>
      <w:pPr>
        <w:pStyle w:val="Indenta"/>
      </w:pPr>
      <w:r>
        <w:tab/>
        <w:t>(b)</w:t>
      </w:r>
      <w:r>
        <w:tab/>
        <w:t>an employee or agent of the provider.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130H inserted: SL 2024/245 r. 5.]</w:t>
      </w:r>
    </w:p>
    <w:p>
      <w:pPr>
        <w:pStyle w:val="Heading5"/>
      </w:pPr>
      <w:bookmarkStart w:id="307" w:name="_Toc183085283"/>
      <w:bookmarkStart w:id="308" w:name="_Toc183085416"/>
      <w:bookmarkStart w:id="309" w:name="_Toc191042075"/>
      <w:r>
        <w:rPr>
          <w:rStyle w:val="CharSectno"/>
        </w:rPr>
        <w:t>130HA</w:t>
      </w:r>
      <w:r>
        <w:t>.</w:t>
      </w:r>
      <w:r>
        <w:tab/>
        <w:t>Provider of on</w:t>
      </w:r>
      <w:r>
        <w:noBreakHyphen/>
        <w:t>demand booking service must ensure vehicle fitted with PTSS electronic device that is not a mobile phone</w:t>
      </w:r>
      <w:bookmarkEnd w:id="307"/>
      <w:bookmarkEnd w:id="308"/>
      <w:bookmarkEnd w:id="309"/>
    </w:p>
    <w:p>
      <w:pPr>
        <w:pStyle w:val="Subsection"/>
      </w:pPr>
      <w:r>
        <w:tab/>
        <w:t>(1)</w:t>
      </w:r>
      <w:r>
        <w:tab/>
        <w:t>The provider of an on</w:t>
      </w:r>
      <w:r>
        <w:noBreakHyphen/>
        <w:t>demand booking service for the use of an on</w:t>
      </w:r>
      <w:r>
        <w:noBreakHyphen/>
        <w:t>demand rank or hail vehicle must ensure the vehicle is fitted with a PTSS electronic device that is not a mobile phone.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(2)</w:t>
      </w:r>
      <w:r>
        <w:tab/>
        <w:t>The provider of the on</w:t>
      </w:r>
      <w:r>
        <w:noBreakHyphen/>
        <w:t xml:space="preserve">demand booking service does not commit an offence under subregulation (1) if — </w:t>
      </w:r>
    </w:p>
    <w:p>
      <w:pPr>
        <w:pStyle w:val="Indenta"/>
      </w:pPr>
      <w:r>
        <w:tab/>
        <w:t>(a)</w:t>
      </w:r>
      <w:r>
        <w:tab/>
        <w:t xml:space="preserve">the provider has — </w:t>
      </w:r>
    </w:p>
    <w:p>
      <w:pPr>
        <w:pStyle w:val="Indenti"/>
      </w:pPr>
      <w:r>
        <w:tab/>
        <w:t>(i)</w:t>
      </w:r>
      <w:r>
        <w:tab/>
        <w:t>informed the Department, in accordance with the guidelines, that when the on</w:t>
      </w:r>
      <w:r>
        <w:noBreakHyphen/>
        <w:t>demand rank or hail vehicle is being driven to provide an on</w:t>
      </w:r>
      <w:r>
        <w:noBreakHyphen/>
        <w:t>demand passenger transport service it will contain a PTSS electronic device that is a mobile phone; and</w:t>
      </w:r>
    </w:p>
    <w:p>
      <w:pPr>
        <w:pStyle w:val="Indenti"/>
      </w:pPr>
      <w:r>
        <w:tab/>
        <w:t>(ii)</w:t>
      </w:r>
      <w:r>
        <w:tab/>
        <w:t>informed the driver of the vehicle that the vehicle must contain a PTSS electronic device that is a mobile phone when the vehicle is being driven to provide an on</w:t>
      </w:r>
      <w:r>
        <w:noBreakHyphen/>
        <w:t>demand passenger transport service;</w:t>
      </w:r>
    </w:p>
    <w:p>
      <w:pPr>
        <w:pStyle w:val="Indenta"/>
      </w:pPr>
      <w:r>
        <w:tab/>
      </w:r>
      <w:r>
        <w:tab/>
        <w:t>or</w:t>
      </w:r>
    </w:p>
    <w:p>
      <w:pPr>
        <w:pStyle w:val="Indenta"/>
      </w:pPr>
      <w:r>
        <w:tab/>
        <w:t>(b)</w:t>
      </w:r>
      <w:r>
        <w:tab/>
        <w:t>the provider has a reasonable excuse.</w:t>
      </w:r>
    </w:p>
    <w:p>
      <w:pPr>
        <w:pStyle w:val="Footnotesection"/>
      </w:pPr>
      <w:bookmarkStart w:id="310" w:name="_Toc183085284"/>
      <w:bookmarkStart w:id="311" w:name="_Toc183085417"/>
      <w:r>
        <w:tab/>
        <w:t>[Regulation 130HA inserted: SL 2024/245 r. 8.]</w:t>
      </w:r>
    </w:p>
    <w:p>
      <w:pPr>
        <w:pStyle w:val="Heading5"/>
      </w:pPr>
      <w:bookmarkStart w:id="312" w:name="_Toc191042076"/>
      <w:r>
        <w:rPr>
          <w:rStyle w:val="CharSectno"/>
        </w:rPr>
        <w:t>130HB</w:t>
      </w:r>
      <w:r>
        <w:t>.</w:t>
      </w:r>
      <w:r>
        <w:tab/>
        <w:t>Driver must ensure vehicle contains PTSS electronic device</w:t>
      </w:r>
      <w:bookmarkEnd w:id="310"/>
      <w:bookmarkEnd w:id="311"/>
      <w:bookmarkEnd w:id="312"/>
    </w:p>
    <w:p>
      <w:pPr>
        <w:pStyle w:val="Subsection"/>
      </w:pPr>
      <w:r>
        <w:tab/>
        <w:t>(1)</w:t>
      </w:r>
      <w:r>
        <w:tab/>
        <w:t>The driver of an on</w:t>
      </w:r>
      <w:r>
        <w:noBreakHyphen/>
        <w:t>demand rank or hail vehicle must ensure that when the vehicle is being driven to provide an on</w:t>
      </w:r>
      <w:r>
        <w:noBreakHyphen/>
        <w:t>demand passenger transport service it contains or is fitted with a PTSS electronic device.</w:t>
      </w:r>
    </w:p>
    <w:p>
      <w:pPr>
        <w:pStyle w:val="Penstart"/>
      </w:pPr>
      <w:r>
        <w:tab/>
        <w:t>Penalty for this subregulation: a fine of $9 000.</w:t>
      </w:r>
    </w:p>
    <w:p>
      <w:pPr>
        <w:pStyle w:val="Subsection"/>
      </w:pPr>
      <w:r>
        <w:tab/>
        <w:t>(2)</w:t>
      </w:r>
      <w:r>
        <w:tab/>
        <w:t>The driver of an on</w:t>
      </w:r>
      <w:r>
        <w:noBreakHyphen/>
        <w:t xml:space="preserve">demand rank or hail vehicle does not commit an offence under subregulation (1) if the driver has a reasonable excuse. </w:t>
      </w:r>
    </w:p>
    <w:p>
      <w:pPr>
        <w:pStyle w:val="Footnotesection"/>
      </w:pPr>
      <w:r>
        <w:tab/>
        <w:t>[Regulation 130HB inserted: SL 2024/245 r. 8.]</w:t>
      </w:r>
    </w:p>
    <w:p>
      <w:pPr>
        <w:pStyle w:val="Heading5"/>
      </w:pPr>
      <w:bookmarkStart w:id="313" w:name="_Toc191042077"/>
      <w:r>
        <w:rPr>
          <w:rStyle w:val="CharSectno"/>
        </w:rPr>
        <w:t>130I</w:t>
      </w:r>
      <w:r>
        <w:t>.</w:t>
      </w:r>
      <w:r>
        <w:tab/>
        <w:t>False claims for payment</w:t>
      </w:r>
      <w:bookmarkEnd w:id="313"/>
    </w:p>
    <w:p>
      <w:pPr>
        <w:pStyle w:val="Subsection"/>
      </w:pPr>
      <w:r>
        <w:tab/>
      </w:r>
      <w:r>
        <w:tab/>
        <w:t>A person must not make a claim for payment of a subsidy under regulation 130C other than in relation to a PTSS journey.</w:t>
      </w:r>
    </w:p>
    <w:p>
      <w:pPr>
        <w:pStyle w:val="Penstart"/>
      </w:pPr>
      <w:r>
        <w:lastRenderedPageBreak/>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130I inserted: SL 2024/245 r. 5.]</w:t>
      </w:r>
    </w:p>
    <w:p>
      <w:pPr>
        <w:pStyle w:val="Heading5"/>
      </w:pPr>
      <w:bookmarkStart w:id="314" w:name="_Toc191042078"/>
      <w:r>
        <w:rPr>
          <w:rStyle w:val="CharSectno"/>
        </w:rPr>
        <w:t>130J</w:t>
      </w:r>
      <w:r>
        <w:t>.</w:t>
      </w:r>
      <w:r>
        <w:tab/>
        <w:t>Providers of on</w:t>
      </w:r>
      <w:r>
        <w:noBreakHyphen/>
        <w:t>demand booking services to provide information about PTSS journeys</w:t>
      </w:r>
      <w:bookmarkEnd w:id="314"/>
    </w:p>
    <w:p>
      <w:pPr>
        <w:pStyle w:val="Subsection"/>
      </w:pPr>
      <w:r>
        <w:tab/>
        <w:t>(1)</w:t>
      </w:r>
      <w:r>
        <w:tab/>
        <w:t xml:space="preserve">In this regulation — </w:t>
      </w:r>
    </w:p>
    <w:p>
      <w:pPr>
        <w:pStyle w:val="Defstart"/>
      </w:pPr>
      <w:r>
        <w:tab/>
      </w:r>
      <w:r>
        <w:rPr>
          <w:rStyle w:val="CharDefText"/>
        </w:rPr>
        <w:t>aggregated journey data</w:t>
      </w:r>
      <w:r>
        <w:t>, for a provider of an on</w:t>
      </w:r>
      <w:r>
        <w:noBreakHyphen/>
        <w:t>demand booking service, for a month, means the following information about each PTSS journey in respect of which the provider provided an on</w:t>
      </w:r>
      <w:r>
        <w:noBreakHyphen/>
        <w:t xml:space="preserve">demand booking service in the month — </w:t>
      </w:r>
    </w:p>
    <w:p>
      <w:pPr>
        <w:pStyle w:val="Defpara"/>
      </w:pPr>
      <w:r>
        <w:tab/>
        <w:t>(a)</w:t>
      </w:r>
      <w:r>
        <w:tab/>
        <w:t>the day and time at which the booking for the journey was taken or facilitated;</w:t>
      </w:r>
    </w:p>
    <w:p>
      <w:pPr>
        <w:pStyle w:val="Defpara"/>
      </w:pPr>
      <w:r>
        <w:tab/>
        <w:t>(b)</w:t>
      </w:r>
      <w:r>
        <w:tab/>
        <w:t>the day of the journey and the times it began and ended;</w:t>
      </w:r>
    </w:p>
    <w:p>
      <w:pPr>
        <w:pStyle w:val="Defpara"/>
      </w:pPr>
      <w:r>
        <w:tab/>
        <w:t>(c)</w:t>
      </w:r>
      <w:r>
        <w:tab/>
        <w:t>the locations where the journey began and ended;</w:t>
      </w:r>
    </w:p>
    <w:p>
      <w:pPr>
        <w:pStyle w:val="Defpara"/>
      </w:pPr>
      <w:r>
        <w:tab/>
        <w:t>(d)</w:t>
      </w:r>
      <w:r>
        <w:tab/>
        <w:t>the driver’s relevant driver authorisation number;</w:t>
      </w:r>
    </w:p>
    <w:p>
      <w:pPr>
        <w:pStyle w:val="Defpara"/>
      </w:pPr>
      <w:r>
        <w:tab/>
        <w:t>(e)</w:t>
      </w:r>
      <w:r>
        <w:tab/>
        <w:t>the vehicle licence number of the vehicle used in the journey;</w:t>
      </w:r>
    </w:p>
    <w:p>
      <w:pPr>
        <w:pStyle w:val="Defpara"/>
      </w:pPr>
      <w:r>
        <w:tab/>
        <w:t>(f)</w:t>
      </w:r>
      <w:r>
        <w:tab/>
        <w:t>the booking reference number allocated to the journey by the provider that enables the journey to be identified;</w:t>
      </w:r>
    </w:p>
    <w:p>
      <w:pPr>
        <w:pStyle w:val="Defpara"/>
      </w:pPr>
      <w:r>
        <w:tab/>
        <w:t>(g)</w:t>
      </w:r>
      <w:r>
        <w:tab/>
        <w:t>the number of passengers carried who were seated in a wheelchair (if any);</w:t>
      </w:r>
    </w:p>
    <w:p>
      <w:pPr>
        <w:pStyle w:val="Defpara"/>
      </w:pPr>
      <w:r>
        <w:tab/>
        <w:t>(h)</w:t>
      </w:r>
      <w:r>
        <w:tab/>
        <w:t>the total amount of the fare for the journey;</w:t>
      </w:r>
    </w:p>
    <w:p>
      <w:pPr>
        <w:pStyle w:val="Defpara"/>
      </w:pPr>
      <w:r>
        <w:tab/>
        <w:t>(i)</w:t>
      </w:r>
      <w:r>
        <w:tab/>
        <w:t>the amount of the subsidy for the fare for the journey.</w:t>
      </w:r>
    </w:p>
    <w:p>
      <w:pPr>
        <w:pStyle w:val="Subsection"/>
        <w:rPr>
          <w:rStyle w:val="DraftersNotes"/>
          <w:b w:val="0"/>
          <w:i w:val="0"/>
          <w:sz w:val="24"/>
        </w:rPr>
      </w:pPr>
      <w:r>
        <w:tab/>
        <w:t>(2)</w:t>
      </w:r>
      <w:r>
        <w:tab/>
        <w:t>The provider of an on</w:t>
      </w:r>
      <w:r>
        <w:noBreakHyphen/>
        <w:t>demand booking service must give the aggregated journey data for the provider for each month to the CEO within 7 business days after the end of the month, in a manner and form approved by the CEO.</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(3)</w:t>
      </w:r>
      <w:r>
        <w:tab/>
        <w:t>The CEO may, by written notice given to the provider of an on</w:t>
      </w:r>
      <w:r>
        <w:noBreakHyphen/>
        <w:t>demand booking service, require the provider to give to the CEO, on or before a day specified in the notice, in a manner and form specified in the notice, any other information in relation to PTSS journeys in respect of which the provider provided an on</w:t>
      </w:r>
      <w:r>
        <w:noBreakHyphen/>
        <w:t>demand booking service that is required by the CEO.</w:t>
      </w:r>
    </w:p>
    <w:p>
      <w:pPr>
        <w:pStyle w:val="Subsection"/>
      </w:pPr>
      <w:r>
        <w:tab/>
        <w:t>(4)</w:t>
      </w:r>
      <w:r>
        <w:tab/>
        <w:t>The provider of an on</w:t>
      </w:r>
      <w:r>
        <w:noBreakHyphen/>
        <w:t>demand booking service given a notice under subregulation (3)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130J inserted: SL 2024/245 r. 5.]</w:t>
      </w:r>
    </w:p>
    <w:p>
      <w:pPr>
        <w:pStyle w:val="Heading5"/>
      </w:pPr>
      <w:bookmarkStart w:id="315" w:name="_Toc191042079"/>
      <w:r>
        <w:rPr>
          <w:rStyle w:val="CharSectno"/>
        </w:rPr>
        <w:t>130K</w:t>
      </w:r>
      <w:r>
        <w:t>.</w:t>
      </w:r>
      <w:r>
        <w:tab/>
        <w:t>CEO may recover subsidies paid</w:t>
      </w:r>
      <w:bookmarkEnd w:id="315"/>
    </w:p>
    <w:p>
      <w:pPr>
        <w:pStyle w:val="Subsection"/>
      </w:pPr>
      <w:r>
        <w:tab/>
        <w:t>(1)</w:t>
      </w:r>
      <w:r>
        <w:tab/>
        <w:t>This regulation applies in relation to all or part of a subsidy paid under regulation 130C that should not have been paid.</w:t>
      </w:r>
    </w:p>
    <w:p>
      <w:pPr>
        <w:pStyle w:val="Subsection"/>
      </w:pPr>
      <w:r>
        <w:tab/>
        <w:t>(2)</w:t>
      </w:r>
      <w:r>
        <w:tab/>
        <w:t>The CEO may recover the subsidy or part, in a court of competent jurisdiction as a debt due to the Crown, from the person to whom the subsidy or part was paid.</w:t>
      </w:r>
    </w:p>
    <w:p>
      <w:pPr>
        <w:pStyle w:val="Footnotesection"/>
      </w:pPr>
      <w:r>
        <w:tab/>
        <w:t>[Regulation 130K inserted: SL 2024/245 r. 5.]</w:t>
      </w:r>
    </w:p>
    <w:p>
      <w:pPr>
        <w:pStyle w:val="Heading5"/>
      </w:pPr>
      <w:bookmarkStart w:id="316" w:name="_Toc191042080"/>
      <w:r>
        <w:rPr>
          <w:rStyle w:val="CharSectno"/>
        </w:rPr>
        <w:t>130L</w:t>
      </w:r>
      <w:r>
        <w:t>.</w:t>
      </w:r>
      <w:r>
        <w:tab/>
        <w:t>CEO may approve guidelines</w:t>
      </w:r>
      <w:bookmarkEnd w:id="316"/>
    </w:p>
    <w:p>
      <w:pPr>
        <w:pStyle w:val="Subsection"/>
      </w:pPr>
      <w:r>
        <w:tab/>
        <w:t>(1)</w:t>
      </w:r>
      <w:r>
        <w:tab/>
        <w:t>The CEO may approve guidelines for the purposes of this Subdivision.</w:t>
      </w:r>
    </w:p>
    <w:p>
      <w:pPr>
        <w:pStyle w:val="Subsection"/>
      </w:pPr>
      <w:r>
        <w:tab/>
        <w:t>(2)</w:t>
      </w:r>
      <w:r>
        <w:tab/>
        <w:t>The CEO must publish the approved guidelines on the Department’s website.</w:t>
      </w:r>
    </w:p>
    <w:p>
      <w:pPr>
        <w:pStyle w:val="Footnotesection"/>
      </w:pPr>
      <w:r>
        <w:tab/>
        <w:t>[Regulation 130L inserted: SL 2024/245 r. 5.]</w:t>
      </w:r>
    </w:p>
    <w:p>
      <w:pPr>
        <w:pStyle w:val="Heading4"/>
      </w:pPr>
      <w:bookmarkStart w:id="317" w:name="_Toc191024362"/>
      <w:bookmarkStart w:id="318" w:name="_Toc191025557"/>
      <w:bookmarkStart w:id="319" w:name="_Toc191042081"/>
      <w:r>
        <w:lastRenderedPageBreak/>
        <w:t>Subdivision 3 — Receipts</w:t>
      </w:r>
      <w:bookmarkEnd w:id="317"/>
      <w:bookmarkEnd w:id="318"/>
      <w:bookmarkEnd w:id="319"/>
    </w:p>
    <w:p>
      <w:pPr>
        <w:pStyle w:val="Heading5"/>
      </w:pPr>
      <w:bookmarkStart w:id="320" w:name="_Toc191042082"/>
      <w:r>
        <w:rPr>
          <w:rStyle w:val="CharSectno"/>
        </w:rPr>
        <w:t>131</w:t>
      </w:r>
      <w:r>
        <w:t>.</w:t>
      </w:r>
      <w:r>
        <w:tab/>
        <w:t>Receipts</w:t>
      </w:r>
      <w:bookmarkEnd w:id="320"/>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the business name used by the provider in connection with the provision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the business name used by the provider of the associated booking service in connection with the provision of the associated booking service;</w:t>
      </w:r>
    </w:p>
    <w:p>
      <w:pPr>
        <w:pStyle w:val="Indenta"/>
      </w:pPr>
      <w:r>
        <w:tab/>
      </w:r>
      <w:r>
        <w:tab/>
        <w:t>and</w:t>
      </w:r>
    </w:p>
    <w:p>
      <w:pPr>
        <w:pStyle w:val="Indenta"/>
        <w:keepNext/>
      </w:pPr>
      <w:r>
        <w:lastRenderedPageBreak/>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131 amended: SL 2024/286 r. 13.]</w:t>
      </w:r>
    </w:p>
    <w:p>
      <w:pPr>
        <w:pStyle w:val="Heading4"/>
      </w:pPr>
      <w:bookmarkStart w:id="321" w:name="_Toc191024364"/>
      <w:bookmarkStart w:id="322" w:name="_Toc191025559"/>
      <w:bookmarkStart w:id="323" w:name="_Toc191042083"/>
      <w:r>
        <w:t>Subdivision 4 — Fare calculation devices</w:t>
      </w:r>
      <w:bookmarkEnd w:id="321"/>
      <w:bookmarkEnd w:id="322"/>
      <w:bookmarkEnd w:id="323"/>
    </w:p>
    <w:p>
      <w:pPr>
        <w:pStyle w:val="Heading5"/>
        <w:keepNext w:val="0"/>
      </w:pPr>
      <w:bookmarkStart w:id="324" w:name="_Toc191042084"/>
      <w:r>
        <w:rPr>
          <w:rStyle w:val="CharSectno"/>
        </w:rPr>
        <w:t>132</w:t>
      </w:r>
      <w:r>
        <w:t>.</w:t>
      </w:r>
      <w:r>
        <w:tab/>
        <w:t>On</w:t>
      </w:r>
      <w:r>
        <w:noBreakHyphen/>
        <w:t>demand rank or hail vehicles to be fitted with fare calculation device</w:t>
      </w:r>
      <w:bookmarkEnd w:id="324"/>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keepNext/>
      </w:pPr>
      <w:r>
        <w:lastRenderedPageBreak/>
        <w:tab/>
        <w:t>(b)</w:t>
      </w:r>
      <w:r>
        <w:tab/>
        <w:t>for a body corporate, a fine of $30 000.</w:t>
      </w:r>
    </w:p>
    <w:p>
      <w:pPr>
        <w:pStyle w:val="Subsection"/>
        <w:keepNext/>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325" w:name="_Toc191042085"/>
      <w:r>
        <w:rPr>
          <w:rStyle w:val="CharSectno"/>
        </w:rPr>
        <w:t>133</w:t>
      </w:r>
      <w:r>
        <w:t>.</w:t>
      </w:r>
      <w:r>
        <w:tab/>
        <w:t>Requirements for fare calculation devices</w:t>
      </w:r>
      <w:bookmarkEnd w:id="325"/>
    </w:p>
    <w:p>
      <w:pPr>
        <w:pStyle w:val="Subsection"/>
      </w:pPr>
      <w:r>
        <w:tab/>
        <w:t>(1)</w:t>
      </w:r>
      <w:r>
        <w:tab/>
        <w:t>All fares and other figures shown by the fare calculation device must be displayed prominently in the vehicle,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keepNext/>
      </w:pPr>
      <w:r>
        <w:lastRenderedPageBreak/>
        <w:tab/>
        <w:t>(5)</w:t>
      </w:r>
      <w:r>
        <w:tab/>
        <w:t xml:space="preserve">The fare calculation device must — </w:t>
      </w:r>
    </w:p>
    <w:p>
      <w:pPr>
        <w:pStyle w:val="Indenta"/>
        <w:keepNext/>
      </w:pPr>
      <w:r>
        <w:tab/>
        <w:t>(a)</w:t>
      </w:r>
      <w:r>
        <w:tab/>
        <w:t>show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Footnotesection"/>
      </w:pPr>
      <w:r>
        <w:tab/>
        <w:t>[Regulation 133 amended: SL 2024/286 r. 14.]</w:t>
      </w:r>
    </w:p>
    <w:p>
      <w:pPr>
        <w:pStyle w:val="Heading5"/>
      </w:pPr>
      <w:bookmarkStart w:id="326" w:name="_Toc191042086"/>
      <w:r>
        <w:rPr>
          <w:rStyle w:val="CharSectno"/>
        </w:rPr>
        <w:t>134</w:t>
      </w:r>
      <w:r>
        <w:t>.</w:t>
      </w:r>
      <w:r>
        <w:tab/>
        <w:t>Display of information: on</w:t>
      </w:r>
      <w:r>
        <w:noBreakHyphen/>
        <w:t>demand rank or hail vehicles</w:t>
      </w:r>
      <w:bookmarkEnd w:id="326"/>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keepNext/>
      </w:pPr>
      <w:r>
        <w:lastRenderedPageBreak/>
        <w:tab/>
        <w:t>(b)</w:t>
      </w:r>
      <w:r>
        <w:tab/>
        <w:t>the driver of the vehicle.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keepNext/>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327" w:name="_Toc191024368"/>
      <w:bookmarkStart w:id="328" w:name="_Toc191025563"/>
      <w:bookmarkStart w:id="329" w:name="_Toc191042087"/>
      <w:r>
        <w:rPr>
          <w:rStyle w:val="CharDivNo"/>
        </w:rPr>
        <w:t>Division 4</w:t>
      </w:r>
      <w:r>
        <w:t> — </w:t>
      </w:r>
      <w:r>
        <w:rPr>
          <w:rStyle w:val="CharDivText"/>
        </w:rPr>
        <w:t>Other obligations</w:t>
      </w:r>
      <w:bookmarkEnd w:id="327"/>
      <w:bookmarkEnd w:id="328"/>
      <w:bookmarkEnd w:id="329"/>
    </w:p>
    <w:p>
      <w:pPr>
        <w:pStyle w:val="Heading5"/>
      </w:pPr>
      <w:bookmarkStart w:id="330" w:name="_Toc191042088"/>
      <w:r>
        <w:rPr>
          <w:rStyle w:val="CharSectno"/>
        </w:rPr>
        <w:t>135</w:t>
      </w:r>
      <w:r>
        <w:t>.</w:t>
      </w:r>
      <w:r>
        <w:tab/>
        <w:t>Driver to inform on</w:t>
      </w:r>
      <w:r>
        <w:noBreakHyphen/>
        <w:t>demand booking service of certain matters</w:t>
      </w:r>
      <w:bookmarkEnd w:id="330"/>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331" w:name="_Toc191042089"/>
      <w:r>
        <w:rPr>
          <w:rStyle w:val="CharSectno"/>
        </w:rPr>
        <w:lastRenderedPageBreak/>
        <w:t>136</w:t>
      </w:r>
      <w:r>
        <w:t>.</w:t>
      </w:r>
      <w:r>
        <w:tab/>
        <w:t>Conduct of drivers while driving vehicle to transport passengers for hire or reward</w:t>
      </w:r>
      <w:bookmarkEnd w:id="331"/>
    </w:p>
    <w:p>
      <w:pPr>
        <w:pStyle w:val="Subsection"/>
        <w:keepNext/>
      </w:pPr>
      <w:r>
        <w:tab/>
        <w:t>(1)</w:t>
      </w:r>
      <w:r>
        <w:tab/>
        <w:t>A driver of a passenger transport vehicle must behave in an orderly manner at all times while driving the vehicle for the purpose of transporting passengers for hire or reward.</w:t>
      </w:r>
    </w:p>
    <w:p>
      <w:pPr>
        <w:pStyle w:val="Penstart"/>
        <w:keepNex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332" w:name="_Toc191042090"/>
      <w:r>
        <w:rPr>
          <w:rStyle w:val="CharSectno"/>
        </w:rPr>
        <w:t>137</w:t>
      </w:r>
      <w:r>
        <w:t>.</w:t>
      </w:r>
      <w:r>
        <w:tab/>
        <w:t>Assistance animals</w:t>
      </w:r>
      <w:bookmarkEnd w:id="332"/>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333" w:name="_Toc191042091"/>
      <w:r>
        <w:rPr>
          <w:rStyle w:val="CharSectno"/>
        </w:rPr>
        <w:t>138</w:t>
      </w:r>
      <w:r>
        <w:t>.</w:t>
      </w:r>
      <w:r>
        <w:tab/>
        <w:t>Driver must accept hiring except in certain circumstances</w:t>
      </w:r>
      <w:bookmarkEnd w:id="333"/>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lastRenderedPageBreak/>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lastRenderedPageBreak/>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334" w:name="_Toc191042092"/>
      <w:r>
        <w:rPr>
          <w:rStyle w:val="CharSectno"/>
        </w:rPr>
        <w:t>139</w:t>
      </w:r>
      <w:r>
        <w:t>.</w:t>
      </w:r>
      <w:r>
        <w:tab/>
        <w:t>No touting or soliciting for passengers</w:t>
      </w:r>
      <w:bookmarkEnd w:id="334"/>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335" w:name="_Toc191042093"/>
      <w:r>
        <w:rPr>
          <w:rStyle w:val="CharSectno"/>
        </w:rPr>
        <w:t>140</w:t>
      </w:r>
      <w:r>
        <w:t>.</w:t>
      </w:r>
      <w:r>
        <w:tab/>
        <w:t>Offence to operate unauthorised vehicle with passenger transport vehicle number plates</w:t>
      </w:r>
      <w:bookmarkEnd w:id="335"/>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336" w:name="_Toc191042094"/>
      <w:r>
        <w:rPr>
          <w:rStyle w:val="CharSectno"/>
        </w:rPr>
        <w:t>141</w:t>
      </w:r>
      <w:r>
        <w:t>.</w:t>
      </w:r>
      <w:r>
        <w:tab/>
        <w:t>Wheelchair accessible vehicle to be used to attend to passenger who uses or requires wheelchair first</w:t>
      </w:r>
      <w:bookmarkEnd w:id="336"/>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337" w:name="_Toc191024376"/>
      <w:bookmarkStart w:id="338" w:name="_Toc191025571"/>
      <w:bookmarkStart w:id="339" w:name="_Toc191042095"/>
      <w:r>
        <w:rPr>
          <w:rStyle w:val="CharPartNo"/>
        </w:rPr>
        <w:lastRenderedPageBreak/>
        <w:t>Part 9</w:t>
      </w:r>
      <w:r>
        <w:rPr>
          <w:rStyle w:val="CharDivNo"/>
        </w:rPr>
        <w:t> </w:t>
      </w:r>
      <w:r>
        <w:t>—</w:t>
      </w:r>
      <w:r>
        <w:rPr>
          <w:rStyle w:val="CharDivText"/>
        </w:rPr>
        <w:t> </w:t>
      </w:r>
      <w:r>
        <w:rPr>
          <w:rStyle w:val="CharPartText"/>
        </w:rPr>
        <w:t>Information</w:t>
      </w:r>
      <w:bookmarkEnd w:id="337"/>
      <w:bookmarkEnd w:id="338"/>
      <w:bookmarkEnd w:id="339"/>
    </w:p>
    <w:p>
      <w:pPr>
        <w:pStyle w:val="Heading5"/>
      </w:pPr>
      <w:bookmarkStart w:id="340" w:name="_Toc191042096"/>
      <w:r>
        <w:rPr>
          <w:rStyle w:val="CharSectno"/>
        </w:rPr>
        <w:t>142</w:t>
      </w:r>
      <w:r>
        <w:t>.</w:t>
      </w:r>
      <w:r>
        <w:tab/>
        <w:t>Law enforcement officials (s. 150)</w:t>
      </w:r>
      <w:bookmarkEnd w:id="340"/>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341" w:name="_Toc191042097"/>
      <w:r>
        <w:rPr>
          <w:rStyle w:val="CharSectno"/>
        </w:rPr>
        <w:t>143</w:t>
      </w:r>
      <w:r>
        <w:t>.</w:t>
      </w:r>
      <w:r>
        <w:tab/>
        <w:t>Relevant authorities (s. 150)</w:t>
      </w:r>
      <w:bookmarkEnd w:id="341"/>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lastRenderedPageBreak/>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342" w:name="_Toc191042098"/>
      <w:r>
        <w:rPr>
          <w:rStyle w:val="CharSectno"/>
        </w:rPr>
        <w:t>144</w:t>
      </w:r>
      <w:r>
        <w:t>.</w:t>
      </w:r>
      <w:r>
        <w:tab/>
        <w:t>Prescribed period (s. 152(a))</w:t>
      </w:r>
      <w:bookmarkEnd w:id="342"/>
    </w:p>
    <w:p>
      <w:pPr>
        <w:pStyle w:val="Subsection"/>
      </w:pPr>
      <w:r>
        <w:tab/>
      </w:r>
      <w:r>
        <w:tab/>
        <w:t>For the purposes of section 152(a) of the Act, the prescribed period is 6 months.</w:t>
      </w:r>
    </w:p>
    <w:p>
      <w:pPr>
        <w:pStyle w:val="Heading5"/>
      </w:pPr>
      <w:bookmarkStart w:id="343" w:name="_Toc191042099"/>
      <w:r>
        <w:rPr>
          <w:rStyle w:val="CharSectno"/>
        </w:rPr>
        <w:t>145</w:t>
      </w:r>
      <w:r>
        <w:t>.</w:t>
      </w:r>
      <w:r>
        <w:tab/>
        <w:t>Disclosure of authorisation status of driver (s. 153)</w:t>
      </w:r>
      <w:bookmarkEnd w:id="343"/>
    </w:p>
    <w:p>
      <w:pPr>
        <w:pStyle w:val="Subsection"/>
        <w:keepNext/>
      </w:pPr>
      <w:r>
        <w:tab/>
        <w:t>(1)</w:t>
      </w:r>
      <w:r>
        <w:tab/>
        <w:t xml:space="preserve">For the purposes of section 153 of the Act, the CEO may disclose the authorisation status of a passenger transport driver to any of the following persons who requests the information </w:t>
      </w:r>
      <w:r>
        <w:lastRenderedPageBreak/>
        <w:t xml:space="preserve">(the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Indenta"/>
      </w:pPr>
      <w:r>
        <w:tab/>
        <w:t>(d)</w:t>
      </w:r>
      <w:r>
        <w:tab/>
        <w:t>a member of the public.</w:t>
      </w:r>
    </w:p>
    <w:p>
      <w:pPr>
        <w:pStyle w:val="Subsection"/>
      </w:pPr>
      <w:r>
        <w:tab/>
        <w:t>(2)</w:t>
      </w:r>
      <w:r>
        <w:tab/>
        <w:t xml:space="preserve">In disclosing the authorisation status of a passenger transport driver under section 153 of the Act to a recipient mentioned in subregulation (1)(a), (b) or (c),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lastRenderedPageBreak/>
        <w:tab/>
        <w:t>(3)</w:t>
      </w:r>
      <w:r>
        <w:tab/>
        <w:t xml:space="preserve">The authorisation status of a passenger transport driver must not be disclosed under section 153 of the Act to a recipient mentioned in subregulation (1)(a), (b) or (c)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Subsection"/>
      </w:pPr>
      <w:r>
        <w:tab/>
        <w:t>(4)</w:t>
      </w:r>
      <w:r>
        <w:tab/>
        <w:t>In disclosing the authorisation status of a passenger transport driver under section 153 of the Act to a recipient who is a member of the public, the CEO may disclose whether the driver holds a passenger transport driver authorisation that is in force.</w:t>
      </w:r>
    </w:p>
    <w:p>
      <w:pPr>
        <w:pStyle w:val="Subsection"/>
      </w:pPr>
      <w:r>
        <w:tab/>
        <w:t>(5)</w:t>
      </w:r>
      <w:r>
        <w:tab/>
        <w:t>The authorisation status of a passenger transport driver must not be disclosed under section 153 of the Act to a recipient who is a member of the public unless the recipient provides the passenger transport driver authorisation number of the driver.</w:t>
      </w:r>
    </w:p>
    <w:p>
      <w:pPr>
        <w:pStyle w:val="Footnotesection"/>
      </w:pPr>
      <w:r>
        <w:tab/>
        <w:t>[Regulation 145 amended: SL 2024/286 r. 15.]</w:t>
      </w:r>
    </w:p>
    <w:p>
      <w:pPr>
        <w:pStyle w:val="Heading5"/>
      </w:pPr>
      <w:bookmarkStart w:id="344" w:name="_Toc191042100"/>
      <w:r>
        <w:rPr>
          <w:rStyle w:val="CharSectno"/>
        </w:rPr>
        <w:t>146</w:t>
      </w:r>
      <w:r>
        <w:t>.</w:t>
      </w:r>
      <w:r>
        <w:tab/>
        <w:t>Prescribed information road traffic CEO must provide to CEO (s. 158)</w:t>
      </w:r>
      <w:bookmarkEnd w:id="344"/>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345" w:name="_Toc191024382"/>
      <w:bookmarkStart w:id="346" w:name="_Toc191025577"/>
      <w:bookmarkStart w:id="347" w:name="_Toc191042101"/>
      <w:r>
        <w:rPr>
          <w:rStyle w:val="CharPartNo"/>
        </w:rPr>
        <w:lastRenderedPageBreak/>
        <w:t>Part 10</w:t>
      </w:r>
      <w:r>
        <w:rPr>
          <w:rStyle w:val="CharDivNo"/>
        </w:rPr>
        <w:t> </w:t>
      </w:r>
      <w:r>
        <w:t>—</w:t>
      </w:r>
      <w:r>
        <w:rPr>
          <w:rStyle w:val="CharDivText"/>
        </w:rPr>
        <w:t> </w:t>
      </w:r>
      <w:r>
        <w:rPr>
          <w:rStyle w:val="CharPartText"/>
        </w:rPr>
        <w:t>Infringement notices and enforcement</w:t>
      </w:r>
      <w:bookmarkEnd w:id="345"/>
      <w:bookmarkEnd w:id="346"/>
      <w:bookmarkEnd w:id="347"/>
    </w:p>
    <w:p>
      <w:pPr>
        <w:pStyle w:val="Heading5"/>
      </w:pPr>
      <w:bookmarkStart w:id="348" w:name="_Toc191042102"/>
      <w:r>
        <w:rPr>
          <w:rStyle w:val="CharSectno"/>
        </w:rPr>
        <w:t>147</w:t>
      </w:r>
      <w:r>
        <w:t>.</w:t>
      </w:r>
      <w:r>
        <w:tab/>
        <w:t>Prescribed offences and modified penalties</w:t>
      </w:r>
      <w:bookmarkEnd w:id="348"/>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349" w:name="_Toc191042103"/>
      <w:r>
        <w:rPr>
          <w:rStyle w:val="CharSectno"/>
        </w:rPr>
        <w:t>148</w:t>
      </w:r>
      <w:r>
        <w:t>.</w:t>
      </w:r>
      <w:r>
        <w:tab/>
        <w:t>Approved officers and authorised officers</w:t>
      </w:r>
      <w:bookmarkEnd w:id="349"/>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350" w:name="_Toc191042104"/>
      <w:r>
        <w:rPr>
          <w:rStyle w:val="CharSectno"/>
        </w:rPr>
        <w:lastRenderedPageBreak/>
        <w:t>149</w:t>
      </w:r>
      <w:r>
        <w:t>.</w:t>
      </w:r>
      <w:r>
        <w:tab/>
        <w:t>Entry warrants (s. 178(2))</w:t>
      </w:r>
      <w:bookmarkEnd w:id="350"/>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351" w:name="_Toc191042105"/>
      <w:r>
        <w:rPr>
          <w:rStyle w:val="CharSectno"/>
        </w:rPr>
        <w:t>150</w:t>
      </w:r>
      <w:r>
        <w:t>.</w:t>
      </w:r>
      <w:r>
        <w:tab/>
        <w:t>Forms</w:t>
      </w:r>
      <w:bookmarkEnd w:id="351"/>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352" w:name="_Toc191024387"/>
      <w:bookmarkStart w:id="353" w:name="_Toc191025582"/>
      <w:bookmarkStart w:id="354" w:name="_Toc191042106"/>
      <w:r>
        <w:rPr>
          <w:rStyle w:val="CharPartNo"/>
        </w:rPr>
        <w:lastRenderedPageBreak/>
        <w:t>Part 11</w:t>
      </w:r>
      <w:r>
        <w:t> — </w:t>
      </w:r>
      <w:r>
        <w:rPr>
          <w:rStyle w:val="CharPartText"/>
        </w:rPr>
        <w:t>Voluntary buyback, adjustment assistance and levy</w:t>
      </w:r>
      <w:bookmarkEnd w:id="352"/>
      <w:bookmarkEnd w:id="353"/>
      <w:bookmarkEnd w:id="354"/>
    </w:p>
    <w:p>
      <w:pPr>
        <w:pStyle w:val="Heading3"/>
      </w:pPr>
      <w:bookmarkStart w:id="355" w:name="_Toc191024388"/>
      <w:bookmarkStart w:id="356" w:name="_Toc191025583"/>
      <w:bookmarkStart w:id="357" w:name="_Toc191042107"/>
      <w:r>
        <w:rPr>
          <w:rStyle w:val="CharDivNo"/>
        </w:rPr>
        <w:t>Division 1</w:t>
      </w:r>
      <w:r>
        <w:t> — </w:t>
      </w:r>
      <w:r>
        <w:rPr>
          <w:rStyle w:val="CharDivText"/>
        </w:rPr>
        <w:t>Buyback payment and net loss payment</w:t>
      </w:r>
      <w:bookmarkEnd w:id="355"/>
      <w:bookmarkEnd w:id="356"/>
      <w:bookmarkEnd w:id="357"/>
    </w:p>
    <w:p>
      <w:pPr>
        <w:pStyle w:val="Heading5"/>
      </w:pPr>
      <w:bookmarkStart w:id="358" w:name="_Toc191042108"/>
      <w:r>
        <w:rPr>
          <w:rStyle w:val="CharSectno"/>
        </w:rPr>
        <w:t>151</w:t>
      </w:r>
      <w:r>
        <w:t>.</w:t>
      </w:r>
      <w:r>
        <w:tab/>
        <w:t>Prescribed day for buyback payment and net loss payment applications (s. 229(2) and 235(2))</w:t>
      </w:r>
      <w:bookmarkEnd w:id="358"/>
    </w:p>
    <w:p>
      <w:pPr>
        <w:pStyle w:val="Subsection"/>
      </w:pPr>
      <w:r>
        <w:tab/>
      </w:r>
      <w:r>
        <w:tab/>
        <w:t>For the purposes of sections 229(2) and 235(2) of the Act, the prescribed day is 31 May 2019.</w:t>
      </w:r>
    </w:p>
    <w:p>
      <w:pPr>
        <w:pStyle w:val="Heading3"/>
      </w:pPr>
      <w:bookmarkStart w:id="359" w:name="_Toc191024390"/>
      <w:bookmarkStart w:id="360" w:name="_Toc191025585"/>
      <w:bookmarkStart w:id="361" w:name="_Toc191042109"/>
      <w:r>
        <w:rPr>
          <w:rStyle w:val="CharDivNo"/>
        </w:rPr>
        <w:t>Division 2</w:t>
      </w:r>
      <w:r>
        <w:t> — </w:t>
      </w:r>
      <w:r>
        <w:rPr>
          <w:rStyle w:val="CharDivText"/>
        </w:rPr>
        <w:t>On</w:t>
      </w:r>
      <w:r>
        <w:rPr>
          <w:rStyle w:val="CharDivText"/>
        </w:rPr>
        <w:noBreakHyphen/>
        <w:t>demand passenger transport levy</w:t>
      </w:r>
      <w:bookmarkEnd w:id="359"/>
      <w:bookmarkEnd w:id="360"/>
      <w:bookmarkEnd w:id="361"/>
    </w:p>
    <w:p>
      <w:pPr>
        <w:pStyle w:val="Heading4"/>
      </w:pPr>
      <w:bookmarkStart w:id="362" w:name="_Toc191024391"/>
      <w:bookmarkStart w:id="363" w:name="_Toc191025586"/>
      <w:bookmarkStart w:id="364" w:name="_Toc191042110"/>
      <w:r>
        <w:t>Subdivision 1 — Preliminary</w:t>
      </w:r>
      <w:bookmarkEnd w:id="362"/>
      <w:bookmarkEnd w:id="363"/>
      <w:bookmarkEnd w:id="364"/>
    </w:p>
    <w:p>
      <w:pPr>
        <w:pStyle w:val="Heading5"/>
      </w:pPr>
      <w:bookmarkStart w:id="365" w:name="_Toc191042111"/>
      <w:r>
        <w:rPr>
          <w:rStyle w:val="CharSectno"/>
        </w:rPr>
        <w:t>152</w:t>
      </w:r>
      <w:r>
        <w:t>.</w:t>
      </w:r>
      <w:r>
        <w:tab/>
        <w:t>Terms used</w:t>
      </w:r>
      <w:bookmarkEnd w:id="365"/>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116 or 117 applies;</w:t>
      </w:r>
    </w:p>
    <w:p>
      <w:pPr>
        <w:pStyle w:val="Defstart"/>
        <w:keepNext/>
      </w:pPr>
      <w:r>
        <w:lastRenderedPageBreak/>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 xml:space="preserve">demand passenger transport service for a special event, but does not include a </w:t>
      </w:r>
      <w:r>
        <w:lastRenderedPageBreak/>
        <w:t>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366" w:name="_Toc191024393"/>
      <w:bookmarkStart w:id="367" w:name="_Toc191025588"/>
      <w:bookmarkStart w:id="368" w:name="_Toc191042112"/>
      <w:r>
        <w:t>Subdivision 2 — General provisions relating to levy</w:t>
      </w:r>
      <w:bookmarkEnd w:id="366"/>
      <w:bookmarkEnd w:id="367"/>
      <w:bookmarkEnd w:id="368"/>
    </w:p>
    <w:p>
      <w:pPr>
        <w:pStyle w:val="Heading5"/>
      </w:pPr>
      <w:bookmarkStart w:id="369" w:name="_Toc191042113"/>
      <w:r>
        <w:rPr>
          <w:rStyle w:val="CharSectno"/>
        </w:rPr>
        <w:t>153</w:t>
      </w:r>
      <w:r>
        <w:t>.</w:t>
      </w:r>
      <w:r>
        <w:tab/>
        <w:t>Classes of providers of on</w:t>
      </w:r>
      <w:r>
        <w:noBreakHyphen/>
        <w:t>demand booking services (s. 241)</w:t>
      </w:r>
      <w:bookmarkEnd w:id="369"/>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370" w:name="_Toc191042114"/>
      <w:r>
        <w:rPr>
          <w:rStyle w:val="CharSectno"/>
        </w:rPr>
        <w:lastRenderedPageBreak/>
        <w:t>154</w:t>
      </w:r>
      <w:r>
        <w:t>.</w:t>
      </w:r>
      <w:r>
        <w:tab/>
        <w:t>Levy fare: general (s. 241)</w:t>
      </w:r>
      <w:bookmarkEnd w:id="370"/>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71" w:name="_Toc191042115"/>
      <w:r>
        <w:rPr>
          <w:rStyle w:val="CharSectno"/>
        </w:rPr>
        <w:t>155</w:t>
      </w:r>
      <w:r>
        <w:t>.</w:t>
      </w:r>
      <w:r>
        <w:tab/>
        <w:t>Levy fare: on</w:t>
      </w:r>
      <w:r>
        <w:noBreakHyphen/>
        <w:t>demand passenger transport service provided for metered fare (s. 241)</w:t>
      </w:r>
      <w:bookmarkEnd w:id="371"/>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lastRenderedPageBreak/>
        <w:tab/>
        <w:t>(g)</w:t>
      </w:r>
      <w:r>
        <w:tab/>
        <w:t>any charge for carrying oversized or excess luggage using a trailer, roof</w:t>
      </w:r>
      <w:r>
        <w:noBreakHyphen/>
        <w:t>rack or similar equipment.</w:t>
      </w:r>
    </w:p>
    <w:p>
      <w:pPr>
        <w:pStyle w:val="Footnotesection"/>
      </w:pPr>
      <w:r>
        <w:tab/>
        <w:t>[Regulation 155 amended: SL 2024/286 r. 16.]</w:t>
      </w:r>
    </w:p>
    <w:p>
      <w:pPr>
        <w:pStyle w:val="Heading5"/>
      </w:pPr>
      <w:bookmarkStart w:id="372" w:name="_Toc191042116"/>
      <w:r>
        <w:rPr>
          <w:rStyle w:val="CharSectno"/>
        </w:rPr>
        <w:t>156</w:t>
      </w:r>
      <w:r>
        <w:t>.</w:t>
      </w:r>
      <w:r>
        <w:tab/>
        <w:t>Levy fare: fare under multiple service agreement (s. 241)</w:t>
      </w:r>
      <w:bookmarkEnd w:id="372"/>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373" w:name="_Toc191042117"/>
      <w:r>
        <w:rPr>
          <w:rStyle w:val="CharSectno"/>
        </w:rPr>
        <w:lastRenderedPageBreak/>
        <w:t>157</w:t>
      </w:r>
      <w:r>
        <w:t>.</w:t>
      </w:r>
      <w:r>
        <w:tab/>
        <w:t>Transactions relating to electric vehicles not leviable passenger service transactions</w:t>
      </w:r>
      <w:bookmarkEnd w:id="373"/>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374" w:name="_Toc191042118"/>
      <w:r>
        <w:rPr>
          <w:rStyle w:val="CharSectno"/>
        </w:rPr>
        <w:t>158</w:t>
      </w:r>
      <w:r>
        <w:t>.</w:t>
      </w:r>
      <w:r>
        <w:tab/>
        <w:t>Exemption from requirement to pay levy for approved special events providers</w:t>
      </w:r>
      <w:bookmarkEnd w:id="374"/>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lastRenderedPageBreak/>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375" w:name="_Toc191042119"/>
      <w:r>
        <w:rPr>
          <w:rStyle w:val="CharSectno"/>
        </w:rPr>
        <w:t>159</w:t>
      </w:r>
      <w:r>
        <w:t>.</w:t>
      </w:r>
      <w:r>
        <w:tab/>
        <w:t>Calculation of amount of levy payable on estimated basis (s. 247(1))</w:t>
      </w:r>
      <w:bookmarkEnd w:id="375"/>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w:t>
      </w:r>
      <w:r>
        <w:lastRenderedPageBreak/>
        <w:t xml:space="preserve">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376" w:name="_Toc191042120"/>
      <w:r>
        <w:rPr>
          <w:rStyle w:val="CharSectno"/>
        </w:rPr>
        <w:lastRenderedPageBreak/>
        <w:t>160</w:t>
      </w:r>
      <w:r>
        <w:t>.</w:t>
      </w:r>
      <w:r>
        <w:tab/>
        <w:t>Registration as taxpayer (s. 249)</w:t>
      </w:r>
      <w:bookmarkEnd w:id="376"/>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377" w:name="_Toc191042121"/>
      <w:r>
        <w:rPr>
          <w:rStyle w:val="CharSectno"/>
        </w:rPr>
        <w:t>161</w:t>
      </w:r>
      <w:r>
        <w:t>.</w:t>
      </w:r>
      <w:r>
        <w:tab/>
        <w:t>Payment of levy</w:t>
      </w:r>
      <w:bookmarkEnd w:id="377"/>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lastRenderedPageBreak/>
        <w:tab/>
        <w:t>(b)</w:t>
      </w:r>
      <w:r>
        <w:tab/>
        <w:t>an amount of levy payable by the provider must be paid by the payment method specified in the notice.</w:t>
      </w:r>
    </w:p>
    <w:p>
      <w:pPr>
        <w:pStyle w:val="Heading5"/>
      </w:pPr>
      <w:bookmarkStart w:id="378" w:name="_Toc191042122"/>
      <w:r>
        <w:rPr>
          <w:rStyle w:val="CharSectno"/>
        </w:rPr>
        <w:t>162</w:t>
      </w:r>
      <w:r>
        <w:t>.</w:t>
      </w:r>
      <w:r>
        <w:tab/>
        <w:t>Returns (s. 250)</w:t>
      </w:r>
      <w:bookmarkEnd w:id="378"/>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379" w:name="_Toc191042123"/>
      <w:r>
        <w:rPr>
          <w:rStyle w:val="CharSectno"/>
        </w:rPr>
        <w:t>163</w:t>
      </w:r>
      <w:r>
        <w:t>.</w:t>
      </w:r>
      <w:r>
        <w:tab/>
        <w:t>Records (s. 251)</w:t>
      </w:r>
      <w:bookmarkEnd w:id="379"/>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lastRenderedPageBreak/>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380" w:name="_Toc191042124"/>
      <w:r>
        <w:rPr>
          <w:rStyle w:val="CharSectno"/>
        </w:rPr>
        <w:t>164</w:t>
      </w:r>
      <w:r>
        <w:t>.</w:t>
      </w:r>
      <w:r>
        <w:tab/>
        <w:t>Records: fare information</w:t>
      </w:r>
      <w:bookmarkEnd w:id="380"/>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lastRenderedPageBreak/>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381" w:name="_Toc191042125"/>
      <w:r>
        <w:rPr>
          <w:rStyle w:val="CharSectno"/>
        </w:rPr>
        <w:t>165</w:t>
      </w:r>
      <w:r>
        <w:t>.</w:t>
      </w:r>
      <w:r>
        <w:tab/>
        <w:t>Records to be produced or provided to CEO or authorised officer</w:t>
      </w:r>
      <w:bookmarkEnd w:id="381"/>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lastRenderedPageBreak/>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382" w:name="_Toc191024407"/>
      <w:bookmarkStart w:id="383" w:name="_Toc191025602"/>
      <w:bookmarkStart w:id="384" w:name="_Toc191042126"/>
      <w:r>
        <w:t xml:space="preserve">Subdivision 3 — Modifications of </w:t>
      </w:r>
      <w:r>
        <w:rPr>
          <w:i/>
        </w:rPr>
        <w:t>Taxation Administration Act 2003</w:t>
      </w:r>
      <w:bookmarkEnd w:id="382"/>
      <w:bookmarkEnd w:id="383"/>
      <w:bookmarkEnd w:id="384"/>
    </w:p>
    <w:p>
      <w:pPr>
        <w:pStyle w:val="Heading5"/>
      </w:pPr>
      <w:bookmarkStart w:id="385" w:name="_Toc191042127"/>
      <w:r>
        <w:rPr>
          <w:rStyle w:val="CharSectno"/>
        </w:rPr>
        <w:t>166</w:t>
      </w:r>
      <w:r>
        <w:t>.</w:t>
      </w:r>
      <w:r>
        <w:tab/>
        <w:t xml:space="preserve">Modifications of </w:t>
      </w:r>
      <w:r>
        <w:rPr>
          <w:i/>
        </w:rPr>
        <w:t>Taxation Administration Act 2003</w:t>
      </w:r>
      <w:r>
        <w:t xml:space="preserve"> (s. 243(2))</w:t>
      </w:r>
      <w:bookmarkEnd w:id="385"/>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386" w:name="_Toc191042128"/>
      <w:r>
        <w:rPr>
          <w:rStyle w:val="CharSectno"/>
        </w:rPr>
        <w:t>167</w:t>
      </w:r>
      <w:r>
        <w:t>.</w:t>
      </w:r>
      <w:r>
        <w:tab/>
        <w:t>Time limits on reassessment</w:t>
      </w:r>
      <w:bookmarkEnd w:id="386"/>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387" w:name="_Toc191042129"/>
      <w:r>
        <w:rPr>
          <w:rStyle w:val="CharSectno"/>
        </w:rPr>
        <w:t>168</w:t>
      </w:r>
      <w:r>
        <w:t>.</w:t>
      </w:r>
      <w:r>
        <w:tab/>
        <w:t>Penalty tax not payable</w:t>
      </w:r>
      <w:bookmarkEnd w:id="387"/>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388" w:name="_Toc191042130"/>
      <w:r>
        <w:rPr>
          <w:rStyle w:val="CharSectno"/>
        </w:rPr>
        <w:t>169</w:t>
      </w:r>
      <w:r>
        <w:t>.</w:t>
      </w:r>
      <w:r>
        <w:tab/>
        <w:t>Records relevant to objections</w:t>
      </w:r>
      <w:bookmarkEnd w:id="388"/>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pPr>
        <w:pStyle w:val="Heading5"/>
      </w:pPr>
      <w:bookmarkStart w:id="389" w:name="_Toc191042131"/>
      <w:r>
        <w:rPr>
          <w:rStyle w:val="CharSectno"/>
        </w:rPr>
        <w:t>170</w:t>
      </w:r>
      <w:r>
        <w:t>.</w:t>
      </w:r>
      <w:r>
        <w:tab/>
        <w:t>Time for lodging objections</w:t>
      </w:r>
      <w:bookmarkEnd w:id="389"/>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390" w:name="_Toc191042132"/>
      <w:r>
        <w:rPr>
          <w:rStyle w:val="CharSectno"/>
        </w:rPr>
        <w:t>171</w:t>
      </w:r>
      <w:r>
        <w:t>.</w:t>
      </w:r>
      <w:r>
        <w:tab/>
        <w:t>Proceedings before State Administrative Tribunal</w:t>
      </w:r>
      <w:bookmarkEnd w:id="390"/>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391" w:name="_Toc191042133"/>
      <w:r>
        <w:rPr>
          <w:rStyle w:val="CharSectno"/>
        </w:rPr>
        <w:t>172</w:t>
      </w:r>
      <w:r>
        <w:t>.</w:t>
      </w:r>
      <w:r>
        <w:tab/>
        <w:t>Time limit on refund applications</w:t>
      </w:r>
      <w:bookmarkEnd w:id="391"/>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392" w:name="_Toc191042134"/>
      <w:r>
        <w:rPr>
          <w:rStyle w:val="CharSectno"/>
        </w:rPr>
        <w:lastRenderedPageBreak/>
        <w:t>173</w:t>
      </w:r>
      <w:r>
        <w:t>.</w:t>
      </w:r>
      <w:r>
        <w:tab/>
        <w:t>Proceedings for an offence</w:t>
      </w:r>
      <w:bookmarkEnd w:id="392"/>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393" w:name="_Toc191042135"/>
      <w:r>
        <w:rPr>
          <w:rStyle w:val="CharSectno"/>
        </w:rPr>
        <w:t>174</w:t>
      </w:r>
      <w:r>
        <w:t>.</w:t>
      </w:r>
      <w:r>
        <w:tab/>
        <w:t>Service</w:t>
      </w:r>
      <w:bookmarkEnd w:id="393"/>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394" w:name="_Toc191024417"/>
      <w:bookmarkStart w:id="395" w:name="_Toc191025612"/>
      <w:bookmarkStart w:id="396" w:name="_Toc191042136"/>
      <w:r>
        <w:rPr>
          <w:rStyle w:val="CharDivNo"/>
        </w:rPr>
        <w:t>Division 3</w:t>
      </w:r>
      <w:r>
        <w:t> — </w:t>
      </w:r>
      <w:r>
        <w:rPr>
          <w:rStyle w:val="CharDivText"/>
        </w:rPr>
        <w:t>Adjustment assistance grants</w:t>
      </w:r>
      <w:bookmarkEnd w:id="394"/>
      <w:bookmarkEnd w:id="395"/>
      <w:bookmarkEnd w:id="396"/>
    </w:p>
    <w:p>
      <w:pPr>
        <w:pStyle w:val="Heading5"/>
      </w:pPr>
      <w:bookmarkStart w:id="397" w:name="_Toc191042137"/>
      <w:r>
        <w:rPr>
          <w:rStyle w:val="CharSectno"/>
        </w:rPr>
        <w:t>175</w:t>
      </w:r>
      <w:r>
        <w:t>.</w:t>
      </w:r>
      <w:r>
        <w:tab/>
        <w:t>Prescribed day for adjustment assistance grant applications (s. 259(2))</w:t>
      </w:r>
      <w:bookmarkEnd w:id="397"/>
    </w:p>
    <w:p>
      <w:pPr>
        <w:pStyle w:val="Subsection"/>
      </w:pPr>
      <w:r>
        <w:tab/>
      </w:r>
      <w:r>
        <w:tab/>
        <w:t>For the purposes of section 259(2) of the Act, the prescribed day is 31 March 2019.</w:t>
      </w:r>
    </w:p>
    <w:p>
      <w:pPr>
        <w:pStyle w:val="Heading2"/>
      </w:pPr>
      <w:bookmarkStart w:id="398" w:name="_Toc191024419"/>
      <w:bookmarkStart w:id="399" w:name="_Toc191025614"/>
      <w:bookmarkStart w:id="400" w:name="_Toc191042138"/>
      <w:r>
        <w:rPr>
          <w:rStyle w:val="CharPartNo"/>
        </w:rPr>
        <w:lastRenderedPageBreak/>
        <w:t>Part 12</w:t>
      </w:r>
      <w:r>
        <w:rPr>
          <w:rStyle w:val="CharDivNo"/>
        </w:rPr>
        <w:t> </w:t>
      </w:r>
      <w:r>
        <w:t>—</w:t>
      </w:r>
      <w:r>
        <w:rPr>
          <w:rStyle w:val="CharDivText"/>
        </w:rPr>
        <w:t> </w:t>
      </w:r>
      <w:r>
        <w:rPr>
          <w:rStyle w:val="CharPartText"/>
        </w:rPr>
        <w:t>Miscellaneous</w:t>
      </w:r>
      <w:bookmarkEnd w:id="398"/>
      <w:bookmarkEnd w:id="399"/>
      <w:bookmarkEnd w:id="400"/>
    </w:p>
    <w:p>
      <w:pPr>
        <w:pStyle w:val="Heading5"/>
      </w:pPr>
      <w:bookmarkStart w:id="401" w:name="_Toc191042139"/>
      <w:r>
        <w:rPr>
          <w:rStyle w:val="CharSectno"/>
        </w:rPr>
        <w:t>176</w:t>
      </w:r>
      <w:r>
        <w:t>.</w:t>
      </w:r>
      <w:r>
        <w:tab/>
        <w:t>Review of decisions (s. 262)</w:t>
      </w:r>
      <w:bookmarkEnd w:id="401"/>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402" w:name="_Toc191042140"/>
      <w:r>
        <w:rPr>
          <w:rStyle w:val="CharSectno"/>
        </w:rPr>
        <w:t>177</w:t>
      </w:r>
      <w:r>
        <w:t>.</w:t>
      </w:r>
      <w:r>
        <w:tab/>
        <w:t>Fees</w:t>
      </w:r>
      <w:bookmarkEnd w:id="402"/>
    </w:p>
    <w:p>
      <w:pPr>
        <w:pStyle w:val="Subsection"/>
      </w:pPr>
      <w:r>
        <w:tab/>
        <w:t>(1)</w:t>
      </w:r>
      <w:r>
        <w:tab/>
        <w:t>The fees set out in Schedule 1 Division 1 are payable in relation to the matters referred to in that Division.</w:t>
      </w:r>
    </w:p>
    <w:p>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403" w:name="_Toc191042141"/>
      <w:r>
        <w:rPr>
          <w:rStyle w:val="CharSectno"/>
        </w:rPr>
        <w:t>178</w:t>
      </w:r>
      <w:r>
        <w:t>.</w:t>
      </w:r>
      <w:r>
        <w:tab/>
        <w:t>Waiver of fees</w:t>
      </w:r>
      <w:bookmarkEnd w:id="403"/>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404" w:name="_Toc191042142"/>
      <w:r>
        <w:rPr>
          <w:rStyle w:val="CharSectno"/>
        </w:rPr>
        <w:t>179</w:t>
      </w:r>
      <w:r>
        <w:t>.</w:t>
      </w:r>
      <w:r>
        <w:tab/>
        <w:t>Exemption of providers of school bus services and vehicles</w:t>
      </w:r>
      <w:bookmarkEnd w:id="404"/>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405" w:name="_Toc191042143"/>
      <w:r>
        <w:rPr>
          <w:rStyle w:val="CharSectno"/>
        </w:rPr>
        <w:t>180</w:t>
      </w:r>
      <w:r>
        <w:t>.</w:t>
      </w:r>
      <w:r>
        <w:tab/>
        <w:t>CEO or authorised officer may require documents to be produced or provided</w:t>
      </w:r>
      <w:bookmarkEnd w:id="405"/>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lastRenderedPageBreak/>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lastRenderedPageBreak/>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406" w:name="_Toc191024425"/>
      <w:bookmarkStart w:id="407" w:name="_Toc191025620"/>
      <w:bookmarkStart w:id="408" w:name="_Toc191042144"/>
      <w:r>
        <w:rPr>
          <w:rStyle w:val="CharPartNo"/>
        </w:rPr>
        <w:lastRenderedPageBreak/>
        <w:t>Part 13</w:t>
      </w:r>
      <w:r>
        <w:t> — </w:t>
      </w:r>
      <w:r>
        <w:rPr>
          <w:rStyle w:val="CharPartText"/>
        </w:rPr>
        <w:t>Transitional provisions</w:t>
      </w:r>
      <w:bookmarkEnd w:id="406"/>
      <w:bookmarkEnd w:id="407"/>
      <w:bookmarkEnd w:id="408"/>
    </w:p>
    <w:p>
      <w:pPr>
        <w:pStyle w:val="Heading3"/>
      </w:pPr>
      <w:bookmarkStart w:id="409" w:name="_Toc191024426"/>
      <w:bookmarkStart w:id="410" w:name="_Toc191025621"/>
      <w:bookmarkStart w:id="411" w:name="_Toc191042145"/>
      <w:r>
        <w:rPr>
          <w:rStyle w:val="CharDivNo"/>
        </w:rPr>
        <w:t>Division 1</w:t>
      </w:r>
      <w:r>
        <w:t> — </w:t>
      </w:r>
      <w:r>
        <w:rPr>
          <w:rStyle w:val="CharDivText"/>
        </w:rPr>
        <w:t>General matters</w:t>
      </w:r>
      <w:bookmarkEnd w:id="409"/>
      <w:bookmarkEnd w:id="410"/>
      <w:bookmarkEnd w:id="411"/>
    </w:p>
    <w:p>
      <w:pPr>
        <w:pStyle w:val="Heading5"/>
      </w:pPr>
      <w:bookmarkStart w:id="412" w:name="_Toc191042146"/>
      <w:r>
        <w:rPr>
          <w:rStyle w:val="CharSectno"/>
        </w:rPr>
        <w:t>181</w:t>
      </w:r>
      <w:r>
        <w:t>.</w:t>
      </w:r>
      <w:r>
        <w:tab/>
        <w:t>Disclosure of information about drivers’ licences (s. 293(2))</w:t>
      </w:r>
      <w:bookmarkEnd w:id="412"/>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413" w:name="_Toc191042147"/>
      <w:r>
        <w:rPr>
          <w:rStyle w:val="CharSectno"/>
        </w:rPr>
        <w:t>182</w:t>
      </w:r>
      <w:r>
        <w:t>.</w:t>
      </w:r>
      <w:r>
        <w:tab/>
        <w:t>Camera surveillance units installed before 2 July 2019</w:t>
      </w:r>
      <w:bookmarkEnd w:id="413"/>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414" w:name="_Toc191042148"/>
      <w:r>
        <w:rPr>
          <w:rStyle w:val="CharSectno"/>
        </w:rPr>
        <w:lastRenderedPageBreak/>
        <w:t>183</w:t>
      </w:r>
      <w:r>
        <w:t>.</w:t>
      </w:r>
      <w:r>
        <w:tab/>
        <w:t>Camera surveillance units in on</w:t>
      </w:r>
      <w:r>
        <w:noBreakHyphen/>
        <w:t>demand rank or hail vehicles in regional areas</w:t>
      </w:r>
      <w:bookmarkEnd w:id="414"/>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415" w:name="_Toc191042149"/>
      <w:r>
        <w:rPr>
          <w:rStyle w:val="CharSectno"/>
        </w:rPr>
        <w:t>184</w:t>
      </w:r>
      <w:r>
        <w:t>.</w:t>
      </w:r>
      <w:r>
        <w:tab/>
        <w:t>Prescribed transition period for ‘F’ or ‘T’ endorsed driver’s licence (s. 294)</w:t>
      </w:r>
      <w:bookmarkEnd w:id="415"/>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lastRenderedPageBreak/>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416" w:name="_Toc191042150"/>
      <w:r>
        <w:rPr>
          <w:rStyle w:val="CharSectno"/>
        </w:rPr>
        <w:t>185</w:t>
      </w:r>
      <w:r>
        <w:t>.</w:t>
      </w:r>
      <w:r>
        <w:tab/>
        <w:t>Provisions for drivers authorised to drive under s. 294 or interstate driver authorisation</w:t>
      </w:r>
      <w:bookmarkEnd w:id="416"/>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417" w:name="_Toc191042151"/>
      <w:r>
        <w:rPr>
          <w:rStyle w:val="CharSectno"/>
        </w:rPr>
        <w:t>186</w:t>
      </w:r>
      <w:r>
        <w:t>.</w:t>
      </w:r>
      <w:r>
        <w:tab/>
        <w:t>Provisions for s. 295 of the Act</w:t>
      </w:r>
      <w:bookmarkEnd w:id="417"/>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pPr>
        <w:pStyle w:val="Heading5"/>
      </w:pPr>
      <w:bookmarkStart w:id="418" w:name="_Toc191042152"/>
      <w:r>
        <w:rPr>
          <w:rStyle w:val="CharSectno"/>
        </w:rPr>
        <w:t>187</w:t>
      </w:r>
      <w:r>
        <w:t>.</w:t>
      </w:r>
      <w:r>
        <w:tab/>
        <w:t>Provisions for s. 296 of the Act</w:t>
      </w:r>
      <w:bookmarkEnd w:id="418"/>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419" w:name="_Toc191042153"/>
      <w:r>
        <w:rPr>
          <w:rStyle w:val="CharSectno"/>
        </w:rPr>
        <w:t>188</w:t>
      </w:r>
      <w:r>
        <w:t>.</w:t>
      </w:r>
      <w:r>
        <w:tab/>
        <w:t>Medical reports</w:t>
      </w:r>
      <w:bookmarkEnd w:id="419"/>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pPr>
        <w:pStyle w:val="Heading3"/>
      </w:pPr>
      <w:bookmarkStart w:id="420" w:name="_Toc191024435"/>
      <w:bookmarkStart w:id="421" w:name="_Toc191025630"/>
      <w:bookmarkStart w:id="422" w:name="_Toc191042154"/>
      <w:r>
        <w:rPr>
          <w:rStyle w:val="CharDivNo"/>
        </w:rPr>
        <w:t>Division 2</w:t>
      </w:r>
      <w:r>
        <w:t> — </w:t>
      </w:r>
      <w:r>
        <w:rPr>
          <w:rStyle w:val="CharDivText"/>
        </w:rPr>
        <w:t>Number plates</w:t>
      </w:r>
      <w:bookmarkEnd w:id="420"/>
      <w:bookmarkEnd w:id="421"/>
      <w:bookmarkEnd w:id="422"/>
    </w:p>
    <w:p>
      <w:pPr>
        <w:pStyle w:val="Heading5"/>
      </w:pPr>
      <w:bookmarkStart w:id="423" w:name="_Toc191042155"/>
      <w:r>
        <w:rPr>
          <w:rStyle w:val="CharSectno"/>
        </w:rPr>
        <w:t>189</w:t>
      </w:r>
      <w:r>
        <w:t>.</w:t>
      </w:r>
      <w:r>
        <w:tab/>
        <w:t>Term used: commencement day</w:t>
      </w:r>
      <w:bookmarkEnd w:id="423"/>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424" w:name="_Toc191042156"/>
      <w:r>
        <w:rPr>
          <w:rStyle w:val="CharSectno"/>
        </w:rPr>
        <w:t>190</w:t>
      </w:r>
      <w:r>
        <w:t>.</w:t>
      </w:r>
      <w:r>
        <w:tab/>
        <w:t>Existing attached taxi plates for taxis may continue to be used</w:t>
      </w:r>
      <w:bookmarkEnd w:id="424"/>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425" w:name="_Toc191042157"/>
      <w:r>
        <w:rPr>
          <w:rStyle w:val="CharSectno"/>
        </w:rPr>
        <w:t>191</w:t>
      </w:r>
      <w:r>
        <w:t>.</w:t>
      </w:r>
      <w:r>
        <w:tab/>
        <w:t>Existing attached number plates for country taxi</w:t>
      </w:r>
      <w:r>
        <w:noBreakHyphen/>
        <w:t>cars may continue to be used</w:t>
      </w:r>
      <w:bookmarkEnd w:id="425"/>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426" w:name="_Toc191042158"/>
      <w:r>
        <w:rPr>
          <w:rStyle w:val="CharSectno"/>
        </w:rPr>
        <w:t>192</w:t>
      </w:r>
      <w:r>
        <w:t>.</w:t>
      </w:r>
      <w:r>
        <w:tab/>
        <w:t>Omnibus number plates</w:t>
      </w:r>
      <w:bookmarkEnd w:id="426"/>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lastRenderedPageBreak/>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427" w:name="_Toc191042159"/>
      <w:r>
        <w:rPr>
          <w:rStyle w:val="CharSectno"/>
        </w:rPr>
        <w:t>193</w:t>
      </w:r>
      <w:r>
        <w:t>.</w:t>
      </w:r>
      <w:r>
        <w:tab/>
        <w:t>Owned taxi plates that were attached and were not the subject of the buyback scheme</w:t>
      </w:r>
      <w:bookmarkEnd w:id="427"/>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lastRenderedPageBreak/>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28" w:name="_Toc191042160"/>
      <w:r>
        <w:rPr>
          <w:rStyle w:val="CharSectno"/>
        </w:rPr>
        <w:t>194</w:t>
      </w:r>
      <w:r>
        <w:t>.</w:t>
      </w:r>
      <w:r>
        <w:tab/>
        <w:t>Leased taxi plates that were attached</w:t>
      </w:r>
      <w:bookmarkEnd w:id="428"/>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lastRenderedPageBreak/>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29" w:name="_Toc191042161"/>
      <w:r>
        <w:rPr>
          <w:rStyle w:val="CharSectno"/>
        </w:rPr>
        <w:t>195</w:t>
      </w:r>
      <w:r>
        <w:t>.</w:t>
      </w:r>
      <w:r>
        <w:tab/>
        <w:t>Return of number plates that were not attached to a vehicle</w:t>
      </w:r>
      <w:bookmarkEnd w:id="429"/>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lastRenderedPageBreak/>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430" w:name="_Toc191042162"/>
      <w:r>
        <w:rPr>
          <w:rStyle w:val="CharSectno"/>
        </w:rPr>
        <w:t>196</w:t>
      </w:r>
      <w:r>
        <w:t>.</w:t>
      </w:r>
      <w:r>
        <w:tab/>
        <w:t>Seizure of number plates</w:t>
      </w:r>
      <w:bookmarkEnd w:id="430"/>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431" w:name="_Toc191024444"/>
      <w:bookmarkStart w:id="432" w:name="_Toc191025639"/>
      <w:bookmarkStart w:id="433" w:name="_Toc191042163"/>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431"/>
      <w:bookmarkEnd w:id="432"/>
      <w:bookmarkEnd w:id="433"/>
    </w:p>
    <w:p>
      <w:pPr>
        <w:pStyle w:val="Heading5"/>
      </w:pPr>
      <w:bookmarkStart w:id="434" w:name="_Toc191042164"/>
      <w:r>
        <w:rPr>
          <w:rStyle w:val="CharSectno"/>
        </w:rPr>
        <w:t>197</w:t>
      </w:r>
      <w:r>
        <w:t>.</w:t>
      </w:r>
      <w:r>
        <w:tab/>
        <w:t>Things done for 2019 regulations continue for these regulations</w:t>
      </w:r>
      <w:bookmarkEnd w:id="434"/>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435" w:name="_Toc191042165"/>
      <w:r>
        <w:rPr>
          <w:rStyle w:val="CharSectno"/>
        </w:rPr>
        <w:t>198</w:t>
      </w:r>
      <w:r>
        <w:t>.</w:t>
      </w:r>
      <w:r>
        <w:tab/>
        <w:t>Review of decisions under 2019 regulations</w:t>
      </w:r>
      <w:bookmarkEnd w:id="435"/>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436" w:name="_Toc191042166"/>
      <w:r>
        <w:rPr>
          <w:rStyle w:val="CharSectno"/>
        </w:rPr>
        <w:t>199</w:t>
      </w:r>
      <w:r>
        <w:t>.</w:t>
      </w:r>
      <w:r>
        <w:tab/>
        <w:t>Provisions relating to disqualification periods under 2019 regulations</w:t>
      </w:r>
      <w:bookmarkEnd w:id="436"/>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437" w:name="_Toc191042167"/>
      <w:r>
        <w:rPr>
          <w:rStyle w:val="CharSectno"/>
        </w:rPr>
        <w:t>200</w:t>
      </w:r>
      <w:r>
        <w:t>.</w:t>
      </w:r>
      <w:r>
        <w:tab/>
        <w:t>Provisions relating to association arrangements</w:t>
      </w:r>
      <w:bookmarkEnd w:id="437"/>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lastRenderedPageBreak/>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3"/>
      </w:pPr>
      <w:bookmarkStart w:id="438" w:name="_Toc191024449"/>
      <w:bookmarkStart w:id="439" w:name="_Toc191025644"/>
      <w:bookmarkStart w:id="440" w:name="_Toc191042168"/>
      <w:r>
        <w:rPr>
          <w:rStyle w:val="CharDivNo"/>
        </w:rPr>
        <w:t>Division 4</w:t>
      </w:r>
      <w:r>
        <w:t> — </w:t>
      </w:r>
      <w:r>
        <w:rPr>
          <w:rStyle w:val="CharDivText"/>
        </w:rPr>
        <w:t xml:space="preserve">Transitional provision in relation to the </w:t>
      </w:r>
      <w:r>
        <w:rPr>
          <w:rStyle w:val="CharDivText"/>
          <w:i/>
          <w:iCs/>
        </w:rPr>
        <w:t>Transport (Road Passenger Services) Amendment Regulations (No. 2) 2024</w:t>
      </w:r>
      <w:bookmarkEnd w:id="438"/>
      <w:bookmarkEnd w:id="439"/>
      <w:bookmarkEnd w:id="440"/>
    </w:p>
    <w:p>
      <w:pPr>
        <w:pStyle w:val="Footnoteheading"/>
      </w:pPr>
      <w:r>
        <w:tab/>
        <w:t>[Heading inserted: SL 2024/286 r. 17.]</w:t>
      </w:r>
    </w:p>
    <w:p>
      <w:pPr>
        <w:pStyle w:val="Heading5"/>
      </w:pPr>
      <w:bookmarkStart w:id="441" w:name="_Toc191042169"/>
      <w:r>
        <w:rPr>
          <w:rStyle w:val="CharSectno"/>
        </w:rPr>
        <w:t>200A</w:t>
      </w:r>
      <w:r>
        <w:t>.</w:t>
      </w:r>
      <w:r>
        <w:tab/>
        <w:t>Display of fare schedules</w:t>
      </w:r>
      <w:bookmarkEnd w:id="441"/>
    </w:p>
    <w:p>
      <w:pPr>
        <w:pStyle w:val="Subsection"/>
      </w:pPr>
      <w:r>
        <w:tab/>
        <w:t>(1)</w:t>
      </w:r>
      <w:r>
        <w:tab/>
        <w:t>In this regulation —</w:t>
      </w:r>
    </w:p>
    <w:p>
      <w:pPr>
        <w:pStyle w:val="Defstart"/>
      </w:pPr>
      <w:r>
        <w:tab/>
      </w:r>
      <w:r>
        <w:rPr>
          <w:rStyle w:val="CharDefText"/>
        </w:rPr>
        <w:t>approved form</w:t>
      </w:r>
      <w:r>
        <w:t xml:space="preserve"> means a form approved for the purposes of regulation 118(2)(a);</w:t>
      </w:r>
    </w:p>
    <w:p>
      <w:pPr>
        <w:pStyle w:val="Defstart"/>
        <w:rPr>
          <w:iCs/>
        </w:rPr>
      </w:pPr>
      <w:r>
        <w:tab/>
      </w:r>
      <w:r>
        <w:rPr>
          <w:rStyle w:val="CharDefText"/>
        </w:rPr>
        <w:t>commencement day</w:t>
      </w:r>
      <w:r>
        <w:t xml:space="preserve"> means the day on which the </w:t>
      </w:r>
      <w:r>
        <w:rPr>
          <w:i/>
        </w:rPr>
        <w:t>Transport (Road Passenger Services) Amendment Regulations (No. 2) 2024</w:t>
      </w:r>
      <w:r>
        <w:rPr>
          <w:iCs/>
        </w:rPr>
        <w:t xml:space="preserve"> regulation 18 comes into operation;</w:t>
      </w:r>
    </w:p>
    <w:p>
      <w:pPr>
        <w:pStyle w:val="Defstart"/>
      </w:pPr>
      <w:r>
        <w:tab/>
      </w:r>
      <w:r>
        <w:rPr>
          <w:rStyle w:val="CharDefText"/>
        </w:rPr>
        <w:t>former Schedule 4</w:t>
      </w:r>
      <w:r>
        <w:t xml:space="preserve"> means Schedule 4 as in operation immediately before commencement day.</w:t>
      </w:r>
    </w:p>
    <w:p>
      <w:pPr>
        <w:pStyle w:val="Subsection"/>
      </w:pPr>
      <w:r>
        <w:tab/>
        <w:t>(2)</w:t>
      </w:r>
      <w:r>
        <w:tab/>
        <w:t xml:space="preserve">A relevant person who ensures that a fare schedule in an approved form that is in force immediately before commencement day is displayed does not commit an offence under regulation 118(1) solely because the fare schedule is in that form and — </w:t>
      </w:r>
    </w:p>
    <w:p>
      <w:pPr>
        <w:pStyle w:val="Indenta"/>
      </w:pPr>
      <w:r>
        <w:tab/>
        <w:t>(a)</w:t>
      </w:r>
      <w:r>
        <w:tab/>
        <w:t>describes the booking fee as a call out fee; or</w:t>
      </w:r>
    </w:p>
    <w:p>
      <w:pPr>
        <w:pStyle w:val="Indenta"/>
      </w:pPr>
      <w:r>
        <w:tab/>
        <w:t>(b)</w:t>
      </w:r>
      <w:r>
        <w:tab/>
        <w:t>states a guaranteed booking fee under former Schedule 4.</w:t>
      </w:r>
    </w:p>
    <w:p>
      <w:pPr>
        <w:pStyle w:val="Subsection"/>
      </w:pPr>
      <w:r>
        <w:tab/>
        <w:t>(3)</w:t>
      </w:r>
      <w:r>
        <w:tab/>
        <w:t>This regulation ceases to have effect at the end of the period of 12 months beginning on commencement day.</w:t>
      </w:r>
    </w:p>
    <w:p>
      <w:pPr>
        <w:pStyle w:val="Footnotesection"/>
      </w:pPr>
      <w:r>
        <w:tab/>
        <w:t>[Regulation 200A inserted: SL 2024/286 r. 17.]</w:t>
      </w:r>
    </w:p>
    <w:p>
      <w:pPr>
        <w:pStyle w:val="Heading2"/>
        <w:rPr>
          <w:rStyle w:val="CharDivText"/>
        </w:rPr>
      </w:pPr>
      <w:bookmarkStart w:id="442" w:name="_Toc191024451"/>
      <w:bookmarkStart w:id="443" w:name="_Toc191025646"/>
      <w:bookmarkStart w:id="444" w:name="_Toc191042170"/>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442"/>
      <w:bookmarkEnd w:id="443"/>
      <w:bookmarkEnd w:id="444"/>
    </w:p>
    <w:p>
      <w:pPr>
        <w:pStyle w:val="Heading5"/>
      </w:pPr>
      <w:bookmarkStart w:id="445" w:name="_Toc191042171"/>
      <w:r>
        <w:rPr>
          <w:rStyle w:val="CharSectno"/>
        </w:rPr>
        <w:t>201</w:t>
      </w:r>
      <w:r>
        <w:t>.</w:t>
      </w:r>
      <w:r>
        <w:tab/>
      </w:r>
      <w:r>
        <w:rPr>
          <w:i/>
        </w:rPr>
        <w:t>Transport (Road Passenger Services) Regulations 2019</w:t>
      </w:r>
      <w:r>
        <w:t xml:space="preserve"> repealed</w:t>
      </w:r>
      <w:bookmarkEnd w:id="445"/>
    </w:p>
    <w:p>
      <w:pPr>
        <w:pStyle w:val="Subsection"/>
      </w:pPr>
      <w:r>
        <w:tab/>
      </w:r>
      <w:r>
        <w:tab/>
        <w:t xml:space="preserve">The </w:t>
      </w:r>
      <w:r>
        <w:rPr>
          <w:i/>
        </w:rPr>
        <w:t>Transport (Road Passenger Services) Regulations 2019</w:t>
      </w:r>
      <w:r>
        <w:t xml:space="preserve"> are repealed.</w:t>
      </w:r>
    </w:p>
    <w:p>
      <w:pPr>
        <w:pStyle w:val="Heading2"/>
      </w:pPr>
      <w:bookmarkStart w:id="446" w:name="_Toc191024453"/>
      <w:bookmarkStart w:id="447" w:name="_Toc191025648"/>
      <w:bookmarkStart w:id="448" w:name="_Toc191042172"/>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446"/>
      <w:bookmarkEnd w:id="447"/>
      <w:bookmarkEnd w:id="448"/>
    </w:p>
    <w:p>
      <w:pPr>
        <w:pStyle w:val="Heading5"/>
      </w:pPr>
      <w:bookmarkStart w:id="449" w:name="_Toc191042173"/>
      <w:r>
        <w:rPr>
          <w:rStyle w:val="CharSectno"/>
        </w:rPr>
        <w:t>202</w:t>
      </w:r>
      <w:r>
        <w:t>.</w:t>
      </w:r>
      <w:r>
        <w:tab/>
        <w:t>Regulations amended</w:t>
      </w:r>
      <w:bookmarkEnd w:id="449"/>
    </w:p>
    <w:p>
      <w:pPr>
        <w:pStyle w:val="Subsection"/>
      </w:pPr>
      <w:r>
        <w:tab/>
      </w:r>
      <w:r>
        <w:tab/>
        <w:t xml:space="preserve">This Part amends the </w:t>
      </w:r>
      <w:r>
        <w:rPr>
          <w:i/>
        </w:rPr>
        <w:t>Transport Regulations Amendment (Road Passenger Services) Regulations (No. 2) 2019</w:t>
      </w:r>
      <w:r>
        <w:t>.</w:t>
      </w:r>
    </w:p>
    <w:p>
      <w:pPr>
        <w:pStyle w:val="Heading5"/>
      </w:pPr>
      <w:bookmarkStart w:id="450" w:name="_Toc191042174"/>
      <w:r>
        <w:rPr>
          <w:rStyle w:val="CharSectno"/>
        </w:rPr>
        <w:t>203</w:t>
      </w:r>
      <w:r>
        <w:t>.</w:t>
      </w:r>
      <w:r>
        <w:tab/>
        <w:t>Regulation 2 amended</w:t>
      </w:r>
      <w:bookmarkEnd w:id="450"/>
    </w:p>
    <w:p>
      <w:pPr>
        <w:pStyle w:val="Subsection"/>
      </w:pPr>
      <w:r>
        <w:tab/>
      </w:r>
      <w:r>
        <w:tab/>
        <w:t>Delete regulation 2(c).</w:t>
      </w:r>
    </w:p>
    <w:p>
      <w:pPr>
        <w:pStyle w:val="Heading5"/>
      </w:pPr>
      <w:bookmarkStart w:id="451" w:name="_Toc191042175"/>
      <w:r>
        <w:rPr>
          <w:rStyle w:val="CharSectno"/>
        </w:rPr>
        <w:t>204</w:t>
      </w:r>
      <w:r>
        <w:t>.</w:t>
      </w:r>
      <w:r>
        <w:tab/>
        <w:t>Part 5 Division 4 deleted</w:t>
      </w:r>
      <w:bookmarkEnd w:id="451"/>
    </w:p>
    <w:p>
      <w:pPr>
        <w:pStyle w:val="Subsection"/>
      </w:pPr>
      <w:r>
        <w:tab/>
      </w:r>
      <w:r>
        <w:tab/>
        <w:t>Delete Part 5 Division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52" w:name="_Toc191024457"/>
      <w:bookmarkStart w:id="453" w:name="_Toc191025652"/>
      <w:bookmarkStart w:id="454" w:name="_Toc191042176"/>
      <w:r>
        <w:rPr>
          <w:rStyle w:val="CharSchNo"/>
        </w:rPr>
        <w:lastRenderedPageBreak/>
        <w:t>Schedule 1</w:t>
      </w:r>
      <w:r>
        <w:t> — </w:t>
      </w:r>
      <w:r>
        <w:rPr>
          <w:rStyle w:val="CharSchText"/>
        </w:rPr>
        <w:t>Fees</w:t>
      </w:r>
      <w:bookmarkEnd w:id="452"/>
      <w:bookmarkEnd w:id="453"/>
      <w:bookmarkEnd w:id="454"/>
    </w:p>
    <w:p>
      <w:pPr>
        <w:pStyle w:val="yShoulderClause"/>
      </w:pPr>
      <w:r>
        <w:t>[r. 177]</w:t>
      </w:r>
    </w:p>
    <w:p>
      <w:pPr>
        <w:pStyle w:val="yFootnoteheading"/>
      </w:pPr>
      <w:r>
        <w:tab/>
        <w:t>[Heading inserted: SL 2023/45 r. 45.]</w:t>
      </w:r>
    </w:p>
    <w:p>
      <w:pPr>
        <w:pStyle w:val="yHeading3"/>
      </w:pPr>
      <w:bookmarkStart w:id="455" w:name="_Toc191024458"/>
      <w:bookmarkStart w:id="456" w:name="_Toc191025653"/>
      <w:bookmarkStart w:id="457" w:name="_Toc191042177"/>
      <w:r>
        <w:rPr>
          <w:rStyle w:val="CharSDivNo"/>
        </w:rPr>
        <w:t>Division 1</w:t>
      </w:r>
      <w:r>
        <w:t> — </w:t>
      </w:r>
      <w:r>
        <w:rPr>
          <w:rStyle w:val="CharSDivText"/>
        </w:rPr>
        <w:t>Fees: general</w:t>
      </w:r>
      <w:bookmarkEnd w:id="455"/>
      <w:bookmarkEnd w:id="456"/>
      <w:bookmarkEnd w:id="457"/>
    </w:p>
    <w:p>
      <w:pPr>
        <w:pStyle w:val="yFootnoteheading"/>
      </w:pPr>
      <w:r>
        <w:tab/>
        <w:t>[Heading inserted: SL 2024/58 r. 25.]</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zyTableNAm"/>
            </w:pPr>
          </w:p>
        </w:tc>
        <w:tc>
          <w:tcPr>
            <w:tcW w:w="4111" w:type="dxa"/>
            <w:noWrap/>
          </w:tcPr>
          <w:p>
            <w:pPr>
              <w:pStyle w:val="yTableNAm"/>
            </w:pPr>
            <w:r>
              <w:rPr>
                <w:b/>
              </w:rPr>
              <w:t>Description of fee</w:t>
            </w:r>
          </w:p>
        </w:tc>
        <w:tc>
          <w:tcPr>
            <w:tcW w:w="1559" w:type="dxa"/>
            <w:noWrap/>
          </w:tcPr>
          <w:p>
            <w:pPr>
              <w:pStyle w:val="yTableNAm"/>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pPr>
            <w:r>
              <w:t>$25.40</w:t>
            </w:r>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pPr>
            <w:r>
              <w:t>$159.40</w:t>
            </w:r>
          </w:p>
        </w:tc>
      </w:tr>
      <w:tr>
        <w:tc>
          <w:tcPr>
            <w:tcW w:w="879" w:type="dxa"/>
            <w:noWrap/>
          </w:tcPr>
          <w:p>
            <w:pPr>
              <w:pStyle w:val="yTableNAm"/>
            </w:pPr>
            <w:r>
              <w:lastRenderedPageBreak/>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pPr>
            <w:r>
              <w:t>$98.00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pPr>
            <w:r>
              <w:t>$33.70</w:t>
            </w:r>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pPr>
            <w:r>
              <w:t>$39.60</w:t>
            </w:r>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b w:val="0"/>
                <w:i w:val="0"/>
                <w:sz w:val="22"/>
              </w:rPr>
            </w:pPr>
            <w:r>
              <w:t>Fee for providing copy of authorisation document for passenger transport authorisation</w:t>
            </w:r>
          </w:p>
        </w:tc>
        <w:tc>
          <w:tcPr>
            <w:tcW w:w="1559" w:type="dxa"/>
            <w:noWrap/>
            <w:vAlign w:val="bottom"/>
          </w:tcPr>
          <w:p>
            <w:pPr>
              <w:pStyle w:val="yTableNAm"/>
            </w:pPr>
            <w:r>
              <w:t>$12.40</w:t>
            </w:r>
          </w:p>
        </w:tc>
      </w:tr>
      <w:tr>
        <w:tc>
          <w:tcPr>
            <w:tcW w:w="879" w:type="dxa"/>
            <w:noWrap/>
          </w:tcPr>
          <w:p>
            <w:pPr>
              <w:pStyle w:val="yTableNAm"/>
            </w:pPr>
            <w:r>
              <w:lastRenderedPageBreak/>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pPr>
            <w:r>
              <w:t>$20.70</w:t>
            </w:r>
          </w:p>
        </w:tc>
      </w:tr>
    </w:tbl>
    <w:p>
      <w:pPr>
        <w:pStyle w:val="yFootnotesection"/>
      </w:pPr>
      <w:r>
        <w:tab/>
        <w:t>[Division 1 inserted: SL 2024/58 r. 25.]</w:t>
      </w:r>
    </w:p>
    <w:p>
      <w:pPr>
        <w:pStyle w:val="yHeading3"/>
      </w:pPr>
      <w:bookmarkStart w:id="458" w:name="_Toc191024459"/>
      <w:bookmarkStart w:id="459" w:name="_Toc191025654"/>
      <w:bookmarkStart w:id="460" w:name="_Toc191042178"/>
      <w:r>
        <w:rPr>
          <w:rStyle w:val="CharSDivNo"/>
        </w:rPr>
        <w:t>Division 2</w:t>
      </w:r>
      <w:r>
        <w:t> — </w:t>
      </w:r>
      <w:r>
        <w:rPr>
          <w:rStyle w:val="CharSDivText"/>
        </w:rPr>
        <w:t>Authorisation fees for on</w:t>
      </w:r>
      <w:r>
        <w:rPr>
          <w:rStyle w:val="CharSDivText"/>
        </w:rPr>
        <w:noBreakHyphen/>
        <w:t>demand booking service authorisations</w:t>
      </w:r>
      <w:bookmarkEnd w:id="458"/>
      <w:bookmarkEnd w:id="459"/>
      <w:bookmarkEnd w:id="460"/>
    </w:p>
    <w:p>
      <w:pPr>
        <w:pStyle w:val="yFootnoteheading"/>
      </w:pPr>
      <w:r>
        <w:tab/>
        <w:t>[Heading inserted: SL 2024/58 r. 25.]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pPr>
            <w:r>
              <w:rPr>
                <w:b/>
              </w:rPr>
              <w:t>Number of vehicles to be covered by the authorisation</w:t>
            </w:r>
          </w:p>
        </w:tc>
        <w:tc>
          <w:tcPr>
            <w:tcW w:w="3402" w:type="dxa"/>
            <w:noWrap/>
          </w:tcPr>
          <w:p>
            <w:pPr>
              <w:pStyle w:val="yTableNAm"/>
            </w:pPr>
            <w:r>
              <w:rPr>
                <w:b/>
              </w:rPr>
              <w:t>Fee</w:t>
            </w:r>
          </w:p>
        </w:tc>
      </w:tr>
      <w:tr>
        <w:trPr>
          <w:cantSplit/>
        </w:trPr>
        <w:tc>
          <w:tcPr>
            <w:tcW w:w="3402" w:type="dxa"/>
            <w:noWrap/>
          </w:tcPr>
          <w:p>
            <w:pPr>
              <w:pStyle w:val="yTableNAm"/>
            </w:pPr>
            <w:r>
              <w:t>1</w:t>
            </w:r>
          </w:p>
        </w:tc>
        <w:tc>
          <w:tcPr>
            <w:tcW w:w="3402" w:type="dxa"/>
            <w:noWrap/>
            <w:vAlign w:val="bottom"/>
          </w:tcPr>
          <w:p>
            <w:pPr>
              <w:pStyle w:val="yTableNAm"/>
            </w:pPr>
            <w:r>
              <w:t>$275.40</w:t>
            </w:r>
          </w:p>
        </w:tc>
      </w:tr>
      <w:tr>
        <w:trPr>
          <w:cantSplit/>
        </w:trPr>
        <w:tc>
          <w:tcPr>
            <w:tcW w:w="3402" w:type="dxa"/>
            <w:noWrap/>
          </w:tcPr>
          <w:p>
            <w:pPr>
              <w:pStyle w:val="yTableNAm"/>
            </w:pPr>
            <w:r>
              <w:t>2 to 5</w:t>
            </w:r>
          </w:p>
        </w:tc>
        <w:tc>
          <w:tcPr>
            <w:tcW w:w="3402" w:type="dxa"/>
            <w:noWrap/>
            <w:vAlign w:val="bottom"/>
          </w:tcPr>
          <w:p>
            <w:pPr>
              <w:pStyle w:val="yTableNAm"/>
              <w:rPr>
                <w:rStyle w:val="DraftersNotes"/>
              </w:rPr>
            </w:pPr>
            <w:r>
              <w:t>$517.50</w:t>
            </w:r>
          </w:p>
        </w:tc>
      </w:tr>
      <w:tr>
        <w:trPr>
          <w:cantSplit/>
        </w:trPr>
        <w:tc>
          <w:tcPr>
            <w:tcW w:w="3402" w:type="dxa"/>
            <w:noWrap/>
          </w:tcPr>
          <w:p>
            <w:pPr>
              <w:pStyle w:val="yTableNAm"/>
            </w:pPr>
            <w:r>
              <w:t>6 to 15</w:t>
            </w:r>
          </w:p>
        </w:tc>
        <w:tc>
          <w:tcPr>
            <w:tcW w:w="3402" w:type="dxa"/>
            <w:noWrap/>
            <w:vAlign w:val="bottom"/>
          </w:tcPr>
          <w:p>
            <w:pPr>
              <w:pStyle w:val="yTableNAm"/>
            </w:pPr>
            <w:r>
              <w:t>$1 519.50</w:t>
            </w:r>
          </w:p>
        </w:tc>
      </w:tr>
      <w:tr>
        <w:trPr>
          <w:cantSplit/>
        </w:trPr>
        <w:tc>
          <w:tcPr>
            <w:tcW w:w="3402" w:type="dxa"/>
            <w:noWrap/>
          </w:tcPr>
          <w:p>
            <w:pPr>
              <w:pStyle w:val="yTableNAm"/>
            </w:pPr>
            <w:r>
              <w:t>16 to 30</w:t>
            </w:r>
          </w:p>
        </w:tc>
        <w:tc>
          <w:tcPr>
            <w:tcW w:w="3402" w:type="dxa"/>
            <w:noWrap/>
            <w:vAlign w:val="bottom"/>
          </w:tcPr>
          <w:p>
            <w:pPr>
              <w:pStyle w:val="yTableNAm"/>
            </w:pPr>
            <w:r>
              <w:t>$3 027.80</w:t>
            </w:r>
          </w:p>
        </w:tc>
      </w:tr>
      <w:tr>
        <w:trPr>
          <w:cantSplit/>
        </w:trPr>
        <w:tc>
          <w:tcPr>
            <w:tcW w:w="3402" w:type="dxa"/>
            <w:noWrap/>
          </w:tcPr>
          <w:p>
            <w:pPr>
              <w:pStyle w:val="yTableNAm"/>
            </w:pPr>
            <w:r>
              <w:t>31 to 50</w:t>
            </w:r>
          </w:p>
        </w:tc>
        <w:tc>
          <w:tcPr>
            <w:tcW w:w="3402" w:type="dxa"/>
            <w:noWrap/>
            <w:vAlign w:val="bottom"/>
          </w:tcPr>
          <w:p>
            <w:pPr>
              <w:pStyle w:val="yTableNAm"/>
            </w:pPr>
            <w:r>
              <w:t>$4 954.70</w:t>
            </w:r>
          </w:p>
        </w:tc>
      </w:tr>
      <w:tr>
        <w:trPr>
          <w:cantSplit/>
        </w:trPr>
        <w:tc>
          <w:tcPr>
            <w:tcW w:w="3402" w:type="dxa"/>
            <w:noWrap/>
          </w:tcPr>
          <w:p>
            <w:pPr>
              <w:pStyle w:val="yTableNAm"/>
            </w:pPr>
            <w:r>
              <w:t>51 to 90</w:t>
            </w:r>
          </w:p>
        </w:tc>
        <w:tc>
          <w:tcPr>
            <w:tcW w:w="3402" w:type="dxa"/>
            <w:noWrap/>
            <w:vAlign w:val="bottom"/>
          </w:tcPr>
          <w:p>
            <w:pPr>
              <w:pStyle w:val="yTableNAm"/>
            </w:pPr>
            <w:r>
              <w:t>$8 147.70</w:t>
            </w:r>
          </w:p>
        </w:tc>
      </w:tr>
      <w:tr>
        <w:trPr>
          <w:cantSplit/>
        </w:trPr>
        <w:tc>
          <w:tcPr>
            <w:tcW w:w="3402" w:type="dxa"/>
            <w:noWrap/>
          </w:tcPr>
          <w:p>
            <w:pPr>
              <w:pStyle w:val="yTableNAm"/>
            </w:pPr>
            <w:r>
              <w:t>91 to 150</w:t>
            </w:r>
          </w:p>
        </w:tc>
        <w:tc>
          <w:tcPr>
            <w:tcW w:w="3402" w:type="dxa"/>
            <w:noWrap/>
            <w:vAlign w:val="bottom"/>
          </w:tcPr>
          <w:p>
            <w:pPr>
              <w:pStyle w:val="yTableNAm"/>
            </w:pPr>
            <w:r>
              <w:t>$13 542.70</w:t>
            </w:r>
          </w:p>
        </w:tc>
      </w:tr>
      <w:tr>
        <w:trPr>
          <w:cantSplit/>
        </w:trPr>
        <w:tc>
          <w:tcPr>
            <w:tcW w:w="3402" w:type="dxa"/>
            <w:noWrap/>
          </w:tcPr>
          <w:p>
            <w:pPr>
              <w:pStyle w:val="yTableNAm"/>
            </w:pPr>
            <w:r>
              <w:t>151 to 250</w:t>
            </w:r>
          </w:p>
        </w:tc>
        <w:tc>
          <w:tcPr>
            <w:tcW w:w="3402" w:type="dxa"/>
            <w:noWrap/>
            <w:vAlign w:val="bottom"/>
          </w:tcPr>
          <w:p>
            <w:pPr>
              <w:pStyle w:val="yTableNAm"/>
            </w:pPr>
            <w:r>
              <w:t>$22 020.40</w:t>
            </w:r>
          </w:p>
        </w:tc>
      </w:tr>
      <w:tr>
        <w:trPr>
          <w:cantSplit/>
        </w:trPr>
        <w:tc>
          <w:tcPr>
            <w:tcW w:w="3402" w:type="dxa"/>
            <w:noWrap/>
          </w:tcPr>
          <w:p>
            <w:pPr>
              <w:pStyle w:val="yTableNAm"/>
            </w:pPr>
            <w:r>
              <w:t>251 to 500</w:t>
            </w:r>
          </w:p>
        </w:tc>
        <w:tc>
          <w:tcPr>
            <w:tcW w:w="3402" w:type="dxa"/>
            <w:noWrap/>
            <w:vAlign w:val="bottom"/>
          </w:tcPr>
          <w:p>
            <w:pPr>
              <w:pStyle w:val="yTableNAm"/>
            </w:pPr>
            <w:r>
              <w:t>$36 333.80</w:t>
            </w:r>
          </w:p>
        </w:tc>
      </w:tr>
      <w:tr>
        <w:trPr>
          <w:cantSplit/>
        </w:trPr>
        <w:tc>
          <w:tcPr>
            <w:tcW w:w="3402" w:type="dxa"/>
            <w:noWrap/>
          </w:tcPr>
          <w:p>
            <w:pPr>
              <w:pStyle w:val="yTableNAm"/>
            </w:pPr>
            <w:r>
              <w:lastRenderedPageBreak/>
              <w:t>More than 500</w:t>
            </w:r>
          </w:p>
        </w:tc>
        <w:tc>
          <w:tcPr>
            <w:tcW w:w="3402" w:type="dxa"/>
            <w:noWrap/>
            <w:vAlign w:val="bottom"/>
          </w:tcPr>
          <w:p>
            <w:pPr>
              <w:pStyle w:val="yTableNAm"/>
            </w:pPr>
            <w:r>
              <w:t>$71 564.40</w:t>
            </w:r>
          </w:p>
        </w:tc>
      </w:tr>
    </w:tbl>
    <w:p>
      <w:pPr>
        <w:pStyle w:val="yFootnotesection"/>
      </w:pPr>
      <w:r>
        <w:tab/>
        <w:t>[Division 2 inserted: SL 2024/58 r. 25.]</w:t>
      </w:r>
    </w:p>
    <w:p>
      <w:pPr>
        <w:pStyle w:val="yHeading3"/>
      </w:pPr>
      <w:bookmarkStart w:id="461" w:name="_Toc191024460"/>
      <w:bookmarkStart w:id="462" w:name="_Toc191025655"/>
      <w:bookmarkStart w:id="463" w:name="_Toc191042179"/>
      <w:r>
        <w:rPr>
          <w:rStyle w:val="CharSDivNo"/>
        </w:rPr>
        <w:t>Division 3</w:t>
      </w:r>
      <w:r>
        <w:t> — </w:t>
      </w:r>
      <w:r>
        <w:rPr>
          <w:rStyle w:val="CharSDivText"/>
        </w:rPr>
        <w:t>Authorisation fee for passenger transport driver authorisation</w:t>
      </w:r>
      <w:bookmarkEnd w:id="461"/>
      <w:bookmarkEnd w:id="462"/>
      <w:bookmarkEnd w:id="463"/>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464" w:name="_Toc191024461"/>
      <w:bookmarkStart w:id="465" w:name="_Toc191025656"/>
      <w:bookmarkStart w:id="466" w:name="_Toc191042180"/>
      <w:r>
        <w:rPr>
          <w:rStyle w:val="CharSDivNo"/>
        </w:rPr>
        <w:t>Division 4</w:t>
      </w:r>
      <w:r>
        <w:t> — </w:t>
      </w:r>
      <w:r>
        <w:rPr>
          <w:rStyle w:val="CharSDivText"/>
        </w:rPr>
        <w:t>Authorisation fees for passenger transport vehicle authorisations</w:t>
      </w:r>
      <w:bookmarkEnd w:id="464"/>
      <w:bookmarkEnd w:id="465"/>
      <w:bookmarkEnd w:id="466"/>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67" w:name="_Toc191024462"/>
      <w:bookmarkStart w:id="468" w:name="_Toc191025657"/>
      <w:bookmarkStart w:id="469" w:name="_Toc191042181"/>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467"/>
      <w:bookmarkEnd w:id="468"/>
      <w:bookmarkEnd w:id="469"/>
    </w:p>
    <w:p>
      <w:pPr>
        <w:pStyle w:val="yShoulderClause"/>
      </w:pPr>
      <w:r>
        <w:t>[r. 52]</w:t>
      </w:r>
    </w:p>
    <w:p>
      <w:pPr>
        <w:pStyle w:val="yHeading5"/>
      </w:pPr>
      <w:bookmarkStart w:id="470" w:name="_Toc191042182"/>
      <w:r>
        <w:rPr>
          <w:rStyle w:val="CharSClsNo"/>
        </w:rPr>
        <w:t>1</w:t>
      </w:r>
      <w:r>
        <w:t>.</w:t>
      </w:r>
      <w:r>
        <w:tab/>
        <w:t>Disqualification offences and disqualification periods: on</w:t>
      </w:r>
      <w:r>
        <w:noBreakHyphen/>
        <w:t>demand booking services</w:t>
      </w:r>
      <w:bookmarkEnd w:id="470"/>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lastRenderedPageBreak/>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lastRenderedPageBreak/>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lastRenderedPageBreak/>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lastRenderedPageBreak/>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6A(1) or (2), 6B(1) or (2),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lastRenderedPageBreak/>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 SL 2024/278 r. 4.]</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471" w:name="_Toc191024464"/>
      <w:bookmarkStart w:id="472" w:name="_Toc191025659"/>
      <w:bookmarkStart w:id="473" w:name="_Toc191042183"/>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471"/>
      <w:bookmarkEnd w:id="472"/>
      <w:bookmarkEnd w:id="473"/>
    </w:p>
    <w:p>
      <w:pPr>
        <w:pStyle w:val="yShoulderClause"/>
      </w:pPr>
      <w:r>
        <w:t>[r. 88]</w:t>
      </w:r>
    </w:p>
    <w:p>
      <w:pPr>
        <w:pStyle w:val="yHeading5"/>
      </w:pPr>
      <w:bookmarkStart w:id="474" w:name="_Toc191042184"/>
      <w:r>
        <w:rPr>
          <w:rStyle w:val="CharSClsNo"/>
        </w:rPr>
        <w:t>1</w:t>
      </w:r>
      <w:r>
        <w:t>.</w:t>
      </w:r>
      <w:r>
        <w:tab/>
        <w:t>Disqualification offences and disqualification periods: passenger transport drivers</w:t>
      </w:r>
      <w:bookmarkEnd w:id="474"/>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w:t>
            </w:r>
            <w:r>
              <w:lastRenderedPageBreak/>
              <w:t>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lastRenderedPageBreak/>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lastRenderedPageBreak/>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lastRenderedPageBreak/>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lastRenderedPageBreak/>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lastRenderedPageBreak/>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w:t>
            </w:r>
            <w:r>
              <w:rPr>
                <w:szCs w:val="22"/>
              </w:rPr>
              <w:t xml:space="preserve">6A(1) or (2), 6B(1) or (2), </w:t>
            </w:r>
            <w:r>
              <w:t>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pStyle w:val="yFootnotesection"/>
      </w:pPr>
      <w:r>
        <w:tab/>
        <w:t>[Schedule 3 amended: SL 2024/278 r. 5.]</w:t>
      </w:r>
    </w:p>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475" w:name="_Toc191024466"/>
      <w:bookmarkStart w:id="476" w:name="_Toc191025661"/>
      <w:bookmarkStart w:id="477" w:name="_Toc191042185"/>
      <w:r>
        <w:rPr>
          <w:rStyle w:val="CharSchNo"/>
        </w:rPr>
        <w:lastRenderedPageBreak/>
        <w:t>Schedule 4</w:t>
      </w:r>
      <w:r>
        <w:rPr>
          <w:rStyle w:val="CharSDivNo"/>
        </w:rPr>
        <w:t> </w:t>
      </w:r>
      <w:r>
        <w:t>—</w:t>
      </w:r>
      <w:r>
        <w:rPr>
          <w:rStyle w:val="CharSDivText"/>
        </w:rPr>
        <w:t> </w:t>
      </w:r>
      <w:r>
        <w:rPr>
          <w:rStyle w:val="CharSchText"/>
        </w:rPr>
        <w:t>Fares: metropolitan region</w:t>
      </w:r>
      <w:bookmarkEnd w:id="475"/>
      <w:bookmarkEnd w:id="476"/>
      <w:bookmarkEnd w:id="477"/>
    </w:p>
    <w:p>
      <w:pPr>
        <w:pStyle w:val="yShoulderClause"/>
      </w:pPr>
      <w:r>
        <w:t>[r. 116]</w:t>
      </w:r>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$61.00/hour</w:t>
            </w:r>
          </w:p>
        </w:tc>
      </w:tr>
      <w:t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nil"/>
              <w:left w:val="nil"/>
              <w:right w:val="nil"/>
            </w:tcBorders>
            <w:noWrap/>
            <w:vAlign w:val="bottom"/>
          </w:tcPr>
          <w:p>
            <w:pPr>
              <w:pStyle w:val="yTableNAm"/>
              <w:tabs>
                <w:tab w:val="clear" w:pos="567"/>
              </w:tabs>
              <w:ind w:left="-203" w:right="143"/>
              <w:jc w:val="right"/>
            </w:pPr>
            <w:r>
              <w:rPr>
                <w:szCs w:val="22"/>
              </w:rPr>
              <w:t>$61.00/hour</w:t>
            </w:r>
          </w:p>
        </w:tc>
      </w:tr>
      <w:t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Booking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$4.50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$7.40</w:t>
            </w:r>
          </w:p>
        </w:tc>
      </w:tr>
    </w:tbl>
    <w:p>
      <w:pPr>
        <w:pStyle w:val="yFootnotesection"/>
      </w:pPr>
      <w:r>
        <w:tab/>
        <w:t>[Schedule 4 inserted: SL 2024/40 r. 5; amended: SL 2024/286 r. 18.]</w:t>
      </w:r>
    </w:p>
    <w:p>
      <w:pPr>
        <w:pStyle w:val="yScheduleHeading"/>
      </w:pPr>
      <w:bookmarkStart w:id="478" w:name="_Toc191024467"/>
      <w:bookmarkStart w:id="479" w:name="_Toc191025662"/>
      <w:bookmarkStart w:id="480" w:name="_Toc191042186"/>
      <w:r>
        <w:rPr>
          <w:rStyle w:val="CharSchNo"/>
        </w:rPr>
        <w:lastRenderedPageBreak/>
        <w:t>Schedule 5</w:t>
      </w:r>
      <w:r>
        <w:t> — </w:t>
      </w:r>
      <w:r>
        <w:rPr>
          <w:rStyle w:val="CharSchText"/>
        </w:rPr>
        <w:t>Fares: regions</w:t>
      </w:r>
      <w:bookmarkEnd w:id="478"/>
      <w:bookmarkEnd w:id="479"/>
      <w:bookmarkEnd w:id="480"/>
    </w:p>
    <w:p>
      <w:pPr>
        <w:pStyle w:val="yShoulderClause"/>
      </w:pPr>
      <w:r>
        <w:t>[r. 117]</w:t>
      </w:r>
    </w:p>
    <w:p>
      <w:pPr>
        <w:pStyle w:val="yFootnoteheading"/>
      </w:pPr>
      <w:r>
        <w:tab/>
        <w:t>[Heading inserted: SL 2024/40 r. 5.]</w:t>
      </w:r>
    </w:p>
    <w:p>
      <w:pPr>
        <w:pStyle w:val="yHeading3"/>
      </w:pPr>
      <w:bookmarkStart w:id="481" w:name="_Toc191024468"/>
      <w:bookmarkStart w:id="482" w:name="_Toc191025663"/>
      <w:bookmarkStart w:id="483" w:name="_Toc191042187"/>
      <w:r>
        <w:rPr>
          <w:rStyle w:val="CharSDivNo"/>
        </w:rPr>
        <w:t>Division 1</w:t>
      </w:r>
      <w:r>
        <w:t> — </w:t>
      </w:r>
      <w:r>
        <w:rPr>
          <w:rStyle w:val="CharSDivText"/>
        </w:rPr>
        <w:t>Gascoyne region</w:t>
      </w:r>
      <w:bookmarkEnd w:id="481"/>
      <w:bookmarkEnd w:id="482"/>
      <w:bookmarkEnd w:id="483"/>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bCs/>
                <w:szCs w:val="18"/>
              </w:rPr>
              <w:t>Booking</w:t>
            </w:r>
            <w:r>
              <w:rPr>
                <w:b/>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1 inserted: SL 2024/40 r. 5; amended: SL 2024/286 r. 19.]</w:t>
      </w:r>
    </w:p>
    <w:p>
      <w:pPr>
        <w:pStyle w:val="yHeading3"/>
      </w:pPr>
      <w:bookmarkStart w:id="484" w:name="_Toc191024469"/>
      <w:bookmarkStart w:id="485" w:name="_Toc191025664"/>
      <w:bookmarkStart w:id="486" w:name="_Toc191042188"/>
      <w:r>
        <w:rPr>
          <w:rStyle w:val="CharSDivNo"/>
        </w:rPr>
        <w:t>Division 2</w:t>
      </w:r>
      <w:r>
        <w:t> — </w:t>
      </w:r>
      <w:r>
        <w:rPr>
          <w:rStyle w:val="CharSDivText"/>
        </w:rPr>
        <w:t>Goldfields</w:t>
      </w:r>
      <w:r>
        <w:rPr>
          <w:rStyle w:val="CharSDivText"/>
        </w:rPr>
        <w:noBreakHyphen/>
        <w:t>Esperance region</w:t>
      </w:r>
      <w:bookmarkEnd w:id="484"/>
      <w:bookmarkEnd w:id="485"/>
      <w:bookmarkEnd w:id="486"/>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bCs/>
                <w:szCs w:val="18"/>
              </w:rPr>
              <w:t>Booking</w:t>
            </w:r>
            <w:r>
              <w:rPr>
                <w:b/>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rPr>
            </w:pPr>
            <w:r>
              <w:rPr>
                <w:b/>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2 inserted: SL 2024/40 r. 5; amended: SL 2024/286 r. 19.]</w:t>
      </w:r>
    </w:p>
    <w:p>
      <w:pPr>
        <w:pStyle w:val="yHeading3"/>
      </w:pPr>
      <w:bookmarkStart w:id="487" w:name="_Toc191024470"/>
      <w:bookmarkStart w:id="488" w:name="_Toc191025665"/>
      <w:bookmarkStart w:id="489" w:name="_Toc191042189"/>
      <w:r>
        <w:rPr>
          <w:rStyle w:val="CharSDivNo"/>
        </w:rPr>
        <w:lastRenderedPageBreak/>
        <w:t>Division 3 </w:t>
      </w:r>
      <w:r>
        <w:t>—</w:t>
      </w:r>
      <w:r>
        <w:rPr>
          <w:rStyle w:val="CharSDivNo"/>
        </w:rPr>
        <w:t> </w:t>
      </w:r>
      <w:r>
        <w:rPr>
          <w:rStyle w:val="CharSDivText"/>
        </w:rPr>
        <w:t>Great Southern region</w:t>
      </w:r>
      <w:bookmarkEnd w:id="487"/>
      <w:bookmarkEnd w:id="488"/>
      <w:bookmarkEnd w:id="489"/>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$2.17/km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tcBorders>
            <w:noWrap/>
          </w:tcPr>
          <w:p>
            <w:pPr>
              <w:pStyle w:val="yTableNAm"/>
            </w:pPr>
            <w:r>
              <w:t>New Year’s Eve —</w:t>
            </w:r>
          </w:p>
          <w:p>
            <w:pPr>
              <w:pStyle w:val="yTableNAm"/>
              <w:ind w:left="176" w:hanging="176"/>
            </w:pPr>
            <w:r>
              <w:tab/>
              <w:t>6 pm New Year’s Eve to 6 am New Year’s Day</w:t>
            </w:r>
          </w:p>
        </w:tc>
        <w:tc>
          <w:tcPr>
            <w:tcW w:w="1417" w:type="dxa"/>
            <w:tcBorders>
              <w:top w:val="nil"/>
            </w:tcBorders>
            <w:noWrap/>
            <w:vAlign w:val="bottom"/>
          </w:tcPr>
          <w:p>
            <w:pPr>
              <w:pStyle w:val="yTableNAm"/>
              <w:tabs>
                <w:tab w:val="clear" w:pos="567"/>
                <w:tab w:val="left" w:pos="639"/>
              </w:tabs>
              <w:ind w:right="387"/>
              <w:jc w:val="right"/>
            </w:pPr>
            <w:r>
              <w:t>$7.30</w:t>
            </w:r>
          </w:p>
        </w:tc>
      </w:tr>
    </w:tbl>
    <w:p>
      <w:pPr>
        <w:pStyle w:val="yFootnotesection"/>
      </w:pPr>
      <w:r>
        <w:tab/>
        <w:t>[Division 3 inserted: SL 2024/40 r. 5; amended: SL 2024/286 r. 19.]</w:t>
      </w:r>
    </w:p>
    <w:p>
      <w:pPr>
        <w:pStyle w:val="yHeading3"/>
      </w:pPr>
      <w:bookmarkStart w:id="490" w:name="_Toc191024471"/>
      <w:bookmarkStart w:id="491" w:name="_Toc191025666"/>
      <w:bookmarkStart w:id="492" w:name="_Toc191042190"/>
      <w:r>
        <w:rPr>
          <w:rStyle w:val="CharSDivNo"/>
        </w:rPr>
        <w:t>Division 4</w:t>
      </w:r>
      <w:r>
        <w:t> — </w:t>
      </w:r>
      <w:r>
        <w:rPr>
          <w:rStyle w:val="CharSDivText"/>
        </w:rPr>
        <w:t>Kimberley region</w:t>
      </w:r>
      <w:bookmarkEnd w:id="490"/>
      <w:bookmarkEnd w:id="491"/>
      <w:bookmarkEnd w:id="492"/>
    </w:p>
    <w:p>
      <w:pPr>
        <w:pStyle w:val="yFootnoteheading"/>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60" w:type="dxa"/>
            <w:gridSpan w:val="2"/>
            <w:tcBorders>
              <w:top w:val="single" w:sz="4" w:space="0" w:color="auto"/>
            </w:tcBorders>
            <w:noWrap/>
            <w:vAlign w:val="bottom"/>
          </w:tcPr>
          <w:p>
            <w:pPr>
              <w:pStyle w:val="yTableNAm"/>
              <w:tabs>
                <w:tab w:val="clear" w:pos="567"/>
                <w:tab w:val="left" w:pos="64"/>
              </w:tabs>
              <w:ind w:right="460"/>
              <w:jc w:val="right"/>
              <w:rPr>
                <w:rStyle w:val="DraftersNotes"/>
                <w:b w:val="0"/>
                <w:i w:val="0"/>
                <w:sz w:val="22"/>
                <w:szCs w:val="22"/>
                <w:highlight w:val="yellow"/>
              </w:rPr>
            </w:pPr>
            <w:r>
              <w:rPr>
                <w:szCs w:val="22"/>
              </w:rPr>
              <w:t>$2.82/km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60" w:type="dxa"/>
            <w:gridSpan w:val="2"/>
            <w:noWrap/>
            <w:vAlign w:val="bottom"/>
          </w:tcPr>
          <w:p>
            <w:pPr>
              <w:pStyle w:val="yTableNAm"/>
              <w:tabs>
                <w:tab w:val="clear" w:pos="567"/>
                <w:tab w:val="left" w:pos="64"/>
              </w:tabs>
              <w:ind w:right="460"/>
              <w:jc w:val="right"/>
              <w:rPr>
                <w:szCs w:val="22"/>
              </w:rPr>
            </w:pPr>
            <w:r>
              <w:rPr>
                <w:szCs w:val="22"/>
              </w:rPr>
              <w:t>$2.82/km</w:t>
            </w:r>
          </w:p>
        </w:tc>
        <w:tc>
          <w:tcPr>
            <w:tcW w:w="1417"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60"/>
              <w:jc w:val="right"/>
              <w:rPr>
                <w:szCs w:val="22"/>
              </w:rPr>
            </w:pPr>
            <w:r>
              <w:rPr>
                <w:szCs w:val="22"/>
              </w:rPr>
              <w:t>$4.15/km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4 inserted: SL 2024/40 r. 5; amended: SL 2024/286 r. 19.]</w:t>
      </w:r>
    </w:p>
    <w:p>
      <w:pPr>
        <w:pStyle w:val="yHeading3"/>
      </w:pPr>
      <w:bookmarkStart w:id="493" w:name="_Toc191024472"/>
      <w:bookmarkStart w:id="494" w:name="_Toc191025667"/>
      <w:bookmarkStart w:id="495" w:name="_Toc191042191"/>
      <w:r>
        <w:rPr>
          <w:rStyle w:val="CharSDivNo"/>
        </w:rPr>
        <w:lastRenderedPageBreak/>
        <w:t>Division 5</w:t>
      </w:r>
      <w:r>
        <w:t> — </w:t>
      </w:r>
      <w:r>
        <w:rPr>
          <w:rStyle w:val="CharSDivText"/>
        </w:rPr>
        <w:t>Mid West region</w:t>
      </w:r>
      <w:bookmarkEnd w:id="493"/>
      <w:bookmarkEnd w:id="494"/>
      <w:bookmarkEnd w:id="495"/>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$5.50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$7.80</w:t>
            </w:r>
          </w:p>
        </w:tc>
        <w:tc>
          <w:tcPr>
            <w:tcW w:w="1551" w:type="dxa"/>
            <w:noWrap/>
            <w:vAlign w:val="bottom"/>
          </w:tcPr>
          <w:p>
            <w:pPr>
              <w:pStyle w:val="yTableNAm"/>
              <w:tabs>
                <w:tab w:val="clear" w:pos="567"/>
                <w:tab w:val="left" w:pos="64"/>
              </w:tabs>
              <w:ind w:right="452"/>
              <w:jc w:val="right"/>
              <w:rPr>
                <w:szCs w:val="22"/>
              </w:rPr>
            </w:pPr>
            <w:r>
              <w:rPr>
                <w:szCs w:val="22"/>
              </w:rPr>
              <w:t>$2.19/km</w:t>
            </w:r>
          </w:p>
        </w:tc>
        <w:tc>
          <w:tcPr>
            <w:tcW w:w="1426" w:type="dxa"/>
            <w:noWrap/>
            <w:vAlign w:val="bottom"/>
          </w:tcPr>
          <w:p>
            <w:pPr>
              <w:pStyle w:val="yTableNAm"/>
              <w:tabs>
                <w:tab w:val="clear" w:pos="567"/>
              </w:tabs>
              <w:ind w:left="-203" w:right="143"/>
              <w:jc w:val="right"/>
              <w:rPr>
                <w:szCs w:val="22"/>
              </w:rPr>
            </w:pPr>
            <w:r>
              <w:rPr>
                <w:szCs w:val="22"/>
              </w:rPr>
              <w:t>$61.50/hour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$7.80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$96.00/hour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$7.40</w:t>
            </w:r>
          </w:p>
        </w:tc>
      </w:tr>
    </w:tbl>
    <w:p>
      <w:pPr>
        <w:pStyle w:val="yFootnotesection"/>
      </w:pPr>
      <w:r>
        <w:tab/>
        <w:t>[Division 5 inserted: SL 2024/40 r. 5; amended: SL 2024/286 r. 19.]</w:t>
      </w:r>
    </w:p>
    <w:p>
      <w:pPr>
        <w:pStyle w:val="yHeading3"/>
      </w:pPr>
      <w:bookmarkStart w:id="496" w:name="_Toc191024473"/>
      <w:bookmarkStart w:id="497" w:name="_Toc191025668"/>
      <w:bookmarkStart w:id="498" w:name="_Toc191042192"/>
      <w:r>
        <w:rPr>
          <w:rStyle w:val="CharSDivNo"/>
        </w:rPr>
        <w:t>Division 6</w:t>
      </w:r>
      <w:r>
        <w:t> — </w:t>
      </w:r>
      <w:r>
        <w:rPr>
          <w:rStyle w:val="CharSDivText"/>
        </w:rPr>
        <w:t>Peel region</w:t>
      </w:r>
      <w:bookmarkEnd w:id="496"/>
      <w:bookmarkEnd w:id="497"/>
      <w:bookmarkEnd w:id="498"/>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highlight w:val="yellow"/>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top w:val="nil"/>
              <w:bottom w:val="single" w:sz="4" w:space="0" w:color="auto"/>
            </w:tcBorders>
            <w:noWrap/>
            <w:vAlign w:val="bottom"/>
          </w:tcPr>
          <w:p>
            <w:pPr>
              <w:pStyle w:val="yTableNAm"/>
              <w:tabs>
                <w:tab w:val="clear" w:pos="567"/>
                <w:tab w:val="left" w:pos="639"/>
              </w:tabs>
              <w:ind w:right="387"/>
              <w:jc w:val="right"/>
              <w:rPr>
                <w:rStyle w:val="DraftersNotes"/>
                <w:b w:val="0"/>
                <w:i w:val="0"/>
                <w:sz w:val="22"/>
              </w:rPr>
            </w:pPr>
            <w:r>
              <w:t>$7.30</w:t>
            </w:r>
          </w:p>
        </w:tc>
      </w:tr>
    </w:tbl>
    <w:p>
      <w:pPr>
        <w:pStyle w:val="yFootnotesection"/>
      </w:pPr>
      <w:r>
        <w:tab/>
        <w:t>[Division 6 inserted: SL 2024/40 r. 5; amended: SL 2024/286 r. 19.]</w:t>
      </w:r>
    </w:p>
    <w:p>
      <w:pPr>
        <w:pStyle w:val="yHeading3"/>
      </w:pPr>
      <w:bookmarkStart w:id="499" w:name="_Toc191024474"/>
      <w:bookmarkStart w:id="500" w:name="_Toc191025669"/>
      <w:bookmarkStart w:id="501" w:name="_Toc191042193"/>
      <w:r>
        <w:rPr>
          <w:rStyle w:val="CharSDivNo"/>
        </w:rPr>
        <w:lastRenderedPageBreak/>
        <w:t>Division 7</w:t>
      </w:r>
      <w:r>
        <w:t> — </w:t>
      </w:r>
      <w:r>
        <w:rPr>
          <w:rStyle w:val="CharSDivText"/>
        </w:rPr>
        <w:t>Pilbara region</w:t>
      </w:r>
      <w:bookmarkEnd w:id="499"/>
      <w:bookmarkEnd w:id="500"/>
      <w:bookmarkEnd w:id="501"/>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$2.87/km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bCs/>
              </w:rPr>
            </w:pPr>
            <w:r>
              <w:rPr>
                <w:b/>
                <w:bCs/>
                <w:szCs w:val="18"/>
              </w:rPr>
              <w:t>Booking</w:t>
            </w:r>
            <w:r>
              <w:rPr>
                <w:b/>
                <w:bCs/>
              </w:rPr>
              <w:t xml:space="preserve"> fee</w:t>
            </w:r>
          </w:p>
        </w:tc>
        <w:tc>
          <w:tcPr>
            <w:tcW w:w="1417" w:type="dxa"/>
            <w:tcBorders>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keepNext/>
              <w:rPr>
                <w:b/>
                <w:bCs/>
              </w:rPr>
            </w:pPr>
            <w:r>
              <w:rPr>
                <w:b/>
                <w:bCs/>
              </w:rPr>
              <w:t>Surcharges</w:t>
            </w:r>
          </w:p>
        </w:tc>
        <w:tc>
          <w:tcPr>
            <w:tcW w:w="1417" w:type="dxa"/>
            <w:tcBorders>
              <w:top w:val="nil"/>
            </w:tcBorders>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7 inserted: SL 2024/40 r. 5; amended: SL 2024/286 r. 19.]</w:t>
      </w:r>
    </w:p>
    <w:p>
      <w:pPr>
        <w:pStyle w:val="yHeading3"/>
      </w:pPr>
      <w:bookmarkStart w:id="502" w:name="_Toc191024475"/>
      <w:bookmarkStart w:id="503" w:name="_Toc191025670"/>
      <w:bookmarkStart w:id="504" w:name="_Toc191042194"/>
      <w:r>
        <w:rPr>
          <w:rStyle w:val="CharSDivNo"/>
        </w:rPr>
        <w:t>Division 8</w:t>
      </w:r>
      <w:r>
        <w:t> — </w:t>
      </w:r>
      <w:r>
        <w:rPr>
          <w:rStyle w:val="CharSDivText"/>
        </w:rPr>
        <w:t>South West region</w:t>
      </w:r>
      <w:bookmarkEnd w:id="502"/>
      <w:bookmarkEnd w:id="503"/>
      <w:bookmarkEnd w:id="504"/>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8 inserted: SL 2024/40 r. 5; amended: SL 2024/286 r. 19.]</w:t>
      </w:r>
    </w:p>
    <w:p>
      <w:pPr>
        <w:pStyle w:val="yHeading3"/>
      </w:pPr>
      <w:bookmarkStart w:id="505" w:name="_Toc191024476"/>
      <w:bookmarkStart w:id="506" w:name="_Toc191025671"/>
      <w:bookmarkStart w:id="507" w:name="_Toc191042195"/>
      <w:r>
        <w:rPr>
          <w:rStyle w:val="CharSDivNo"/>
        </w:rPr>
        <w:lastRenderedPageBreak/>
        <w:t>Division 9</w:t>
      </w:r>
      <w:r>
        <w:t> — </w:t>
      </w:r>
      <w:r>
        <w:rPr>
          <w:rStyle w:val="CharSDivText"/>
        </w:rPr>
        <w:t>Wheatbelt region</w:t>
      </w:r>
      <w:bookmarkEnd w:id="505"/>
      <w:bookmarkEnd w:id="506"/>
      <w:bookmarkEnd w:id="507"/>
    </w:p>
    <w:p>
      <w:pPr>
        <w:pStyle w:val="yFootnoteheading"/>
        <w:keepNext/>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shd w:val="clear" w:color="auto" w:fill="auto"/>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shd w:val="clear" w:color="auto" w:fill="auto"/>
            <w:noWrap/>
          </w:tcPr>
          <w:p>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shd w:val="clear" w:color="auto" w:fill="auto"/>
            <w:noWrap/>
          </w:tcPr>
          <w:p>
            <w:pPr>
              <w:pStyle w:val="yTableNAm"/>
              <w:ind w:left="176" w:hanging="176"/>
            </w:pPr>
            <w:r>
              <w:tab/>
              <w:t>All day Public Holidays</w:t>
            </w:r>
          </w:p>
        </w:tc>
        <w:tc>
          <w:tcPr>
            <w:tcW w:w="1134" w:type="dxa"/>
            <w:tcBorders>
              <w:top w:val="nil"/>
              <w:left w:val="single" w:sz="4" w:space="0" w:color="auto"/>
            </w:tcBorders>
            <w:shd w:val="clear" w:color="auto" w:fill="auto"/>
            <w:noWrap/>
            <w:vAlign w:val="bottom"/>
          </w:tcPr>
          <w:p>
            <w:pPr>
              <w:pStyle w:val="yTableNAm"/>
              <w:tabs>
                <w:tab w:val="clear" w:pos="567"/>
              </w:tabs>
              <w:ind w:left="-112" w:right="176"/>
              <w:jc w:val="right"/>
              <w:rPr>
                <w:szCs w:val="22"/>
              </w:rPr>
            </w:pPr>
            <w:r>
              <w:rPr>
                <w:szCs w:val="22"/>
              </w:rPr>
              <w:t>$7.70</w:t>
            </w:r>
          </w:p>
        </w:tc>
        <w:tc>
          <w:tcPr>
            <w:tcW w:w="1551" w:type="dxa"/>
            <w:tcBorders>
              <w:top w:val="nil"/>
            </w:tcBorders>
            <w:shd w:val="clear" w:color="auto" w:fill="auto"/>
            <w:noWrap/>
            <w:vAlign w:val="bottom"/>
          </w:tcPr>
          <w:p>
            <w:pPr>
              <w:pStyle w:val="yTableNAm"/>
              <w:tabs>
                <w:tab w:val="clear" w:pos="567"/>
                <w:tab w:val="left" w:pos="64"/>
              </w:tabs>
              <w:ind w:right="452"/>
              <w:jc w:val="right"/>
              <w:rPr>
                <w:szCs w:val="22"/>
              </w:rPr>
            </w:pPr>
            <w:r>
              <w:rPr>
                <w:szCs w:val="22"/>
              </w:rPr>
              <w:t>$2.24/km</w:t>
            </w:r>
          </w:p>
        </w:tc>
        <w:tc>
          <w:tcPr>
            <w:tcW w:w="1426" w:type="dxa"/>
            <w:tcBorders>
              <w:top w:val="nil"/>
            </w:tcBorders>
            <w:shd w:val="clear" w:color="auto" w:fill="auto"/>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9 inserted: SL 2024/40 r. 5; amended: SL 2024/286 r. 19.]</w:t>
      </w:r>
    </w:p>
    <w:p>
      <w:pPr>
        <w:pStyle w:val="yScheduleHeading"/>
      </w:pPr>
      <w:bookmarkStart w:id="508" w:name="_Toc191024477"/>
      <w:bookmarkStart w:id="509" w:name="_Toc191025672"/>
      <w:bookmarkStart w:id="510" w:name="_Toc191042196"/>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508"/>
      <w:bookmarkEnd w:id="509"/>
      <w:bookmarkEnd w:id="510"/>
    </w:p>
    <w:p>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2"/>
        <w:gridCol w:w="1134"/>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851" w:type="dxa"/>
            <w:gridSpan w:val="2"/>
            <w:noWrap/>
          </w:tcPr>
          <w:p>
            <w:pPr>
              <w:pStyle w:val="yTableNAm"/>
            </w:pPr>
            <w:r>
              <w:t>1.</w:t>
            </w:r>
          </w:p>
        </w:tc>
        <w:tc>
          <w:tcPr>
            <w:tcW w:w="1275"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2.</w:t>
            </w:r>
          </w:p>
        </w:tc>
        <w:tc>
          <w:tcPr>
            <w:tcW w:w="1275"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3.</w:t>
            </w:r>
          </w:p>
        </w:tc>
        <w:tc>
          <w:tcPr>
            <w:tcW w:w="1275"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4.</w:t>
            </w:r>
          </w:p>
        </w:tc>
        <w:tc>
          <w:tcPr>
            <w:tcW w:w="1275"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5.</w:t>
            </w:r>
          </w:p>
        </w:tc>
        <w:tc>
          <w:tcPr>
            <w:tcW w:w="1275"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w:t>
            </w:r>
          </w:p>
        </w:tc>
        <w:tc>
          <w:tcPr>
            <w:tcW w:w="1275"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851" w:type="dxa"/>
            <w:gridSpan w:val="2"/>
            <w:noWrap/>
          </w:tcPr>
          <w:p>
            <w:pPr>
              <w:pStyle w:val="yTableNAm"/>
            </w:pPr>
            <w:r>
              <w:lastRenderedPageBreak/>
              <w:t>7.</w:t>
            </w:r>
          </w:p>
        </w:tc>
        <w:tc>
          <w:tcPr>
            <w:tcW w:w="1275"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851" w:type="dxa"/>
            <w:gridSpan w:val="2"/>
            <w:noWrap/>
          </w:tcPr>
          <w:p>
            <w:pPr>
              <w:pStyle w:val="yTableNAm"/>
            </w:pPr>
            <w:r>
              <w:t>8.</w:t>
            </w:r>
          </w:p>
        </w:tc>
        <w:tc>
          <w:tcPr>
            <w:tcW w:w="1275"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9.</w:t>
            </w:r>
          </w:p>
        </w:tc>
        <w:tc>
          <w:tcPr>
            <w:tcW w:w="1275"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10.</w:t>
            </w:r>
          </w:p>
        </w:tc>
        <w:tc>
          <w:tcPr>
            <w:tcW w:w="1275"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11.</w:t>
            </w:r>
          </w:p>
        </w:tc>
        <w:tc>
          <w:tcPr>
            <w:tcW w:w="1275"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12.</w:t>
            </w:r>
          </w:p>
        </w:tc>
        <w:tc>
          <w:tcPr>
            <w:tcW w:w="1275"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13.</w:t>
            </w:r>
          </w:p>
        </w:tc>
        <w:tc>
          <w:tcPr>
            <w:tcW w:w="1275"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14.</w:t>
            </w:r>
          </w:p>
        </w:tc>
        <w:tc>
          <w:tcPr>
            <w:tcW w:w="1275"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15.</w:t>
            </w:r>
          </w:p>
        </w:tc>
        <w:tc>
          <w:tcPr>
            <w:tcW w:w="1275"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keepNext/>
            </w:pPr>
            <w:r>
              <w:lastRenderedPageBreak/>
              <w:t>16.</w:t>
            </w:r>
          </w:p>
        </w:tc>
        <w:tc>
          <w:tcPr>
            <w:tcW w:w="1275"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17.</w:t>
            </w:r>
          </w:p>
        </w:tc>
        <w:tc>
          <w:tcPr>
            <w:tcW w:w="1275"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18.</w:t>
            </w:r>
          </w:p>
        </w:tc>
        <w:tc>
          <w:tcPr>
            <w:tcW w:w="1275"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19.</w:t>
            </w:r>
          </w:p>
        </w:tc>
        <w:tc>
          <w:tcPr>
            <w:tcW w:w="1275"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20.</w:t>
            </w:r>
          </w:p>
        </w:tc>
        <w:tc>
          <w:tcPr>
            <w:tcW w:w="1275"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21.</w:t>
            </w:r>
          </w:p>
        </w:tc>
        <w:tc>
          <w:tcPr>
            <w:tcW w:w="1275"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keepNext/>
            </w:pPr>
            <w:r>
              <w:lastRenderedPageBreak/>
              <w:t>22.</w:t>
            </w:r>
          </w:p>
        </w:tc>
        <w:tc>
          <w:tcPr>
            <w:tcW w:w="1275"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keepNext/>
            </w:pPr>
            <w:r>
              <w:t>23.</w:t>
            </w:r>
          </w:p>
        </w:tc>
        <w:tc>
          <w:tcPr>
            <w:tcW w:w="1275"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24.</w:t>
            </w:r>
          </w:p>
        </w:tc>
        <w:tc>
          <w:tcPr>
            <w:tcW w:w="1275"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25.</w:t>
            </w:r>
          </w:p>
        </w:tc>
        <w:tc>
          <w:tcPr>
            <w:tcW w:w="1275"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26.</w:t>
            </w:r>
          </w:p>
        </w:tc>
        <w:tc>
          <w:tcPr>
            <w:tcW w:w="1275"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27.</w:t>
            </w:r>
          </w:p>
        </w:tc>
        <w:tc>
          <w:tcPr>
            <w:tcW w:w="1275"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28.</w:t>
            </w:r>
          </w:p>
        </w:tc>
        <w:tc>
          <w:tcPr>
            <w:tcW w:w="1275"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851" w:type="dxa"/>
            <w:gridSpan w:val="2"/>
            <w:noWrap/>
          </w:tcPr>
          <w:p>
            <w:pPr>
              <w:pStyle w:val="yTableNAm"/>
              <w:keepNext/>
            </w:pPr>
            <w:r>
              <w:lastRenderedPageBreak/>
              <w:t>29.</w:t>
            </w:r>
          </w:p>
        </w:tc>
        <w:tc>
          <w:tcPr>
            <w:tcW w:w="1275"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851" w:type="dxa"/>
            <w:gridSpan w:val="2"/>
            <w:noWrap/>
          </w:tcPr>
          <w:p>
            <w:pPr>
              <w:pStyle w:val="yTableNAm"/>
            </w:pPr>
            <w:r>
              <w:t>30.</w:t>
            </w:r>
          </w:p>
        </w:tc>
        <w:tc>
          <w:tcPr>
            <w:tcW w:w="1275"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keepNext/>
              <w:keepLines/>
            </w:pPr>
            <w:r>
              <w:t>31.</w:t>
            </w:r>
          </w:p>
        </w:tc>
        <w:tc>
          <w:tcPr>
            <w:tcW w:w="1275"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851" w:type="dxa"/>
            <w:gridSpan w:val="2"/>
            <w:noWrap/>
          </w:tcPr>
          <w:p>
            <w:pPr>
              <w:pStyle w:val="yTableNAm"/>
            </w:pPr>
            <w:r>
              <w:t>32.</w:t>
            </w:r>
          </w:p>
        </w:tc>
        <w:tc>
          <w:tcPr>
            <w:tcW w:w="1275"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33.</w:t>
            </w:r>
          </w:p>
        </w:tc>
        <w:tc>
          <w:tcPr>
            <w:tcW w:w="1275"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34.</w:t>
            </w:r>
          </w:p>
        </w:tc>
        <w:tc>
          <w:tcPr>
            <w:tcW w:w="1275"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lastRenderedPageBreak/>
              <w:t>35.</w:t>
            </w:r>
          </w:p>
        </w:tc>
        <w:tc>
          <w:tcPr>
            <w:tcW w:w="1275"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36.</w:t>
            </w:r>
          </w:p>
        </w:tc>
        <w:tc>
          <w:tcPr>
            <w:tcW w:w="1275"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851" w:type="dxa"/>
            <w:gridSpan w:val="2"/>
            <w:noWrap/>
          </w:tcPr>
          <w:p>
            <w:pPr>
              <w:pStyle w:val="yTableNAm"/>
            </w:pPr>
            <w:r>
              <w:t>37.</w:t>
            </w:r>
          </w:p>
        </w:tc>
        <w:tc>
          <w:tcPr>
            <w:tcW w:w="1275"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38.</w:t>
            </w:r>
          </w:p>
        </w:tc>
        <w:tc>
          <w:tcPr>
            <w:tcW w:w="1275"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t>39.</w:t>
            </w:r>
          </w:p>
        </w:tc>
        <w:tc>
          <w:tcPr>
            <w:tcW w:w="1275"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851" w:type="dxa"/>
            <w:gridSpan w:val="2"/>
            <w:noWrap/>
          </w:tcPr>
          <w:p>
            <w:pPr>
              <w:pStyle w:val="yTableNAm"/>
            </w:pPr>
            <w:r>
              <w:t>40.</w:t>
            </w:r>
          </w:p>
        </w:tc>
        <w:tc>
          <w:tcPr>
            <w:tcW w:w="1275"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851" w:type="dxa"/>
            <w:gridSpan w:val="2"/>
            <w:noWrap/>
          </w:tcPr>
          <w:p>
            <w:pPr>
              <w:pStyle w:val="yTableNAm"/>
            </w:pPr>
            <w:r>
              <w:lastRenderedPageBreak/>
              <w:t>41.</w:t>
            </w:r>
          </w:p>
        </w:tc>
        <w:tc>
          <w:tcPr>
            <w:tcW w:w="1275"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851" w:type="dxa"/>
            <w:gridSpan w:val="2"/>
            <w:noWrap/>
          </w:tcPr>
          <w:p>
            <w:pPr>
              <w:pStyle w:val="yTableNAm"/>
            </w:pPr>
            <w:r>
              <w:t>42.</w:t>
            </w:r>
          </w:p>
        </w:tc>
        <w:tc>
          <w:tcPr>
            <w:tcW w:w="1275"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pPr>
            <w:r>
              <w:t>43.</w:t>
            </w:r>
          </w:p>
        </w:tc>
        <w:tc>
          <w:tcPr>
            <w:tcW w:w="1275"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44.</w:t>
            </w:r>
          </w:p>
        </w:tc>
        <w:tc>
          <w:tcPr>
            <w:tcW w:w="1275"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45.</w:t>
            </w:r>
          </w:p>
        </w:tc>
        <w:tc>
          <w:tcPr>
            <w:tcW w:w="1275"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keepNext/>
              <w:keepLines/>
            </w:pPr>
            <w:r>
              <w:t>46.</w:t>
            </w:r>
          </w:p>
        </w:tc>
        <w:tc>
          <w:tcPr>
            <w:tcW w:w="1275"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851" w:type="dxa"/>
            <w:gridSpan w:val="2"/>
            <w:noWrap/>
          </w:tcPr>
          <w:p>
            <w:pPr>
              <w:pStyle w:val="yTableNAm"/>
            </w:pPr>
            <w:r>
              <w:t>47.</w:t>
            </w:r>
          </w:p>
        </w:tc>
        <w:tc>
          <w:tcPr>
            <w:tcW w:w="1275"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48.</w:t>
            </w:r>
          </w:p>
        </w:tc>
        <w:tc>
          <w:tcPr>
            <w:tcW w:w="1275"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lastRenderedPageBreak/>
              <w:t>49.</w:t>
            </w:r>
          </w:p>
        </w:tc>
        <w:tc>
          <w:tcPr>
            <w:tcW w:w="1275"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keepNext/>
            </w:pPr>
            <w:r>
              <w:t>50.</w:t>
            </w:r>
          </w:p>
        </w:tc>
        <w:tc>
          <w:tcPr>
            <w:tcW w:w="1275"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851" w:type="dxa"/>
            <w:gridSpan w:val="2"/>
            <w:noWrap/>
          </w:tcPr>
          <w:p>
            <w:pPr>
              <w:pStyle w:val="yTableNAm"/>
            </w:pPr>
            <w:r>
              <w:t>51.</w:t>
            </w:r>
          </w:p>
        </w:tc>
        <w:tc>
          <w:tcPr>
            <w:tcW w:w="1275"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52.</w:t>
            </w:r>
          </w:p>
        </w:tc>
        <w:tc>
          <w:tcPr>
            <w:tcW w:w="1275"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keepNext/>
              <w:keepLines/>
            </w:pPr>
            <w:r>
              <w:t>53.</w:t>
            </w:r>
          </w:p>
        </w:tc>
        <w:tc>
          <w:tcPr>
            <w:tcW w:w="1275"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851" w:type="dxa"/>
            <w:gridSpan w:val="2"/>
            <w:noWrap/>
          </w:tcPr>
          <w:p>
            <w:pPr>
              <w:pStyle w:val="yTableNAm"/>
            </w:pPr>
            <w:r>
              <w:t>54.</w:t>
            </w:r>
          </w:p>
        </w:tc>
        <w:tc>
          <w:tcPr>
            <w:tcW w:w="1275"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t>55.</w:t>
            </w:r>
          </w:p>
        </w:tc>
        <w:tc>
          <w:tcPr>
            <w:tcW w:w="1275"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lastRenderedPageBreak/>
              <w:t>56.</w:t>
            </w:r>
          </w:p>
        </w:tc>
        <w:tc>
          <w:tcPr>
            <w:tcW w:w="1275"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851" w:type="dxa"/>
            <w:gridSpan w:val="2"/>
            <w:noWrap/>
          </w:tcPr>
          <w:p>
            <w:pPr>
              <w:pStyle w:val="yTableNAm"/>
            </w:pPr>
            <w:r>
              <w:t>57.</w:t>
            </w:r>
          </w:p>
        </w:tc>
        <w:tc>
          <w:tcPr>
            <w:tcW w:w="1275"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58.</w:t>
            </w:r>
          </w:p>
        </w:tc>
        <w:tc>
          <w:tcPr>
            <w:tcW w:w="1275"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59.</w:t>
            </w:r>
          </w:p>
        </w:tc>
        <w:tc>
          <w:tcPr>
            <w:tcW w:w="1275"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60.</w:t>
            </w:r>
          </w:p>
        </w:tc>
        <w:tc>
          <w:tcPr>
            <w:tcW w:w="1275"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851" w:type="dxa"/>
            <w:gridSpan w:val="2"/>
            <w:noWrap/>
          </w:tcPr>
          <w:p>
            <w:pPr>
              <w:pStyle w:val="yTableNAm"/>
            </w:pPr>
            <w:r>
              <w:t>61.</w:t>
            </w:r>
          </w:p>
        </w:tc>
        <w:tc>
          <w:tcPr>
            <w:tcW w:w="1275"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851" w:type="dxa"/>
            <w:gridSpan w:val="2"/>
            <w:noWrap/>
          </w:tcPr>
          <w:p>
            <w:pPr>
              <w:pStyle w:val="yTableNAm"/>
              <w:rPr>
                <w:highlight w:val="yellow"/>
              </w:rPr>
            </w:pPr>
            <w:r>
              <w:t>62.</w:t>
            </w:r>
          </w:p>
        </w:tc>
        <w:tc>
          <w:tcPr>
            <w:tcW w:w="1275"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63.</w:t>
            </w:r>
          </w:p>
        </w:tc>
        <w:tc>
          <w:tcPr>
            <w:tcW w:w="1275"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63A.</w:t>
            </w:r>
          </w:p>
        </w:tc>
        <w:tc>
          <w:tcPr>
            <w:tcW w:w="1275" w:type="dxa"/>
            <w:gridSpan w:val="2"/>
            <w:noWrap/>
          </w:tcPr>
          <w:p>
            <w:pPr>
              <w:pStyle w:val="yTableNAm"/>
            </w:pPr>
            <w:r>
              <w:t>r. 130D</w:t>
            </w:r>
          </w:p>
        </w:tc>
        <w:tc>
          <w:tcPr>
            <w:tcW w:w="2410" w:type="dxa"/>
            <w:noWrap/>
          </w:tcPr>
          <w:p>
            <w:pPr>
              <w:pStyle w:val="yTableNAm"/>
            </w:pPr>
            <w:r>
              <w:t>Falsely providing PTSS smartcard</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lastRenderedPageBreak/>
              <w:t>63AA.</w:t>
            </w:r>
          </w:p>
        </w:tc>
        <w:tc>
          <w:tcPr>
            <w:tcW w:w="1275" w:type="dxa"/>
            <w:gridSpan w:val="2"/>
            <w:noWrap/>
          </w:tcPr>
          <w:p>
            <w:pPr>
              <w:pStyle w:val="yTableNAm"/>
            </w:pPr>
            <w:r>
              <w:t>r. 130DA</w:t>
            </w:r>
          </w:p>
        </w:tc>
        <w:tc>
          <w:tcPr>
            <w:tcW w:w="2410" w:type="dxa"/>
            <w:noWrap/>
          </w:tcPr>
          <w:p>
            <w:pPr>
              <w:pStyle w:val="yTableNAm"/>
            </w:pPr>
            <w:r>
              <w:t>Refusing PTSS smartcard</w:t>
            </w:r>
          </w:p>
        </w:tc>
        <w:tc>
          <w:tcPr>
            <w:tcW w:w="1276" w:type="dxa"/>
            <w:noWrap/>
            <w:vAlign w:val="bottom"/>
          </w:tcPr>
          <w:p>
            <w:pPr>
              <w:pStyle w:val="yTableNAm"/>
            </w:pPr>
            <w:r>
              <w:t>$900</w:t>
            </w:r>
          </w:p>
        </w:tc>
        <w:tc>
          <w:tcPr>
            <w:tcW w:w="1171" w:type="dxa"/>
            <w:noWrap/>
            <w:vAlign w:val="bottom"/>
          </w:tcPr>
          <w:p>
            <w:pPr>
              <w:pStyle w:val="yTableNAm"/>
            </w:pPr>
            <w:r>
              <w:t>$1 800</w:t>
            </w:r>
          </w:p>
        </w:tc>
      </w:tr>
      <w:tr>
        <w:tc>
          <w:tcPr>
            <w:tcW w:w="851" w:type="dxa"/>
            <w:gridSpan w:val="2"/>
            <w:noWrap/>
          </w:tcPr>
          <w:p>
            <w:pPr>
              <w:pStyle w:val="yTableNAm"/>
            </w:pPr>
            <w:r>
              <w:t>63AB.</w:t>
            </w:r>
          </w:p>
        </w:tc>
        <w:tc>
          <w:tcPr>
            <w:tcW w:w="1275" w:type="dxa"/>
            <w:gridSpan w:val="2"/>
            <w:noWrap/>
          </w:tcPr>
          <w:p>
            <w:pPr>
              <w:pStyle w:val="yTableNAm"/>
            </w:pPr>
            <w:r>
              <w:t>r. 130DB</w:t>
            </w:r>
          </w:p>
        </w:tc>
        <w:tc>
          <w:tcPr>
            <w:tcW w:w="2410" w:type="dxa"/>
            <w:noWrap/>
          </w:tcPr>
          <w:p>
            <w:pPr>
              <w:pStyle w:val="yTableNAm"/>
            </w:pPr>
            <w:r>
              <w:t>Directing driver to refuse PTSS smartcard</w:t>
            </w:r>
          </w:p>
        </w:tc>
        <w:tc>
          <w:tcPr>
            <w:tcW w:w="1276" w:type="dxa"/>
            <w:noWrap/>
            <w:vAlign w:val="bottom"/>
          </w:tcPr>
          <w:p>
            <w:pPr>
              <w:pStyle w:val="yTableNAm"/>
            </w:pPr>
            <w:r>
              <w:t>$900</w:t>
            </w:r>
          </w:p>
        </w:tc>
        <w:tc>
          <w:tcPr>
            <w:tcW w:w="1171" w:type="dxa"/>
            <w:noWrap/>
            <w:vAlign w:val="bottom"/>
          </w:tcPr>
          <w:p>
            <w:pPr>
              <w:pStyle w:val="yTableNAm"/>
            </w:pPr>
            <w:r>
              <w:t>$1 800</w:t>
            </w:r>
          </w:p>
        </w:tc>
      </w:tr>
      <w:tr>
        <w:tc>
          <w:tcPr>
            <w:tcW w:w="851" w:type="dxa"/>
            <w:gridSpan w:val="2"/>
            <w:noWrap/>
          </w:tcPr>
          <w:p>
            <w:pPr>
              <w:pStyle w:val="yTableNAm"/>
            </w:pPr>
            <w:r>
              <w:t>63B.</w:t>
            </w:r>
          </w:p>
        </w:tc>
        <w:tc>
          <w:tcPr>
            <w:tcW w:w="1275" w:type="dxa"/>
            <w:gridSpan w:val="2"/>
            <w:noWrap/>
          </w:tcPr>
          <w:p>
            <w:pPr>
              <w:pStyle w:val="yTableNAm"/>
            </w:pPr>
            <w:r>
              <w:t>r. 130E</w:t>
            </w:r>
          </w:p>
        </w:tc>
        <w:tc>
          <w:tcPr>
            <w:tcW w:w="2410" w:type="dxa"/>
            <w:noWrap/>
          </w:tcPr>
          <w:p>
            <w:pPr>
              <w:pStyle w:val="yTableNAm"/>
              <w:rPr>
                <w:b/>
                <w:bCs/>
                <w:i/>
                <w:iCs/>
              </w:rPr>
            </w:pPr>
            <w:r>
              <w:t>Accepting PTSS smartcard from person who is not a PTSS passenger</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t>63C.</w:t>
            </w:r>
          </w:p>
        </w:tc>
        <w:tc>
          <w:tcPr>
            <w:tcW w:w="1275" w:type="dxa"/>
            <w:gridSpan w:val="2"/>
            <w:noWrap/>
          </w:tcPr>
          <w:p>
            <w:pPr>
              <w:pStyle w:val="yTableNAm"/>
            </w:pPr>
            <w:r>
              <w:t>r. 130F</w:t>
            </w:r>
          </w:p>
        </w:tc>
        <w:tc>
          <w:tcPr>
            <w:tcW w:w="2410" w:type="dxa"/>
            <w:noWrap/>
          </w:tcPr>
          <w:p>
            <w:pPr>
              <w:pStyle w:val="yTableNAm"/>
            </w:pPr>
            <w:r>
              <w:t>Entering false or misleading information into PTSS electronic interface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63D.</w:t>
            </w:r>
          </w:p>
        </w:tc>
        <w:tc>
          <w:tcPr>
            <w:tcW w:w="1275" w:type="dxa"/>
            <w:gridSpan w:val="2"/>
            <w:noWrap/>
          </w:tcPr>
          <w:p>
            <w:pPr>
              <w:pStyle w:val="yTableNAm"/>
            </w:pPr>
            <w:r>
              <w:t>r. 130G</w:t>
            </w:r>
          </w:p>
        </w:tc>
        <w:tc>
          <w:tcPr>
            <w:tcW w:w="2410" w:type="dxa"/>
            <w:noWrap/>
          </w:tcPr>
          <w:p>
            <w:pPr>
              <w:pStyle w:val="yTableNAm"/>
            </w:pPr>
            <w:r>
              <w:t>Driver causing or permitting another person to enter particular information into PTSS electronic interface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63E.</w:t>
            </w:r>
          </w:p>
        </w:tc>
        <w:tc>
          <w:tcPr>
            <w:tcW w:w="1275" w:type="dxa"/>
            <w:gridSpan w:val="2"/>
            <w:noWrap/>
          </w:tcPr>
          <w:p>
            <w:pPr>
              <w:pStyle w:val="yTableNAm"/>
            </w:pPr>
            <w:r>
              <w:t>r. 130H</w:t>
            </w:r>
          </w:p>
        </w:tc>
        <w:tc>
          <w:tcPr>
            <w:tcW w:w="2410" w:type="dxa"/>
            <w:noWrap/>
          </w:tcPr>
          <w:p>
            <w:pPr>
              <w:pStyle w:val="yTableNAm"/>
            </w:pPr>
            <w:r>
              <w:t>Provider causing or permitting another person to enter particular information into PTSS electronic interface</w:t>
            </w:r>
          </w:p>
        </w:tc>
        <w:tc>
          <w:tcPr>
            <w:tcW w:w="1276" w:type="dxa"/>
            <w:noWrap/>
            <w:vAlign w:val="bottom"/>
          </w:tcPr>
          <w:p>
            <w:pPr>
              <w:pStyle w:val="yTableNAm"/>
              <w:rPr>
                <w:rStyle w:val="DraftersNotes"/>
                <w:b w:val="0"/>
                <w:i w:val="0"/>
                <w:sz w:val="22"/>
              </w:rPr>
            </w:pPr>
            <w:r>
              <w:t>$900</w:t>
            </w:r>
          </w:p>
        </w:tc>
        <w:tc>
          <w:tcPr>
            <w:tcW w:w="1171" w:type="dxa"/>
            <w:noWrap/>
            <w:vAlign w:val="bottom"/>
          </w:tcPr>
          <w:p>
            <w:pPr>
              <w:pStyle w:val="yTableNAm"/>
            </w:pPr>
            <w:r>
              <w:t>$1 800</w:t>
            </w:r>
          </w:p>
        </w:tc>
      </w:tr>
      <w:tr>
        <w:tc>
          <w:tcPr>
            <w:tcW w:w="851" w:type="dxa"/>
            <w:gridSpan w:val="2"/>
            <w:noWrap/>
          </w:tcPr>
          <w:p>
            <w:pPr>
              <w:pStyle w:val="yTableNAm"/>
            </w:pPr>
            <w:r>
              <w:t>63EA.</w:t>
            </w:r>
          </w:p>
        </w:tc>
        <w:tc>
          <w:tcPr>
            <w:tcW w:w="1275" w:type="dxa"/>
            <w:gridSpan w:val="2"/>
            <w:noWrap/>
          </w:tcPr>
          <w:p>
            <w:pPr>
              <w:pStyle w:val="yTableNAm"/>
            </w:pPr>
            <w:r>
              <w:t>r. 130HA</w:t>
            </w:r>
          </w:p>
        </w:tc>
        <w:tc>
          <w:tcPr>
            <w:tcW w:w="2410" w:type="dxa"/>
            <w:noWrap/>
          </w:tcPr>
          <w:p>
            <w:pPr>
              <w:pStyle w:val="yTableNAm"/>
            </w:pPr>
            <w:r>
              <w:t>Failure to fit vehicle with PTSS electronic device that is not a mobile phone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lastRenderedPageBreak/>
              <w:t>63EB.</w:t>
            </w:r>
          </w:p>
        </w:tc>
        <w:tc>
          <w:tcPr>
            <w:tcW w:w="1275" w:type="dxa"/>
            <w:gridSpan w:val="2"/>
            <w:noWrap/>
          </w:tcPr>
          <w:p>
            <w:pPr>
              <w:pStyle w:val="yTableNAm"/>
            </w:pPr>
            <w:r>
              <w:t>r. 130HB</w:t>
            </w:r>
          </w:p>
        </w:tc>
        <w:tc>
          <w:tcPr>
            <w:tcW w:w="2410" w:type="dxa"/>
            <w:noWrap/>
          </w:tcPr>
          <w:p>
            <w:pPr>
              <w:pStyle w:val="yTableNAm"/>
            </w:pPr>
            <w:r>
              <w:t>Failure to ensure vehicle contains or is fitted with PTSS electronic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63F.</w:t>
            </w:r>
          </w:p>
        </w:tc>
        <w:tc>
          <w:tcPr>
            <w:tcW w:w="1275" w:type="dxa"/>
            <w:gridSpan w:val="2"/>
            <w:noWrap/>
          </w:tcPr>
          <w:p>
            <w:pPr>
              <w:pStyle w:val="yTableNAm"/>
            </w:pPr>
            <w:r>
              <w:t>r. 130I</w:t>
            </w:r>
          </w:p>
        </w:tc>
        <w:tc>
          <w:tcPr>
            <w:tcW w:w="2410" w:type="dxa"/>
            <w:noWrap/>
          </w:tcPr>
          <w:p>
            <w:pPr>
              <w:pStyle w:val="yTableNAm"/>
            </w:pPr>
            <w:r>
              <w:t>False claim for payment</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63G.</w:t>
            </w:r>
          </w:p>
        </w:tc>
        <w:tc>
          <w:tcPr>
            <w:tcW w:w="1275" w:type="dxa"/>
            <w:gridSpan w:val="2"/>
            <w:noWrap/>
          </w:tcPr>
          <w:p>
            <w:pPr>
              <w:pStyle w:val="yTableNAm"/>
            </w:pPr>
            <w:r>
              <w:t>r. 130J(2)</w:t>
            </w:r>
          </w:p>
        </w:tc>
        <w:tc>
          <w:tcPr>
            <w:tcW w:w="2410" w:type="dxa"/>
            <w:noWrap/>
          </w:tcPr>
          <w:p>
            <w:pPr>
              <w:pStyle w:val="yTableNAm"/>
            </w:pPr>
            <w:r>
              <w:t>Failure to provide aggregated journey data</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63H.</w:t>
            </w:r>
          </w:p>
        </w:tc>
        <w:tc>
          <w:tcPr>
            <w:tcW w:w="1275" w:type="dxa"/>
            <w:gridSpan w:val="2"/>
            <w:noWrap/>
          </w:tcPr>
          <w:p>
            <w:pPr>
              <w:pStyle w:val="yTableNAm"/>
            </w:pPr>
            <w:r>
              <w:t>r. 130J(4)</w:t>
            </w:r>
          </w:p>
        </w:tc>
        <w:tc>
          <w:tcPr>
            <w:tcW w:w="2410" w:type="dxa"/>
            <w:noWrap/>
          </w:tcPr>
          <w:p>
            <w:pPr>
              <w:pStyle w:val="yTableNAm"/>
            </w:pPr>
            <w:r>
              <w:t>Failure to comply with notice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64.</w:t>
            </w:r>
          </w:p>
        </w:tc>
        <w:tc>
          <w:tcPr>
            <w:tcW w:w="1275"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65.</w:t>
            </w:r>
          </w:p>
        </w:tc>
        <w:tc>
          <w:tcPr>
            <w:tcW w:w="1275"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pPr>
            <w:r>
              <w:t>66.</w:t>
            </w:r>
          </w:p>
        </w:tc>
        <w:tc>
          <w:tcPr>
            <w:tcW w:w="1275"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67.</w:t>
            </w:r>
          </w:p>
        </w:tc>
        <w:tc>
          <w:tcPr>
            <w:tcW w:w="1275"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68.</w:t>
            </w:r>
          </w:p>
        </w:tc>
        <w:tc>
          <w:tcPr>
            <w:tcW w:w="1275"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lastRenderedPageBreak/>
              <w:t>69.</w:t>
            </w:r>
          </w:p>
        </w:tc>
        <w:tc>
          <w:tcPr>
            <w:tcW w:w="1275"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t>70.</w:t>
            </w:r>
          </w:p>
        </w:tc>
        <w:tc>
          <w:tcPr>
            <w:tcW w:w="1275"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851" w:type="dxa"/>
            <w:gridSpan w:val="2"/>
            <w:noWrap/>
          </w:tcPr>
          <w:p>
            <w:pPr>
              <w:pStyle w:val="yTableNAm"/>
            </w:pPr>
            <w:r>
              <w:t>71.</w:t>
            </w:r>
          </w:p>
        </w:tc>
        <w:tc>
          <w:tcPr>
            <w:tcW w:w="1275"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851" w:type="dxa"/>
            <w:gridSpan w:val="2"/>
            <w:noWrap/>
          </w:tcPr>
          <w:p>
            <w:pPr>
              <w:pStyle w:val="yTableNAm"/>
            </w:pPr>
            <w:r>
              <w:t>72.</w:t>
            </w:r>
          </w:p>
        </w:tc>
        <w:tc>
          <w:tcPr>
            <w:tcW w:w="1275"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73.</w:t>
            </w:r>
          </w:p>
        </w:tc>
        <w:tc>
          <w:tcPr>
            <w:tcW w:w="1275"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keepNext/>
            </w:pPr>
            <w:r>
              <w:t>74.</w:t>
            </w:r>
          </w:p>
        </w:tc>
        <w:tc>
          <w:tcPr>
            <w:tcW w:w="1275"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75.</w:t>
            </w:r>
          </w:p>
        </w:tc>
        <w:tc>
          <w:tcPr>
            <w:tcW w:w="1275"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76.</w:t>
            </w:r>
          </w:p>
        </w:tc>
        <w:tc>
          <w:tcPr>
            <w:tcW w:w="1275" w:type="dxa"/>
            <w:gridSpan w:val="2"/>
            <w:noWrap/>
          </w:tcPr>
          <w:p>
            <w:pPr>
              <w:pStyle w:val="yTableNAm"/>
            </w:pPr>
            <w:r>
              <w:t>r. 140(1)</w:t>
            </w:r>
          </w:p>
        </w:tc>
        <w:tc>
          <w:tcPr>
            <w:tcW w:w="2410" w:type="dxa"/>
            <w:noWrap/>
          </w:tcPr>
          <w:p>
            <w:pPr>
              <w:pStyle w:val="yTableNAm"/>
            </w:pPr>
            <w:r>
              <w:t xml:space="preserve">Operation of unauthorised vehicle </w:t>
            </w:r>
            <w:r>
              <w:lastRenderedPageBreak/>
              <w:t>with number plates identifying it as passenger transport vehicle</w:t>
            </w:r>
          </w:p>
        </w:tc>
        <w:tc>
          <w:tcPr>
            <w:tcW w:w="1276" w:type="dxa"/>
            <w:noWrap/>
            <w:vAlign w:val="bottom"/>
          </w:tcPr>
          <w:p>
            <w:pPr>
              <w:pStyle w:val="yTableNAm"/>
            </w:pPr>
            <w:r>
              <w:lastRenderedPageBreak/>
              <w:t>$1800</w:t>
            </w:r>
          </w:p>
        </w:tc>
        <w:tc>
          <w:tcPr>
            <w:tcW w:w="1171" w:type="dxa"/>
            <w:noWrap/>
            <w:vAlign w:val="bottom"/>
          </w:tcPr>
          <w:p>
            <w:pPr>
              <w:pStyle w:val="yTableNAm"/>
            </w:pPr>
            <w:r>
              <w:t>$6 000</w:t>
            </w:r>
          </w:p>
        </w:tc>
      </w:tr>
      <w:tr>
        <w:tc>
          <w:tcPr>
            <w:tcW w:w="851" w:type="dxa"/>
            <w:gridSpan w:val="2"/>
            <w:noWrap/>
          </w:tcPr>
          <w:p>
            <w:pPr>
              <w:pStyle w:val="yTableNAm"/>
            </w:pPr>
            <w:r>
              <w:t>77.</w:t>
            </w:r>
          </w:p>
        </w:tc>
        <w:tc>
          <w:tcPr>
            <w:tcW w:w="1275"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851" w:type="dxa"/>
            <w:gridSpan w:val="2"/>
            <w:noWrap/>
          </w:tcPr>
          <w:p>
            <w:pPr>
              <w:pStyle w:val="yTableNAm"/>
            </w:pPr>
            <w:r>
              <w:t>78.</w:t>
            </w:r>
          </w:p>
        </w:tc>
        <w:tc>
          <w:tcPr>
            <w:tcW w:w="1275"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851" w:type="dxa"/>
            <w:gridSpan w:val="2"/>
            <w:noWrap/>
          </w:tcPr>
          <w:p>
            <w:pPr>
              <w:pStyle w:val="yTableNAm"/>
            </w:pPr>
            <w:r>
              <w:t>79.</w:t>
            </w:r>
          </w:p>
        </w:tc>
        <w:tc>
          <w:tcPr>
            <w:tcW w:w="1275" w:type="dxa"/>
            <w:gridSpan w:val="2"/>
            <w:noWrap/>
          </w:tcPr>
          <w:p>
            <w:pPr>
              <w:pStyle w:val="yTableNAm"/>
            </w:pPr>
            <w:r>
              <w:t>r. 180(5)</w:t>
            </w:r>
          </w:p>
        </w:tc>
        <w:tc>
          <w:tcPr>
            <w:tcW w:w="2410" w:type="dxa"/>
            <w:noWrap/>
          </w:tcPr>
          <w:p>
            <w:pPr>
              <w:pStyle w:val="yTableNAm"/>
            </w:pPr>
            <w:r>
              <w:t xml:space="preserve">Failure to comply with notice given by CEO or authorised officer under r. 180(1) — </w:t>
            </w:r>
          </w:p>
          <w:p>
            <w:pPr>
              <w:pStyle w:val="yTableNAm"/>
              <w:ind w:left="567" w:hanging="567"/>
            </w:pPr>
            <w:r>
              <w:t>(a)</w:t>
            </w:r>
            <w:r>
              <w:tab/>
              <w:t>if the notice is given under r. 180(1)(a)</w:t>
            </w:r>
          </w:p>
          <w:p>
            <w:pPr>
              <w:pStyle w:val="yTableNAm"/>
              <w:ind w:left="567" w:hanging="567"/>
            </w:pPr>
            <w:r>
              <w:t>(b)</w:t>
            </w:r>
            <w:r>
              <w:tab/>
              <w:t>if the notice is given under r. 180(1)(b), (c), (d) or (e)</w:t>
            </w:r>
          </w:p>
        </w:tc>
        <w:tc>
          <w:tcPr>
            <w:tcW w:w="1276" w:type="dxa"/>
            <w:noWrap/>
          </w:tcPr>
          <w:p>
            <w:pPr>
              <w:pStyle w:val="yTableNAm"/>
            </w:pPr>
            <w:r>
              <w:br/>
            </w:r>
            <w:r>
              <w:br/>
            </w:r>
            <w:r>
              <w:br/>
            </w:r>
            <w:r>
              <w:br/>
            </w:r>
          </w:p>
          <w:p>
            <w:pPr>
              <w:pStyle w:val="yTableNAm"/>
            </w:pPr>
            <w:r>
              <w:br/>
              <w:t>$1 800</w:t>
            </w:r>
          </w:p>
          <w:p>
            <w:pPr>
              <w:pStyle w:val="yTableNAm"/>
            </w:pPr>
            <w:r>
              <w:br/>
            </w:r>
            <w:r>
              <w:br/>
            </w:r>
            <w:r>
              <w:br/>
              <w:t>$1 200</w:t>
            </w:r>
          </w:p>
        </w:tc>
        <w:tc>
          <w:tcPr>
            <w:tcW w:w="1171" w:type="dxa"/>
            <w:noWrap/>
          </w:tcPr>
          <w:p>
            <w:pPr>
              <w:pStyle w:val="yTableNAm"/>
            </w:pPr>
            <w:r>
              <w:br/>
            </w:r>
            <w:r>
              <w:br/>
            </w:r>
            <w:r>
              <w:br/>
            </w:r>
            <w:r>
              <w:br/>
            </w:r>
          </w:p>
          <w:p>
            <w:pPr>
              <w:pStyle w:val="yTableNAm"/>
            </w:pPr>
            <w:r>
              <w:br/>
              <w:t>$6 000</w:t>
            </w:r>
          </w:p>
          <w:p>
            <w:pPr>
              <w:pStyle w:val="yTableNAm"/>
            </w:pPr>
            <w:r>
              <w:br/>
            </w:r>
            <w:r>
              <w:br/>
            </w:r>
            <w:r>
              <w:br/>
              <w:t>$4 000</w:t>
            </w:r>
          </w:p>
        </w:tc>
      </w:tr>
      <w:tr>
        <w:tc>
          <w:tcPr>
            <w:tcW w:w="6983" w:type="dxa"/>
            <w:gridSpan w:val="7"/>
            <w:noWrap/>
            <w:vAlign w:val="center"/>
          </w:tcPr>
          <w:p>
            <w:pPr>
              <w:pStyle w:val="yTableNAm"/>
              <w:keepNext/>
            </w:pPr>
            <w:r>
              <w:lastRenderedPageBreak/>
              <w:t xml:space="preserve">Offences under the </w:t>
            </w:r>
            <w:r>
              <w:rPr>
                <w:i/>
              </w:rPr>
              <w:t>Transport (Road Passenger Services) Act 2018</w:t>
            </w:r>
          </w:p>
        </w:tc>
      </w:tr>
      <w:tr>
        <w:tc>
          <w:tcPr>
            <w:tcW w:w="709" w:type="dxa"/>
            <w:noWrap/>
          </w:tcPr>
          <w:p>
            <w:pPr>
              <w:pStyle w:val="yTableNAm"/>
            </w:pPr>
            <w:r>
              <w:t>80.</w:t>
            </w:r>
          </w:p>
        </w:tc>
        <w:tc>
          <w:tcPr>
            <w:tcW w:w="1276"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709" w:type="dxa"/>
            <w:noWrap/>
          </w:tcPr>
          <w:p>
            <w:pPr>
              <w:pStyle w:val="yTableNAm"/>
            </w:pPr>
            <w:r>
              <w:t>81.</w:t>
            </w:r>
          </w:p>
        </w:tc>
        <w:tc>
          <w:tcPr>
            <w:tcW w:w="1276"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709" w:type="dxa"/>
            <w:noWrap/>
          </w:tcPr>
          <w:p>
            <w:pPr>
              <w:pStyle w:val="yTableNAm"/>
            </w:pPr>
            <w:r>
              <w:t>82.</w:t>
            </w:r>
          </w:p>
        </w:tc>
        <w:tc>
          <w:tcPr>
            <w:tcW w:w="1276"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709" w:type="dxa"/>
            <w:noWrap/>
          </w:tcPr>
          <w:p>
            <w:pPr>
              <w:pStyle w:val="yTableNAm"/>
            </w:pPr>
            <w:r>
              <w:t>83.</w:t>
            </w:r>
          </w:p>
        </w:tc>
        <w:tc>
          <w:tcPr>
            <w:tcW w:w="1276"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709" w:type="dxa"/>
            <w:noWrap/>
          </w:tcPr>
          <w:p>
            <w:pPr>
              <w:pStyle w:val="yTableNAm"/>
            </w:pPr>
            <w:r>
              <w:t>84.</w:t>
            </w:r>
          </w:p>
        </w:tc>
        <w:tc>
          <w:tcPr>
            <w:tcW w:w="1276"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709" w:type="dxa"/>
            <w:noWrap/>
          </w:tcPr>
          <w:p>
            <w:pPr>
              <w:pStyle w:val="yTableNAm"/>
            </w:pPr>
            <w:r>
              <w:t>85.</w:t>
            </w:r>
          </w:p>
        </w:tc>
        <w:tc>
          <w:tcPr>
            <w:tcW w:w="1276"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86.</w:t>
            </w:r>
          </w:p>
        </w:tc>
        <w:tc>
          <w:tcPr>
            <w:tcW w:w="1276"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lastRenderedPageBreak/>
              <w:t>87.</w:t>
            </w:r>
          </w:p>
        </w:tc>
        <w:tc>
          <w:tcPr>
            <w:tcW w:w="1276"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88.</w:t>
            </w:r>
          </w:p>
        </w:tc>
        <w:tc>
          <w:tcPr>
            <w:tcW w:w="1276"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89.</w:t>
            </w:r>
          </w:p>
        </w:tc>
        <w:tc>
          <w:tcPr>
            <w:tcW w:w="1276"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noWrap/>
          </w:tcPr>
          <w:p>
            <w:pPr>
              <w:pStyle w:val="yTableNAm"/>
            </w:pPr>
            <w:r>
              <w:t>90.</w:t>
            </w:r>
          </w:p>
        </w:tc>
        <w:tc>
          <w:tcPr>
            <w:tcW w:w="1276"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709" w:type="dxa"/>
            <w:noWrap/>
          </w:tcPr>
          <w:p>
            <w:pPr>
              <w:pStyle w:val="yTableNAm"/>
            </w:pPr>
            <w:r>
              <w:t>91.</w:t>
            </w:r>
          </w:p>
        </w:tc>
        <w:tc>
          <w:tcPr>
            <w:tcW w:w="1276"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709" w:type="dxa"/>
            <w:noWrap/>
          </w:tcPr>
          <w:p>
            <w:pPr>
              <w:pStyle w:val="yTableNAm"/>
            </w:pPr>
            <w:r>
              <w:t>92.</w:t>
            </w:r>
          </w:p>
        </w:tc>
        <w:tc>
          <w:tcPr>
            <w:tcW w:w="1276"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709" w:type="dxa"/>
            <w:noWrap/>
          </w:tcPr>
          <w:p>
            <w:pPr>
              <w:pStyle w:val="yTableNAm"/>
            </w:pPr>
            <w:r>
              <w:t>93.</w:t>
            </w:r>
          </w:p>
        </w:tc>
        <w:tc>
          <w:tcPr>
            <w:tcW w:w="1276"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709" w:type="dxa"/>
            <w:noWrap/>
          </w:tcPr>
          <w:p>
            <w:pPr>
              <w:pStyle w:val="yTableNAm"/>
            </w:pPr>
            <w:r>
              <w:t>94.</w:t>
            </w:r>
          </w:p>
        </w:tc>
        <w:tc>
          <w:tcPr>
            <w:tcW w:w="1276"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709" w:type="dxa"/>
            <w:noWrap/>
          </w:tcPr>
          <w:p>
            <w:pPr>
              <w:pStyle w:val="yTableNAm"/>
              <w:keepNext/>
            </w:pPr>
            <w:r>
              <w:lastRenderedPageBreak/>
              <w:t>95.</w:t>
            </w:r>
          </w:p>
        </w:tc>
        <w:tc>
          <w:tcPr>
            <w:tcW w:w="1276"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pStyle w:val="yFootnotesection"/>
      </w:pPr>
      <w:r>
        <w:tab/>
        <w:t>[Schedule 6 amended: SL 2024/245 r. 6 and 9.]</w:t>
      </w:r>
    </w:p>
    <w:p>
      <w:pPr>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511" w:name="_Toc191024478"/>
      <w:bookmarkStart w:id="512" w:name="_Toc191025673"/>
      <w:bookmarkStart w:id="513" w:name="_Toc191042197"/>
      <w:r>
        <w:rPr>
          <w:rStyle w:val="CharSchNo"/>
        </w:rPr>
        <w:lastRenderedPageBreak/>
        <w:t>Schedule 7</w:t>
      </w:r>
      <w:r>
        <w:rPr>
          <w:rStyle w:val="CharSDivNo"/>
        </w:rPr>
        <w:t> </w:t>
      </w:r>
      <w:r>
        <w:t>—</w:t>
      </w:r>
      <w:r>
        <w:rPr>
          <w:rStyle w:val="CharSDivText"/>
        </w:rPr>
        <w:t> </w:t>
      </w:r>
      <w:r>
        <w:rPr>
          <w:rStyle w:val="CharSchText"/>
        </w:rPr>
        <w:t>Forms</w:t>
      </w:r>
      <w:bookmarkEnd w:id="511"/>
      <w:bookmarkEnd w:id="512"/>
      <w:bookmarkEnd w:id="513"/>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lastRenderedPageBreak/>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lastRenderedPageBreak/>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pPr>
        <w:pStyle w:val="nHeading2"/>
      </w:pPr>
      <w:bookmarkStart w:id="514" w:name="_Toc191024479"/>
      <w:bookmarkStart w:id="515" w:name="_Toc191025674"/>
      <w:bookmarkStart w:id="516" w:name="_Toc191042198"/>
      <w:r>
        <w:lastRenderedPageBreak/>
        <w:t>Notes</w:t>
      </w:r>
      <w:bookmarkEnd w:id="514"/>
      <w:bookmarkEnd w:id="515"/>
      <w:bookmarkEnd w:id="516"/>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17" w:name="_Toc191042199"/>
      <w:r>
        <w:t>Compilation table</w:t>
      </w:r>
      <w:bookmarkEnd w:id="51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lastRenderedPageBreak/>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noProof/>
              </w:rPr>
              <w:t>Transport (Road Passenger Services) Amendment Regulations 2024</w:t>
            </w:r>
          </w:p>
        </w:tc>
        <w:tc>
          <w:tcPr>
            <w:tcW w:w="1276" w:type="dxa"/>
            <w:tcBorders>
              <w:top w:val="nil"/>
              <w:bottom w:val="nil"/>
            </w:tcBorders>
            <w:shd w:val="clear" w:color="auto" w:fill="auto"/>
          </w:tcPr>
          <w:p>
            <w:pPr>
              <w:pStyle w:val="nTable"/>
              <w:spacing w:after="40"/>
            </w:pPr>
            <w:r>
              <w:t>SL 2024/40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3 May 2024 (see r. 2(b))</w:t>
            </w:r>
          </w:p>
        </w:tc>
      </w:tr>
      <w:tr>
        <w:trPr>
          <w:cantSplit/>
        </w:trPr>
        <w:tc>
          <w:tcPr>
            <w:tcW w:w="3118" w:type="dxa"/>
            <w:tcBorders>
              <w:top w:val="nil"/>
              <w:bottom w:val="nil"/>
            </w:tcBorders>
            <w:shd w:val="clear" w:color="auto" w:fill="auto"/>
          </w:tcPr>
          <w:p>
            <w:pPr>
              <w:pStyle w:val="nTable"/>
              <w:spacing w:after="40"/>
              <w:rPr>
                <w:i/>
                <w:noProof/>
              </w:rPr>
            </w:pPr>
            <w:r>
              <w:rPr>
                <w:i/>
                <w:noProof/>
              </w:rPr>
              <w:t xml:space="preserve">Transport Regulations Amendment (Fees and Charges) Regulations 2024 </w:t>
            </w:r>
            <w:r>
              <w:rPr>
                <w:iCs/>
                <w:noProof/>
              </w:rPr>
              <w:t>Pt. 5</w:t>
            </w:r>
          </w:p>
        </w:tc>
        <w:tc>
          <w:tcPr>
            <w:tcW w:w="1276" w:type="dxa"/>
            <w:tcBorders>
              <w:top w:val="nil"/>
              <w:bottom w:val="nil"/>
            </w:tcBorders>
            <w:shd w:val="clear" w:color="auto" w:fill="auto"/>
          </w:tcPr>
          <w:p>
            <w:pPr>
              <w:pStyle w:val="nTable"/>
              <w:spacing w:after="40"/>
            </w:pPr>
            <w:r>
              <w:t>SL 2024/58 1 May 2024</w:t>
            </w:r>
          </w:p>
        </w:tc>
        <w:tc>
          <w:tcPr>
            <w:tcW w:w="2693" w:type="dxa"/>
            <w:tcBorders>
              <w:top w:val="nil"/>
              <w:bottom w:val="nil"/>
            </w:tcBorders>
            <w:shd w:val="clear" w:color="auto" w:fill="auto"/>
          </w:tcPr>
          <w:p>
            <w:pPr>
              <w:pStyle w:val="nTable"/>
              <w:spacing w:after="40"/>
            </w:pPr>
            <w:r>
              <w:t>1 Jul 2024 (see r. 2(c))</w:t>
            </w:r>
          </w:p>
        </w:tc>
      </w:tr>
      <w:tr>
        <w:trPr>
          <w:cantSplit/>
        </w:trPr>
        <w:tc>
          <w:tcPr>
            <w:tcW w:w="3118" w:type="dxa"/>
            <w:tcBorders>
              <w:top w:val="nil"/>
              <w:bottom w:val="nil"/>
            </w:tcBorders>
            <w:shd w:val="clear" w:color="auto" w:fill="auto"/>
          </w:tcPr>
          <w:p>
            <w:pPr>
              <w:pStyle w:val="nTable"/>
              <w:spacing w:after="40"/>
              <w:rPr>
                <w:iCs/>
                <w:noProof/>
              </w:rPr>
            </w:pPr>
            <w:r>
              <w:rPr>
                <w:i/>
              </w:rPr>
              <w:t>Transport (Road Passenger Services) Amendment Regulations (No. 3) 2024</w:t>
            </w:r>
            <w:r>
              <w:rPr>
                <w:iCs/>
              </w:rPr>
              <w:t xml:space="preserve"> (other than Pt. 4)</w:t>
            </w:r>
          </w:p>
        </w:tc>
        <w:tc>
          <w:tcPr>
            <w:tcW w:w="1276" w:type="dxa"/>
            <w:tcBorders>
              <w:top w:val="nil"/>
              <w:bottom w:val="nil"/>
            </w:tcBorders>
            <w:shd w:val="clear" w:color="auto" w:fill="auto"/>
          </w:tcPr>
          <w:p>
            <w:pPr>
              <w:pStyle w:val="nTable"/>
              <w:spacing w:after="40"/>
            </w:pPr>
            <w:r>
              <w:t>SL 2024/245 27 Nov 2024</w:t>
            </w:r>
          </w:p>
        </w:tc>
        <w:tc>
          <w:tcPr>
            <w:tcW w:w="2693" w:type="dxa"/>
            <w:tcBorders>
              <w:top w:val="nil"/>
              <w:bottom w:val="nil"/>
            </w:tcBorders>
            <w:shd w:val="clear" w:color="auto" w:fill="auto"/>
          </w:tcPr>
          <w:p>
            <w:pPr>
              <w:pStyle w:val="nTable"/>
              <w:spacing w:after="40"/>
            </w:pPr>
            <w:r>
              <w:t>Pt. 1: 27 Nov 2024 (see r. 2(a));</w:t>
            </w:r>
            <w:r>
              <w:br/>
              <w:t>Pt. 2: 2 Dec 2024 (see r. 2(b));</w:t>
            </w:r>
            <w:r>
              <w:br/>
              <w:t>Pt. 3: 1 Mar 2025 (see r. 2(c))</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5) 2024</w:t>
            </w:r>
          </w:p>
        </w:tc>
        <w:tc>
          <w:tcPr>
            <w:tcW w:w="1276" w:type="dxa"/>
            <w:tcBorders>
              <w:top w:val="nil"/>
              <w:bottom w:val="nil"/>
            </w:tcBorders>
            <w:shd w:val="clear" w:color="auto" w:fill="auto"/>
          </w:tcPr>
          <w:p>
            <w:pPr>
              <w:pStyle w:val="nTable"/>
              <w:spacing w:after="40"/>
            </w:pPr>
            <w:r>
              <w:t>SL 2024/278 18 Dec 2024</w:t>
            </w:r>
          </w:p>
        </w:tc>
        <w:tc>
          <w:tcPr>
            <w:tcW w:w="2693" w:type="dxa"/>
            <w:tcBorders>
              <w:top w:val="nil"/>
              <w:bottom w:val="nil"/>
            </w:tcBorders>
            <w:shd w:val="clear" w:color="auto" w:fill="auto"/>
          </w:tcPr>
          <w:p>
            <w:pPr>
              <w:pStyle w:val="nTable"/>
              <w:spacing w:after="40"/>
            </w:pPr>
            <w:r>
              <w:t>r. 1 and 2: 18 Dec 2024 (see r. 2(a));</w:t>
            </w:r>
            <w:r>
              <w:br/>
              <w:t>Regulations other than r. 1 and 2: 20 Dec 2024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(Road Passenger Services) Amendment Regulations (No. 2) 2024</w:t>
            </w:r>
          </w:p>
        </w:tc>
        <w:tc>
          <w:tcPr>
            <w:tcW w:w="1276" w:type="dxa"/>
            <w:tcBorders>
              <w:top w:val="nil"/>
              <w:bottom w:val="single" w:sz="4" w:space="0" w:color="auto"/>
            </w:tcBorders>
            <w:shd w:val="clear" w:color="auto" w:fill="auto"/>
          </w:tcPr>
          <w:p>
            <w:pPr>
              <w:pStyle w:val="nTable"/>
              <w:spacing w:after="40"/>
            </w:pPr>
            <w:r>
              <w:t>SL 2024/286 18 Dec 2024</w:t>
            </w:r>
          </w:p>
        </w:tc>
        <w:tc>
          <w:tcPr>
            <w:tcW w:w="2693" w:type="dxa"/>
            <w:tcBorders>
              <w:top w:val="nil"/>
              <w:bottom w:val="single" w:sz="4" w:space="0" w:color="auto"/>
            </w:tcBorders>
            <w:shd w:val="clear" w:color="auto" w:fill="auto"/>
          </w:tcPr>
          <w:p>
            <w:pPr>
              <w:pStyle w:val="nTable"/>
              <w:spacing w:after="40"/>
            </w:pPr>
            <w:r>
              <w:t>r. 1 and 2: 18 Dec 2024 (see r. 2(a));</w:t>
            </w:r>
            <w:r>
              <w:br/>
              <w:t>Regulations other than r. 1 and 2: 19 Dec 2024 (see r. 2(b))</w:t>
            </w:r>
          </w:p>
        </w:tc>
      </w:tr>
    </w:tbl>
    <w:p>
      <w:pPr>
        <w:pStyle w:val="nHeading3"/>
      </w:pPr>
      <w:bookmarkStart w:id="518" w:name="_Toc191042200"/>
      <w:r>
        <w:t>Uncommenced provisions table</w:t>
      </w:r>
      <w:bookmarkEnd w:id="51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Cs/>
              </w:rPr>
            </w:pPr>
            <w:r>
              <w:rPr>
                <w:i/>
              </w:rPr>
              <w:t>Transport (Road Passenger Services) Amendment Regulations (No. 3) 2024</w:t>
            </w:r>
            <w:r>
              <w:rPr>
                <w:iCs/>
              </w:rPr>
              <w:t xml:space="preserve"> Pt. 4</w:t>
            </w:r>
          </w:p>
        </w:tc>
        <w:tc>
          <w:tcPr>
            <w:tcW w:w="1276" w:type="dxa"/>
            <w:tcBorders>
              <w:bottom w:val="nil"/>
            </w:tcBorders>
          </w:tcPr>
          <w:p>
            <w:pPr>
              <w:pStyle w:val="nTable"/>
              <w:spacing w:after="40"/>
            </w:pPr>
            <w:r>
              <w:t>SL 2024/245 27 Nov 2024</w:t>
            </w:r>
          </w:p>
        </w:tc>
        <w:tc>
          <w:tcPr>
            <w:tcW w:w="2693" w:type="dxa"/>
            <w:tcBorders>
              <w:bottom w:val="nil"/>
            </w:tcBorders>
          </w:tcPr>
          <w:p>
            <w:pPr>
              <w:pStyle w:val="nTable"/>
              <w:spacing w:after="40"/>
            </w:pPr>
            <w:r>
              <w:t>1 Oct 2025 (see r. 2(d))</w:t>
            </w:r>
          </w:p>
        </w:tc>
      </w:tr>
      <w:tr>
        <w:tc>
          <w:tcPr>
            <w:tcW w:w="3118" w:type="dxa"/>
            <w:tcBorders>
              <w:top w:val="nil"/>
              <w:bottom w:val="single" w:sz="4" w:space="0" w:color="auto"/>
            </w:tcBorders>
          </w:tcPr>
          <w:p>
            <w:pPr>
              <w:pStyle w:val="nTable"/>
              <w:spacing w:after="40"/>
              <w:rPr>
                <w:iCs/>
              </w:rPr>
            </w:pPr>
            <w:r>
              <w:rPr>
                <w:i/>
              </w:rPr>
              <w:lastRenderedPageBreak/>
              <w:t>Transport (Road Passenger Services) Amendment Regulations (No. 4) 2024</w:t>
            </w:r>
            <w:r>
              <w:rPr>
                <w:iCs/>
              </w:rPr>
              <w:t xml:space="preserve"> r. 3-5</w:t>
            </w:r>
          </w:p>
        </w:tc>
        <w:tc>
          <w:tcPr>
            <w:tcW w:w="1276" w:type="dxa"/>
            <w:tcBorders>
              <w:top w:val="nil"/>
              <w:bottom w:val="single" w:sz="4" w:space="0" w:color="auto"/>
            </w:tcBorders>
          </w:tcPr>
          <w:p>
            <w:pPr>
              <w:pStyle w:val="nTable"/>
              <w:spacing w:after="40"/>
            </w:pPr>
            <w:r>
              <w:t>SL 2024/291 21 Dec 2024</w:t>
            </w:r>
          </w:p>
        </w:tc>
        <w:tc>
          <w:tcPr>
            <w:tcW w:w="2693" w:type="dxa"/>
            <w:tcBorders>
              <w:top w:val="nil"/>
              <w:bottom w:val="single" w:sz="4" w:space="0" w:color="auto"/>
            </w:tcBorders>
          </w:tcPr>
          <w:p>
            <w:pPr>
              <w:pStyle w:val="nTable"/>
              <w:spacing w:after="40"/>
            </w:pPr>
            <w:r>
              <w:t>31 Mar 2025 (see r. 2(b) and SL 2024/289 cl. 2)</w:t>
            </w:r>
          </w:p>
        </w:tc>
      </w:tr>
    </w:tbl>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520" w:name="_Toc191024482"/>
      <w:bookmarkStart w:id="521" w:name="_Toc191025677"/>
      <w:bookmarkStart w:id="522" w:name="_Toc191042201"/>
      <w:r>
        <w:rPr>
          <w:sz w:val="28"/>
        </w:rPr>
        <w:lastRenderedPageBreak/>
        <w:t>Defined terms</w:t>
      </w:r>
      <w:bookmarkEnd w:id="520"/>
      <w:bookmarkEnd w:id="521"/>
      <w:bookmarkEnd w:id="5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standards</w:t>
      </w:r>
      <w:r>
        <w:tab/>
        <w:t>182(1)</w:t>
      </w:r>
    </w:p>
    <w:p>
      <w:pPr>
        <w:pStyle w:val="DefinedTerms"/>
      </w:pPr>
      <w:r>
        <w:t>2019 regulations</w:t>
      </w:r>
      <w:r>
        <w:tab/>
        <w:t>3</w:t>
      </w:r>
    </w:p>
    <w:p>
      <w:pPr>
        <w:pStyle w:val="DefinedTerms"/>
      </w:pPr>
      <w:r>
        <w:t>2019 regulations reviewable decision</w:t>
      </w:r>
      <w:r>
        <w:tab/>
        <w:t>198(1)</w:t>
      </w:r>
    </w:p>
    <w:p>
      <w:pPr>
        <w:pStyle w:val="DefinedTerms"/>
      </w:pPr>
      <w:r>
        <w:t>aggregated journey data</w:t>
      </w:r>
      <w:r>
        <w:tab/>
        <w:t>130J(1)</w:t>
      </w:r>
    </w:p>
    <w:p>
      <w:pPr>
        <w:pStyle w:val="DefinedTerms"/>
      </w:pPr>
      <w:r>
        <w:t>agreement period</w:t>
      </w:r>
      <w:r>
        <w:tab/>
        <w:t>156(2)</w:t>
      </w:r>
    </w:p>
    <w:p>
      <w:pPr>
        <w:pStyle w:val="DefinedTerms"/>
      </w:pPr>
      <w:r>
        <w:t>approved form</w:t>
      </w:r>
      <w:r>
        <w:tab/>
        <w:t>200A(1)</w:t>
      </w:r>
    </w:p>
    <w:p>
      <w:pPr>
        <w:pStyle w:val="DefinedTerms"/>
      </w:pPr>
      <w:r>
        <w:t>approved identification card</w:t>
      </w:r>
      <w:r>
        <w:tab/>
        <w:t>3</w:t>
      </w:r>
    </w:p>
    <w:p>
      <w:pPr>
        <w:pStyle w:val="DefinedTerms"/>
      </w:pPr>
      <w:r>
        <w:t>approved person</w:t>
      </w:r>
      <w:r>
        <w:tab/>
        <w:t>3</w:t>
      </w:r>
    </w:p>
    <w:p>
      <w:pPr>
        <w:pStyle w:val="DefinedTerms"/>
      </w:pPr>
      <w:r>
        <w:t>approved provider (family violence exception)</w:t>
      </w:r>
      <w:r>
        <w:tab/>
        <w:t>28(1)</w:t>
      </w:r>
    </w:p>
    <w:p>
      <w:pPr>
        <w:pStyle w:val="DefinedTerms"/>
      </w:pPr>
      <w:r>
        <w:t>approved special events provider</w:t>
      </w:r>
      <w:r>
        <w:tab/>
        <w:t>152</w:t>
      </w:r>
    </w:p>
    <w:p>
      <w:pPr>
        <w:pStyle w:val="DefinedTerms"/>
      </w:pPr>
      <w:r>
        <w:t>AS</w:t>
      </w:r>
      <w:r>
        <w:tab/>
        <w:t>3</w:t>
      </w:r>
    </w:p>
    <w:p>
      <w:pPr>
        <w:pStyle w:val="DefinedTerms"/>
      </w:pPr>
      <w:r>
        <w:t>AS/NZS</w:t>
      </w:r>
      <w:r>
        <w:tab/>
        <w:t>3</w:t>
      </w:r>
    </w:p>
    <w:p>
      <w:pPr>
        <w:pStyle w:val="DefinedTerms"/>
      </w:pPr>
      <w:r>
        <w:t>assessment period</w:t>
      </w:r>
      <w:r>
        <w:tab/>
        <w:t>152</w:t>
      </w:r>
    </w:p>
    <w:p>
      <w:pPr>
        <w:pStyle w:val="DefinedTerms"/>
      </w:pPr>
      <w:r>
        <w:t>assistance animal</w:t>
      </w:r>
      <w:r>
        <w:tab/>
        <w:t>137(1)</w:t>
      </w:r>
    </w:p>
    <w:p>
      <w:pPr>
        <w:pStyle w:val="DefinedTerms"/>
      </w:pPr>
      <w:r>
        <w:t>associated journey</w:t>
      </w:r>
      <w:r>
        <w:tab/>
        <w:t>58(1)</w:t>
      </w:r>
    </w:p>
    <w:p>
      <w:pPr>
        <w:pStyle w:val="DefinedTerms"/>
      </w:pPr>
      <w:r>
        <w:t>associated relevant journey</w:t>
      </w:r>
      <w:r>
        <w:tab/>
        <w:t>152</w:t>
      </w:r>
    </w:p>
    <w:p>
      <w:pPr>
        <w:pStyle w:val="DefinedTerms"/>
      </w:pPr>
      <w:r>
        <w:t>Australian Design Rules</w:t>
      </w:r>
      <w:r>
        <w:tab/>
        <w:t>3</w:t>
      </w:r>
    </w:p>
    <w:p>
      <w:pPr>
        <w:pStyle w:val="DefinedTerms"/>
      </w:pPr>
      <w:r>
        <w:t>authorised on-demand rank or hail vehicle</w:t>
      </w:r>
      <w:r>
        <w:tab/>
        <w:t>3</w:t>
      </w:r>
    </w:p>
    <w:p>
      <w:pPr>
        <w:pStyle w:val="DefinedTerms"/>
      </w:pPr>
      <w:r>
        <w:t>authorised provider</w:t>
      </w:r>
      <w:r>
        <w:tab/>
        <w:t>76</w:t>
      </w:r>
    </w:p>
    <w:p>
      <w:pPr>
        <w:pStyle w:val="DefinedTerms"/>
      </w:pPr>
      <w:r>
        <w:t>authorised purpose</w:t>
      </w:r>
      <w:r>
        <w:tab/>
        <w:t>107</w:t>
      </w:r>
    </w:p>
    <w:p>
      <w:pPr>
        <w:pStyle w:val="DefinedTerms"/>
      </w:pPr>
      <w:r>
        <w:t>booster seat</w:t>
      </w:r>
      <w:r>
        <w:tab/>
        <w:t>152</w:t>
      </w:r>
    </w:p>
    <w:p>
      <w:pPr>
        <w:pStyle w:val="DefinedTerms"/>
      </w:pPr>
      <w:r>
        <w:t>camera surveillance unit</w:t>
      </w:r>
      <w:r>
        <w:tab/>
        <w:t>3</w:t>
      </w:r>
    </w:p>
    <w:p>
      <w:pPr>
        <w:pStyle w:val="DefinedTerms"/>
      </w:pPr>
      <w:r>
        <w:t>Camera Surveillance Unit Standards</w:t>
      </w:r>
      <w:r>
        <w:tab/>
        <w:t>3</w:t>
      </w:r>
    </w:p>
    <w:p>
      <w:pPr>
        <w:pStyle w:val="DefinedTerms"/>
      </w:pPr>
      <w:r>
        <w:t>CEO guidelines</w:t>
      </w:r>
      <w:r>
        <w:tab/>
        <w:t>122(1)</w:t>
      </w:r>
    </w:p>
    <w:p>
      <w:pPr>
        <w:pStyle w:val="DefinedTerms"/>
      </w:pPr>
      <w:r>
        <w:t>child care service</w:t>
      </w:r>
      <w:r>
        <w:tab/>
        <w:t>3</w:t>
      </w:r>
    </w:p>
    <w:p>
      <w:pPr>
        <w:pStyle w:val="DefinedTerms"/>
      </w:pPr>
      <w:r>
        <w:t>child restraint</w:t>
      </w:r>
      <w:r>
        <w:tab/>
        <w:t>152</w:t>
      </w:r>
    </w:p>
    <w:p>
      <w:pPr>
        <w:pStyle w:val="DefinedTerms"/>
      </w:pPr>
      <w:r>
        <w:t>child safety harness</w:t>
      </w:r>
      <w:r>
        <w:tab/>
        <w:t>152</w:t>
      </w:r>
    </w:p>
    <w:p>
      <w:pPr>
        <w:pStyle w:val="DefinedTerms"/>
      </w:pPr>
      <w:r>
        <w:t>commencement day</w:t>
      </w:r>
      <w:r>
        <w:tab/>
        <w:t>189, 200A(1)</w:t>
      </w:r>
    </w:p>
    <w:p>
      <w:pPr>
        <w:pStyle w:val="DefinedTerms"/>
      </w:pPr>
      <w:r>
        <w:t>contracted provider</w:t>
      </w:r>
      <w:r>
        <w:tab/>
        <w:t>65(1)</w:t>
      </w:r>
    </w:p>
    <w:p>
      <w:pPr>
        <w:pStyle w:val="DefinedTerms"/>
      </w:pPr>
      <w:r>
        <w:t>contract fare</w:t>
      </w:r>
      <w:r>
        <w:tab/>
        <w:t>3</w:t>
      </w:r>
    </w:p>
    <w:p>
      <w:pPr>
        <w:pStyle w:val="DefinedTerms"/>
      </w:pPr>
      <w:r>
        <w:t>copy</w:t>
      </w:r>
      <w:r>
        <w:tab/>
        <w:t>3</w:t>
      </w:r>
    </w:p>
    <w:p>
      <w:pPr>
        <w:pStyle w:val="DefinedTerms"/>
      </w:pPr>
      <w:r>
        <w:t>Disability Standards</w:t>
      </w:r>
      <w:r>
        <w:tab/>
        <w:t>3</w:t>
      </w:r>
    </w:p>
    <w:p>
      <w:pPr>
        <w:pStyle w:val="DefinedTerms"/>
      </w:pPr>
      <w:r>
        <w:t>disqualification offence</w:t>
      </w:r>
      <w:r>
        <w:tab/>
        <w:t>38, 79</w:t>
      </w:r>
    </w:p>
    <w:p>
      <w:pPr>
        <w:pStyle w:val="DefinedTerms"/>
      </w:pPr>
      <w:r>
        <w:t>driver identity document</w:t>
      </w:r>
      <w:r>
        <w:tab/>
        <w:t>3</w:t>
      </w:r>
    </w:p>
    <w:p>
      <w:pPr>
        <w:pStyle w:val="DefinedTerms"/>
      </w:pPr>
      <w:r>
        <w:t>driver’s licence number</w:t>
      </w:r>
      <w:r>
        <w:tab/>
        <w:t>3</w:t>
      </w:r>
    </w:p>
    <w:p>
      <w:pPr>
        <w:pStyle w:val="DefinedTerms"/>
      </w:pPr>
      <w:r>
        <w:t>electric vehicle</w:t>
      </w:r>
      <w:r>
        <w:tab/>
        <w:t>3</w:t>
      </w:r>
    </w:p>
    <w:p>
      <w:pPr>
        <w:pStyle w:val="DefinedTerms"/>
      </w:pPr>
      <w:r>
        <w:t>emergency declaration</w:t>
      </w:r>
      <w:r>
        <w:tab/>
        <w:t>127</w:t>
      </w:r>
    </w:p>
    <w:p>
      <w:pPr>
        <w:pStyle w:val="DefinedTerms"/>
      </w:pPr>
      <w:r>
        <w:t>expiry day</w:t>
      </w:r>
      <w:r>
        <w:tab/>
        <w:t>85(2)</w:t>
      </w:r>
    </w:p>
    <w:p>
      <w:pPr>
        <w:pStyle w:val="DefinedTerms"/>
      </w:pPr>
      <w:r>
        <w:t>family violence</w:t>
      </w:r>
      <w:r>
        <w:tab/>
        <w:t>28(1)</w:t>
      </w:r>
    </w:p>
    <w:p>
      <w:pPr>
        <w:pStyle w:val="DefinedTerms"/>
      </w:pPr>
      <w:r>
        <w:lastRenderedPageBreak/>
        <w:t>fare amount</w:t>
      </w:r>
      <w:r>
        <w:tab/>
        <w:t>127</w:t>
      </w:r>
    </w:p>
    <w:p>
      <w:pPr>
        <w:pStyle w:val="DefinedTerms"/>
      </w:pPr>
      <w:r>
        <w:t>first provider</w:t>
      </w:r>
      <w:r>
        <w:tab/>
        <w:t>58(3)</w:t>
      </w:r>
    </w:p>
    <w:p>
      <w:pPr>
        <w:pStyle w:val="DefinedTerms"/>
      </w:pPr>
      <w:r>
        <w:t>foreign driving authorisation</w:t>
      </w:r>
      <w:r>
        <w:tab/>
        <w:t>3</w:t>
      </w:r>
    </w:p>
    <w:p>
      <w:pPr>
        <w:pStyle w:val="DefinedTerms"/>
      </w:pPr>
      <w:r>
        <w:t>former Schedule 4</w:t>
      </w:r>
      <w:r>
        <w:tab/>
        <w:t>200A(1)</w:t>
      </w:r>
    </w:p>
    <w:p>
      <w:pPr>
        <w:pStyle w:val="DefinedTerms"/>
      </w:pPr>
      <w:r>
        <w:t>‘F’ or ‘T’ endorsed driver’s licence</w:t>
      </w:r>
      <w:r>
        <w:tab/>
        <w:t>3</w:t>
      </w:r>
    </w:p>
    <w:p>
      <w:pPr>
        <w:pStyle w:val="DefinedTerms"/>
      </w:pPr>
      <w:r>
        <w:t>GST</w:t>
      </w:r>
      <w:r>
        <w:tab/>
        <w:t>3</w:t>
      </w:r>
    </w:p>
    <w:p>
      <w:pPr>
        <w:pStyle w:val="DefinedTerms"/>
      </w:pPr>
      <w:r>
        <w:t>guidelines</w:t>
      </w:r>
      <w:r>
        <w:tab/>
        <w:t>130A</w:t>
      </w:r>
    </w:p>
    <w:p>
      <w:pPr>
        <w:pStyle w:val="DefinedTerms"/>
      </w:pPr>
      <w:r>
        <w:t>interstate driver authorisation document</w:t>
      </w:r>
      <w:r>
        <w:tab/>
        <w:t>3</w:t>
      </w:r>
    </w:p>
    <w:p>
      <w:pPr>
        <w:pStyle w:val="DefinedTerms"/>
      </w:pPr>
      <w:r>
        <w:t>interstate vehicle authorisation document</w:t>
      </w:r>
      <w:r>
        <w:tab/>
        <w:t>3</w:t>
      </w:r>
    </w:p>
    <w:p>
      <w:pPr>
        <w:pStyle w:val="DefinedTerms"/>
      </w:pPr>
      <w:r>
        <w:t>interstate vehicle licence</w:t>
      </w:r>
      <w:r>
        <w:tab/>
        <w:t>3</w:t>
      </w:r>
    </w:p>
    <w:p>
      <w:pPr>
        <w:pStyle w:val="DefinedTerms"/>
      </w:pPr>
      <w:r>
        <w:t>large vehicle</w:t>
      </w:r>
      <w:r>
        <w:tab/>
        <w:t>3</w:t>
      </w:r>
    </w:p>
    <w:p>
      <w:pPr>
        <w:pStyle w:val="DefinedTerms"/>
      </w:pPr>
      <w:r>
        <w:t>last approved medical report</w:t>
      </w:r>
      <w:r>
        <w:tab/>
        <w:t>3</w:t>
      </w:r>
    </w:p>
    <w:p>
      <w:pPr>
        <w:pStyle w:val="DefinedTerms"/>
      </w:pPr>
      <w:r>
        <w:t>last criminal record check</w:t>
      </w:r>
      <w:r>
        <w:tab/>
        <w:t>3</w:t>
      </w:r>
    </w:p>
    <w:p>
      <w:pPr>
        <w:pStyle w:val="DefinedTerms"/>
      </w:pPr>
      <w:r>
        <w:t>local offence</w:t>
      </w:r>
      <w:r>
        <w:tab/>
        <w:t>Sch. 2 cl. 1(5), Sch. 3 cl. 1(5)</w:t>
      </w:r>
    </w:p>
    <w:p>
      <w:pPr>
        <w:pStyle w:val="DefinedTerms"/>
      </w:pPr>
      <w:r>
        <w:t>metered fare</w:t>
      </w:r>
      <w:r>
        <w:tab/>
        <w:t>152</w:t>
      </w:r>
    </w:p>
    <w:p>
      <w:pPr>
        <w:pStyle w:val="DefinedTerms"/>
      </w:pPr>
      <w:r>
        <w:t>metered fare amount</w:t>
      </w:r>
      <w:r>
        <w:tab/>
        <w:t>152</w:t>
      </w:r>
    </w:p>
    <w:p>
      <w:pPr>
        <w:pStyle w:val="DefinedTerms"/>
      </w:pPr>
      <w:r>
        <w:t>metropolitan region</w:t>
      </w:r>
      <w:r>
        <w:tab/>
        <w:t>3</w:t>
      </w:r>
    </w:p>
    <w:p>
      <w:pPr>
        <w:pStyle w:val="DefinedTerms"/>
      </w:pPr>
      <w:r>
        <w:t>multiple hiring</w:t>
      </w:r>
      <w:r>
        <w:tab/>
        <w:t>125(1)</w:t>
      </w:r>
    </w:p>
    <w:p>
      <w:pPr>
        <w:pStyle w:val="DefinedTerms"/>
      </w:pPr>
      <w:r>
        <w:t>multiple service agreement</w:t>
      </w:r>
      <w:r>
        <w:tab/>
        <w:t>152</w:t>
      </w:r>
    </w:p>
    <w:p>
      <w:pPr>
        <w:pStyle w:val="DefinedTerms"/>
      </w:pPr>
      <w:r>
        <w:t>next report date</w:t>
      </w:r>
      <w:r>
        <w:tab/>
        <w:t>188(1)</w:t>
      </w:r>
    </w:p>
    <w:p>
      <w:pPr>
        <w:pStyle w:val="DefinedTerms"/>
      </w:pPr>
      <w:r>
        <w:t>non-cash payment</w:t>
      </w:r>
      <w:r>
        <w:tab/>
        <w:t>3</w:t>
      </w:r>
    </w:p>
    <w:p>
      <w:pPr>
        <w:pStyle w:val="DefinedTerms"/>
      </w:pPr>
      <w:r>
        <w:t>notifiable occurrence</w:t>
      </w:r>
      <w:r>
        <w:tab/>
        <w:t>104</w:t>
      </w:r>
    </w:p>
    <w:p>
      <w:pPr>
        <w:pStyle w:val="DefinedTerms"/>
      </w:pPr>
      <w:r>
        <w:t>on-demand charter vehicle</w:t>
      </w:r>
      <w:r>
        <w:tab/>
        <w:t>3</w:t>
      </w:r>
    </w:p>
    <w:p>
      <w:pPr>
        <w:pStyle w:val="DefinedTerms"/>
      </w:pPr>
      <w:r>
        <w:t>on-demand rank or hail vehicle</w:t>
      </w:r>
      <w:r>
        <w:tab/>
        <w:t>3</w:t>
      </w:r>
    </w:p>
    <w:p>
      <w:pPr>
        <w:pStyle w:val="DefinedTerms"/>
      </w:pPr>
      <w:r>
        <w:t>payment terminal</w:t>
      </w:r>
      <w:r>
        <w:tab/>
        <w:t>3</w:t>
      </w:r>
    </w:p>
    <w:p>
      <w:pPr>
        <w:pStyle w:val="DefinedTerms"/>
      </w:pPr>
      <w:r>
        <w:t>principal booking service</w:t>
      </w:r>
      <w:r>
        <w:tab/>
        <w:t>39(1), 61(2), 131(2), 153(2)</w:t>
      </w:r>
    </w:p>
    <w:p>
      <w:pPr>
        <w:pStyle w:val="DefinedTerms"/>
      </w:pPr>
      <w:r>
        <w:t>principal provider</w:t>
      </w:r>
      <w:r>
        <w:tab/>
        <w:t>65(1)</w:t>
      </w:r>
    </w:p>
    <w:p>
      <w:pPr>
        <w:pStyle w:val="DefinedTerms"/>
      </w:pPr>
      <w:r>
        <w:t>prior authorisation</w:t>
      </w:r>
      <w:r>
        <w:tab/>
        <w:t>46(1), 69(1), 85(1), 100(1)</w:t>
      </w:r>
    </w:p>
    <w:p>
      <w:pPr>
        <w:pStyle w:val="DefinedTerms"/>
      </w:pPr>
      <w:r>
        <w:t>PTSS electronic device</w:t>
      </w:r>
      <w:r>
        <w:tab/>
        <w:t>130A</w:t>
      </w:r>
    </w:p>
    <w:p>
      <w:pPr>
        <w:pStyle w:val="DefinedTerms"/>
      </w:pPr>
      <w:r>
        <w:t>PTSS electronic interface</w:t>
      </w:r>
      <w:r>
        <w:tab/>
        <w:t>130A</w:t>
      </w:r>
    </w:p>
    <w:p>
      <w:pPr>
        <w:pStyle w:val="DefinedTerms"/>
      </w:pPr>
      <w:r>
        <w:t>PTSS journey</w:t>
      </w:r>
      <w:r>
        <w:tab/>
        <w:t>130A</w:t>
      </w:r>
    </w:p>
    <w:p>
      <w:pPr>
        <w:pStyle w:val="DefinedTerms"/>
      </w:pPr>
      <w:r>
        <w:t>PTSS passenger</w:t>
      </w:r>
      <w:r>
        <w:tab/>
        <w:t>130A</w:t>
      </w:r>
    </w:p>
    <w:p>
      <w:pPr>
        <w:pStyle w:val="DefinedTerms"/>
      </w:pPr>
      <w:r>
        <w:t>PTSS smartcard</w:t>
      </w:r>
      <w:r>
        <w:tab/>
        <w:t>130A</w:t>
      </w:r>
    </w:p>
    <w:p>
      <w:pPr>
        <w:pStyle w:val="DefinedTerms"/>
      </w:pPr>
      <w:r>
        <w:t>queue-jumping fee</w:t>
      </w:r>
      <w:r>
        <w:tab/>
        <w:t>129(1)</w:t>
      </w:r>
    </w:p>
    <w:p>
      <w:pPr>
        <w:pStyle w:val="DefinedTerms"/>
      </w:pPr>
      <w:r>
        <w:t>recipient</w:t>
      </w:r>
      <w:r>
        <w:tab/>
        <w:t>145(1), 181(1)</w:t>
      </w:r>
    </w:p>
    <w:p>
      <w:pPr>
        <w:pStyle w:val="DefinedTerms"/>
      </w:pPr>
      <w:r>
        <w:t>region</w:t>
      </w:r>
      <w:r>
        <w:tab/>
        <w:t>3</w:t>
      </w:r>
    </w:p>
    <w:p>
      <w:pPr>
        <w:pStyle w:val="DefinedTerms"/>
      </w:pPr>
      <w:r>
        <w:t>relevant assessment period</w:t>
      </w:r>
      <w:r>
        <w:tab/>
        <w:t>156(2)</w:t>
      </w:r>
    </w:p>
    <w:p>
      <w:pPr>
        <w:pStyle w:val="DefinedTerms"/>
      </w:pPr>
      <w:r>
        <w:t>relevant booking</w:t>
      </w:r>
      <w:r>
        <w:tab/>
        <w:t>58(1)</w:t>
      </w:r>
    </w:p>
    <w:p>
      <w:pPr>
        <w:pStyle w:val="DefinedTerms"/>
      </w:pPr>
      <w:r>
        <w:t>relevant driver authorisation number</w:t>
      </w:r>
      <w:r>
        <w:tab/>
        <w:t>3</w:t>
      </w:r>
    </w:p>
    <w:p>
      <w:pPr>
        <w:pStyle w:val="DefinedTerms"/>
      </w:pPr>
      <w:r>
        <w:t>relevant journey</w:t>
      </w:r>
      <w:r>
        <w:tab/>
        <w:t>152</w:t>
      </w:r>
    </w:p>
    <w:p>
      <w:pPr>
        <w:pStyle w:val="DefinedTerms"/>
      </w:pPr>
      <w:r>
        <w:t>relevant offence</w:t>
      </w:r>
      <w:r>
        <w:tab/>
        <w:t>199(1)</w:t>
      </w:r>
    </w:p>
    <w:p>
      <w:pPr>
        <w:pStyle w:val="DefinedTerms"/>
      </w:pPr>
      <w:r>
        <w:t>relevant person</w:t>
      </w:r>
      <w:r>
        <w:tab/>
        <w:t>115, 195(3)</w:t>
      </w:r>
    </w:p>
    <w:p>
      <w:pPr>
        <w:pStyle w:val="DefinedTerms"/>
      </w:pPr>
      <w:r>
        <w:t>relevant provider</w:t>
      </w:r>
      <w:r>
        <w:tab/>
        <w:t>127</w:t>
      </w:r>
    </w:p>
    <w:p>
      <w:pPr>
        <w:pStyle w:val="DefinedTerms"/>
      </w:pPr>
      <w:r>
        <w:t>relevant provider or driver</w:t>
      </w:r>
      <w:r>
        <w:tab/>
        <w:t>12(1)</w:t>
      </w:r>
    </w:p>
    <w:p>
      <w:pPr>
        <w:pStyle w:val="DefinedTerms"/>
      </w:pPr>
      <w:r>
        <w:lastRenderedPageBreak/>
        <w:t>required information</w:t>
      </w:r>
      <w:r>
        <w:tab/>
        <w:t>31(1) and (3), 185(2)</w:t>
      </w:r>
    </w:p>
    <w:p>
      <w:pPr>
        <w:pStyle w:val="DefinedTerms"/>
      </w:pPr>
      <w:r>
        <w:t>Road Safety Commissioner</w:t>
      </w:r>
      <w:r>
        <w:tab/>
        <w:t>143(1)</w:t>
      </w:r>
    </w:p>
    <w:p>
      <w:pPr>
        <w:pStyle w:val="DefinedTerms"/>
      </w:pPr>
      <w:r>
        <w:t>road traffic CEO</w:t>
      </w:r>
      <w:r>
        <w:tab/>
        <w:t>3</w:t>
      </w:r>
    </w:p>
    <w:p>
      <w:pPr>
        <w:pStyle w:val="DefinedTerms"/>
      </w:pPr>
      <w:r>
        <w:t>safety management system</w:t>
      </w:r>
      <w:r>
        <w:tab/>
        <w:t>3</w:t>
      </w:r>
    </w:p>
    <w:p>
      <w:pPr>
        <w:pStyle w:val="DefinedTerms"/>
      </w:pPr>
      <w:r>
        <w:t>Schedule 4 fare</w:t>
      </w:r>
      <w:r>
        <w:tab/>
        <w:t>2</w:t>
      </w:r>
    </w:p>
    <w:p>
      <w:pPr>
        <w:pStyle w:val="DefinedTerms"/>
      </w:pPr>
      <w:r>
        <w:t>Schedule 5 fare</w:t>
      </w:r>
      <w:r>
        <w:tab/>
        <w:t>3</w:t>
      </w:r>
    </w:p>
    <w:p>
      <w:pPr>
        <w:pStyle w:val="DefinedTerms"/>
      </w:pPr>
      <w:r>
        <w:t>school bus service</w:t>
      </w:r>
      <w:r>
        <w:tab/>
        <w:t>3</w:t>
      </w:r>
    </w:p>
    <w:p>
      <w:pPr>
        <w:pStyle w:val="DefinedTerms"/>
      </w:pPr>
      <w:r>
        <w:t>second provider</w:t>
      </w:r>
      <w:r>
        <w:tab/>
        <w:t>58(3)</w:t>
      </w:r>
    </w:p>
    <w:p>
      <w:pPr>
        <w:pStyle w:val="DefinedTerms"/>
      </w:pPr>
      <w:r>
        <w:t>serious offence</w:t>
      </w:r>
      <w:r>
        <w:tab/>
        <w:t>3</w:t>
      </w:r>
    </w:p>
    <w:p>
      <w:pPr>
        <w:pStyle w:val="DefinedTerms"/>
      </w:pPr>
      <w:r>
        <w:t>special event</w:t>
      </w:r>
      <w:r>
        <w:tab/>
        <w:t>152</w:t>
      </w:r>
    </w:p>
    <w:p>
      <w:pPr>
        <w:pStyle w:val="DefinedTerms"/>
      </w:pPr>
      <w:r>
        <w:t>special events booking</w:t>
      </w:r>
      <w:r>
        <w:tab/>
        <w:t>152</w:t>
      </w:r>
    </w:p>
    <w:p>
      <w:pPr>
        <w:pStyle w:val="DefinedTerms"/>
      </w:pPr>
      <w:r>
        <w:t>specified service</w:t>
      </w:r>
      <w:r>
        <w:tab/>
        <w:t>3, 13</w:t>
      </w:r>
    </w:p>
    <w:p>
      <w:pPr>
        <w:pStyle w:val="DefinedTerms"/>
      </w:pPr>
      <w:r>
        <w:t>student</w:t>
      </w:r>
      <w:r>
        <w:tab/>
        <w:t>3</w:t>
      </w:r>
    </w:p>
    <w:p>
      <w:pPr>
        <w:pStyle w:val="DefinedTerms"/>
      </w:pPr>
      <w:r>
        <w:t>surcharge</w:t>
      </w:r>
      <w:r>
        <w:tab/>
        <w:t>3</w:t>
      </w:r>
    </w:p>
    <w:p>
      <w:pPr>
        <w:pStyle w:val="DefinedTerms"/>
      </w:pPr>
      <w:r>
        <w:t>surge pricing</w:t>
      </w:r>
      <w:r>
        <w:tab/>
        <w:t>129(1)</w:t>
      </w:r>
    </w:p>
    <w:p>
      <w:pPr>
        <w:pStyle w:val="DefinedTerms"/>
      </w:pPr>
      <w:r>
        <w:t>TRPS authorised officer</w:t>
      </w:r>
      <w:r>
        <w:tab/>
        <w:t>148(1)</w:t>
      </w:r>
    </w:p>
    <w:p>
      <w:pPr>
        <w:pStyle w:val="DefinedTerms"/>
      </w:pPr>
      <w:r>
        <w:t>unauthorised purpose</w:t>
      </w:r>
      <w:r>
        <w:tab/>
        <w:t>107</w:t>
      </w:r>
    </w:p>
    <w:p>
      <w:pPr>
        <w:pStyle w:val="DefinedTerms"/>
      </w:pPr>
      <w:r>
        <w:t>unit of competency</w:t>
      </w:r>
      <w:r>
        <w:tab/>
        <w:t>3</w:t>
      </w:r>
    </w:p>
    <w:p>
      <w:pPr>
        <w:pStyle w:val="DefinedTerms"/>
      </w:pPr>
      <w:r>
        <w:t>visual, audiovisual or audio recording</w:t>
      </w:r>
      <w:r>
        <w:tab/>
        <w:t>3</w:t>
      </w:r>
    </w:p>
    <w:p>
      <w:pPr>
        <w:pStyle w:val="DefinedTerms"/>
      </w:pPr>
      <w:r>
        <w:t>voucher</w:t>
      </w:r>
      <w:r>
        <w:tab/>
        <w:t>122(1)</w:t>
      </w:r>
    </w:p>
    <w:p>
      <w:pPr>
        <w:pStyle w:val="DefinedTerms"/>
      </w:pPr>
      <w:r>
        <w:t>wheelchair accessible vehicle</w:t>
      </w:r>
      <w:r>
        <w:tab/>
        <w:t>3</w:t>
      </w:r>
    </w:p>
    <w:p>
      <w:pPr>
        <w:pStyle w:val="DefinedTerms"/>
      </w:pPr>
      <w:r>
        <w:t>wheelchair accessible vehicle booking</w:t>
      </w:r>
      <w:r>
        <w:tab/>
        <w:t>58(1)</w:t>
      </w:r>
    </w:p>
    <w:p>
      <w:pPr>
        <w:pStyle w:val="DefinedTerms"/>
      </w:pPr>
      <w:r>
        <w:t>WorkSafe Commissioner</w:t>
      </w:r>
      <w:r>
        <w:tab/>
        <w:t>143(1)</w:t>
      </w:r>
    </w:p>
    <w:p>
      <w:pPr>
        <w:pStyle w:val="DefinedTerms"/>
      </w:pPr>
      <w:r>
        <w:t>X%</w:t>
      </w:r>
      <w:r>
        <w:tab/>
        <w:t>156(1)</w:t>
      </w:r>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66EF13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22D2DD0" w14:textId="28A00991" w:rsidR="00F32ADE" w:rsidRDefault="00B23E8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5261E">
                        <w:rPr>
                          <w:sz w:val="16"/>
                        </w:rPr>
                        <w:t>2025</w:t>
                      </w:r>
                      <w:r>
                        <w:rPr>
                          <w:sz w:val="16"/>
                        </w:rPr>
                        <w:fldChar w:fldCharType="end"/>
                      </w:r>
                      <w:r>
                        <w:rPr>
                          <w:sz w:val="16"/>
                        </w:rPr>
                        <w:t>.</w:t>
                      </w:r>
                    </w:p>
                    <w:p w14:paraId="3A434B98" w14:textId="77777777" w:rsidR="00F32ADE" w:rsidRDefault="00B23E8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2B7E78D" w14:textId="4BAAFFB2" w:rsidR="00F32ADE" w:rsidRDefault="00B23E8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5261E">
                        <w:rPr>
                          <w:sz w:val="16"/>
                        </w:rPr>
                        <w:t>2025</w:t>
                      </w:r>
                      <w:r>
                        <w:rPr>
                          <w:sz w:val="16"/>
                        </w:rPr>
                        <w:fldChar w:fldCharType="end"/>
                      </w:r>
                      <w:r>
                        <w:rPr>
                          <w:sz w:val="16"/>
                        </w:rPr>
                        <w:t>.</w:t>
                      </w:r>
                    </w:p>
                    <w:p w14:paraId="243AE431" w14:textId="77777777" w:rsidR="00F32ADE" w:rsidRDefault="00B23E8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00-z0-00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00-z0-00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00-z0-00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00-z0-00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00-z0-00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00-z0-00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rPr>
              <w:b/>
              <w:bCs/>
            </w:rPr>
          </w:pPr>
          <w:r>
            <w:rPr>
              <w:b/>
              <w:bCs/>
            </w:rPr>
            <w:fldChar w:fldCharType="begin"/>
          </w:r>
          <w:r>
            <w:rPr>
              <w:b/>
              <w:bCs/>
            </w:rPr>
            <w:instrText>STYLEREF CharSDivNo</w:instrText>
          </w:r>
          <w:r>
            <w:rPr>
              <w:b/>
              <w:bCs/>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19" w:name="Compilation"/>
    <w:bookmarkEnd w:id="519"/>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23" w:name="DefinedTerms"/>
    <w:bookmarkEnd w:id="523"/>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24" w:name="Coversheet"/>
    <w:bookmarkEnd w:id="5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68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22109540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 w:name="WAFER_20240625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3327_GUID" w:val="7c7f0c08-70d8-4a0d-9436-94fdc4448c52"/>
    <w:docVar w:name="WAFER_2024112210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00807_GUID" w:val="c99a8bc4-6992-43aa-8346-a7dfd394f829"/>
    <w:docVar w:name="WAFER_20241213101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01506_GUID" w:val="a869be97-f061-4eeb-9bb9-6a49fa11cbcd"/>
    <w:docVar w:name="WAFER_20241218153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3428_GUID" w:val="b215e9d4-84ec-4d0e-8d4f-e9e207e954f3"/>
    <w:docVar w:name="WAFER_20241218153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3454_GUID" w:val="1a836b37-3762-4ecf-8155-7657c7117a10"/>
    <w:docVar w:name="WAFER_20250221095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1095342_GUID" w:val="ceabd2f6-e308-4e61-83e0-f6686638a6cf"/>
    <w:docVar w:name="WAFER_20250221095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1095405_GUID" w:val="c782a584-6aa8-44a1-bf40-c207bee2ab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849"/>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49818</Words>
  <Characters>250585</Characters>
  <Application>Microsoft Office Word</Application>
  <DocSecurity>0</DocSecurity>
  <Lines>8640</Lines>
  <Paragraphs>5179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2020 - 00-z0-00</dc:title>
  <dc:subject/>
  <dc:creator/>
  <cp:keywords/>
  <dc:description/>
  <cp:lastModifiedBy>Master Repository Process</cp:lastModifiedBy>
  <cp:revision>4</cp:revision>
  <cp:lastPrinted>2020-09-14T04:36:00Z</cp:lastPrinted>
  <dcterms:created xsi:type="dcterms:W3CDTF">2025-07-03T03:52:00Z</dcterms:created>
  <dcterms:modified xsi:type="dcterms:W3CDTF">2025-07-03T03:53:00Z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CommencementDate">
    <vt:lpwstr>20250301</vt:lpwstr>
  </property>
  <property fmtid="{D5CDD505-2E9C-101B-9397-08002B2CF9AE}" pid="5" name="CommencementAsAt">
    <vt:filetime>2025-02-28T16:00:00Z</vt:filetime>
  </property>
  <property fmtid="{D5CDD505-2E9C-101B-9397-08002B2CF9AE}" pid="6" name="CommencementYear">
    <vt:lpwstr>2025</vt:lpwstr>
  </property>
  <property fmtid="{D5CDD505-2E9C-101B-9397-08002B2CF9AE}" pid="7" name="AsAtDate">
    <vt:lpwstr>01 Mar 2025</vt:lpwstr>
  </property>
  <property fmtid="{D5CDD505-2E9C-101B-9397-08002B2CF9AE}" pid="8" name="Suffix">
    <vt:lpwstr>00-z0-00</vt:lpwstr>
  </property>
  <property fmtid="{D5CDD505-2E9C-101B-9397-08002B2CF9AE}" pid="9" name="Official">
    <vt:lpwstr/>
  </property>
</Properties>
</file>