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_Toc191548419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_Toc191548420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_Toc191548421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_Toc191548422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_Toc191548423 \h </w:instrText>
      </w:r>
      <w:r>
        <w:fldChar w:fldCharType="separate"/>
      </w:r>
      <w:r>
        <w:t>5</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_Toc191548424 \h </w:instrText>
      </w:r>
      <w:r>
        <w:fldChar w:fldCharType="separate"/>
      </w:r>
      <w:r>
        <w:t>5</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_Toc191548425 \h </w:instrText>
      </w:r>
      <w:r>
        <w:fldChar w:fldCharType="separate"/>
      </w:r>
      <w:r>
        <w:t>5</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_Toc191548426 \h </w:instrText>
      </w:r>
      <w:r>
        <w:fldChar w:fldCharType="separate"/>
      </w:r>
      <w:r>
        <w:t>6</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_Toc191548427 \h </w:instrText>
      </w:r>
      <w:r>
        <w:fldChar w:fldCharType="separate"/>
      </w:r>
      <w:r>
        <w:t>6</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_Toc191548428 \h </w:instrText>
      </w:r>
      <w:r>
        <w:fldChar w:fldCharType="separate"/>
      </w:r>
      <w:r>
        <w:t>6</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_Toc191548429 \h </w:instrText>
      </w:r>
      <w:r>
        <w:fldChar w:fldCharType="separate"/>
      </w:r>
      <w:r>
        <w:t>7</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_Toc191548430 \h </w:instrText>
      </w:r>
      <w:r>
        <w:fldChar w:fldCharType="separate"/>
      </w:r>
      <w:r>
        <w:t>7</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_Toc191548431 \h </w:instrText>
      </w:r>
      <w:r>
        <w:fldChar w:fldCharType="separate"/>
      </w:r>
      <w:r>
        <w:t>8</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_Toc191548432 \h </w:instrText>
      </w:r>
      <w:r>
        <w:fldChar w:fldCharType="separate"/>
      </w:r>
      <w:r>
        <w:t>8</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_Toc191548433 \h </w:instrText>
      </w:r>
      <w:r>
        <w:fldChar w:fldCharType="separate"/>
      </w:r>
      <w:r>
        <w:t>8</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_Toc191548434 \h </w:instrText>
      </w:r>
      <w:r>
        <w:fldChar w:fldCharType="separate"/>
      </w:r>
      <w:r>
        <w:t>9</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_Toc191548435 \h </w:instrText>
      </w:r>
      <w:r>
        <w:fldChar w:fldCharType="separate"/>
      </w:r>
      <w:r>
        <w:t>9</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_Toc191548436 \h </w:instrText>
      </w:r>
      <w:r>
        <w:fldChar w:fldCharType="separate"/>
      </w:r>
      <w:r>
        <w:t>11</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_Toc191548437 \h </w:instrText>
      </w:r>
      <w:r>
        <w:fldChar w:fldCharType="separate"/>
      </w:r>
      <w:r>
        <w:t>12</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_Toc191548438 \h </w:instrText>
      </w:r>
      <w:r>
        <w:fldChar w:fldCharType="separate"/>
      </w:r>
      <w:r>
        <w:t>14</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_Toc191548439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_Toc191548442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2" w:name="_Toc191548419"/>
      <w:r>
        <w:rPr>
          <w:rStyle w:val="CharSectno"/>
        </w:rPr>
        <w:t>1</w:t>
      </w:r>
      <w:r>
        <w:t>.</w:t>
      </w:r>
      <w:r>
        <w:tab/>
        <w:t>Citation</w:t>
      </w:r>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91548420"/>
      <w:r>
        <w:rPr>
          <w:rStyle w:val="CharSectno"/>
        </w:rPr>
        <w:t>2</w:t>
      </w:r>
      <w:r>
        <w:rPr>
          <w:spacing w:val="-2"/>
        </w:rPr>
        <w:t>.</w:t>
      </w:r>
      <w:r>
        <w:rPr>
          <w:spacing w:val="-2"/>
        </w:rPr>
        <w:tab/>
        <w:t>Commencement</w:t>
      </w:r>
      <w:bookmarkEnd w:id="4"/>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5" w:name="_Toc191548421"/>
      <w:r>
        <w:rPr>
          <w:rStyle w:val="CharSectno"/>
        </w:rPr>
        <w:t>3</w:t>
      </w:r>
      <w:r>
        <w:t>.</w:t>
      </w:r>
      <w:r>
        <w:tab/>
        <w:t>Metropolitan area (Act s. 4)</w:t>
      </w:r>
      <w:bookmarkEnd w:id="5"/>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6" w:name="_Toc191548422"/>
      <w:r>
        <w:rPr>
          <w:rStyle w:val="CharSectno"/>
        </w:rPr>
        <w:t>4A</w:t>
      </w:r>
      <w:r>
        <w:t>.</w:t>
      </w:r>
      <w:r>
        <w:tab/>
        <w:t>Psychiatrists (Act s. 4)</w:t>
      </w:r>
      <w:bookmarkEnd w:id="6"/>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zTableNAmBold"/>
            </w:pPr>
            <w: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zTableNAmBold"/>
            </w:pPr>
            <w: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Magodage Kalinga Mahiraj Abeyasinghe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MED0001911770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Shelley Lee</w:t>
            </w:r>
            <w:r>
              <w:noBreakHyphen/>
              <w:t>Ann Davies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MED0001609375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Minoka Ravimal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MED0001206768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Muhammad Ijaz Ahmed Malik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MED0001638712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Olivia Della Martina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MED0002003788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Jose Mathew</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MED0002851262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Samanta Nagpal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MED0002739098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Jarrad James Paul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MED0002076979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Leon Rajanthiran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MED0001991348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Jairam Kamala Ramakrishnan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MED0002838771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Francisco Jose Rosell Graner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MED0001552305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Justin Sebastian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MED0001858389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Vivek Sinha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MED0002214159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Jessika Elizabeth Debora Sussmann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MED0002890924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Jaya Prabha Vijayan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MED0002847181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Luke Ian Williams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MED0001926511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keepLines w:val="0"/>
        <w:ind w:left="890" w:hanging="890"/>
      </w:pPr>
      <w:r>
        <w:tab/>
        <w:t>[Regulation 4A inserted: Gazette 27 Nov 2015 p. 4755</w:t>
      </w:r>
      <w:r>
        <w:noBreakHyphen/>
        <w:t xml:space="preserve">6; amended: Gazette 22 Jul 2016 p. 3133; 18 Aug 2017 p. 4447; 6 Oct 2017 p. 5180; 1 May 2018 p. 1433; 12 Jun 2018 p. 1892; SL 2020/13 r. 4; SL 2020/215 r. 4; SL 2021/180 r. 4; SL 2022/200 r. 4; SL 2022/215 r. 4; SL 2023/23 r. 4; SL 2023/56 r. 4; SL 2023/150 r. 4; SL 2023/184 r. 4; </w:t>
      </w:r>
      <w:r>
        <w:lastRenderedPageBreak/>
        <w:t>SL 2024/30 r. 4; SL 2024/144 r. 4; SL 2024/156 r. 4; SL 2024/197 r. 4; SL 2024/231 r. 4; SL 2025/40 r. 4.]</w:t>
      </w:r>
    </w:p>
    <w:p>
      <w:pPr>
        <w:pStyle w:val="Heading5"/>
      </w:pPr>
      <w:bookmarkStart w:id="7" w:name="_Toc191548423"/>
      <w:r>
        <w:rPr>
          <w:rStyle w:val="CharSectno"/>
        </w:rPr>
        <w:t>4</w:t>
      </w:r>
      <w:r>
        <w:t>.</w:t>
      </w:r>
      <w:r>
        <w:tab/>
        <w:t>Standards for diagnosing mental illness (Act s. 6(4))</w:t>
      </w:r>
      <w:bookmarkEnd w:id="7"/>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8" w:name="_Toc191548424"/>
      <w:r>
        <w:rPr>
          <w:rStyle w:val="CharSectno"/>
        </w:rPr>
        <w:t>5</w:t>
      </w:r>
      <w:r>
        <w:t>.</w:t>
      </w:r>
      <w:r>
        <w:tab/>
        <w:t>Persons authorised to exercise powers under section 172 of the Act (Act s. 83(2)(c), 86(c), 130(3) and 225)</w:t>
      </w:r>
      <w:bookmarkEnd w:id="8"/>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9" w:name="_Toc191548425"/>
      <w:r>
        <w:rPr>
          <w:rStyle w:val="CharSectno"/>
        </w:rPr>
        <w:t>6</w:t>
      </w:r>
      <w:r>
        <w:t>.</w:t>
      </w:r>
      <w:r>
        <w:tab/>
        <w:t>Persons authorised to carry out apprehension and return orders (Act s. 99)</w:t>
      </w:r>
      <w:bookmarkEnd w:id="9"/>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0" w:name="_Toc191548426"/>
      <w:r>
        <w:rPr>
          <w:rStyle w:val="CharSectno"/>
        </w:rPr>
        <w:lastRenderedPageBreak/>
        <w:t>7</w:t>
      </w:r>
      <w:r>
        <w:t>.</w:t>
      </w:r>
      <w:r>
        <w:tab/>
        <w:t>Transport officers (Act s. 147)</w:t>
      </w:r>
      <w:bookmarkEnd w:id="10"/>
      <w:r>
        <w:t xml:space="preserve"> </w:t>
      </w:r>
    </w:p>
    <w:p>
      <w:pPr>
        <w:pStyle w:val="Subsection"/>
        <w:keepNext/>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1" w:name="_Toc191548427"/>
      <w:r>
        <w:rPr>
          <w:rStyle w:val="CharSectno"/>
        </w:rPr>
        <w:t>8</w:t>
      </w:r>
      <w:r>
        <w:t>.</w:t>
      </w:r>
      <w:r>
        <w:tab/>
        <w:t>Power of transport officers to enter premises (Act s. 159(3))</w:t>
      </w:r>
      <w:bookmarkEnd w:id="11"/>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2" w:name="_Toc191548428"/>
      <w:r>
        <w:rPr>
          <w:rStyle w:val="CharSectno"/>
        </w:rPr>
        <w:t>9</w:t>
      </w:r>
      <w:r>
        <w:t>.</w:t>
      </w:r>
      <w:r>
        <w:tab/>
        <w:t>Persons authorised to exercise search and seizure powers (Act s. 161)</w:t>
      </w:r>
      <w:bookmarkEnd w:id="12"/>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lastRenderedPageBreak/>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13" w:name="_Toc191548429"/>
      <w:r>
        <w:rPr>
          <w:rStyle w:val="CharSectno"/>
        </w:rPr>
        <w:t>10</w:t>
      </w:r>
      <w:r>
        <w:t>.</w:t>
      </w:r>
      <w:r>
        <w:tab/>
        <w:t>Explanation of rights (Act s. 244 and 245)</w:t>
      </w:r>
      <w:bookmarkEnd w:id="13"/>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4" w:name="_Toc191548430"/>
      <w:r>
        <w:rPr>
          <w:rStyle w:val="CharSectno"/>
        </w:rPr>
        <w:t>11</w:t>
      </w:r>
      <w:r>
        <w:t>.</w:t>
      </w:r>
      <w:r>
        <w:tab/>
        <w:t>Provision of information to, or involvement of, patient’s nominated person by a person other than psychiatrist (Act s. 267)</w:t>
      </w:r>
      <w:bookmarkEnd w:id="14"/>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5" w:name="_Toc191548431"/>
      <w:r>
        <w:rPr>
          <w:rStyle w:val="CharSectno"/>
        </w:rPr>
        <w:lastRenderedPageBreak/>
        <w:t>12</w:t>
      </w:r>
      <w:r>
        <w:t>.</w:t>
      </w:r>
      <w:r>
        <w:tab/>
        <w:t>Provision of information to, or involvement of, carer or close family member by a person other than psychiatrist (Act s. 290)</w:t>
      </w:r>
      <w:bookmarkEnd w:id="15"/>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16" w:name="_Toc191548432"/>
      <w:r>
        <w:rPr>
          <w:rStyle w:val="CharSectno"/>
        </w:rPr>
        <w:t>13</w:t>
      </w:r>
      <w:r>
        <w:t>.</w:t>
      </w:r>
      <w:r>
        <w:tab/>
        <w:t>Standards for provision of mental health services (Act s. 333(3)(c))</w:t>
      </w:r>
      <w:bookmarkEnd w:id="16"/>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7" w:name="_Toc191548433"/>
      <w:r>
        <w:rPr>
          <w:rStyle w:val="CharSectno"/>
        </w:rPr>
        <w:t>14</w:t>
      </w:r>
      <w:r>
        <w:t>.</w:t>
      </w:r>
      <w:r>
        <w:tab/>
        <w:t>Specific powers of mental health advocates (Act s. 359(1)(g))</w:t>
      </w:r>
      <w:bookmarkEnd w:id="17"/>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lastRenderedPageBreak/>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18" w:name="_Toc191548434"/>
      <w:r>
        <w:rPr>
          <w:rStyle w:val="CharSectno"/>
        </w:rPr>
        <w:t>15</w:t>
      </w:r>
      <w:r>
        <w:t>.</w:t>
      </w:r>
      <w:r>
        <w:tab/>
        <w:t>Conflict of interest (Act s. 373(4)(f))</w:t>
      </w:r>
      <w:bookmarkEnd w:id="18"/>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19" w:name="_Toc191548435"/>
      <w:r>
        <w:rPr>
          <w:rStyle w:val="CharSectno"/>
        </w:rPr>
        <w:t>16</w:t>
      </w:r>
      <w:r>
        <w:t>.</w:t>
      </w:r>
      <w:r>
        <w:tab/>
        <w:t>Particulars of involuntary patients to be kept by registrar of Mental Health Tribunal (Act s. 484(a))</w:t>
      </w:r>
      <w:bookmarkEnd w:id="19"/>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lastRenderedPageBreak/>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lastRenderedPageBreak/>
        <w:tab/>
        <w:t>(n)</w:t>
      </w:r>
      <w:r>
        <w:tab/>
        <w:t>any other particulars in respect of the patient that the President of the Tribunal directs the registrar to keep.</w:t>
      </w:r>
    </w:p>
    <w:p>
      <w:pPr>
        <w:pStyle w:val="Heading5"/>
      </w:pPr>
      <w:bookmarkStart w:id="20" w:name="_Toc191548436"/>
      <w:r>
        <w:rPr>
          <w:rStyle w:val="CharSectno"/>
        </w:rPr>
        <w:t>17</w:t>
      </w:r>
      <w:r>
        <w:t>.</w:t>
      </w:r>
      <w:r>
        <w:tab/>
        <w:t>Authorised mental health practitioners (Act s. 539(4))</w:t>
      </w:r>
      <w:bookmarkEnd w:id="20"/>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lastRenderedPageBreak/>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1" w:name="_Toc191548437"/>
      <w:r>
        <w:rPr>
          <w:rStyle w:val="CharSectno"/>
        </w:rPr>
        <w:t>18</w:t>
      </w:r>
      <w:r>
        <w:t>.</w:t>
      </w:r>
      <w:r>
        <w:tab/>
        <w:t>Transfer of patients where public hospital no longer authorised (Act s. 543(2))</w:t>
      </w:r>
      <w:bookmarkEnd w:id="21"/>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 xml:space="preserve">On becoming aware that the public hospital’s authorisation will be revoked and after consulting the people referred to in subregulation (4), the Chief Psychiatrist must issue a direction </w:t>
      </w:r>
      <w:r>
        <w:lastRenderedPageBreak/>
        <w:t>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supervised person — the Mental Impairment Review Tribunal.</w:t>
      </w:r>
    </w:p>
    <w:p>
      <w:pPr>
        <w:pStyle w:val="Subsection"/>
        <w:keepNext/>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lastRenderedPageBreak/>
        <w:tab/>
        <w:t>(8)</w:t>
      </w:r>
      <w:r>
        <w:tab/>
        <w:t>The issuing of a direction under subregulation (3) is an event to which Part 9 of the Act applies and the person in charge of the public hospital is the person responsible under that Part for notification of that event.</w:t>
      </w:r>
    </w:p>
    <w:p>
      <w:pPr>
        <w:pStyle w:val="Footnotesection"/>
      </w:pPr>
      <w:r>
        <w:tab/>
        <w:t>[Regulation 18 amended: SL 2024/171 r. 4.]</w:t>
      </w:r>
    </w:p>
    <w:p>
      <w:pPr>
        <w:pStyle w:val="Heading5"/>
      </w:pPr>
      <w:bookmarkStart w:id="22" w:name="_Toc191548438"/>
      <w:r>
        <w:rPr>
          <w:rStyle w:val="CharSectno"/>
        </w:rPr>
        <w:t>19</w:t>
      </w:r>
      <w:r>
        <w:t>.</w:t>
      </w:r>
      <w:r>
        <w:tab/>
        <w:t>Prescribed State authorities (Act s. 573(1))</w:t>
      </w:r>
      <w:bookmarkEnd w:id="22"/>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lastRenderedPageBreak/>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3" w:name="_Toc191548439"/>
      <w:r>
        <w:rPr>
          <w:rStyle w:val="CharSectno"/>
        </w:rPr>
        <w:t>20</w:t>
      </w:r>
      <w:r>
        <w:t>.</w:t>
      </w:r>
      <w:r>
        <w:tab/>
        <w:t>Prescribed authorised recording, disclosure or use of information (Act s. 577(1)(h))</w:t>
      </w:r>
      <w:bookmarkEnd w:id="23"/>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 w:name="_Toc191546326"/>
      <w:bookmarkStart w:id="25" w:name="_Toc191548440"/>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4"/>
      <w:bookmarkEnd w:id="25"/>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7" w:name="_Toc191546327"/>
      <w:bookmarkStart w:id="28" w:name="_Toc191548441"/>
      <w:r>
        <w:lastRenderedPageBreak/>
        <w:t>Notes</w:t>
      </w:r>
      <w:bookmarkEnd w:id="27"/>
      <w:bookmarkEnd w:id="28"/>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 </w:t>
      </w:r>
    </w:p>
    <w:p>
      <w:pPr>
        <w:pStyle w:val="nHeading3"/>
      </w:pPr>
      <w:bookmarkStart w:id="29" w:name="_Toc191548442"/>
      <w:r>
        <w:t>Compilation table</w:t>
      </w:r>
      <w:bookmarkEnd w:id="29"/>
    </w:p>
    <w:tbl>
      <w:tblPr>
        <w:tblW w:w="7202"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808"/>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808"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808"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808"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808"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808"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808"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808"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808"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808"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808"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808"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lastRenderedPageBreak/>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2023</w:t>
            </w:r>
          </w:p>
        </w:tc>
        <w:tc>
          <w:tcPr>
            <w:tcW w:w="1276" w:type="dxa"/>
            <w:tcBorders>
              <w:top w:val="nil"/>
              <w:left w:val="nil"/>
              <w:bottom w:val="nil"/>
              <w:right w:val="nil"/>
            </w:tcBorders>
          </w:tcPr>
          <w:p>
            <w:pPr>
              <w:pStyle w:val="nTable"/>
              <w:keepLines/>
              <w:spacing w:after="40"/>
            </w:pPr>
            <w:r>
              <w:t>SL 2023/184 29 Nov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spacing w:after="40"/>
              <w:rPr>
                <w:i/>
              </w:rPr>
            </w:pPr>
            <w:r>
              <w:rPr>
                <w:i/>
              </w:rPr>
              <w:t>Mental Health Amendment Regulations 2024</w:t>
            </w:r>
          </w:p>
        </w:tc>
        <w:tc>
          <w:tcPr>
            <w:tcW w:w="1276" w:type="dxa"/>
            <w:tcBorders>
              <w:top w:val="nil"/>
              <w:left w:val="nil"/>
              <w:bottom w:val="nil"/>
              <w:right w:val="nil"/>
            </w:tcBorders>
          </w:tcPr>
          <w:p>
            <w:pPr>
              <w:pStyle w:val="nTable"/>
              <w:keepLines/>
              <w:spacing w:after="40"/>
            </w:pPr>
            <w:r>
              <w:t>SL 2024/30 7 Mar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2024</w:t>
            </w:r>
          </w:p>
        </w:tc>
        <w:tc>
          <w:tcPr>
            <w:tcW w:w="1276" w:type="dxa"/>
            <w:tcBorders>
              <w:top w:val="nil"/>
              <w:left w:val="nil"/>
              <w:bottom w:val="nil"/>
              <w:right w:val="nil"/>
            </w:tcBorders>
          </w:tcPr>
          <w:p>
            <w:pPr>
              <w:pStyle w:val="nTable"/>
              <w:keepLines/>
              <w:spacing w:after="40"/>
            </w:pPr>
            <w:r>
              <w:t>SL 2024/144 10 Jul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2024</w:t>
            </w:r>
          </w:p>
        </w:tc>
        <w:tc>
          <w:tcPr>
            <w:tcW w:w="1276" w:type="dxa"/>
            <w:tcBorders>
              <w:top w:val="nil"/>
              <w:left w:val="nil"/>
              <w:bottom w:val="nil"/>
              <w:right w:val="nil"/>
            </w:tcBorders>
          </w:tcPr>
          <w:p>
            <w:pPr>
              <w:pStyle w:val="nTable"/>
              <w:keepLines/>
              <w:spacing w:after="40"/>
            </w:pPr>
            <w:r>
              <w:t>SL 2024/156 7 Aug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8" w:type="dxa"/>
            <w:tcBorders>
              <w:top w:val="nil"/>
              <w:bottom w:val="nil"/>
              <w:right w:val="nil"/>
            </w:tcBorders>
          </w:tcPr>
          <w:p>
            <w:pPr>
              <w:pStyle w:val="nTable"/>
              <w:keepNext/>
              <w:spacing w:after="40"/>
              <w:rPr>
                <w:i/>
              </w:rPr>
            </w:pPr>
            <w:r>
              <w:rPr>
                <w:i/>
              </w:rPr>
              <w:lastRenderedPageBreak/>
              <w:t>Mental Health Amendment Regulations (No. 3) 2024</w:t>
            </w:r>
          </w:p>
        </w:tc>
        <w:tc>
          <w:tcPr>
            <w:tcW w:w="1276" w:type="dxa"/>
            <w:tcBorders>
              <w:top w:val="nil"/>
              <w:left w:val="nil"/>
              <w:bottom w:val="nil"/>
              <w:right w:val="nil"/>
            </w:tcBorders>
          </w:tcPr>
          <w:p>
            <w:pPr>
              <w:pStyle w:val="nTable"/>
              <w:keepNext/>
              <w:keepLines/>
              <w:spacing w:after="40"/>
            </w:pPr>
            <w:r>
              <w:t>SL 2024/171 21 Aug 2024</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21 Aug 2024 (see r. 2(a));</w:t>
            </w:r>
            <w:r>
              <w:rPr>
                <w:bCs/>
                <w:snapToGrid w:val="0"/>
                <w:spacing w:val="-2"/>
              </w:rPr>
              <w:br/>
              <w:t xml:space="preserve">Regulations other than r. 1 and 2: </w:t>
            </w:r>
            <w:r>
              <w:t>1 Sep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5) 2024</w:t>
            </w:r>
          </w:p>
        </w:tc>
        <w:tc>
          <w:tcPr>
            <w:tcW w:w="1276" w:type="dxa"/>
            <w:tcBorders>
              <w:top w:val="nil"/>
              <w:left w:val="nil"/>
              <w:bottom w:val="nil"/>
              <w:right w:val="nil"/>
            </w:tcBorders>
          </w:tcPr>
          <w:p>
            <w:pPr>
              <w:pStyle w:val="nTable"/>
              <w:keepNext/>
              <w:keepLines/>
              <w:spacing w:after="40"/>
            </w:pPr>
            <w:r>
              <w:t>SL 2024/197 2 Oct 2024</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2 Oct 2024 (see r. 2(a));</w:t>
            </w:r>
            <w:r>
              <w:rPr>
                <w:bCs/>
                <w:snapToGrid w:val="0"/>
                <w:spacing w:val="-2"/>
              </w:rPr>
              <w:br/>
              <w:t xml:space="preserve">Regulations other than r. 1 and 2: </w:t>
            </w:r>
            <w:r>
              <w:t>3 Oct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6) 2024</w:t>
            </w:r>
          </w:p>
        </w:tc>
        <w:tc>
          <w:tcPr>
            <w:tcW w:w="1276" w:type="dxa"/>
            <w:tcBorders>
              <w:top w:val="nil"/>
              <w:left w:val="nil"/>
              <w:bottom w:val="nil"/>
              <w:right w:val="nil"/>
            </w:tcBorders>
          </w:tcPr>
          <w:p>
            <w:pPr>
              <w:pStyle w:val="nTable"/>
              <w:keepNext/>
              <w:keepLines/>
              <w:spacing w:after="40"/>
            </w:pPr>
            <w:r>
              <w:t>SL 2024/231 13 Nov 2024</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13 Nov 2024 (see r. 2(a));</w:t>
            </w:r>
            <w:r>
              <w:rPr>
                <w:bCs/>
                <w:snapToGrid w:val="0"/>
                <w:spacing w:val="-2"/>
              </w:rPr>
              <w:br/>
              <w:t>Regulations other than r. 1 and 2: 14 Nov 2024 (see r. 2(b))</w:t>
            </w:r>
          </w:p>
        </w:tc>
      </w:tr>
      <w:tr>
        <w:trPr>
          <w:cantSplit/>
        </w:trPr>
        <w:tc>
          <w:tcPr>
            <w:tcW w:w="3118" w:type="dxa"/>
            <w:tcBorders>
              <w:top w:val="nil"/>
              <w:bottom w:val="single" w:sz="8" w:space="0" w:color="auto"/>
              <w:right w:val="nil"/>
            </w:tcBorders>
          </w:tcPr>
          <w:p>
            <w:pPr>
              <w:pStyle w:val="nTable"/>
              <w:keepNext/>
              <w:spacing w:after="40"/>
              <w:rPr>
                <w:i/>
              </w:rPr>
            </w:pPr>
            <w:r>
              <w:rPr>
                <w:i/>
              </w:rPr>
              <w:t>Mental Health Amendment Regulations 2025</w:t>
            </w:r>
          </w:p>
        </w:tc>
        <w:tc>
          <w:tcPr>
            <w:tcW w:w="1276" w:type="dxa"/>
            <w:tcBorders>
              <w:top w:val="nil"/>
              <w:left w:val="nil"/>
              <w:bottom w:val="single" w:sz="8" w:space="0" w:color="auto"/>
              <w:right w:val="nil"/>
            </w:tcBorders>
          </w:tcPr>
          <w:p>
            <w:pPr>
              <w:pStyle w:val="nTable"/>
              <w:keepNext/>
              <w:keepLines/>
              <w:spacing w:after="40"/>
            </w:pPr>
            <w:r>
              <w:t>SL 2025/40 6 Mar 2025</w:t>
            </w:r>
          </w:p>
        </w:tc>
        <w:tc>
          <w:tcPr>
            <w:tcW w:w="2808" w:type="dxa"/>
            <w:tcBorders>
              <w:top w:val="nil"/>
              <w:left w:val="nil"/>
              <w:bottom w:val="single" w:sz="8" w:space="0" w:color="auto"/>
            </w:tcBorders>
          </w:tcPr>
          <w:p>
            <w:pPr>
              <w:pStyle w:val="nTable"/>
              <w:keepNext/>
              <w:keepLines/>
              <w:spacing w:after="40"/>
              <w:rPr>
                <w:bCs/>
                <w:snapToGrid w:val="0"/>
                <w:spacing w:val="-2"/>
              </w:rPr>
            </w:pPr>
            <w:r>
              <w:rPr>
                <w:bCs/>
                <w:snapToGrid w:val="0"/>
                <w:spacing w:val="-2"/>
              </w:rPr>
              <w:t>r. 1 and 2: 6 Mar 2025 (see r. 2(a));</w:t>
            </w:r>
            <w:r>
              <w:rPr>
                <w:bCs/>
                <w:snapToGrid w:val="0"/>
                <w:spacing w:val="-2"/>
              </w:rPr>
              <w:br/>
              <w:t>Regulations other than r. 1 and 2: 7 Mar 2025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1" w:name="_Toc191546329"/>
      <w:bookmarkStart w:id="32" w:name="_Toc191548443"/>
      <w:r>
        <w:rPr>
          <w:sz w:val="28"/>
        </w:rPr>
        <w:lastRenderedPageBreak/>
        <w:t>Defined terms</w:t>
      </w:r>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8A224C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DF3E92D" w14:textId="2F33D7F6" w:rsidR="007424BA" w:rsidRDefault="00CB385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77722">
                        <w:rPr>
                          <w:sz w:val="16"/>
                        </w:rPr>
                        <w:t>2025</w:t>
                      </w:r>
                      <w:r>
                        <w:rPr>
                          <w:sz w:val="16"/>
                        </w:rPr>
                        <w:fldChar w:fldCharType="end"/>
                      </w:r>
                      <w:r>
                        <w:rPr>
                          <w:sz w:val="16"/>
                        </w:rPr>
                        <w:t>.</w:t>
                      </w:r>
                    </w:p>
                    <w:p w14:paraId="01453865" w14:textId="77777777" w:rsidR="007424BA" w:rsidRDefault="00CB385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7913463" w14:textId="1F1FF444" w:rsidR="007424BA" w:rsidRDefault="00CB385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77722">
                        <w:rPr>
                          <w:sz w:val="16"/>
                        </w:rPr>
                        <w:t>2025</w:t>
                      </w:r>
                      <w:r>
                        <w:rPr>
                          <w:sz w:val="16"/>
                        </w:rPr>
                        <w:fldChar w:fldCharType="end"/>
                      </w:r>
                      <w:r>
                        <w:rPr>
                          <w:sz w:val="16"/>
                        </w:rPr>
                        <w:t>.</w:t>
                      </w:r>
                    </w:p>
                    <w:p w14:paraId="78938E8F" w14:textId="77777777" w:rsidR="007424BA" w:rsidRDefault="00CB385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 w:name="DefinedTerms"/>
    <w:bookmarkEnd w:id="3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 w:name="Coversheet"/>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314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227105612"/>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 w:name="WAFER_2024082116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61214_GUID" w:val="0a8126da-5eb1-4930-932a-ceba7e81f916"/>
    <w:docVar w:name="WAFER_20240927085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085024_GUID" w:val="1a107586-4229-422a-ac28-5066f281c0f2"/>
    <w:docVar w:name="WAFER_20241108090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0418_GUID" w:val="e9a8adee-6dbf-496e-abbf-964d41a34ba4"/>
    <w:docVar w:name="WAFER_20250227105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7105547_GUID" w:val="2d7dfa32-ef85-4150-8dd9-03b7f0d49427"/>
    <w:docVar w:name="WAFER_2025022710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7105612_GUID" w:val="28b92336-e5cd-45e1-920c-93cd1bffcb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1425"/>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Bold">
    <w:name w:val="zTableNAm + Bold"/>
    <w:basedOn w:val="TableNAm"/>
    <w:rPr>
      <w:b/>
      <w:bCs/>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5224</Words>
  <Characters>25446</Characters>
  <Application>Microsoft Office Word</Application>
  <DocSecurity>0</DocSecurity>
  <Lines>908</Lines>
  <Paragraphs>502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2015 - 00-ab0-00</dc:title>
  <dc:subject/>
  <dc:creator/>
  <cp:keywords/>
  <dc:description/>
  <cp:lastModifiedBy>Master Repository Process</cp:lastModifiedBy>
  <cp:revision>4</cp:revision>
  <cp:lastPrinted>2019-10-08T03:56:00Z</cp:lastPrinted>
  <dcterms:created xsi:type="dcterms:W3CDTF">2025-07-03T03:58:00Z</dcterms:created>
  <dcterms:modified xsi:type="dcterms:W3CDTF">2025-07-03T03:58:00Z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AsAtDate">
    <vt:lpwstr>07 Mar 2025</vt:lpwstr>
  </property>
  <property fmtid="{D5CDD505-2E9C-101B-9397-08002B2CF9AE}" pid="6" name="Suffix">
    <vt:lpwstr>00-ab0-00</vt:lpwstr>
  </property>
  <property fmtid="{D5CDD505-2E9C-101B-9397-08002B2CF9AE}" pid="7" name="Official">
    <vt:lpwstr/>
  </property>
  <property fmtid="{D5CDD505-2E9C-101B-9397-08002B2CF9AE}" pid="8" name="CommencementDate">
    <vt:lpwstr>20250307</vt:lpwstr>
  </property>
  <property fmtid="{D5CDD505-2E9C-101B-9397-08002B2CF9AE}" pid="9" name="CommencementAsAt">
    <vt:filetime>2025-03-06T16:00:00Z</vt:filetime>
  </property>
  <property fmtid="{D5CDD505-2E9C-101B-9397-08002B2CF9AE}" pid="10" name="CommencementYear">
    <vt:lpwstr>2025</vt:lpwstr>
  </property>
</Properties>
</file>