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_Toc192854722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_Toc192854723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_Toc192854724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_Toc192854725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_Toc192854727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_Toc192854728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_Toc192854729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_Toc192854731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_Toc192854732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_Toc192854733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_Toc192854734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_Toc192854735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_Toc192854736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_Toc192854737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_Toc192854738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_Toc192854740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_Toc192854743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_Toc192854744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_Toc192854745 \h </w:instrText>
      </w:r>
      <w:r>
        <w:fldChar w:fldCharType="separate"/>
      </w:r>
      <w:r>
        <w:t>14</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_Toc192854746 \h </w:instrText>
      </w:r>
      <w:r>
        <w:fldChar w:fldCharType="separate"/>
      </w:r>
      <w:r>
        <w:t>16</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_Toc192854747 \h </w:instrText>
      </w:r>
      <w:r>
        <w:fldChar w:fldCharType="separate"/>
      </w:r>
      <w:r>
        <w:t>16</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_Toc192854748 \h </w:instrText>
      </w:r>
      <w:r>
        <w:fldChar w:fldCharType="separate"/>
      </w:r>
      <w:r>
        <w:t>17</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_Toc192854749 \h </w:instrText>
      </w:r>
      <w:r>
        <w:fldChar w:fldCharType="separate"/>
      </w:r>
      <w:r>
        <w:t>19</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_Toc192854750 \h </w:instrText>
      </w:r>
      <w:r>
        <w:fldChar w:fldCharType="separate"/>
      </w:r>
      <w:r>
        <w:t>20</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_Toc192854751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_Toc192854753 \h </w:instrText>
      </w:r>
      <w:r>
        <w:fldChar w:fldCharType="separate"/>
      </w:r>
      <w:r>
        <w:t>21</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_Toc192854754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_Toc192854756 \h </w:instrText>
      </w:r>
      <w:r>
        <w:fldChar w:fldCharType="separate"/>
      </w:r>
      <w:r>
        <w:t>23</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_Toc192854757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_Toc192854759 \h </w:instrText>
      </w:r>
      <w:r>
        <w:fldChar w:fldCharType="separate"/>
      </w:r>
      <w:r>
        <w:t>25</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_Toc192854760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_Toc192854762 \h </w:instrText>
      </w:r>
      <w:r>
        <w:fldChar w:fldCharType="separate"/>
      </w:r>
      <w:r>
        <w:t>27</w:t>
      </w:r>
      <w:r>
        <w:fldChar w:fldCharType="end"/>
      </w:r>
    </w:p>
    <w:p>
      <w:pPr>
        <w:pStyle w:val="TOC8"/>
        <w:rPr>
          <w:rFonts w:asciiTheme="minorHAnsi" w:eastAsiaTheme="minorEastAsia" w:hAnsiTheme="minorHAnsi" w:cstheme="minorBidi"/>
          <w:szCs w:val="22"/>
        </w:rPr>
      </w:pPr>
      <w:r>
        <w:lastRenderedPageBreak/>
        <w:t>36</w:t>
      </w:r>
      <w:r>
        <w:rPr>
          <w:snapToGrid w:val="0"/>
        </w:rPr>
        <w:t>.</w:t>
      </w:r>
      <w:r>
        <w:rPr>
          <w:snapToGrid w:val="0"/>
        </w:rPr>
        <w:tab/>
        <w:t>Firearms register, content of</w:t>
      </w:r>
      <w:r>
        <w:tab/>
      </w:r>
      <w:r>
        <w:fldChar w:fldCharType="begin"/>
      </w:r>
      <w:r>
        <w:instrText xml:space="preserve"> PAGEREF _Toc192854763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_Toc192854764 \h </w:instrText>
      </w:r>
      <w:r>
        <w:fldChar w:fldCharType="separate"/>
      </w:r>
      <w:r>
        <w:t>28</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_Toc192854765 \h </w:instrText>
      </w:r>
      <w:r>
        <w:fldChar w:fldCharType="separate"/>
      </w:r>
      <w:r>
        <w:t>30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_Toc192854766 \h </w:instrText>
      </w:r>
      <w:r>
        <w:fldChar w:fldCharType="separate"/>
      </w:r>
      <w:r>
        <w:t>31</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_Toc192854767 \h </w:instrText>
      </w:r>
      <w:r>
        <w:fldChar w:fldCharType="separate"/>
      </w:r>
      <w:r>
        <w:t>32</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_Toc192854768 \h </w:instrText>
      </w:r>
      <w:r>
        <w:fldChar w:fldCharType="separate"/>
      </w:r>
      <w:r>
        <w:t>32</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_Toc192854769 \h </w:instrText>
      </w:r>
      <w:r>
        <w:fldChar w:fldCharType="separate"/>
      </w:r>
      <w:r>
        <w:t>34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_Toc192854770 \h </w:instrText>
      </w:r>
      <w:r>
        <w:fldChar w:fldCharType="separate"/>
      </w:r>
      <w:r>
        <w:t>35</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_Toc192854771 \h </w:instrText>
      </w:r>
      <w:r>
        <w:fldChar w:fldCharType="separate"/>
      </w:r>
      <w:r>
        <w:t>35</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_Toc192854772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_Toc192854774 \h </w:instrText>
      </w:r>
      <w:r>
        <w:fldChar w:fldCharType="separate"/>
      </w:r>
      <w:r>
        <w:t>36</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_Toc192854775 \h </w:instrText>
      </w:r>
      <w:r>
        <w:fldChar w:fldCharType="separate"/>
      </w:r>
      <w:r>
        <w:t>37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_Toc192854776 \h </w:instrText>
      </w:r>
      <w:r>
        <w:fldChar w:fldCharType="separate"/>
      </w:r>
      <w:r>
        <w:t>37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_Toc192854777 \h </w:instrText>
      </w:r>
      <w:r>
        <w:fldChar w:fldCharType="separate"/>
      </w:r>
      <w:r>
        <w:t>38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_Toc192854778 \h </w:instrText>
      </w:r>
      <w:r>
        <w:fldChar w:fldCharType="separate"/>
      </w:r>
      <w:r>
        <w:t>39</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_Toc192854779 \h </w:instrText>
      </w:r>
      <w:r>
        <w:fldChar w:fldCharType="separate"/>
      </w:r>
      <w:r>
        <w:t>39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_Toc192854780 \h </w:instrText>
      </w:r>
      <w:r>
        <w:fldChar w:fldCharType="separate"/>
      </w:r>
      <w:r>
        <w:t>40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_Toc192854781 \h </w:instrText>
      </w:r>
      <w:r>
        <w:fldChar w:fldCharType="separate"/>
      </w:r>
      <w:r>
        <w:t>41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_Toc192854782 \h </w:instrText>
      </w:r>
      <w:r>
        <w:fldChar w:fldCharType="separate"/>
      </w:r>
      <w:r>
        <w:t>42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_Toc192854783 \h </w:instrText>
      </w:r>
      <w:r>
        <w:fldChar w:fldCharType="separate"/>
      </w:r>
      <w:r>
        <w:t>43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_Toc192854784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_Toc192854786 \h </w:instrText>
      </w:r>
      <w:r>
        <w:fldChar w:fldCharType="separate"/>
      </w:r>
      <w:r>
        <w:t>45</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_Toc192854787 \h </w:instrText>
      </w:r>
      <w:r>
        <w:fldChar w:fldCharType="separate"/>
      </w:r>
      <w:r>
        <w:t>45</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_Toc192854788 \h </w:instrText>
      </w:r>
      <w:r>
        <w:fldChar w:fldCharType="separate"/>
      </w:r>
      <w:r>
        <w:t>46</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_Toc192854789 \h </w:instrText>
      </w:r>
      <w:r>
        <w:fldChar w:fldCharType="separate"/>
      </w:r>
      <w:r>
        <w:t>46</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_Toc192854790 \h </w:instrText>
      </w:r>
      <w:r>
        <w:fldChar w:fldCharType="separate"/>
      </w:r>
      <w:r>
        <w:t>46</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_Toc192854791 \h </w:instrText>
      </w:r>
      <w:r>
        <w:fldChar w:fldCharType="separate"/>
      </w:r>
      <w:r>
        <w:t>46</w:t>
      </w:r>
      <w:r>
        <w:fldChar w:fldCharType="end"/>
      </w:r>
    </w:p>
    <w:p>
      <w:pPr>
        <w:pStyle w:val="TOC8"/>
        <w:rPr>
          <w:rFonts w:asciiTheme="minorHAnsi" w:eastAsiaTheme="minorEastAsia" w:hAnsiTheme="minorHAnsi" w:cstheme="minorBidi"/>
          <w:szCs w:val="22"/>
        </w:rPr>
      </w:pPr>
      <w:r>
        <w:lastRenderedPageBreak/>
        <w:t>59.</w:t>
      </w:r>
      <w:r>
        <w:tab/>
        <w:t>Forms</w:t>
      </w:r>
      <w:r>
        <w:tab/>
      </w:r>
      <w:r>
        <w:fldChar w:fldCharType="begin"/>
      </w:r>
      <w:r>
        <w:instrText xml:space="preserve"> PAGEREF _Toc192854792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1A.</w:t>
      </w:r>
      <w:r>
        <w:tab/>
        <w:t>Term used: business activity</w:t>
      </w:r>
      <w:r>
        <w:tab/>
      </w:r>
      <w:r>
        <w:fldChar w:fldCharType="begin"/>
      </w:r>
      <w:r>
        <w:instrText xml:space="preserve"> PAGEREF _Toc192854795 \h </w:instrText>
      </w:r>
      <w:r>
        <w:fldChar w:fldCharType="separate"/>
      </w:r>
      <w:r>
        <w:t>48</w:t>
      </w:r>
      <w:r>
        <w:fldChar w:fldCharType="end"/>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_Toc192854796 \h </w:instrText>
      </w:r>
      <w:r>
        <w:fldChar w:fldCharType="separate"/>
      </w:r>
      <w:r>
        <w:t>48</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_Toc192854797 \h </w:instrText>
      </w:r>
      <w:r>
        <w:fldChar w:fldCharType="separate"/>
      </w:r>
      <w:r>
        <w:t>48</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_Toc192854798 \h </w:instrText>
      </w:r>
      <w:r>
        <w:fldChar w:fldCharType="separate"/>
      </w:r>
      <w:r>
        <w:t>49</w:t>
      </w:r>
      <w:r>
        <w:fldChar w:fldCharType="end"/>
      </w:r>
    </w:p>
    <w:p>
      <w:pPr>
        <w:pStyle w:val="TOC8"/>
        <w:rPr>
          <w:rFonts w:asciiTheme="minorHAnsi" w:eastAsiaTheme="minorEastAsia" w:hAnsiTheme="minorHAnsi" w:cstheme="minorBidi"/>
          <w:szCs w:val="22"/>
        </w:rPr>
      </w:pPr>
      <w:r>
        <w:t>4A.</w:t>
      </w:r>
      <w:r>
        <w:tab/>
        <w:t>Guard dogs not to be used without training</w:t>
      </w:r>
      <w:r>
        <w:tab/>
      </w:r>
      <w:r>
        <w:fldChar w:fldCharType="begin"/>
      </w:r>
      <w:r>
        <w:instrText xml:space="preserve"> PAGEREF _Toc192854799 \h </w:instrText>
      </w:r>
      <w:r>
        <w:fldChar w:fldCharType="separate"/>
      </w:r>
      <w:r>
        <w:t>49</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_Toc192854800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_Toc192854802 \h </w:instrText>
      </w:r>
      <w:r>
        <w:fldChar w:fldCharType="separate"/>
      </w:r>
      <w:r>
        <w:t>50</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_Toc192854803 \h </w:instrText>
      </w:r>
      <w:r>
        <w:fldChar w:fldCharType="separate"/>
      </w:r>
      <w:r>
        <w:t>51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_Toc192854804 \h </w:instrText>
      </w:r>
      <w:r>
        <w:fldChar w:fldCharType="separate"/>
      </w:r>
      <w:r>
        <w:t>51</w:t>
      </w:r>
      <w:r>
        <w:fldChar w:fldCharType="end"/>
      </w:r>
    </w:p>
    <w:p>
      <w:pPr>
        <w:pStyle w:val="TOC8"/>
        <w:rPr>
          <w:rFonts w:asciiTheme="minorHAnsi" w:eastAsiaTheme="minorEastAsia" w:hAnsiTheme="minorHAnsi" w:cstheme="minorBidi"/>
          <w:szCs w:val="22"/>
        </w:rPr>
      </w:pPr>
      <w:r>
        <w:t>11A.</w:t>
      </w:r>
      <w:r>
        <w:tab/>
        <w:t>Guard dogs not to be used without training</w:t>
      </w:r>
      <w:r>
        <w:tab/>
      </w:r>
      <w:r>
        <w:fldChar w:fldCharType="begin"/>
      </w:r>
      <w:r>
        <w:instrText xml:space="preserve"> PAGEREF _Toc192854805 \h </w:instrText>
      </w:r>
      <w:r>
        <w:fldChar w:fldCharType="separate"/>
      </w:r>
      <w:r>
        <w:t>52</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_Toc192854806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Periodic weapons training</w:t>
      </w:r>
      <w:r>
        <w:tab/>
      </w:r>
      <w:r>
        <w:fldChar w:fldCharType="begin"/>
      </w:r>
      <w:r>
        <w:instrText xml:space="preserve"> PAGEREF _Toc192854808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_Toc192854810 \h </w:instrText>
      </w:r>
      <w:r>
        <w:fldChar w:fldCharType="separate"/>
      </w:r>
      <w:r>
        <w:t>53</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_Toc192854811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_Toc192854813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_Toc192854815 \h </w:instrText>
      </w:r>
      <w:r>
        <w:fldChar w:fldCharType="separate"/>
      </w:r>
      <w:r>
        <w:t>54</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_Toc192854816 \h </w:instrText>
      </w:r>
      <w:r>
        <w:fldChar w:fldCharType="separate"/>
      </w:r>
      <w:r>
        <w:t>54</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_Toc192854817 \h </w:instrText>
      </w:r>
      <w:r>
        <w:fldChar w:fldCharType="separate"/>
      </w:r>
      <w:r>
        <w:t>54</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_Toc192854818 \h </w:instrText>
      </w:r>
      <w:r>
        <w:fldChar w:fldCharType="separate"/>
      </w:r>
      <w:r>
        <w:t>55</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_Toc192854819 \h </w:instrText>
      </w:r>
      <w:r>
        <w:fldChar w:fldCharType="separate"/>
      </w:r>
      <w:r>
        <w:t>55</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_Toc192854820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_Toc192854822 \h </w:instrText>
      </w:r>
      <w:r>
        <w:fldChar w:fldCharType="separate"/>
      </w:r>
      <w:r>
        <w:t>56</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_Toc192854823 \h </w:instrText>
      </w:r>
      <w:r>
        <w:fldChar w:fldCharType="separate"/>
      </w:r>
      <w:r>
        <w:t>57</w:t>
      </w:r>
      <w:r>
        <w:fldChar w:fldCharType="end"/>
      </w:r>
    </w:p>
    <w:p>
      <w:pPr>
        <w:pStyle w:val="TOC8"/>
        <w:rPr>
          <w:rFonts w:asciiTheme="minorHAnsi" w:eastAsiaTheme="minorEastAsia" w:hAnsiTheme="minorHAnsi" w:cstheme="minorBidi"/>
          <w:szCs w:val="22"/>
        </w:rPr>
      </w:pPr>
      <w:r>
        <w:lastRenderedPageBreak/>
        <w:t>19A.</w:t>
      </w:r>
      <w:r>
        <w:tab/>
        <w:t>First aid certificate</w:t>
      </w:r>
      <w:r>
        <w:tab/>
      </w:r>
      <w:r>
        <w:fldChar w:fldCharType="begin"/>
      </w:r>
      <w:r>
        <w:instrText xml:space="preserve"> PAGEREF _Toc192854824 \h </w:instrText>
      </w:r>
      <w:r>
        <w:fldChar w:fldCharType="separate"/>
      </w:r>
      <w:r>
        <w:t>57</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_Toc192854825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_Toc192854827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_Toc192854838 \h </w:instrText>
      </w:r>
      <w:r>
        <w:fldChar w:fldCharType="separate"/>
      </w:r>
      <w:r>
        <w:t>74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_Toc192854839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r>
        <w:fldChar w:fldCharType="end"/>
      </w:r>
    </w:p>
    <w:p>
      <w:pPr>
        <w:pStyle w:val="PrincipalActReg"/>
        <w:spacing w:before="120" w:after="600"/>
        <w:rPr>
          <w:snapToGrid w:val="0"/>
        </w:rPr>
      </w:pPr>
      <w:r>
        <w:rPr>
          <w:snapToGrid w:val="0"/>
        </w:rPr>
        <w:lastRenderedPageBreak/>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2" w:name="_Toc192849394"/>
      <w:bookmarkStart w:id="3" w:name="_Toc192851166"/>
      <w:bookmarkStart w:id="4" w:name="_Toc192854721"/>
      <w:r>
        <w:rPr>
          <w:rStyle w:val="CharPartNo"/>
        </w:rPr>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spacing w:before="300"/>
        <w:rPr>
          <w:snapToGrid w:val="0"/>
        </w:rPr>
      </w:pPr>
      <w:bookmarkStart w:id="5" w:name="_Toc192854722"/>
      <w:r>
        <w:rPr>
          <w:rStyle w:val="CharSectno"/>
        </w:rPr>
        <w:t>1</w:t>
      </w:r>
      <w:r>
        <w:rPr>
          <w:snapToGrid w:val="0"/>
        </w:rPr>
        <w:t>.</w:t>
      </w:r>
      <w:r>
        <w:rPr>
          <w:snapToGrid w:val="0"/>
        </w:rPr>
        <w:tab/>
        <w:t>Citation</w:t>
      </w:r>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w:t>
      </w:r>
    </w:p>
    <w:p>
      <w:pPr>
        <w:pStyle w:val="Heading5"/>
        <w:rPr>
          <w:snapToGrid w:val="0"/>
        </w:rPr>
      </w:pPr>
      <w:bookmarkStart w:id="6" w:name="_Toc192854723"/>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w:t>
      </w:r>
    </w:p>
    <w:p>
      <w:pPr>
        <w:pStyle w:val="Heading5"/>
        <w:rPr>
          <w:snapToGrid w:val="0"/>
        </w:rPr>
      </w:pPr>
      <w:bookmarkStart w:id="7" w:name="_Toc192854724"/>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keepNext/>
      </w:pPr>
      <w:r>
        <w:lastRenderedPageBreak/>
        <w:tab/>
        <w:t>(ii)</w:t>
      </w:r>
      <w:r>
        <w:tab/>
        <w:t>approved under regulation 16(3);</w:t>
      </w:r>
    </w:p>
    <w:p>
      <w:pPr>
        <w:pStyle w:val="Defpara"/>
        <w:keepNext/>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in relation to a security agent, crowd control agent or inquiry agent, means — </w:t>
      </w:r>
    </w:p>
    <w:p>
      <w:pPr>
        <w:pStyle w:val="Defpara"/>
      </w:pPr>
      <w:r>
        <w:tab/>
        <w:t>(a)</w:t>
      </w:r>
      <w:r>
        <w:tab/>
        <w:t>if the agent’s licence is held on behalf of a partnership or body corporate, the business of the partnership or body corporate; or</w:t>
      </w:r>
    </w:p>
    <w:p>
      <w:pPr>
        <w:pStyle w:val="Defpara"/>
      </w:pPr>
      <w:r>
        <w:tab/>
        <w:t>(b)</w:t>
      </w:r>
      <w:r>
        <w:tab/>
        <w:t>otherwise, the business of the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keepNext/>
      </w:pPr>
      <w:r>
        <w:lastRenderedPageBreak/>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keepNex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Ednotesubsection"/>
      </w:pPr>
      <w:r>
        <w:tab/>
        <w:t>[(3)</w:t>
      </w:r>
      <w:r>
        <w:tab/>
        <w:t>deleted]</w:t>
      </w:r>
    </w:p>
    <w:p>
      <w:pPr>
        <w:pStyle w:val="Footnotesection"/>
        <w:keepLines w:val="0"/>
      </w:pPr>
      <w:r>
        <w:tab/>
        <w:t>[Regulation 3 amended: Gazette 1 Sep 2005 p. 4073</w:t>
      </w:r>
      <w:r>
        <w:noBreakHyphen/>
        <w:t>4; 3 Oct 2006 p. 4343</w:t>
      </w:r>
      <w:r>
        <w:noBreakHyphen/>
        <w:t>4; 4 Dec 2009 p. 4889</w:t>
      </w:r>
      <w:r>
        <w:noBreakHyphen/>
        <w:t>90; 1 Jul 2011 p. 2749; 29 Jul 2016 p. 3243-4 and 3257; SL 2022/211 r. 4; SL 2024/296 r. 4.]</w:t>
      </w:r>
    </w:p>
    <w:p>
      <w:pPr>
        <w:pStyle w:val="Heading5"/>
      </w:pPr>
      <w:bookmarkStart w:id="8" w:name="_Toc192854725"/>
      <w:r>
        <w:rPr>
          <w:rStyle w:val="CharSectno"/>
        </w:rPr>
        <w:t>4A</w:t>
      </w:r>
      <w:r>
        <w:t>.</w:t>
      </w:r>
      <w:r>
        <w:tab/>
        <w:t>Method of giving things to Commissioner, Superintendent or licensing officer</w:t>
      </w:r>
      <w:bookmarkEnd w:id="8"/>
    </w:p>
    <w:p>
      <w:pPr>
        <w:pStyle w:val="Subsection"/>
        <w:keepNext/>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keepNext/>
      </w:pPr>
      <w:r>
        <w:lastRenderedPageBreak/>
        <w:tab/>
        <w:t>(b)</w:t>
      </w:r>
      <w:r>
        <w:tab/>
        <w:t xml:space="preserve">by post, in accordance with the </w:t>
      </w:r>
      <w:r>
        <w:rPr>
          <w:i/>
        </w:rPr>
        <w:t>Interpretation Act </w:t>
      </w:r>
      <w:r>
        <w:rPr>
          <w:i/>
          <w:iCs/>
        </w:rPr>
        <w:t>1984</w:t>
      </w:r>
      <w:r>
        <w:t xml:space="preserve"> section 75(1),</w:t>
      </w:r>
    </w:p>
    <w:p>
      <w:pPr>
        <w:pStyle w:val="Subsection"/>
        <w:keepNext/>
      </w:pPr>
      <w:r>
        <w:tab/>
      </w:r>
      <w:r>
        <w:tab/>
        <w:t>to the offices of the responsible police division at 303 Sevenoaks Street, Cannington WA 6107 or to Locked Bag 9, East Perth WA 6892.</w:t>
      </w:r>
    </w:p>
    <w:p>
      <w:pPr>
        <w:pStyle w:val="Footnotesection"/>
        <w:keepLines w:val="0"/>
      </w:pPr>
      <w:r>
        <w:tab/>
        <w:t>[Regulation 4A inserted: Gazette 4 Dec 2009 p. 4891; amended: Gazette 29 Jul 2016 p. 3244.]</w:t>
      </w:r>
    </w:p>
    <w:p>
      <w:pPr>
        <w:pStyle w:val="Heading2"/>
      </w:pPr>
      <w:bookmarkStart w:id="9" w:name="_Toc192849399"/>
      <w:bookmarkStart w:id="10" w:name="_Toc192851171"/>
      <w:bookmarkStart w:id="11" w:name="_Toc192854726"/>
      <w:r>
        <w:rPr>
          <w:rStyle w:val="CharPartNo"/>
        </w:rPr>
        <w:lastRenderedPageBreak/>
        <w:t>Part 2</w:t>
      </w:r>
      <w:r>
        <w:rPr>
          <w:rStyle w:val="CharDivNo"/>
        </w:rPr>
        <w:t> </w:t>
      </w:r>
      <w:r>
        <w:t>—</w:t>
      </w:r>
      <w:r>
        <w:rPr>
          <w:rStyle w:val="CharDivText"/>
        </w:rPr>
        <w:t> </w:t>
      </w:r>
      <w:r>
        <w:rPr>
          <w:rStyle w:val="CharPartText"/>
        </w:rPr>
        <w:t>Exemptions</w:t>
      </w:r>
      <w:bookmarkEnd w:id="9"/>
      <w:bookmarkEnd w:id="10"/>
      <w:bookmarkEnd w:id="11"/>
      <w:r>
        <w:rPr>
          <w:rStyle w:val="CharPartText"/>
        </w:rPr>
        <w:t xml:space="preserve"> </w:t>
      </w:r>
    </w:p>
    <w:p>
      <w:pPr>
        <w:pStyle w:val="Heading5"/>
        <w:rPr>
          <w:snapToGrid w:val="0"/>
        </w:rPr>
      </w:pPr>
      <w:bookmarkStart w:id="12" w:name="_Toc192854727"/>
      <w:r>
        <w:rPr>
          <w:rStyle w:val="CharSectno"/>
        </w:rPr>
        <w:t>4</w:t>
      </w:r>
      <w:r>
        <w:rPr>
          <w:snapToGrid w:val="0"/>
        </w:rPr>
        <w:t>.</w:t>
      </w:r>
      <w:r>
        <w:rPr>
          <w:snapToGrid w:val="0"/>
        </w:rPr>
        <w:tab/>
        <w:t>Act s. 37 (crowd controller’s licence), exemptions from</w:t>
      </w:r>
      <w:bookmarkEnd w:id="12"/>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1</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1</w:t>
      </w:r>
      <w:r>
        <w:rPr>
          <w:snapToGrid w:val="0"/>
        </w:rPr>
        <w:t xml:space="preserve">. </w:t>
      </w:r>
    </w:p>
    <w:p>
      <w:pPr>
        <w:pStyle w:val="Ednotesection"/>
      </w:pPr>
      <w:r>
        <w:t>[</w:t>
      </w:r>
      <w:r>
        <w:rPr>
          <w:b/>
        </w:rPr>
        <w:t>5.</w:t>
      </w:r>
      <w:r>
        <w:tab/>
        <w:t>Deleted: Gazette 29 Apr 2011 p. 1532.]</w:t>
      </w:r>
    </w:p>
    <w:p>
      <w:pPr>
        <w:pStyle w:val="Heading5"/>
      </w:pPr>
      <w:bookmarkStart w:id="13" w:name="_Toc192854728"/>
      <w:r>
        <w:rPr>
          <w:rStyle w:val="CharSectno"/>
        </w:rPr>
        <w:t>5A</w:t>
      </w:r>
      <w:r>
        <w:t>.</w:t>
      </w:r>
      <w:r>
        <w:tab/>
        <w:t xml:space="preserve">Some persons to whom </w:t>
      </w:r>
      <w:r>
        <w:rPr>
          <w:i/>
        </w:rPr>
        <w:t xml:space="preserve">Court Security and Custodial Services Act 1999 </w:t>
      </w:r>
      <w:r>
        <w:t>applies, exemption for</w:t>
      </w:r>
      <w:bookmarkEnd w:id="13"/>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lastRenderedPageBreak/>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Gazette 28 Jul 2000 p. 4028; amended: Gazette 12 Jun 2001 p. 2959</w:t>
      </w:r>
      <w:r>
        <w:noBreakHyphen/>
        <w:t>60.]</w:t>
      </w:r>
    </w:p>
    <w:p>
      <w:pPr>
        <w:pStyle w:val="Heading5"/>
      </w:pPr>
      <w:bookmarkStart w:id="14" w:name="_Toc192854729"/>
      <w:r>
        <w:rPr>
          <w:rStyle w:val="CharSectno"/>
        </w:rPr>
        <w:t>5B</w:t>
      </w:r>
      <w:r>
        <w:t>.</w:t>
      </w:r>
      <w:r>
        <w:tab/>
        <w:t xml:space="preserve">Some persons to whom </w:t>
      </w:r>
      <w:r>
        <w:rPr>
          <w:i/>
        </w:rPr>
        <w:t>Prisons Act 1981</w:t>
      </w:r>
      <w:r>
        <w:t xml:space="preserve"> Part IIIA applies, exemption for</w:t>
      </w:r>
      <w:bookmarkEnd w:id="14"/>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Gazette 12 Jun 2001 p. 2960.]</w:t>
      </w:r>
    </w:p>
    <w:p>
      <w:pPr>
        <w:pStyle w:val="Heading2"/>
      </w:pPr>
      <w:bookmarkStart w:id="15" w:name="_Toc192849403"/>
      <w:bookmarkStart w:id="16" w:name="_Toc192851175"/>
      <w:bookmarkStart w:id="17" w:name="_Toc192854730"/>
      <w:r>
        <w:rPr>
          <w:rStyle w:val="CharPartNo"/>
        </w:rPr>
        <w:lastRenderedPageBreak/>
        <w:t>Part 3</w:t>
      </w:r>
      <w:r>
        <w:rPr>
          <w:rStyle w:val="CharDivNo"/>
        </w:rPr>
        <w:t> </w:t>
      </w:r>
      <w:r>
        <w:t>—</w:t>
      </w:r>
      <w:r>
        <w:rPr>
          <w:rStyle w:val="CharDivText"/>
        </w:rPr>
        <w:t> </w:t>
      </w:r>
      <w:r>
        <w:rPr>
          <w:rStyle w:val="CharPartText"/>
        </w:rPr>
        <w:t>Security activities</w:t>
      </w:r>
      <w:bookmarkEnd w:id="15"/>
      <w:bookmarkEnd w:id="16"/>
      <w:bookmarkEnd w:id="17"/>
      <w:r>
        <w:rPr>
          <w:rStyle w:val="CharPartText"/>
        </w:rPr>
        <w:t xml:space="preserve"> </w:t>
      </w:r>
    </w:p>
    <w:p>
      <w:pPr>
        <w:pStyle w:val="Heading5"/>
      </w:pPr>
      <w:bookmarkStart w:id="18" w:name="_Toc192854731"/>
      <w:r>
        <w:rPr>
          <w:rStyle w:val="CharSectno"/>
        </w:rPr>
        <w:t>6</w:t>
      </w:r>
      <w:r>
        <w:t>.</w:t>
      </w:r>
      <w:r>
        <w:tab/>
        <w:t>Locks prescribed (Act s. 14(1)(d))</w:t>
      </w:r>
      <w:bookmarkEnd w:id="18"/>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Gazette 13 Apr 2006 p. 1555.]</w:t>
      </w:r>
    </w:p>
    <w:p>
      <w:pPr>
        <w:pStyle w:val="Heading5"/>
      </w:pPr>
      <w:bookmarkStart w:id="19" w:name="_Toc192854732"/>
      <w:r>
        <w:rPr>
          <w:rStyle w:val="CharSectno"/>
        </w:rPr>
        <w:t>7</w:t>
      </w:r>
      <w:r>
        <w:t>.</w:t>
      </w:r>
      <w:r>
        <w:tab/>
        <w:t>Security doors prescribed (Act s. 14(1)(e))</w:t>
      </w:r>
      <w:bookmarkEnd w:id="19"/>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Gazette 13 Apr 2006 p. 1555</w:t>
      </w:r>
      <w:r>
        <w:noBreakHyphen/>
        <w:t>6.]</w:t>
      </w:r>
    </w:p>
    <w:p>
      <w:pPr>
        <w:pStyle w:val="Heading5"/>
        <w:rPr>
          <w:snapToGrid w:val="0"/>
        </w:rPr>
      </w:pPr>
      <w:bookmarkStart w:id="20" w:name="_Toc192854733"/>
      <w:r>
        <w:rPr>
          <w:rStyle w:val="CharSectno"/>
        </w:rPr>
        <w:t>8</w:t>
      </w:r>
      <w:r>
        <w:rPr>
          <w:snapToGrid w:val="0"/>
        </w:rPr>
        <w:t>.</w:t>
      </w:r>
      <w:r>
        <w:rPr>
          <w:snapToGrid w:val="0"/>
        </w:rPr>
        <w:tab/>
        <w:t>Equipment and devices prescribed (Act s. 14(1)(g))</w:t>
      </w:r>
      <w:bookmarkEnd w:id="20"/>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lastRenderedPageBreak/>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Gazette 13 Apr 2006 p. 1556.]</w:t>
      </w:r>
    </w:p>
    <w:p>
      <w:pPr>
        <w:pStyle w:val="Heading5"/>
      </w:pPr>
      <w:bookmarkStart w:id="21" w:name="_Toc192854734"/>
      <w:r>
        <w:rPr>
          <w:rStyle w:val="CharSectno"/>
        </w:rPr>
        <w:t>9</w:t>
      </w:r>
      <w:r>
        <w:t>.</w:t>
      </w:r>
      <w:r>
        <w:tab/>
        <w:t>Activities prescribed (Act s. 24(1)(b))</w:t>
      </w:r>
      <w:bookmarkEnd w:id="2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Gazette 1 Sep 2005 p. 4074.]</w:t>
      </w:r>
    </w:p>
    <w:p>
      <w:pPr>
        <w:pStyle w:val="Heading5"/>
        <w:rPr>
          <w:snapToGrid w:val="0"/>
        </w:rPr>
      </w:pPr>
      <w:bookmarkStart w:id="22" w:name="_Toc192854735"/>
      <w:r>
        <w:rPr>
          <w:rStyle w:val="CharSectno"/>
        </w:rPr>
        <w:t>10</w:t>
      </w:r>
      <w:r>
        <w:rPr>
          <w:snapToGrid w:val="0"/>
        </w:rPr>
        <w:t>.</w:t>
      </w:r>
      <w:r>
        <w:rPr>
          <w:snapToGrid w:val="0"/>
        </w:rPr>
        <w:tab/>
        <w:t>Application for endorsement (Act s. 24)</w:t>
      </w:r>
      <w:bookmarkEnd w:id="22"/>
      <w:r>
        <w:rPr>
          <w:snapToGrid w:val="0"/>
        </w:rPr>
        <w:t xml:space="preserve"> </w:t>
      </w:r>
    </w:p>
    <w:p>
      <w:pPr>
        <w:pStyle w:val="Subsection"/>
      </w:pPr>
      <w:r>
        <w:tab/>
        <w:t>(1)</w:t>
      </w:r>
      <w:r>
        <w:tab/>
        <w:t xml:space="preserve">In this regulation — </w:t>
      </w:r>
    </w:p>
    <w:p>
      <w:pPr>
        <w:pStyle w:val="Defstart"/>
      </w:pPr>
      <w:r>
        <w:tab/>
      </w:r>
      <w:r>
        <w:rPr>
          <w:rStyle w:val="CharDefText"/>
        </w:rPr>
        <w:t>relevant training course</w:t>
      </w:r>
      <w:r>
        <w:t xml:space="preserve"> means a firearm safety training course, as defined in the </w:t>
      </w:r>
      <w:r>
        <w:rPr>
          <w:i/>
          <w:iCs/>
        </w:rPr>
        <w:t>Firearms Act 2024</w:t>
      </w:r>
      <w:r>
        <w:t xml:space="preserve"> section 166(1), that — </w:t>
      </w:r>
    </w:p>
    <w:p>
      <w:pPr>
        <w:pStyle w:val="Defpara"/>
      </w:pPr>
      <w:r>
        <w:tab/>
        <w:t>(a)</w:t>
      </w:r>
      <w:r>
        <w:tab/>
        <w:t xml:space="preserve">under the regulations referred to in that section, is the course that an applicant for approval as an authorised person for a Security Agent Business Licence under the </w:t>
      </w:r>
      <w:r>
        <w:rPr>
          <w:i/>
          <w:iCs/>
        </w:rPr>
        <w:t>Firearms Act 2024</w:t>
      </w:r>
      <w:r>
        <w:t xml:space="preserve"> is required to complete; and</w:t>
      </w:r>
    </w:p>
    <w:p>
      <w:pPr>
        <w:pStyle w:val="Defpara"/>
      </w:pPr>
      <w:r>
        <w:tab/>
        <w:t>(b)</w:t>
      </w:r>
      <w:r>
        <w:tab/>
        <w:t>if applicable — is taught by a person by whom  the approval of the course requires it to be taught.</w:t>
      </w:r>
    </w:p>
    <w:p>
      <w:pPr>
        <w:pStyle w:val="Subsection"/>
        <w:keepNext/>
        <w:rPr>
          <w:snapToGrid w:val="0"/>
        </w:rPr>
      </w:pPr>
      <w:r>
        <w:lastRenderedPageBreak/>
        <w:tab/>
        <w:t>(2)</w:t>
      </w:r>
      <w:r>
        <w:tab/>
        <w:t>An application</w:t>
      </w:r>
      <w:r>
        <w:rPr>
          <w:snapToGrid w:val="0"/>
        </w:rPr>
        <w:t xml:space="preserve">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has successfully completed the relevant training course; and </w:t>
      </w:r>
    </w:p>
    <w:p>
      <w:pPr>
        <w:pStyle w:val="Ednotepara"/>
      </w:pPr>
      <w:r>
        <w:tab/>
        <w:t>[(ab)</w:t>
      </w:r>
      <w:r>
        <w:tab/>
        <w:t>deleted]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Gazette 1 Sep 2005 p. 4074; 3 Oct 2006 p. 4344; SL 2024/296 r. 5.]</w:t>
      </w:r>
    </w:p>
    <w:p>
      <w:pPr>
        <w:pStyle w:val="Heading5"/>
      </w:pPr>
      <w:bookmarkStart w:id="23" w:name="_Toc192854736"/>
      <w:r>
        <w:rPr>
          <w:rStyle w:val="CharSectno"/>
        </w:rPr>
        <w:t>11</w:t>
      </w:r>
      <w:r>
        <w:t>.</w:t>
      </w:r>
      <w:r>
        <w:tab/>
        <w:t>Medical examinations prescribed (Act s. 24)</w:t>
      </w:r>
      <w:bookmarkEnd w:id="23"/>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lastRenderedPageBreak/>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Gazette 4 Dec 2009 p. 4891</w:t>
      </w:r>
      <w:r>
        <w:noBreakHyphen/>
        <w:t>2.]</w:t>
      </w:r>
    </w:p>
    <w:p>
      <w:pPr>
        <w:pStyle w:val="Heading5"/>
      </w:pPr>
      <w:bookmarkStart w:id="24" w:name="_Toc192854737"/>
      <w:r>
        <w:rPr>
          <w:rStyle w:val="CharSectno"/>
        </w:rPr>
        <w:t>12</w:t>
      </w:r>
      <w:r>
        <w:t>.</w:t>
      </w:r>
      <w:r>
        <w:tab/>
        <w:t>Application for permit (Act s. 25)</w:t>
      </w:r>
      <w:bookmarkEnd w:id="24"/>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Gazette 4 Dec 2009 p. 4893.]</w:t>
      </w:r>
    </w:p>
    <w:p>
      <w:pPr>
        <w:pStyle w:val="Heading5"/>
        <w:rPr>
          <w:snapToGrid w:val="0"/>
        </w:rPr>
      </w:pPr>
      <w:bookmarkStart w:id="25" w:name="_Toc192854738"/>
      <w:r>
        <w:rPr>
          <w:rStyle w:val="CharSectno"/>
        </w:rPr>
        <w:t>13</w:t>
      </w:r>
      <w:r>
        <w:rPr>
          <w:snapToGrid w:val="0"/>
        </w:rPr>
        <w:t>.</w:t>
      </w:r>
      <w:r>
        <w:rPr>
          <w:snapToGrid w:val="0"/>
        </w:rPr>
        <w:tab/>
        <w:t>Application for endorsement (Act s. 26)</w:t>
      </w:r>
      <w:bookmarkEnd w:id="25"/>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26" w:name="_Toc192849412"/>
      <w:bookmarkStart w:id="27" w:name="_Toc192851184"/>
      <w:bookmarkStart w:id="28" w:name="_Toc192854739"/>
      <w:r>
        <w:rPr>
          <w:rStyle w:val="CharPartNo"/>
        </w:rPr>
        <w:lastRenderedPageBreak/>
        <w:t>Part 3A</w:t>
      </w:r>
      <w:r>
        <w:t xml:space="preserve"> — </w:t>
      </w:r>
      <w:r>
        <w:rPr>
          <w:rStyle w:val="CharPartText"/>
        </w:rPr>
        <w:t>Inquiry activities</w:t>
      </w:r>
      <w:bookmarkEnd w:id="26"/>
      <w:bookmarkEnd w:id="27"/>
      <w:bookmarkEnd w:id="28"/>
    </w:p>
    <w:p>
      <w:pPr>
        <w:pStyle w:val="Footnoteheading"/>
      </w:pPr>
      <w:r>
        <w:tab/>
        <w:t>[Heading inserted: Gazette 10 Mar 2000 p. 1124.]</w:t>
      </w:r>
    </w:p>
    <w:p>
      <w:pPr>
        <w:pStyle w:val="Heading5"/>
      </w:pPr>
      <w:bookmarkStart w:id="29" w:name="_Toc192854740"/>
      <w:r>
        <w:rPr>
          <w:rStyle w:val="CharSectno"/>
        </w:rPr>
        <w:t>13A</w:t>
      </w:r>
      <w:r>
        <w:t>.</w:t>
      </w:r>
      <w:r>
        <w:tab/>
        <w:t>Investigations not within Act s. 28(1)(a)</w:t>
      </w:r>
      <w:bookmarkEnd w:id="29"/>
    </w:p>
    <w:p>
      <w:pPr>
        <w:pStyle w:val="Subsection"/>
      </w:pPr>
      <w:r>
        <w:tab/>
        <w:t>(1)</w:t>
      </w:r>
      <w:r>
        <w:tab/>
        <w:t xml:space="preserve">In this regulation — </w:t>
      </w:r>
    </w:p>
    <w:p>
      <w:pPr>
        <w:pStyle w:val="Defstart"/>
      </w:pPr>
      <w:r>
        <w:tab/>
      </w:r>
      <w:r>
        <w:rPr>
          <w:rStyle w:val="CharDefText"/>
        </w:rPr>
        <w:t>accountant</w:t>
      </w:r>
      <w:r>
        <w:t xml:space="preserve"> means a member of — </w:t>
      </w:r>
    </w:p>
    <w:p>
      <w:pPr>
        <w:pStyle w:val="Defpara"/>
      </w:pPr>
      <w:r>
        <w:tab/>
        <w:t>(a)</w:t>
      </w:r>
      <w:r>
        <w:tab/>
        <w:t>Chartered Accountants Australia and New Zealand ARBN 084 642 571; or</w:t>
      </w:r>
    </w:p>
    <w:p>
      <w:pPr>
        <w:pStyle w:val="Defpara"/>
      </w:pPr>
      <w:r>
        <w:tab/>
        <w:t>(b)</w:t>
      </w:r>
      <w:r>
        <w:tab/>
        <w:t>CPA Australia Ltd ACN 008 392 452; or</w:t>
      </w:r>
    </w:p>
    <w:p>
      <w:pPr>
        <w:pStyle w:val="Defpara"/>
      </w:pPr>
      <w:r>
        <w:tab/>
        <w:t>(c)</w:t>
      </w:r>
      <w:r>
        <w:tab/>
        <w:t>the Institute of Public Accountants Ltd ACN 004 130 643.</w:t>
      </w:r>
    </w:p>
    <w:p>
      <w:pPr>
        <w:pStyle w:val="Subsection"/>
      </w:pPr>
      <w:r>
        <w:tab/>
        <w:t>(2)</w:t>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iCs/>
        </w:rPr>
        <w:t xml:space="preserve">Declared Places (Mental Impairment) Act 2015 </w:t>
      </w:r>
      <w:r>
        <w:t>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w:t>
      </w:r>
      <w:r>
        <w:lastRenderedPageBreak/>
        <w:t>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pPr>
      <w:r>
        <w:tab/>
        <w:t>(daa)</w:t>
      </w:r>
      <w:r>
        <w:tab/>
        <w:t>an accountant while acting in the ordinary course of the accountant’s profession;</w:t>
      </w:r>
    </w:p>
    <w:p>
      <w:pPr>
        <w:pStyle w:val="Indenta"/>
        <w:keepLines/>
      </w:pPr>
      <w:r>
        <w:tab/>
        <w:t>(e)</w:t>
      </w:r>
      <w:r>
        <w:tab/>
        <w:t>a person employed or engaged to assist a person referred to in paragraph (aa), (aba), (ab), (a), (b), (c), (da), (d) or (daa), while acting in the ordinary course of that person’s inquiry, investigation or profession.</w:t>
      </w:r>
    </w:p>
    <w:p>
      <w:pPr>
        <w:pStyle w:val="Footnotesection"/>
      </w:pPr>
      <w:r>
        <w:tab/>
        <w:t xml:space="preserve">[Regulation 13A inserted: Gazette 10 Mar 2000 p. 1124; amended: Gazette 1 Sep 2005 p. 4075; </w:t>
      </w:r>
      <w:r>
        <w:rPr>
          <w:szCs w:val="24"/>
        </w:rPr>
        <w:t>11 Feb 2011 p. 505; 16 Jun 2015 p. 2079; SL 2024/161 r. 4; SL 2024/172 r. 9</w:t>
      </w:r>
      <w:r>
        <w:t>.]</w:t>
      </w:r>
    </w:p>
    <w:p>
      <w:pPr>
        <w:pStyle w:val="Heading2"/>
      </w:pPr>
      <w:bookmarkStart w:id="30" w:name="_Toc192849414"/>
      <w:bookmarkStart w:id="31" w:name="_Toc192851186"/>
      <w:bookmarkStart w:id="32" w:name="_Toc192854741"/>
      <w:r>
        <w:rPr>
          <w:rStyle w:val="CharPartNo"/>
        </w:rPr>
        <w:lastRenderedPageBreak/>
        <w:t>Part 4</w:t>
      </w:r>
      <w:r>
        <w:t> — </w:t>
      </w:r>
      <w:r>
        <w:rPr>
          <w:rStyle w:val="CharPartText"/>
        </w:rPr>
        <w:t>Licensing procedures</w:t>
      </w:r>
      <w:bookmarkEnd w:id="30"/>
      <w:bookmarkEnd w:id="31"/>
      <w:bookmarkEnd w:id="32"/>
      <w:r>
        <w:rPr>
          <w:rStyle w:val="CharPartText"/>
        </w:rPr>
        <w:t xml:space="preserve"> </w:t>
      </w:r>
    </w:p>
    <w:p>
      <w:pPr>
        <w:pStyle w:val="Heading3"/>
      </w:pPr>
      <w:bookmarkStart w:id="33" w:name="_Toc192849415"/>
      <w:bookmarkStart w:id="34" w:name="_Toc192851187"/>
      <w:bookmarkStart w:id="35" w:name="_Toc192854742"/>
      <w:r>
        <w:rPr>
          <w:rStyle w:val="CharDivNo"/>
        </w:rPr>
        <w:t>Division 1</w:t>
      </w:r>
      <w:r>
        <w:t> — </w:t>
      </w:r>
      <w:r>
        <w:rPr>
          <w:rStyle w:val="CharDivText"/>
        </w:rPr>
        <w:t>Licences other than temporary licences</w:t>
      </w:r>
      <w:bookmarkEnd w:id="33"/>
      <w:bookmarkEnd w:id="34"/>
      <w:bookmarkEnd w:id="35"/>
    </w:p>
    <w:p>
      <w:pPr>
        <w:pStyle w:val="Footnoteheading"/>
      </w:pPr>
      <w:r>
        <w:tab/>
        <w:t>[Heading inserted: Gazette 4 Dec 2009 p. 4893.]</w:t>
      </w:r>
    </w:p>
    <w:p>
      <w:pPr>
        <w:pStyle w:val="Heading5"/>
        <w:spacing w:before="180"/>
        <w:rPr>
          <w:snapToGrid w:val="0"/>
        </w:rPr>
      </w:pPr>
      <w:bookmarkStart w:id="36" w:name="_Toc192854743"/>
      <w:r>
        <w:rPr>
          <w:rStyle w:val="CharSectno"/>
        </w:rPr>
        <w:t>14</w:t>
      </w:r>
      <w:r>
        <w:rPr>
          <w:snapToGrid w:val="0"/>
        </w:rPr>
        <w:t>.</w:t>
      </w:r>
      <w:r>
        <w:rPr>
          <w:snapToGrid w:val="0"/>
        </w:rPr>
        <w:tab/>
        <w:t>Application for the issue of a licence (Act s. 46(1))</w:t>
      </w:r>
      <w:bookmarkEnd w:id="36"/>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Perth,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Gazette 4 Dec 2009 p. 4893; 29 Jul 2016 p. 3244-5.]</w:t>
      </w:r>
    </w:p>
    <w:p>
      <w:pPr>
        <w:pStyle w:val="Ednotesection"/>
      </w:pPr>
      <w:r>
        <w:t>[</w:t>
      </w:r>
      <w:r>
        <w:rPr>
          <w:b/>
          <w:bCs/>
        </w:rPr>
        <w:t>14A.</w:t>
      </w:r>
      <w:r>
        <w:tab/>
        <w:t>Deleted: SL 2024/296 r. 6.]</w:t>
      </w:r>
    </w:p>
    <w:p>
      <w:pPr>
        <w:pStyle w:val="Heading5"/>
      </w:pPr>
      <w:bookmarkStart w:id="37" w:name="_Toc192854744"/>
      <w:r>
        <w:rPr>
          <w:rStyle w:val="CharSectno"/>
        </w:rPr>
        <w:t>15</w:t>
      </w:r>
      <w:r>
        <w:t>.</w:t>
      </w:r>
      <w:r>
        <w:tab/>
        <w:t>Medical examination prescribed for security officers authorised to possess firearm (Act s. 47(1)(d) and 52(1)(h))</w:t>
      </w:r>
      <w:bookmarkEnd w:id="37"/>
    </w:p>
    <w:p>
      <w:pPr>
        <w:pStyle w:val="Subsection"/>
        <w:keepNext/>
      </w:pPr>
      <w:r>
        <w:tab/>
        <w:t>(1)</w:t>
      </w:r>
      <w:r>
        <w:tab/>
        <w:t xml:space="preserve">Subregulation (2) sets out the medical examination prescribed for the purposes of — </w:t>
      </w:r>
    </w:p>
    <w:p>
      <w:pPr>
        <w:pStyle w:val="Indenta"/>
        <w:keepNext/>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 xml:space="preserve">A medical examination is the examination of the person by a medical practitioner to determine if the medical practitioner is of the opinion that the person is physically and psychologically fit </w:t>
      </w:r>
      <w:r>
        <w:lastRenderedPageBreak/>
        <w:t>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Gazette 4 Dec 2009 p. 4894.]</w:t>
      </w:r>
    </w:p>
    <w:p>
      <w:pPr>
        <w:pStyle w:val="Heading5"/>
        <w:keepLines w:val="0"/>
        <w:rPr>
          <w:snapToGrid w:val="0"/>
        </w:rPr>
      </w:pPr>
      <w:bookmarkStart w:id="38" w:name="_Toc192854745"/>
      <w:r>
        <w:rPr>
          <w:rStyle w:val="CharSectno"/>
        </w:rPr>
        <w:t>16</w:t>
      </w:r>
      <w:r>
        <w:rPr>
          <w:snapToGrid w:val="0"/>
        </w:rPr>
        <w:t>.</w:t>
      </w:r>
      <w:r>
        <w:rPr>
          <w:snapToGrid w:val="0"/>
        </w:rPr>
        <w:tab/>
        <w:t>Training courses prescribed (Act s. 47(1)(f)(i), 52(1)(g)(i) and 53(2))</w:t>
      </w:r>
      <w:bookmarkEnd w:id="38"/>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lastRenderedPageBreak/>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lastRenderedPageBreak/>
        <w:tab/>
        <w:t>(b)</w:t>
      </w:r>
      <w:r>
        <w:rPr>
          <w:snapToGrid w:val="0"/>
        </w:rPr>
        <w:tab/>
        <w:t>has had due regard to any response to the notice made within that time.</w:t>
      </w:r>
    </w:p>
    <w:p>
      <w:pPr>
        <w:pStyle w:val="Footnotesection"/>
      </w:pPr>
      <w:r>
        <w:tab/>
        <w:t>[Regulation 16 amended: Gazette 1 Sep 2005 p. 4076</w:t>
      </w:r>
      <w:r>
        <w:noBreakHyphen/>
        <w:t>7; 4 Dec 2009 p. 4894</w:t>
      </w:r>
      <w:r>
        <w:noBreakHyphen/>
        <w:t>5; 29 Jul 2016 p. 3245-6 and 3257.]</w:t>
      </w:r>
    </w:p>
    <w:p>
      <w:pPr>
        <w:pStyle w:val="Heading5"/>
      </w:pPr>
      <w:bookmarkStart w:id="39" w:name="_Toc192854746"/>
      <w:r>
        <w:rPr>
          <w:rStyle w:val="CharSectno"/>
        </w:rPr>
        <w:t>16A</w:t>
      </w:r>
      <w:r>
        <w:t>.</w:t>
      </w:r>
      <w:r>
        <w:tab/>
        <w:t>Records required when baton training undertaken</w:t>
      </w:r>
      <w:bookmarkEnd w:id="39"/>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Gazette 3 Oct 2006 p. 4345.]</w:t>
      </w:r>
    </w:p>
    <w:p>
      <w:pPr>
        <w:pStyle w:val="Heading5"/>
        <w:rPr>
          <w:snapToGrid w:val="0"/>
        </w:rPr>
      </w:pPr>
      <w:bookmarkStart w:id="40" w:name="_Toc192854747"/>
      <w:r>
        <w:rPr>
          <w:rStyle w:val="CharSectno"/>
        </w:rPr>
        <w:t>17</w:t>
      </w:r>
      <w:r>
        <w:rPr>
          <w:snapToGrid w:val="0"/>
        </w:rPr>
        <w:t>.</w:t>
      </w:r>
      <w:r>
        <w:rPr>
          <w:snapToGrid w:val="0"/>
        </w:rPr>
        <w:tab/>
        <w:t>Examinations prescribed (Act s. 47(1)(f)(ii) and 52(1)(g)(ii))</w:t>
      </w:r>
      <w:bookmarkEnd w:id="40"/>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lastRenderedPageBreak/>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Gazette 4 Dec 2009 p. 4895</w:t>
      </w:r>
      <w:r>
        <w:noBreakHyphen/>
        <w:t>6; 29 Jul 2016 p. 3246-7.]</w:t>
      </w:r>
    </w:p>
    <w:p>
      <w:pPr>
        <w:pStyle w:val="Heading5"/>
        <w:spacing w:before="240"/>
      </w:pPr>
      <w:bookmarkStart w:id="41" w:name="_Toc192854748"/>
      <w:r>
        <w:rPr>
          <w:rStyle w:val="CharSectno"/>
        </w:rPr>
        <w:t>18</w:t>
      </w:r>
      <w:r>
        <w:t>.</w:t>
      </w:r>
      <w:r>
        <w:tab/>
        <w:t>Evidence of age and identity prescribed (Act s. 47(1)(a))</w:t>
      </w:r>
      <w:bookmarkEnd w:id="41"/>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 xml:space="preserve">A current motor driver’s licence bearing the name, date of birth and photograph of the </w:t>
            </w:r>
            <w:r>
              <w:lastRenderedPageBreak/>
              <w:t>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lastRenderedPageBreak/>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pStyle w:val="TableNAm"/>
            </w:pPr>
          </w:p>
        </w:tc>
        <w:tc>
          <w:tcPr>
            <w:tcW w:w="4678" w:type="dxa"/>
            <w:tcBorders>
              <w:top w:val="nil"/>
              <w:left w:val="nil"/>
              <w:bottom w:val="single" w:sz="4" w:space="0" w:color="auto"/>
              <w:right w:val="nil"/>
            </w:tcBorders>
          </w:tcPr>
          <w:p>
            <w:pPr>
              <w:pStyle w:val="TableNAm"/>
            </w:pP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A diplomatic document bearing the name, date of birth and a photograph of the applicant that has been issued by a government agency to provide evidence of the person’s legal entitlement to enter Australia.</w:t>
            </w:r>
          </w:p>
        </w:tc>
      </w:tr>
      <w:tr>
        <w:trPr>
          <w:cantSplit/>
          <w:tblHeader/>
        </w:trPr>
        <w:tc>
          <w:tcPr>
            <w:tcW w:w="850" w:type="dxa"/>
            <w:tcBorders>
              <w:left w:val="nil"/>
              <w:bottom w:val="single" w:sz="4" w:space="0" w:color="auto"/>
              <w:right w:val="nil"/>
            </w:tcBorders>
          </w:tcPr>
          <w:p>
            <w:pPr>
              <w:pStyle w:val="TableNAm"/>
              <w:jc w:val="center"/>
              <w:rPr>
                <w:b/>
                <w:bCs/>
              </w:rPr>
            </w:pPr>
            <w:r>
              <w:rPr>
                <w:b/>
                <w:bCs/>
              </w:rPr>
              <w:lastRenderedPageBreak/>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A current identity card or licence bearing the name and date of birth of the applicant that has been issued by a government agency outside Australia.</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Gazette 4 Dec 2009 p. 4896</w:t>
      </w:r>
      <w:r>
        <w:noBreakHyphen/>
        <w:t>8; amended: Gazette 5 Aug 2014 p. 2834.]</w:t>
      </w:r>
    </w:p>
    <w:p>
      <w:pPr>
        <w:pStyle w:val="Heading5"/>
        <w:spacing w:before="170"/>
      </w:pPr>
      <w:bookmarkStart w:id="42" w:name="_Toc192854749"/>
      <w:r>
        <w:rPr>
          <w:rStyle w:val="CharSectno"/>
        </w:rPr>
        <w:t>19</w:t>
      </w:r>
      <w:r>
        <w:t>.</w:t>
      </w:r>
      <w:r>
        <w:tab/>
        <w:t>Manner of lodging application for renewal prescribed (Act s. 49(1))</w:t>
      </w:r>
      <w:bookmarkEnd w:id="42"/>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lastRenderedPageBreak/>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Gazette 1 Sep 2005 p. 4077.]</w:t>
      </w:r>
    </w:p>
    <w:p>
      <w:pPr>
        <w:pStyle w:val="Heading5"/>
        <w:spacing w:before="170"/>
        <w:rPr>
          <w:snapToGrid w:val="0"/>
        </w:rPr>
      </w:pPr>
      <w:bookmarkStart w:id="43" w:name="_Toc192854750"/>
      <w:r>
        <w:rPr>
          <w:rStyle w:val="CharSectno"/>
        </w:rPr>
        <w:t>20</w:t>
      </w:r>
      <w:r>
        <w:rPr>
          <w:snapToGrid w:val="0"/>
        </w:rPr>
        <w:t>.</w:t>
      </w:r>
      <w:r>
        <w:rPr>
          <w:snapToGrid w:val="0"/>
        </w:rPr>
        <w:tab/>
        <w:t>Material to support application for renewal of licence (Act s. 50(1))</w:t>
      </w:r>
      <w:bookmarkEnd w:id="43"/>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44" w:name="_Toc192854751"/>
      <w:r>
        <w:rPr>
          <w:rStyle w:val="CharSectno"/>
        </w:rPr>
        <w:t>21</w:t>
      </w:r>
      <w:r>
        <w:t>.</w:t>
      </w:r>
      <w:r>
        <w:tab/>
        <w:t>Conditions and restrictions prescribed (Act s. 63)</w:t>
      </w:r>
      <w:bookmarkEnd w:id="44"/>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Gazette 3 Oct 2006 p. 4346; amended: Gazette 4 Dec 2009 p. 4898.]</w:t>
      </w:r>
    </w:p>
    <w:p>
      <w:pPr>
        <w:pStyle w:val="Heading3"/>
      </w:pPr>
      <w:bookmarkStart w:id="45" w:name="_Toc192849426"/>
      <w:bookmarkStart w:id="46" w:name="_Toc192851197"/>
      <w:bookmarkStart w:id="47" w:name="_Toc192854752"/>
      <w:r>
        <w:rPr>
          <w:rStyle w:val="CharDivNo"/>
        </w:rPr>
        <w:lastRenderedPageBreak/>
        <w:t>Division 2</w:t>
      </w:r>
      <w:r>
        <w:t> — </w:t>
      </w:r>
      <w:r>
        <w:rPr>
          <w:rStyle w:val="CharDivText"/>
        </w:rPr>
        <w:t>Temporary licences</w:t>
      </w:r>
      <w:bookmarkEnd w:id="45"/>
      <w:bookmarkEnd w:id="46"/>
      <w:bookmarkEnd w:id="47"/>
    </w:p>
    <w:p>
      <w:pPr>
        <w:pStyle w:val="Footnoteheading"/>
        <w:keepNext/>
      </w:pPr>
      <w:r>
        <w:tab/>
        <w:t>[Heading inserted: Gazette 4 Dec 2009 p. 4898.]</w:t>
      </w:r>
    </w:p>
    <w:p>
      <w:pPr>
        <w:pStyle w:val="Heading5"/>
        <w:spacing w:before="240"/>
      </w:pPr>
      <w:bookmarkStart w:id="48" w:name="_Toc192854753"/>
      <w:r>
        <w:rPr>
          <w:rStyle w:val="CharSectno"/>
        </w:rPr>
        <w:t>22</w:t>
      </w:r>
      <w:r>
        <w:t>.</w:t>
      </w:r>
      <w:r>
        <w:tab/>
        <w:t>Manner of lodging application for temporary licence prescribed (Act s. 46(1))</w:t>
      </w:r>
      <w:bookmarkEnd w:id="48"/>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Gazette 4 Dec 2009 p. 4898.]</w:t>
      </w:r>
    </w:p>
    <w:p>
      <w:pPr>
        <w:pStyle w:val="Heading5"/>
        <w:spacing w:before="240"/>
      </w:pPr>
      <w:bookmarkStart w:id="49" w:name="_Toc192854754"/>
      <w:r>
        <w:rPr>
          <w:rStyle w:val="CharSectno"/>
        </w:rPr>
        <w:t>23</w:t>
      </w:r>
      <w:r>
        <w:t>.</w:t>
      </w:r>
      <w:r>
        <w:tab/>
        <w:t>Evidence prescribed (Act s. 47(2a))</w:t>
      </w:r>
      <w:bookmarkEnd w:id="49"/>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lastRenderedPageBreak/>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Gazette 4 Dec 2009 p. 4899.]</w:t>
      </w:r>
    </w:p>
    <w:p>
      <w:pPr>
        <w:pStyle w:val="Heading2"/>
      </w:pPr>
      <w:bookmarkStart w:id="50" w:name="_Toc192849429"/>
      <w:bookmarkStart w:id="51" w:name="_Toc192851200"/>
      <w:bookmarkStart w:id="52" w:name="_Toc192854755"/>
      <w:r>
        <w:rPr>
          <w:rStyle w:val="CharPartNo"/>
        </w:rPr>
        <w:lastRenderedPageBreak/>
        <w:t>Part 5A</w:t>
      </w:r>
      <w:r>
        <w:rPr>
          <w:rStyle w:val="CharDivNo"/>
        </w:rPr>
        <w:t> </w:t>
      </w:r>
      <w:r>
        <w:t>—</w:t>
      </w:r>
      <w:r>
        <w:rPr>
          <w:rStyle w:val="CharDivText"/>
        </w:rPr>
        <w:t> </w:t>
      </w:r>
      <w:r>
        <w:rPr>
          <w:rStyle w:val="CharPartText"/>
        </w:rPr>
        <w:t>Disqualifying offences and disqualifying periods</w:t>
      </w:r>
      <w:bookmarkEnd w:id="50"/>
      <w:bookmarkEnd w:id="51"/>
      <w:bookmarkEnd w:id="52"/>
    </w:p>
    <w:p>
      <w:pPr>
        <w:pStyle w:val="Footnoteheading"/>
      </w:pPr>
      <w:r>
        <w:tab/>
        <w:t>[Heading inserted: Gazette 4 Dec 2009 p. 4900.]</w:t>
      </w:r>
    </w:p>
    <w:p>
      <w:pPr>
        <w:pStyle w:val="Heading5"/>
      </w:pPr>
      <w:bookmarkStart w:id="53" w:name="_Toc192854756"/>
      <w:r>
        <w:rPr>
          <w:rStyle w:val="CharSectno"/>
        </w:rPr>
        <w:t>24</w:t>
      </w:r>
      <w:r>
        <w:t>.</w:t>
      </w:r>
      <w:r>
        <w:tab/>
        <w:t>Disqualifying offences prescribed (Act s. 3)</w:t>
      </w:r>
      <w:bookmarkEnd w:id="53"/>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Gazette 4 Dec 2009 p. 4900; amended: Gazette 29 Jul 2016 p. 3247.]</w:t>
      </w:r>
    </w:p>
    <w:p>
      <w:pPr>
        <w:pStyle w:val="Heading5"/>
      </w:pPr>
      <w:bookmarkStart w:id="54" w:name="_Toc192854757"/>
      <w:r>
        <w:rPr>
          <w:rStyle w:val="CharSectno"/>
        </w:rPr>
        <w:t>25</w:t>
      </w:r>
      <w:r>
        <w:t>.</w:t>
      </w:r>
      <w:r>
        <w:tab/>
        <w:t>Disqualifying periods prescribed (Act s. 4A)</w:t>
      </w:r>
      <w:bookmarkEnd w:id="54"/>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lastRenderedPageBreak/>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Gazette 4 Dec 2009 p. 4900</w:t>
      </w:r>
      <w:r>
        <w:noBreakHyphen/>
        <w:t>1; amended: Gazette 22 Jun 2010 p. 2784.]</w:t>
      </w:r>
    </w:p>
    <w:p>
      <w:pPr>
        <w:pStyle w:val="Heading2"/>
      </w:pPr>
      <w:bookmarkStart w:id="55" w:name="_Toc192849432"/>
      <w:bookmarkStart w:id="56" w:name="_Toc192851203"/>
      <w:bookmarkStart w:id="57" w:name="_Toc192854758"/>
      <w:r>
        <w:rPr>
          <w:rStyle w:val="CharPartNo"/>
        </w:rPr>
        <w:lastRenderedPageBreak/>
        <w:t>Part 5</w:t>
      </w:r>
      <w:r>
        <w:rPr>
          <w:rStyle w:val="CharDivNo"/>
        </w:rPr>
        <w:t> </w:t>
      </w:r>
      <w:r>
        <w:t>—</w:t>
      </w:r>
      <w:r>
        <w:rPr>
          <w:rStyle w:val="CharDivText"/>
        </w:rPr>
        <w:t> </w:t>
      </w:r>
      <w:r>
        <w:rPr>
          <w:rStyle w:val="CharPartText"/>
        </w:rPr>
        <w:t>Classes of licence</w:t>
      </w:r>
      <w:bookmarkEnd w:id="55"/>
      <w:bookmarkEnd w:id="56"/>
      <w:bookmarkEnd w:id="57"/>
    </w:p>
    <w:p>
      <w:pPr>
        <w:pStyle w:val="Footnoteheading"/>
      </w:pPr>
      <w:r>
        <w:tab/>
        <w:t>[Heading inserted: Gazette 4 Dec 2009 p. 4901.]</w:t>
      </w:r>
    </w:p>
    <w:p>
      <w:pPr>
        <w:pStyle w:val="Heading5"/>
      </w:pPr>
      <w:bookmarkStart w:id="58" w:name="_Toc192854759"/>
      <w:r>
        <w:rPr>
          <w:rStyle w:val="CharSectno"/>
        </w:rPr>
        <w:t>26</w:t>
      </w:r>
      <w:r>
        <w:t>.</w:t>
      </w:r>
      <w:r>
        <w:tab/>
        <w:t>Security consultant’s licence, classes of</w:t>
      </w:r>
      <w:bookmarkEnd w:id="58"/>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Gazette 4 Dec 2009 p. 4901</w:t>
      </w:r>
      <w:r>
        <w:noBreakHyphen/>
        <w:t>2.]</w:t>
      </w:r>
    </w:p>
    <w:p>
      <w:pPr>
        <w:pStyle w:val="Heading5"/>
      </w:pPr>
      <w:bookmarkStart w:id="59" w:name="_Toc192854760"/>
      <w:r>
        <w:rPr>
          <w:rStyle w:val="CharSectno"/>
        </w:rPr>
        <w:lastRenderedPageBreak/>
        <w:t>27</w:t>
      </w:r>
      <w:r>
        <w:t>.</w:t>
      </w:r>
      <w:r>
        <w:tab/>
        <w:t>Security installer’s licence, classes of</w:t>
      </w:r>
      <w:bookmarkEnd w:id="59"/>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Gazette 4 Dec 2009 p. 4902</w:t>
      </w:r>
      <w:r>
        <w:noBreakHyphen/>
        <w:t>3.]</w:t>
      </w:r>
    </w:p>
    <w:p>
      <w:pPr>
        <w:pStyle w:val="Ednotesection"/>
      </w:pPr>
      <w:r>
        <w:t>[</w:t>
      </w:r>
      <w:r>
        <w:rPr>
          <w:b/>
          <w:bCs/>
        </w:rPr>
        <w:t>28</w:t>
      </w:r>
      <w:r>
        <w:rPr>
          <w:b/>
          <w:bCs/>
        </w:rPr>
        <w:noBreakHyphen/>
        <w:t>34.</w:t>
      </w:r>
      <w:r>
        <w:rPr>
          <w:b/>
          <w:bCs/>
        </w:rPr>
        <w:tab/>
      </w:r>
      <w:r>
        <w:t>Deleted: Gazette 30 Dec 2004 p. 6977.]</w:t>
      </w:r>
    </w:p>
    <w:p>
      <w:pPr>
        <w:pStyle w:val="Heading2"/>
      </w:pPr>
      <w:bookmarkStart w:id="60" w:name="_Toc192849435"/>
      <w:bookmarkStart w:id="61" w:name="_Toc192851206"/>
      <w:bookmarkStart w:id="62" w:name="_Toc192854761"/>
      <w:r>
        <w:rPr>
          <w:rStyle w:val="CharPartNo"/>
        </w:rPr>
        <w:lastRenderedPageBreak/>
        <w:t>Part 6</w:t>
      </w:r>
      <w:r>
        <w:rPr>
          <w:rStyle w:val="CharDivNo"/>
        </w:rPr>
        <w:t> </w:t>
      </w:r>
      <w:r>
        <w:t>—</w:t>
      </w:r>
      <w:r>
        <w:rPr>
          <w:rStyle w:val="CharDivText"/>
        </w:rPr>
        <w:t> </w:t>
      </w:r>
      <w:r>
        <w:rPr>
          <w:rStyle w:val="CharPartText"/>
        </w:rPr>
        <w:t>Records</w:t>
      </w:r>
      <w:bookmarkEnd w:id="60"/>
      <w:bookmarkEnd w:id="61"/>
      <w:bookmarkEnd w:id="62"/>
    </w:p>
    <w:p>
      <w:pPr>
        <w:pStyle w:val="Heading5"/>
        <w:rPr>
          <w:snapToGrid w:val="0"/>
        </w:rPr>
      </w:pPr>
      <w:bookmarkStart w:id="63" w:name="_Toc192854762"/>
      <w:r>
        <w:rPr>
          <w:rStyle w:val="CharSectno"/>
        </w:rPr>
        <w:t>35</w:t>
      </w:r>
      <w:r>
        <w:rPr>
          <w:snapToGrid w:val="0"/>
        </w:rPr>
        <w:t>.</w:t>
      </w:r>
      <w:r>
        <w:rPr>
          <w:snapToGrid w:val="0"/>
        </w:rPr>
        <w:tab/>
        <w:t>Records to be kept by security agent prescribed (Act s. 78(1)(a))</w:t>
      </w:r>
      <w:bookmarkEnd w:id="63"/>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Gazette 4 Dec 2009 p. 4903.]</w:t>
      </w:r>
    </w:p>
    <w:p>
      <w:pPr>
        <w:pStyle w:val="Heading5"/>
        <w:rPr>
          <w:snapToGrid w:val="0"/>
        </w:rPr>
      </w:pPr>
      <w:bookmarkStart w:id="64" w:name="_Toc192854763"/>
      <w:r>
        <w:rPr>
          <w:rStyle w:val="CharSectno"/>
        </w:rPr>
        <w:t>36</w:t>
      </w:r>
      <w:r>
        <w:rPr>
          <w:snapToGrid w:val="0"/>
        </w:rPr>
        <w:t>.</w:t>
      </w:r>
      <w:r>
        <w:rPr>
          <w:snapToGrid w:val="0"/>
        </w:rPr>
        <w:tab/>
        <w:t>Firearms register, content of</w:t>
      </w:r>
      <w:bookmarkEnd w:id="64"/>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lastRenderedPageBreak/>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Gazette 1 Sep 2005 p. 4077</w:t>
      </w:r>
      <w:r>
        <w:noBreakHyphen/>
        <w:t>8.]</w:t>
      </w:r>
    </w:p>
    <w:p>
      <w:pPr>
        <w:pStyle w:val="Heading5"/>
        <w:rPr>
          <w:snapToGrid w:val="0"/>
        </w:rPr>
      </w:pPr>
      <w:bookmarkStart w:id="65" w:name="_Toc192854764"/>
      <w:r>
        <w:rPr>
          <w:rStyle w:val="CharSectno"/>
        </w:rPr>
        <w:t>37</w:t>
      </w:r>
      <w:r>
        <w:rPr>
          <w:snapToGrid w:val="0"/>
        </w:rPr>
        <w:t>.</w:t>
      </w:r>
      <w:r>
        <w:rPr>
          <w:snapToGrid w:val="0"/>
        </w:rPr>
        <w:tab/>
        <w:t>Alarm surveillance register, content of</w:t>
      </w:r>
      <w:bookmarkEnd w:id="65"/>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lastRenderedPageBreak/>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keepNext/>
        <w:rPr>
          <w:snapToGrid w:val="0"/>
        </w:rPr>
      </w:pPr>
      <w:r>
        <w:rPr>
          <w:snapToGrid w:val="0"/>
        </w:rPr>
        <w:lastRenderedPageBreak/>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Gazette 1 Sep 2005 p. 4078</w:t>
      </w:r>
      <w:r>
        <w:noBreakHyphen/>
        <w:t>80.]</w:t>
      </w:r>
    </w:p>
    <w:p>
      <w:pPr>
        <w:pStyle w:val="Heading5"/>
      </w:pPr>
      <w:bookmarkStart w:id="66" w:name="_Toc192854765"/>
      <w:r>
        <w:rPr>
          <w:rStyle w:val="CharSectno"/>
        </w:rPr>
        <w:t>38A</w:t>
      </w:r>
      <w:r>
        <w:t>.</w:t>
      </w:r>
      <w:r>
        <w:tab/>
        <w:t xml:space="preserve">Guard dog register, </w:t>
      </w:r>
      <w:r>
        <w:rPr>
          <w:snapToGrid w:val="0"/>
        </w:rPr>
        <w:t>content of</w:t>
      </w:r>
      <w:bookmarkEnd w:id="66"/>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Gazette 4 Dec 2009 p. 4903</w:t>
      </w:r>
      <w:r>
        <w:noBreakHyphen/>
        <w:t>4.]</w:t>
      </w:r>
    </w:p>
    <w:p>
      <w:pPr>
        <w:pStyle w:val="Heading5"/>
        <w:keepNext w:val="0"/>
        <w:keepLines w:val="0"/>
        <w:pageBreakBefore/>
        <w:spacing w:before="0"/>
        <w:rPr>
          <w:snapToGrid w:val="0"/>
        </w:rPr>
      </w:pPr>
      <w:bookmarkStart w:id="67" w:name="_Toc192854766"/>
      <w:r>
        <w:rPr>
          <w:rStyle w:val="CharSectno"/>
        </w:rPr>
        <w:lastRenderedPageBreak/>
        <w:t>38</w:t>
      </w:r>
      <w:r>
        <w:rPr>
          <w:snapToGrid w:val="0"/>
        </w:rPr>
        <w:t>.</w:t>
      </w:r>
      <w:r>
        <w:rPr>
          <w:snapToGrid w:val="0"/>
        </w:rPr>
        <w:tab/>
        <w:t>General records of security agent</w:t>
      </w:r>
      <w:bookmarkEnd w:id="67"/>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A security agent’s general records must include any records received from an approved training provider under regulation 16A in relation to an approved training course conducted by the provider that includes the use of a baton if the records relate to a security officer whose licence is endorsed under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 xml:space="preserve">A security agent’s general records must include records of the training in guard dog handling completed by each security </w:t>
      </w:r>
      <w:r>
        <w:lastRenderedPageBreak/>
        <w:t>officer who uses a dog in connection with the performance of licensed activities for the business.</w:t>
      </w:r>
    </w:p>
    <w:p>
      <w:pPr>
        <w:pStyle w:val="Footnotesection"/>
      </w:pPr>
      <w:r>
        <w:tab/>
        <w:t>[Regulation 38 amended: Gazette 1 Sep 2005 p. 4080; 3 Oct 2006 p. 4346; 4 Dec 2009 p. 4904</w:t>
      </w:r>
      <w:r>
        <w:noBreakHyphen/>
        <w:t>5; SL 2024/296 r. 7.]</w:t>
      </w:r>
    </w:p>
    <w:p>
      <w:pPr>
        <w:pStyle w:val="Heading5"/>
        <w:rPr>
          <w:snapToGrid w:val="0"/>
        </w:rPr>
      </w:pPr>
      <w:bookmarkStart w:id="68" w:name="_Toc192854767"/>
      <w:r>
        <w:rPr>
          <w:rStyle w:val="CharSectno"/>
        </w:rPr>
        <w:t>39</w:t>
      </w:r>
      <w:r>
        <w:rPr>
          <w:snapToGrid w:val="0"/>
        </w:rPr>
        <w:t>.</w:t>
      </w:r>
      <w:r>
        <w:rPr>
          <w:snapToGrid w:val="0"/>
        </w:rPr>
        <w:tab/>
        <w:t>Records to be kept by crowd control agent prescribed (Act s. 78(1)(a))</w:t>
      </w:r>
      <w:bookmarkEnd w:id="68"/>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Gazette 1 Sep 2005 p. 4080.]</w:t>
      </w:r>
    </w:p>
    <w:p>
      <w:pPr>
        <w:pStyle w:val="Heading5"/>
        <w:rPr>
          <w:snapToGrid w:val="0"/>
        </w:rPr>
      </w:pPr>
      <w:bookmarkStart w:id="69" w:name="_Toc192854768"/>
      <w:r>
        <w:rPr>
          <w:rStyle w:val="CharSectno"/>
        </w:rPr>
        <w:t>40</w:t>
      </w:r>
      <w:r>
        <w:rPr>
          <w:snapToGrid w:val="0"/>
        </w:rPr>
        <w:t>.</w:t>
      </w:r>
      <w:r>
        <w:rPr>
          <w:snapToGrid w:val="0"/>
        </w:rPr>
        <w:tab/>
        <w:t>Incident register, content of</w:t>
      </w:r>
      <w:bookmarkEnd w:id="69"/>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lastRenderedPageBreak/>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keepNext/>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t>
      </w:r>
      <w:r>
        <w:rPr>
          <w:snapToGrid w:val="0"/>
        </w:rPr>
        <w:lastRenderedPageBreak/>
        <w:t xml:space="preserve">which involves physical contact between the crowd controller and the person being removed or prevented from entering. </w:t>
      </w:r>
    </w:p>
    <w:p>
      <w:pPr>
        <w:pStyle w:val="Footnotesection"/>
      </w:pPr>
      <w:r>
        <w:tab/>
        <w:t>[Regulation 40 amended: Gazette 1 Sep 2005 p. 4081</w:t>
      </w:r>
      <w:r>
        <w:noBreakHyphen/>
        <w:t>2; 29 Jul 2016 p. 3248.]</w:t>
      </w:r>
    </w:p>
    <w:p>
      <w:pPr>
        <w:pStyle w:val="Heading5"/>
        <w:spacing w:before="180"/>
        <w:rPr>
          <w:snapToGrid w:val="0"/>
        </w:rPr>
      </w:pPr>
      <w:bookmarkStart w:id="70" w:name="_Toc192854769"/>
      <w:r>
        <w:rPr>
          <w:rStyle w:val="CharSectno"/>
        </w:rPr>
        <w:t>41</w:t>
      </w:r>
      <w:r>
        <w:rPr>
          <w:snapToGrid w:val="0"/>
        </w:rPr>
        <w:t>.</w:t>
      </w:r>
      <w:r>
        <w:rPr>
          <w:snapToGrid w:val="0"/>
        </w:rPr>
        <w:tab/>
        <w:t>General records of crowd control agent</w:t>
      </w:r>
      <w:bookmarkEnd w:id="70"/>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Gazette 1 Sep 2005 p. 4082; 4 Dec 2009 p. 4905</w:t>
      </w:r>
      <w:r>
        <w:noBreakHyphen/>
        <w:t>6.]</w:t>
      </w:r>
    </w:p>
    <w:p>
      <w:pPr>
        <w:pStyle w:val="Heading5"/>
        <w:spacing w:before="180"/>
        <w:rPr>
          <w:snapToGrid w:val="0"/>
        </w:rPr>
      </w:pPr>
      <w:bookmarkStart w:id="71" w:name="_Toc192854770"/>
      <w:r>
        <w:rPr>
          <w:rStyle w:val="CharSectno"/>
        </w:rPr>
        <w:lastRenderedPageBreak/>
        <w:t>42</w:t>
      </w:r>
      <w:r>
        <w:rPr>
          <w:snapToGrid w:val="0"/>
        </w:rPr>
        <w:t>.</w:t>
      </w:r>
      <w:r>
        <w:rPr>
          <w:snapToGrid w:val="0"/>
        </w:rPr>
        <w:tab/>
        <w:t>Records to be kept by inquiry agent prescribed (Act s. 78(1)(a))</w:t>
      </w:r>
      <w:bookmarkEnd w:id="71"/>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Gazette 1 Sep 2005 p. 4083.]</w:t>
      </w:r>
    </w:p>
    <w:p>
      <w:pPr>
        <w:pStyle w:val="Heading5"/>
        <w:rPr>
          <w:snapToGrid w:val="0"/>
        </w:rPr>
      </w:pPr>
      <w:bookmarkStart w:id="72" w:name="_Toc192854771"/>
      <w:r>
        <w:rPr>
          <w:rStyle w:val="CharSectno"/>
        </w:rPr>
        <w:t>43</w:t>
      </w:r>
      <w:r>
        <w:rPr>
          <w:snapToGrid w:val="0"/>
        </w:rPr>
        <w:t>.</w:t>
      </w:r>
      <w:r>
        <w:rPr>
          <w:snapToGrid w:val="0"/>
        </w:rPr>
        <w:tab/>
        <w:t>Records to be kept by person for whom licensed crowd controller provides services prescribed (Act s. 84(a))</w:t>
      </w:r>
      <w:bookmarkEnd w:id="72"/>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Gazette 1 Sep 2005 p. 4083.]</w:t>
      </w:r>
    </w:p>
    <w:p>
      <w:pPr>
        <w:pStyle w:val="Heading5"/>
      </w:pPr>
      <w:bookmarkStart w:id="73" w:name="_Toc192854772"/>
      <w:r>
        <w:rPr>
          <w:rStyle w:val="CharSectno"/>
        </w:rPr>
        <w:t>44A</w:t>
      </w:r>
      <w:r>
        <w:t>.</w:t>
      </w:r>
      <w:r>
        <w:tab/>
        <w:t>Notification of address where records held (Act s. 78(2))</w:t>
      </w:r>
      <w:bookmarkEnd w:id="73"/>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Gazette 4 Dec 2009 p. 4906.]</w:t>
      </w:r>
    </w:p>
    <w:p>
      <w:pPr>
        <w:pStyle w:val="Heading2"/>
      </w:pPr>
      <w:bookmarkStart w:id="74" w:name="_Toc192849447"/>
      <w:bookmarkStart w:id="75" w:name="_Toc192851218"/>
      <w:bookmarkStart w:id="76" w:name="_Toc192854773"/>
      <w:r>
        <w:rPr>
          <w:rStyle w:val="CharPartNo"/>
        </w:rPr>
        <w:lastRenderedPageBreak/>
        <w:t>Part 7</w:t>
      </w:r>
      <w:r>
        <w:rPr>
          <w:rStyle w:val="CharDivNo"/>
        </w:rPr>
        <w:t> </w:t>
      </w:r>
      <w:r>
        <w:t>—</w:t>
      </w:r>
      <w:r>
        <w:rPr>
          <w:rStyle w:val="CharDivText"/>
        </w:rPr>
        <w:t> </w:t>
      </w:r>
      <w:r>
        <w:rPr>
          <w:rStyle w:val="CharPartText"/>
        </w:rPr>
        <w:t>Drug testing</w:t>
      </w:r>
      <w:bookmarkEnd w:id="74"/>
      <w:bookmarkEnd w:id="75"/>
      <w:bookmarkEnd w:id="76"/>
      <w:r>
        <w:rPr>
          <w:rStyle w:val="CharPartText"/>
        </w:rPr>
        <w:t xml:space="preserve"> </w:t>
      </w:r>
    </w:p>
    <w:p>
      <w:pPr>
        <w:pStyle w:val="Heading5"/>
        <w:spacing w:before="240"/>
        <w:rPr>
          <w:snapToGrid w:val="0"/>
        </w:rPr>
      </w:pPr>
      <w:bookmarkStart w:id="77" w:name="_Toc192854774"/>
      <w:r>
        <w:rPr>
          <w:rStyle w:val="CharSectno"/>
        </w:rPr>
        <w:t>44</w:t>
      </w:r>
      <w:r>
        <w:rPr>
          <w:snapToGrid w:val="0"/>
        </w:rPr>
        <w:t>.</w:t>
      </w:r>
      <w:r>
        <w:rPr>
          <w:snapToGrid w:val="0"/>
        </w:rPr>
        <w:tab/>
        <w:t>Terms used</w:t>
      </w:r>
      <w:bookmarkEnd w:id="77"/>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Gazette 28 Apr 2006 p. 1657; 4 Dec 2009 p. 4906; 10 Jan 2017 p. 224.]</w:t>
      </w:r>
    </w:p>
    <w:p>
      <w:pPr>
        <w:pStyle w:val="Heading5"/>
        <w:keepLines w:val="0"/>
        <w:pageBreakBefore/>
        <w:spacing w:before="0"/>
        <w:rPr>
          <w:snapToGrid w:val="0"/>
        </w:rPr>
      </w:pPr>
      <w:bookmarkStart w:id="78" w:name="_Toc192854775"/>
      <w:r>
        <w:rPr>
          <w:rStyle w:val="CharSectno"/>
        </w:rPr>
        <w:lastRenderedPageBreak/>
        <w:t>45</w:t>
      </w:r>
      <w:r>
        <w:rPr>
          <w:snapToGrid w:val="0"/>
        </w:rPr>
        <w:t>.</w:t>
      </w:r>
      <w:r>
        <w:rPr>
          <w:snapToGrid w:val="0"/>
        </w:rPr>
        <w:tab/>
        <w:t>Drugs prescribed (Act s. 80)</w:t>
      </w:r>
      <w:bookmarkEnd w:id="78"/>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79" w:name="_Toc192854776"/>
      <w:r>
        <w:rPr>
          <w:rStyle w:val="CharSectno"/>
        </w:rPr>
        <w:t>46</w:t>
      </w:r>
      <w:r>
        <w:rPr>
          <w:snapToGrid w:val="0"/>
        </w:rPr>
        <w:t>.</w:t>
      </w:r>
      <w:r>
        <w:rPr>
          <w:snapToGrid w:val="0"/>
        </w:rPr>
        <w:tab/>
        <w:t>Approval of technologists, sample collectors and analysts</w:t>
      </w:r>
      <w:bookmarkEnd w:id="79"/>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lastRenderedPageBreak/>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Gazette 4 Dec 2009 p. 4907; 10 Jan 2017 p. 224.]</w:t>
      </w:r>
    </w:p>
    <w:p>
      <w:pPr>
        <w:pStyle w:val="Heading5"/>
        <w:rPr>
          <w:snapToGrid w:val="0"/>
        </w:rPr>
      </w:pPr>
      <w:bookmarkStart w:id="80" w:name="_Toc192854777"/>
      <w:r>
        <w:rPr>
          <w:rStyle w:val="CharSectno"/>
        </w:rPr>
        <w:t>47</w:t>
      </w:r>
      <w:r>
        <w:rPr>
          <w:snapToGrid w:val="0"/>
        </w:rPr>
        <w:t>.</w:t>
      </w:r>
      <w:r>
        <w:rPr>
          <w:snapToGrid w:val="0"/>
        </w:rPr>
        <w:tab/>
        <w:t>Blood and urine sampling equipment prescribed</w:t>
      </w:r>
      <w:bookmarkEnd w:id="80"/>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Gazette 28 Apr 2006 p. 1657.]</w:t>
      </w:r>
    </w:p>
    <w:p>
      <w:pPr>
        <w:pStyle w:val="Heading5"/>
        <w:keepLines w:val="0"/>
        <w:spacing w:before="240"/>
        <w:rPr>
          <w:snapToGrid w:val="0"/>
        </w:rPr>
      </w:pPr>
      <w:bookmarkStart w:id="81" w:name="_Toc192854778"/>
      <w:r>
        <w:rPr>
          <w:rStyle w:val="CharSectno"/>
        </w:rPr>
        <w:lastRenderedPageBreak/>
        <w:t>48</w:t>
      </w:r>
      <w:r>
        <w:rPr>
          <w:snapToGrid w:val="0"/>
        </w:rPr>
        <w:t>.</w:t>
      </w:r>
      <w:r>
        <w:rPr>
          <w:snapToGrid w:val="0"/>
        </w:rPr>
        <w:tab/>
        <w:t>Preparation and use of sampling equipment</w:t>
      </w:r>
      <w:bookmarkEnd w:id="81"/>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Gazette 28 Apr 2006 p. 1657.]</w:t>
      </w:r>
    </w:p>
    <w:p>
      <w:pPr>
        <w:pStyle w:val="Heading5"/>
        <w:spacing w:before="240"/>
      </w:pPr>
      <w:bookmarkStart w:id="82" w:name="_Toc192854779"/>
      <w:r>
        <w:rPr>
          <w:rStyle w:val="CharSectno"/>
        </w:rPr>
        <w:t>48A</w:t>
      </w:r>
      <w:r>
        <w:t>.</w:t>
      </w:r>
      <w:r>
        <w:tab/>
        <w:t>Licensee to produce identity card when giving blood or urine sample under direction given under Act s. 80</w:t>
      </w:r>
      <w:bookmarkEnd w:id="82"/>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 xml:space="preserve">A person does not commit an offence under subregulation (1), and subregulation (2) does not apply, if the person who provided the sample produced, at the time of providing the sample, evidence that satisfied the sample collector or police </w:t>
      </w:r>
      <w:r>
        <w:lastRenderedPageBreak/>
        <w:t>officer or employee that the person was the subject of the direction.</w:t>
      </w:r>
    </w:p>
    <w:p>
      <w:pPr>
        <w:pStyle w:val="Footnotesection"/>
        <w:ind w:left="890" w:hanging="890"/>
      </w:pPr>
      <w:r>
        <w:tab/>
        <w:t>[Regulation 48A inserted: Gazette 1 Sep 2005 p. 4083</w:t>
      </w:r>
      <w:r>
        <w:noBreakHyphen/>
        <w:t>4; amended: Gazette 4 Dec 2009 p. 4907.]</w:t>
      </w:r>
    </w:p>
    <w:p>
      <w:pPr>
        <w:pStyle w:val="Heading5"/>
        <w:keepNext w:val="0"/>
        <w:keepLines w:val="0"/>
        <w:rPr>
          <w:snapToGrid w:val="0"/>
        </w:rPr>
      </w:pPr>
      <w:bookmarkStart w:id="83" w:name="_Toc192854780"/>
      <w:r>
        <w:rPr>
          <w:rStyle w:val="CharSectno"/>
        </w:rPr>
        <w:t>49</w:t>
      </w:r>
      <w:r>
        <w:rPr>
          <w:snapToGrid w:val="0"/>
        </w:rPr>
        <w:t>.</w:t>
      </w:r>
      <w:r>
        <w:rPr>
          <w:snapToGrid w:val="0"/>
        </w:rPr>
        <w:tab/>
        <w:t>Blood samples, method for collecting</w:t>
      </w:r>
      <w:bookmarkEnd w:id="83"/>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84" w:name="_Toc192854781"/>
      <w:r>
        <w:rPr>
          <w:rStyle w:val="CharSectno"/>
        </w:rPr>
        <w:lastRenderedPageBreak/>
        <w:t>50</w:t>
      </w:r>
      <w:r>
        <w:rPr>
          <w:snapToGrid w:val="0"/>
        </w:rPr>
        <w:t>.</w:t>
      </w:r>
      <w:r>
        <w:rPr>
          <w:snapToGrid w:val="0"/>
        </w:rPr>
        <w:tab/>
        <w:t>Urine samples, method for collecting</w:t>
      </w:r>
      <w:bookmarkEnd w:id="84"/>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lastRenderedPageBreak/>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Gazette 28 Apr 2006 p. 1657</w:t>
      </w:r>
      <w:r>
        <w:noBreakHyphen/>
        <w:t>8.]</w:t>
      </w:r>
    </w:p>
    <w:p>
      <w:pPr>
        <w:pStyle w:val="Heading5"/>
        <w:rPr>
          <w:snapToGrid w:val="0"/>
        </w:rPr>
      </w:pPr>
      <w:bookmarkStart w:id="85" w:name="_Toc192854782"/>
      <w:r>
        <w:rPr>
          <w:rStyle w:val="CharSectno"/>
        </w:rPr>
        <w:t>51</w:t>
      </w:r>
      <w:r>
        <w:rPr>
          <w:snapToGrid w:val="0"/>
        </w:rPr>
        <w:t>.</w:t>
      </w:r>
      <w:r>
        <w:rPr>
          <w:snapToGrid w:val="0"/>
        </w:rPr>
        <w:tab/>
        <w:t>Analysis of samples</w:t>
      </w:r>
      <w:bookmarkEnd w:id="85"/>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Gazette 4 Dec 2009 p. 4907</w:t>
      </w:r>
      <w:r>
        <w:noBreakHyphen/>
        <w:t>8.]</w:t>
      </w:r>
    </w:p>
    <w:p>
      <w:pPr>
        <w:pStyle w:val="Heading5"/>
        <w:rPr>
          <w:snapToGrid w:val="0"/>
        </w:rPr>
      </w:pPr>
      <w:bookmarkStart w:id="86" w:name="_Toc192854783"/>
      <w:r>
        <w:rPr>
          <w:rStyle w:val="CharSectno"/>
        </w:rPr>
        <w:lastRenderedPageBreak/>
        <w:t>52</w:t>
      </w:r>
      <w:r>
        <w:rPr>
          <w:snapToGrid w:val="0"/>
        </w:rPr>
        <w:t>.</w:t>
      </w:r>
      <w:r>
        <w:rPr>
          <w:snapToGrid w:val="0"/>
        </w:rPr>
        <w:tab/>
        <w:t>Non</w:t>
      </w:r>
      <w:r>
        <w:rPr>
          <w:snapToGrid w:val="0"/>
        </w:rPr>
        <w:noBreakHyphen/>
        <w:t>complying sample defined (Act s. 81(1)(b))</w:t>
      </w:r>
      <w:bookmarkEnd w:id="86"/>
    </w:p>
    <w:p>
      <w:pPr>
        <w:pStyle w:val="Subsection"/>
        <w:keepNext/>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87" w:name="_Toc192854784"/>
      <w:r>
        <w:rPr>
          <w:rStyle w:val="CharSectno"/>
        </w:rPr>
        <w:t>53</w:t>
      </w:r>
      <w:r>
        <w:rPr>
          <w:snapToGrid w:val="0"/>
        </w:rPr>
        <w:t>.</w:t>
      </w:r>
      <w:r>
        <w:rPr>
          <w:snapToGrid w:val="0"/>
        </w:rPr>
        <w:tab/>
        <w:t>Certificates which are evidence</w:t>
      </w:r>
      <w:bookmarkEnd w:id="87"/>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Gazette 28 Apr 2006 p. 1658; 4 Dec 2009 p. 4908.]</w:t>
      </w:r>
    </w:p>
    <w:p>
      <w:pPr>
        <w:pStyle w:val="Heading2"/>
      </w:pPr>
      <w:bookmarkStart w:id="88" w:name="_Toc192849459"/>
      <w:bookmarkStart w:id="89" w:name="_Toc192851230"/>
      <w:bookmarkStart w:id="90" w:name="_Toc192854785"/>
      <w:r>
        <w:rPr>
          <w:rStyle w:val="CharPartNo"/>
        </w:rPr>
        <w:lastRenderedPageBreak/>
        <w:t>Part 8</w:t>
      </w:r>
      <w:r>
        <w:rPr>
          <w:rStyle w:val="CharDivNo"/>
        </w:rPr>
        <w:t> </w:t>
      </w:r>
      <w:r>
        <w:t>—</w:t>
      </w:r>
      <w:r>
        <w:rPr>
          <w:rStyle w:val="CharDivText"/>
        </w:rPr>
        <w:t> </w:t>
      </w:r>
      <w:r>
        <w:rPr>
          <w:rStyle w:val="CharPartText"/>
        </w:rPr>
        <w:t>Miscellaneous</w:t>
      </w:r>
      <w:bookmarkEnd w:id="88"/>
      <w:bookmarkEnd w:id="89"/>
      <w:bookmarkEnd w:id="90"/>
      <w:r>
        <w:rPr>
          <w:rStyle w:val="CharPartText"/>
        </w:rPr>
        <w:t xml:space="preserve"> </w:t>
      </w:r>
    </w:p>
    <w:p>
      <w:pPr>
        <w:pStyle w:val="Heading5"/>
        <w:rPr>
          <w:snapToGrid w:val="0"/>
        </w:rPr>
      </w:pPr>
      <w:bookmarkStart w:id="91" w:name="_Toc192854786"/>
      <w:r>
        <w:rPr>
          <w:rStyle w:val="CharSectno"/>
        </w:rPr>
        <w:t>54</w:t>
      </w:r>
      <w:r>
        <w:rPr>
          <w:snapToGrid w:val="0"/>
        </w:rPr>
        <w:t>.</w:t>
      </w:r>
      <w:r>
        <w:rPr>
          <w:snapToGrid w:val="0"/>
        </w:rPr>
        <w:tab/>
        <w:t>Fees prescribed</w:t>
      </w:r>
      <w:bookmarkEnd w:id="91"/>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92" w:name="_Toc192854787"/>
      <w:r>
        <w:rPr>
          <w:rStyle w:val="CharSectno"/>
        </w:rPr>
        <w:t>54A</w:t>
      </w:r>
      <w:r>
        <w:t>.</w:t>
      </w:r>
      <w:r>
        <w:tab/>
        <w:t>Codes of conduct, preparation, approval and effect of</w:t>
      </w:r>
      <w:bookmarkEnd w:id="92"/>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Gazette 1 Sep 2005 p. 4084</w:t>
      </w:r>
      <w:r>
        <w:noBreakHyphen/>
        <w:t>5; amended: Gazette 4 Dec 2009 p. 4908</w:t>
      </w:r>
      <w:r>
        <w:noBreakHyphen/>
        <w:t>9.]</w:t>
      </w:r>
    </w:p>
    <w:p>
      <w:pPr>
        <w:pStyle w:val="Heading5"/>
      </w:pPr>
      <w:bookmarkStart w:id="93" w:name="_Toc192854788"/>
      <w:r>
        <w:rPr>
          <w:rStyle w:val="CharSectno"/>
        </w:rPr>
        <w:lastRenderedPageBreak/>
        <w:t>55</w:t>
      </w:r>
      <w:r>
        <w:t>.</w:t>
      </w:r>
      <w:r>
        <w:tab/>
        <w:t>Surrender of licence (Act s. 76(c))</w:t>
      </w:r>
      <w:bookmarkEnd w:id="93"/>
    </w:p>
    <w:p>
      <w:pPr>
        <w:pStyle w:val="Subsection"/>
      </w:pPr>
      <w:r>
        <w:tab/>
      </w:r>
      <w:r>
        <w:tab/>
        <w:t>For the purposes of section 76(c), a licensee may surrender a licence by written notice given to a licensing officer.</w:t>
      </w:r>
    </w:p>
    <w:p>
      <w:pPr>
        <w:pStyle w:val="Footnotesection"/>
        <w:keepLines w:val="0"/>
      </w:pPr>
      <w:r>
        <w:tab/>
        <w:t>[Regulation 55 inserted: Gazette 4 Dec 2009 p. 4909.]</w:t>
      </w:r>
    </w:p>
    <w:p>
      <w:pPr>
        <w:pStyle w:val="Heading5"/>
      </w:pPr>
      <w:bookmarkStart w:id="94" w:name="_Toc192854789"/>
      <w:r>
        <w:rPr>
          <w:rStyle w:val="CharSectno"/>
        </w:rPr>
        <w:t>56</w:t>
      </w:r>
      <w:r>
        <w:t>.</w:t>
      </w:r>
      <w:r>
        <w:tab/>
        <w:t>Return of licence (Act s. 76)</w:t>
      </w:r>
      <w:bookmarkEnd w:id="94"/>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Gazette 4 Dec 2009 p. 4909.]</w:t>
      </w:r>
    </w:p>
    <w:p>
      <w:pPr>
        <w:pStyle w:val="Heading5"/>
      </w:pPr>
      <w:bookmarkStart w:id="95" w:name="_Toc192854790"/>
      <w:r>
        <w:rPr>
          <w:rStyle w:val="CharSectno"/>
        </w:rPr>
        <w:t>57</w:t>
      </w:r>
      <w:r>
        <w:t>.</w:t>
      </w:r>
      <w:r>
        <w:tab/>
        <w:t>Notification of change of address (Act s. 77)</w:t>
      </w:r>
      <w:bookmarkEnd w:id="95"/>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Gazette 4 Dec 2009 p. 4909.]</w:t>
      </w:r>
    </w:p>
    <w:p>
      <w:pPr>
        <w:pStyle w:val="Heading5"/>
      </w:pPr>
      <w:bookmarkStart w:id="96" w:name="_Toc192854791"/>
      <w:r>
        <w:rPr>
          <w:rStyle w:val="CharSectno"/>
        </w:rPr>
        <w:t>58</w:t>
      </w:r>
      <w:r>
        <w:t>.</w:t>
      </w:r>
      <w:r>
        <w:tab/>
        <w:t>Prescribed offences and modified penalties</w:t>
      </w:r>
      <w:bookmarkEnd w:id="96"/>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Gazette 29 Jul 2016 p. 3248.]</w:t>
      </w:r>
    </w:p>
    <w:p>
      <w:pPr>
        <w:pStyle w:val="Heading5"/>
      </w:pPr>
      <w:bookmarkStart w:id="97" w:name="_Toc192854792"/>
      <w:r>
        <w:rPr>
          <w:rStyle w:val="CharSectno"/>
        </w:rPr>
        <w:lastRenderedPageBreak/>
        <w:t>59</w:t>
      </w:r>
      <w:r>
        <w:t>.</w:t>
      </w:r>
      <w:r>
        <w:tab/>
        <w:t>Forms</w:t>
      </w:r>
      <w:bookmarkEnd w:id="97"/>
    </w:p>
    <w:p>
      <w:pPr>
        <w:pStyle w:val="Subsection"/>
        <w:keepNext/>
      </w:pPr>
      <w:r>
        <w:tab/>
      </w:r>
      <w:r>
        <w:tab/>
        <w:t>The forms set out in Schedule 6 are prescribed in relation to the matters specified in those forms.</w:t>
      </w:r>
    </w:p>
    <w:p>
      <w:pPr>
        <w:pStyle w:val="Footnotesection"/>
      </w:pPr>
      <w:r>
        <w:tab/>
        <w:t>[Regulation 59 inserted: Gazette 29 Jul 2016 p. 3248.]</w:t>
      </w:r>
    </w:p>
    <w:p>
      <w:pPr>
        <w:pStyle w:val="Ednotepart"/>
        <w:spacing w:before="300"/>
      </w:pPr>
      <w:r>
        <w:t>[Part 9 deleted: Gazette 4 Dec 2009 p. 4909.]</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98" w:name="_Toc192849467"/>
      <w:bookmarkStart w:id="99" w:name="_Toc192851238"/>
      <w:bookmarkStart w:id="100" w:name="_Toc192854793"/>
      <w:r>
        <w:rPr>
          <w:rStyle w:val="CharSchNo"/>
        </w:rPr>
        <w:lastRenderedPageBreak/>
        <w:t>Schedule 1</w:t>
      </w:r>
      <w:r>
        <w:t> — </w:t>
      </w:r>
      <w:r>
        <w:rPr>
          <w:rStyle w:val="CharSchText"/>
        </w:rPr>
        <w:t>Conditions and restrictions attached to licences</w:t>
      </w:r>
      <w:bookmarkEnd w:id="98"/>
      <w:bookmarkEnd w:id="99"/>
      <w:bookmarkEnd w:id="100"/>
    </w:p>
    <w:p>
      <w:pPr>
        <w:pStyle w:val="yShoulderClause"/>
        <w:rPr>
          <w:snapToGrid w:val="0"/>
        </w:rPr>
      </w:pPr>
      <w:r>
        <w:t>[r. 21]</w:t>
      </w:r>
    </w:p>
    <w:p>
      <w:pPr>
        <w:pStyle w:val="yFootnoteheading"/>
      </w:pPr>
      <w:r>
        <w:tab/>
        <w:t>[Heading amended: SL 2022/211 r. 5.]</w:t>
      </w:r>
    </w:p>
    <w:p>
      <w:pPr>
        <w:pStyle w:val="yHeading3"/>
        <w:rPr>
          <w:snapToGrid w:val="0"/>
        </w:rPr>
      </w:pPr>
      <w:bookmarkStart w:id="101" w:name="_Toc192849468"/>
      <w:bookmarkStart w:id="102" w:name="_Toc192851239"/>
      <w:bookmarkStart w:id="103" w:name="_Toc192854794"/>
      <w:r>
        <w:rPr>
          <w:rStyle w:val="CharSDivNo"/>
        </w:rPr>
        <w:t>Division 1</w:t>
      </w:r>
      <w:r>
        <w:rPr>
          <w:snapToGrid w:val="0"/>
        </w:rPr>
        <w:t> — </w:t>
      </w:r>
      <w:r>
        <w:rPr>
          <w:rStyle w:val="CharSDivText"/>
        </w:rPr>
        <w:t>Security agent’s licence</w:t>
      </w:r>
      <w:bookmarkEnd w:id="101"/>
      <w:bookmarkEnd w:id="102"/>
      <w:bookmarkEnd w:id="103"/>
    </w:p>
    <w:p>
      <w:pPr>
        <w:pStyle w:val="yHeading5"/>
      </w:pPr>
      <w:bookmarkStart w:id="104" w:name="_Toc192854795"/>
      <w:r>
        <w:rPr>
          <w:rStyle w:val="CharSClsNo"/>
        </w:rPr>
        <w:t>1A</w:t>
      </w:r>
      <w:r>
        <w:t>.</w:t>
      </w:r>
      <w:r>
        <w:tab/>
        <w:t>Term used: business activity</w:t>
      </w:r>
      <w:bookmarkEnd w:id="104"/>
    </w:p>
    <w:p>
      <w:pPr>
        <w:pStyle w:val="ySubsection"/>
      </w:pPr>
      <w:r>
        <w:tab/>
      </w:r>
      <w:r>
        <w:tab/>
        <w:t xml:space="preserve">In this Division — </w:t>
      </w:r>
    </w:p>
    <w:p>
      <w:pPr>
        <w:pStyle w:val="yDefstart"/>
      </w:pPr>
      <w:r>
        <w:tab/>
      </w:r>
      <w:r>
        <w:rPr>
          <w:rStyle w:val="CharDefText"/>
        </w:rPr>
        <w:t>business activity</w:t>
      </w:r>
      <w:r>
        <w:t xml:space="preserve"> means an activity authorised by a security officer’s licence that the security officer performs for a security agent’s business.</w:t>
      </w:r>
    </w:p>
    <w:p>
      <w:pPr>
        <w:pStyle w:val="yFootnotesection"/>
      </w:pPr>
      <w:r>
        <w:tab/>
        <w:t>[Clause 1A inserted: SL 2022/211 r. 6.]</w:t>
      </w:r>
    </w:p>
    <w:p>
      <w:pPr>
        <w:pStyle w:val="yHeading5"/>
        <w:rPr>
          <w:snapToGrid w:val="0"/>
        </w:rPr>
      </w:pPr>
      <w:bookmarkStart w:id="105" w:name="_Toc192854796"/>
      <w:r>
        <w:rPr>
          <w:rStyle w:val="CharSClsNo"/>
        </w:rPr>
        <w:t>1</w:t>
      </w:r>
      <w:r>
        <w:rPr>
          <w:snapToGrid w:val="0"/>
        </w:rPr>
        <w:t>.</w:t>
      </w:r>
      <w:r>
        <w:rPr>
          <w:snapToGrid w:val="0"/>
        </w:rPr>
        <w:tab/>
        <w:t>Changes of partners, officers or personnel to be notified</w:t>
      </w:r>
      <w:bookmarkEnd w:id="105"/>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Gazette 4 Dec 2009 p. 4910.]</w:t>
      </w:r>
    </w:p>
    <w:p>
      <w:pPr>
        <w:pStyle w:val="yHeading5"/>
      </w:pPr>
      <w:bookmarkStart w:id="106" w:name="_Toc192854797"/>
      <w:r>
        <w:rPr>
          <w:rStyle w:val="CharSClsNo"/>
        </w:rPr>
        <w:t>2</w:t>
      </w:r>
      <w:r>
        <w:t>.</w:t>
      </w:r>
      <w:r>
        <w:tab/>
        <w:t>Uniforms to be worn by security officers</w:t>
      </w:r>
      <w:bookmarkEnd w:id="106"/>
    </w:p>
    <w:p>
      <w:pPr>
        <w:pStyle w:val="ySubsection"/>
      </w:pPr>
      <w:r>
        <w:tab/>
        <w:t>(1)</w:t>
      </w:r>
      <w:r>
        <w:tab/>
        <w:t>A security agent must ensure that a security officer wears a uniform of a type approved by the Commissioner at all times while the officer is performing a business activity for the agent’s business.</w:t>
      </w:r>
    </w:p>
    <w:p>
      <w:pPr>
        <w:pStyle w:val="ySubsection"/>
      </w:pPr>
      <w:r>
        <w:tab/>
        <w:t>(2)</w:t>
      </w:r>
      <w:r>
        <w:tab/>
        <w:t xml:space="preserve">Subclause (1) does not apply in relation to — </w:t>
      </w:r>
    </w:p>
    <w:p>
      <w:pPr>
        <w:pStyle w:val="yIndenta"/>
      </w:pPr>
      <w:r>
        <w:tab/>
        <w:t>(a)</w:t>
      </w:r>
      <w:r>
        <w:tab/>
        <w:t>a security officer who is engaged in loss prevention activities in a retail store; or</w:t>
      </w:r>
    </w:p>
    <w:p>
      <w:pPr>
        <w:pStyle w:val="yIndenta"/>
      </w:pPr>
      <w:r>
        <w:lastRenderedPageBreak/>
        <w:tab/>
        <w:t>(b)</w:t>
      </w:r>
      <w:r>
        <w:tab/>
        <w:t>a security officer who is engaged in escort duties if a licensing officer is satisfied that the circumstances require the security officer to wear clothes other than a uniform of a type approved by the Commissioner.</w:t>
      </w:r>
    </w:p>
    <w:p>
      <w:pPr>
        <w:pStyle w:val="ySubsection"/>
      </w:pPr>
      <w:r>
        <w:tab/>
        <w:t>(3)</w:t>
      </w:r>
      <w:r>
        <w:tab/>
        <w:t>A security agent must ensure that a security officer referred to in subclause (2)(a) or (b) does not wear clothes that are confusingly similar to a uniform in use by a police force.</w:t>
      </w:r>
    </w:p>
    <w:p>
      <w:pPr>
        <w:pStyle w:val="yFootnotesection"/>
      </w:pPr>
      <w:r>
        <w:tab/>
        <w:t>[Clause 2 inserted: SL 2022/211 r. 7.]</w:t>
      </w:r>
    </w:p>
    <w:p>
      <w:pPr>
        <w:pStyle w:val="yHeading5"/>
      </w:pPr>
      <w:bookmarkStart w:id="107" w:name="_Toc192854798"/>
      <w:r>
        <w:rPr>
          <w:rStyle w:val="CharSClsNo"/>
        </w:rPr>
        <w:t>3</w:t>
      </w:r>
      <w:r>
        <w:t>.</w:t>
      </w:r>
      <w:r>
        <w:tab/>
        <w:t>Markings on vehicles used by security officers</w:t>
      </w:r>
      <w:bookmarkEnd w:id="107"/>
    </w:p>
    <w:p>
      <w:pPr>
        <w:pStyle w:val="ySubsection"/>
      </w:pPr>
      <w:r>
        <w:tab/>
      </w:r>
      <w:r>
        <w:tab/>
        <w:t>A security agent must ensure that a marking on a vehicle used by a security officer while performing a business activity for the agent’s business is not confusingly similar to a vehicle marking in use by a police force.</w:t>
      </w:r>
    </w:p>
    <w:p>
      <w:pPr>
        <w:pStyle w:val="yFootnotesection"/>
      </w:pPr>
      <w:r>
        <w:tab/>
        <w:t>[Clause 3 inserted: Gazette 1 Sep 2005 p. 4086; amended: SL 2022/211 r. 8.]</w:t>
      </w:r>
    </w:p>
    <w:p>
      <w:pPr>
        <w:pStyle w:val="yHeading5"/>
      </w:pPr>
      <w:bookmarkStart w:id="108" w:name="_Toc192854799"/>
      <w:r>
        <w:rPr>
          <w:rStyle w:val="CharSClsNo"/>
        </w:rPr>
        <w:t>4A</w:t>
      </w:r>
      <w:r>
        <w:t>.</w:t>
      </w:r>
      <w:r>
        <w:rPr>
          <w:b w:val="0"/>
        </w:rPr>
        <w:tab/>
      </w:r>
      <w:r>
        <w:t>Guard dogs not to be used without training</w:t>
      </w:r>
      <w:bookmarkEnd w:id="108"/>
    </w:p>
    <w:p>
      <w:pPr>
        <w:pStyle w:val="ySubsection"/>
      </w:pPr>
      <w:r>
        <w:tab/>
        <w:t>(1)</w:t>
      </w:r>
      <w:r>
        <w:tab/>
        <w:t>A security agent must ensure that a security officer does not use a guard dog in connection with the performance of a business activity for the agent’s business unless the officer has successfully completed an approved training course in the handling of guard dogs.</w:t>
      </w:r>
    </w:p>
    <w:p>
      <w:pPr>
        <w:pStyle w:val="yEdnotesubsection"/>
      </w:pPr>
      <w:r>
        <w:tab/>
        <w:t>[(2)</w:t>
      </w:r>
      <w:r>
        <w:tab/>
        <w:t>deleted]</w:t>
      </w:r>
    </w:p>
    <w:p>
      <w:pPr>
        <w:pStyle w:val="yFootnotesection"/>
      </w:pPr>
      <w:r>
        <w:tab/>
        <w:t>[Clause 4A inserted: Gazette 4 Dec 2009 p. 4910; amended: Gazette 29 Jul 2016 p. 3249; SL 2022/211 r. 9.]</w:t>
      </w:r>
    </w:p>
    <w:p>
      <w:pPr>
        <w:pStyle w:val="yHeading5"/>
        <w:rPr>
          <w:snapToGrid w:val="0"/>
        </w:rPr>
      </w:pPr>
      <w:bookmarkStart w:id="109" w:name="_Toc192854800"/>
      <w:r>
        <w:rPr>
          <w:rStyle w:val="CharSClsNo"/>
        </w:rPr>
        <w:t>4</w:t>
      </w:r>
      <w:r>
        <w:rPr>
          <w:snapToGrid w:val="0"/>
        </w:rPr>
        <w:t>.</w:t>
      </w:r>
      <w:r>
        <w:rPr>
          <w:snapToGrid w:val="0"/>
        </w:rPr>
        <w:tab/>
        <w:t>Arming security officers</w:t>
      </w:r>
      <w:bookmarkEnd w:id="109"/>
      <w:r>
        <w:rPr>
          <w:snapToGrid w:val="0"/>
        </w:rPr>
        <w:t xml:space="preserve"> </w:t>
      </w:r>
    </w:p>
    <w:p>
      <w:pPr>
        <w:pStyle w:val="ySubsection"/>
        <w:rPr>
          <w:snapToGrid w:val="0"/>
        </w:rPr>
      </w:pPr>
      <w:r>
        <w:rPr>
          <w:snapToGrid w:val="0"/>
        </w:rPr>
        <w:tab/>
        <w:t>(1)</w:t>
      </w:r>
      <w:r>
        <w:rPr>
          <w:snapToGrid w:val="0"/>
        </w:rPr>
        <w:tab/>
      </w:r>
      <w:r>
        <w:t xml:space="preserve">A security agent must ensure that a security officer is not in possession of a firearm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pPr>
      <w:r>
        <w:tab/>
        <w:t>(b)</w:t>
      </w:r>
      <w:r>
        <w:tab/>
        <w:t xml:space="preserve">a Security Agent Business Licence under the </w:t>
      </w:r>
      <w:r>
        <w:rPr>
          <w:i/>
          <w:iCs/>
        </w:rPr>
        <w:t>Firearms Act 2024</w:t>
      </w:r>
      <w:r>
        <w:t xml:space="preserve"> is in force in respect of the agent’s business; and</w:t>
      </w:r>
    </w:p>
    <w:p>
      <w:pPr>
        <w:pStyle w:val="yIndenta"/>
      </w:pPr>
      <w:r>
        <w:lastRenderedPageBreak/>
        <w:tab/>
        <w:t>(ba)</w:t>
      </w:r>
      <w:r>
        <w:tab/>
        <w:t xml:space="preserve">the security officer is an authorised person under the </w:t>
      </w:r>
      <w:r>
        <w:rPr>
          <w:i/>
          <w:iCs/>
        </w:rPr>
        <w:t>Firearms Act 2024</w:t>
      </w:r>
      <w:r>
        <w:t xml:space="preserve"> for the licence referred to in paragraph (b);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pPr>
      <w:r>
        <w:rPr>
          <w:snapToGrid w:val="0"/>
        </w:rPr>
        <w:tab/>
        <w:t>(ii)</w:t>
      </w:r>
      <w:r>
        <w:rPr>
          <w:snapToGrid w:val="0"/>
        </w:rPr>
        <w:tab/>
        <w:t xml:space="preserve">is a firearm to which the licence referred to in paragraph (b) </w:t>
      </w:r>
      <w:r>
        <w:t>applies.</w:t>
      </w:r>
    </w:p>
    <w:p>
      <w:pPr>
        <w:pStyle w:val="yEdnotepara"/>
      </w:pPr>
      <w:r>
        <w:tab/>
        <w:t>[(d)</w:t>
      </w:r>
      <w:r>
        <w:tab/>
        <w:t>deleted]</w:t>
      </w:r>
    </w:p>
    <w:p>
      <w:pPr>
        <w:pStyle w:val="ySubsection"/>
        <w:rPr>
          <w:snapToGrid w:val="0"/>
        </w:rPr>
      </w:pPr>
      <w:r>
        <w:rPr>
          <w:snapToGrid w:val="0"/>
        </w:rPr>
        <w:tab/>
        <w:t>(2)</w:t>
      </w:r>
      <w:r>
        <w:rPr>
          <w:snapToGrid w:val="0"/>
        </w:rPr>
        <w:tab/>
      </w:r>
      <w:r>
        <w:t xml:space="preserve">A security agent must ensure that a security officer is not in possession of a baton while the officer is performing a business activity for the agent’s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 xml:space="preserve">the baton is of a type approved by the Commissioner under </w:t>
      </w:r>
      <w:r>
        <w:t>section 26(2)(b); and</w:t>
      </w:r>
    </w:p>
    <w:p>
      <w:pPr>
        <w:pStyle w:val="yIndenta"/>
      </w:pPr>
      <w:r>
        <w:tab/>
        <w:t>(c)</w:t>
      </w:r>
      <w:r>
        <w:tab/>
        <w:t>the security officer satisfies the condition in clause 11(2).</w:t>
      </w:r>
    </w:p>
    <w:p>
      <w:pPr>
        <w:pStyle w:val="ySubsection"/>
      </w:pPr>
      <w:r>
        <w:tab/>
        <w:t>(3)</w:t>
      </w:r>
      <w:r>
        <w:tab/>
        <w:t>A security agent must ensure that a security officer is not in possession of any other weapon while the officer is performing a business activity for the agent’s business.</w:t>
      </w:r>
    </w:p>
    <w:p>
      <w:pPr>
        <w:pStyle w:val="yFootnotesection"/>
      </w:pPr>
      <w:r>
        <w:tab/>
        <w:t>[Clause 4 amended: Gazette 1 Sep 2005 p. 4086; 4 Dec 2009 p. 4911; SL 2022/211 r. 10; SL 2024/296 r. 8.]</w:t>
      </w:r>
    </w:p>
    <w:p>
      <w:pPr>
        <w:pStyle w:val="yEdnotesection"/>
      </w:pPr>
      <w:r>
        <w:t>[</w:t>
      </w:r>
      <w:r>
        <w:rPr>
          <w:b/>
          <w:bCs/>
        </w:rPr>
        <w:t>5.</w:t>
      </w:r>
      <w:r>
        <w:tab/>
        <w:t>Deleted: SL 2024/296 r. 9.]</w:t>
      </w:r>
    </w:p>
    <w:p>
      <w:pPr>
        <w:pStyle w:val="yEdnotesection"/>
      </w:pPr>
      <w:r>
        <w:t>[</w:t>
      </w:r>
      <w:r>
        <w:rPr>
          <w:b/>
        </w:rPr>
        <w:t>6.</w:t>
      </w:r>
      <w:r>
        <w:tab/>
        <w:t>Deleted: SL 2022/211 r. 12.]</w:t>
      </w:r>
    </w:p>
    <w:p>
      <w:pPr>
        <w:pStyle w:val="yHeading3"/>
        <w:rPr>
          <w:snapToGrid w:val="0"/>
        </w:rPr>
      </w:pPr>
      <w:bookmarkStart w:id="110" w:name="_Toc192849476"/>
      <w:bookmarkStart w:id="111" w:name="_Toc192851246"/>
      <w:bookmarkStart w:id="112" w:name="_Toc192854801"/>
      <w:r>
        <w:rPr>
          <w:rStyle w:val="CharSDivNo"/>
        </w:rPr>
        <w:t>Division 2</w:t>
      </w:r>
      <w:r>
        <w:rPr>
          <w:snapToGrid w:val="0"/>
        </w:rPr>
        <w:t> — </w:t>
      </w:r>
      <w:r>
        <w:rPr>
          <w:rStyle w:val="CharSDivText"/>
        </w:rPr>
        <w:t>Security officer’s licence</w:t>
      </w:r>
      <w:bookmarkEnd w:id="110"/>
      <w:bookmarkEnd w:id="111"/>
      <w:bookmarkEnd w:id="112"/>
      <w:r>
        <w:rPr>
          <w:snapToGrid w:val="0"/>
        </w:rPr>
        <w:t xml:space="preserve"> </w:t>
      </w:r>
    </w:p>
    <w:p>
      <w:pPr>
        <w:pStyle w:val="yHeading5"/>
        <w:rPr>
          <w:snapToGrid w:val="0"/>
        </w:rPr>
      </w:pPr>
      <w:bookmarkStart w:id="113" w:name="_Toc192854802"/>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13"/>
    </w:p>
    <w:p>
      <w:pPr>
        <w:pStyle w:val="ySubsection"/>
      </w:pPr>
      <w:r>
        <w:tab/>
        <w:t>(1)</w:t>
      </w:r>
      <w:r>
        <w:tab/>
        <w:t>A security officer must, at all times while performing a licensed activity, wear a uniform of a type approved by the Commissioner.</w:t>
      </w:r>
    </w:p>
    <w:p>
      <w:pPr>
        <w:pStyle w:val="ySubsection"/>
        <w:keepNext/>
        <w:rPr>
          <w:snapToGrid w:val="0"/>
        </w:rPr>
      </w:pPr>
      <w:r>
        <w:rPr>
          <w:snapToGrid w:val="0"/>
        </w:rPr>
        <w:lastRenderedPageBreak/>
        <w:tab/>
        <w:t>(2)</w:t>
      </w:r>
      <w:r>
        <w:rPr>
          <w:snapToGrid w:val="0"/>
        </w:rPr>
        <w:tab/>
      </w:r>
      <w:r>
        <w:t xml:space="preserve">Subclause (1) </w:t>
      </w:r>
      <w:r>
        <w:rPr>
          <w:snapToGrid w:val="0"/>
        </w:rPr>
        <w:t>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Subclause (1) does not apply — </w:t>
      </w:r>
    </w:p>
    <w:p>
      <w:pPr>
        <w:pStyle w:val="yIndenta"/>
      </w:pPr>
      <w:r>
        <w:tab/>
        <w:t>(a)</w:t>
      </w:r>
      <w:r>
        <w:tab/>
        <w:t>to a security officer who is engaged in loss prevention activities in a retail store; or</w:t>
      </w:r>
    </w:p>
    <w:p>
      <w:pPr>
        <w:pStyle w:val="yIndenta"/>
      </w:pPr>
      <w:r>
        <w:tab/>
        <w:t>(b)</w:t>
      </w:r>
      <w:r>
        <w:tab/>
      </w:r>
      <w:r>
        <w:rPr>
          <w:szCs w:val="22"/>
        </w:rPr>
        <w:t>to a security officer who is engaged in escort duties if a licensing officer is satisfied that the circumstances</w:t>
      </w:r>
      <w:r>
        <w:t xml:space="preserve"> require the security officer to wear clothes other than a uniform of a type approved by the Commissioner.</w:t>
      </w:r>
    </w:p>
    <w:p>
      <w:pPr>
        <w:pStyle w:val="ySubsection"/>
        <w:keepNext/>
      </w:pPr>
      <w:r>
        <w:tab/>
        <w:t>(4)</w:t>
      </w:r>
      <w:r>
        <w:tab/>
        <w:t>A security officer referred to in subclause (3)(a) or (b) must not wear clothes that are confusingly similar to a uniform in use by a police force.</w:t>
      </w:r>
    </w:p>
    <w:p>
      <w:pPr>
        <w:pStyle w:val="yFootnotesection"/>
      </w:pPr>
      <w:r>
        <w:tab/>
        <w:t>[Clause 7 amended: Gazette 1 Sep 2005 p. 4087</w:t>
      </w:r>
      <w:r>
        <w:noBreakHyphen/>
        <w:t>8; SL 2022/211 r. 13.]</w:t>
      </w:r>
    </w:p>
    <w:p>
      <w:pPr>
        <w:pStyle w:val="yHeading5"/>
      </w:pPr>
      <w:bookmarkStart w:id="114" w:name="_Toc192854803"/>
      <w:r>
        <w:rPr>
          <w:rStyle w:val="CharSClsNo"/>
        </w:rPr>
        <w:t>8</w:t>
      </w:r>
      <w:r>
        <w:t>.</w:t>
      </w:r>
      <w:r>
        <w:tab/>
        <w:t>M</w:t>
      </w:r>
      <w:r>
        <w:rPr>
          <w:snapToGrid w:val="0"/>
        </w:rPr>
        <w:t>arkings on vehicles used by security officers</w:t>
      </w:r>
      <w:bookmarkEnd w:id="114"/>
    </w:p>
    <w:p>
      <w:pPr>
        <w:pStyle w:val="ySubsection"/>
      </w:pPr>
      <w:r>
        <w:tab/>
      </w:r>
      <w:r>
        <w:tab/>
        <w:t>A security officer must not use a vehicle while performing a licensed activity if a marking on the vehicle is confusingly similar to a vehicle marking in use by a police force.</w:t>
      </w:r>
    </w:p>
    <w:p>
      <w:pPr>
        <w:pStyle w:val="yFootnotesection"/>
      </w:pPr>
      <w:r>
        <w:tab/>
        <w:t>[Clause 8 inserted: Gazette 1 Sep 2005 p. 4088; amended: SL 2022/211 r. 14.]</w:t>
      </w:r>
    </w:p>
    <w:p>
      <w:pPr>
        <w:pStyle w:val="yHeading5"/>
        <w:rPr>
          <w:snapToGrid w:val="0"/>
        </w:rPr>
      </w:pPr>
      <w:bookmarkStart w:id="115" w:name="_Toc192854804"/>
      <w:r>
        <w:rPr>
          <w:rStyle w:val="CharSClsNo"/>
        </w:rPr>
        <w:t>9</w:t>
      </w:r>
      <w:r>
        <w:rPr>
          <w:snapToGrid w:val="0"/>
        </w:rPr>
        <w:t>.</w:t>
      </w:r>
      <w:r>
        <w:rPr>
          <w:snapToGrid w:val="0"/>
        </w:rPr>
        <w:tab/>
      </w:r>
      <w:r>
        <w:rPr>
          <w:rStyle w:val="CharSClsNo"/>
        </w:rPr>
        <w:t>Carrying</w:t>
      </w:r>
      <w:r>
        <w:rPr>
          <w:snapToGrid w:val="0"/>
        </w:rPr>
        <w:t xml:space="preserve"> of weapons</w:t>
      </w:r>
      <w:bookmarkEnd w:id="115"/>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lastRenderedPageBreak/>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Gazette 1 Sep 2005 p. 4088; 4 Dec 2009 p. 4911.]</w:t>
      </w:r>
    </w:p>
    <w:p>
      <w:pPr>
        <w:pStyle w:val="yEdnotesection"/>
      </w:pPr>
      <w:r>
        <w:t>[</w:t>
      </w:r>
      <w:r>
        <w:rPr>
          <w:b/>
          <w:bCs/>
        </w:rPr>
        <w:t>10.</w:t>
      </w:r>
      <w:r>
        <w:tab/>
        <w:t>Deleted: SL 2024/296 r. 10.]</w:t>
      </w:r>
    </w:p>
    <w:p>
      <w:pPr>
        <w:pStyle w:val="yHeading5"/>
      </w:pPr>
      <w:bookmarkStart w:id="116" w:name="_Toc192854805"/>
      <w:r>
        <w:rPr>
          <w:rStyle w:val="CharSClsNo"/>
        </w:rPr>
        <w:t>11A</w:t>
      </w:r>
      <w:r>
        <w:t>.</w:t>
      </w:r>
      <w:r>
        <w:rPr>
          <w:b w:val="0"/>
        </w:rPr>
        <w:tab/>
      </w:r>
      <w:r>
        <w:t>Guard dogs not to be used without training</w:t>
      </w:r>
      <w:bookmarkEnd w:id="116"/>
    </w:p>
    <w:p>
      <w:pPr>
        <w:pStyle w:val="ySubsection"/>
      </w:pPr>
      <w:r>
        <w:tab/>
        <w:t>(1)</w:t>
      </w:r>
      <w:r>
        <w:tab/>
        <w:t>A security officer must not use a guard dog in connection with the performance of a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t xml:space="preserve"> (</w:t>
      </w:r>
      <w:r>
        <w:rPr>
          <w:rStyle w:val="CharDefText"/>
        </w:rPr>
        <w:t>commencement day</w:t>
      </w:r>
      <w:r>
        <w:t>) until the day that is 12 months after commencement day</w:t>
      </w:r>
      <w:r>
        <w:rPr>
          <w:iCs/>
        </w:rPr>
        <w:t>.</w:t>
      </w:r>
    </w:p>
    <w:p>
      <w:pPr>
        <w:pStyle w:val="yFootnotesection"/>
      </w:pPr>
      <w:r>
        <w:tab/>
        <w:t>[Clause 11A inserted: Gazette 4 Dec 2009 p. 4911; amended: SL 2022/211 r. 15.]</w:t>
      </w:r>
    </w:p>
    <w:p>
      <w:pPr>
        <w:pStyle w:val="yHeading5"/>
      </w:pPr>
      <w:bookmarkStart w:id="117" w:name="_Toc192854806"/>
      <w:r>
        <w:rPr>
          <w:rStyle w:val="CharSClsNo"/>
        </w:rPr>
        <w:t>11B</w:t>
      </w:r>
      <w:r>
        <w:t>.</w:t>
      </w:r>
      <w:r>
        <w:rPr>
          <w:b w:val="0"/>
        </w:rPr>
        <w:tab/>
      </w:r>
      <w:r>
        <w:t>First aid certificate</w:t>
      </w:r>
      <w:bookmarkEnd w:id="117"/>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Gazette 4 Dec 2009 p. 4912; amended: Gazette 29 Jul 2016 p. 3249.]</w:t>
      </w:r>
    </w:p>
    <w:p>
      <w:pPr>
        <w:pStyle w:val="yHeading3"/>
      </w:pPr>
      <w:bookmarkStart w:id="118" w:name="_Toc192849483"/>
      <w:bookmarkStart w:id="119" w:name="_Toc192851252"/>
      <w:bookmarkStart w:id="120" w:name="_Toc192854807"/>
      <w:r>
        <w:rPr>
          <w:rStyle w:val="CharSDivNo"/>
        </w:rPr>
        <w:t>Division 2A</w:t>
      </w:r>
      <w:r>
        <w:rPr>
          <w:b w:val="0"/>
        </w:rPr>
        <w:t> — </w:t>
      </w:r>
      <w:r>
        <w:rPr>
          <w:rStyle w:val="CharSDivText"/>
        </w:rPr>
        <w:t>Security officer’s licence endorsement</w:t>
      </w:r>
      <w:bookmarkEnd w:id="118"/>
      <w:bookmarkEnd w:id="119"/>
      <w:bookmarkEnd w:id="120"/>
    </w:p>
    <w:p>
      <w:pPr>
        <w:pStyle w:val="yFootnoteheading"/>
      </w:pPr>
      <w:r>
        <w:tab/>
        <w:t>[Heading inserted: Gazette 3 Oct 2006 p. 4347.]</w:t>
      </w:r>
    </w:p>
    <w:p>
      <w:pPr>
        <w:pStyle w:val="yHeading5"/>
      </w:pPr>
      <w:bookmarkStart w:id="121" w:name="_Toc192854808"/>
      <w:r>
        <w:rPr>
          <w:rStyle w:val="CharSClsNo"/>
        </w:rPr>
        <w:t>11</w:t>
      </w:r>
      <w:r>
        <w:t>.</w:t>
      </w:r>
      <w:r>
        <w:tab/>
        <w:t>Periodic weapons training</w:t>
      </w:r>
      <w:bookmarkEnd w:id="121"/>
    </w:p>
    <w:p>
      <w:pPr>
        <w:pStyle w:val="yEdnotesubsection"/>
      </w:pPr>
      <w:r>
        <w:tab/>
        <w:t>[(1)</w:t>
      </w:r>
      <w:r>
        <w:tab/>
        <w:t>deleted]</w:t>
      </w:r>
    </w:p>
    <w:p>
      <w:pPr>
        <w:pStyle w:val="ySubsection"/>
      </w:pPr>
      <w:r>
        <w:lastRenderedPageBreak/>
        <w:tab/>
        <w:t>(2)</w:t>
      </w:r>
      <w:r>
        <w:tab/>
        <w:t>A security officer whose licence is endorsed under section 26 must successfully complete an approved training course in baton use within the period of 12 months beginning on the day on which the officer last successfully completed an approved training course in baton use.</w:t>
      </w:r>
    </w:p>
    <w:p>
      <w:pPr>
        <w:pStyle w:val="yFootnotesection"/>
      </w:pPr>
      <w:r>
        <w:tab/>
        <w:t>[Clause 11 inserted: SL 2022/211 r. 16; amended: SL 2024/296 r. 11.]</w:t>
      </w:r>
    </w:p>
    <w:p>
      <w:pPr>
        <w:pStyle w:val="yHeading3"/>
      </w:pPr>
      <w:bookmarkStart w:id="122" w:name="_Toc192849485"/>
      <w:bookmarkStart w:id="123" w:name="_Toc192851254"/>
      <w:bookmarkStart w:id="124" w:name="_Toc192854809"/>
      <w:r>
        <w:rPr>
          <w:rStyle w:val="CharSDivNo"/>
        </w:rPr>
        <w:t>Division 2B</w:t>
      </w:r>
      <w:r>
        <w:rPr>
          <w:b w:val="0"/>
        </w:rPr>
        <w:t> — </w:t>
      </w:r>
      <w:r>
        <w:rPr>
          <w:rStyle w:val="CharSDivText"/>
        </w:rPr>
        <w:t>Security bodyguard’s licence</w:t>
      </w:r>
      <w:bookmarkEnd w:id="122"/>
      <w:bookmarkEnd w:id="123"/>
      <w:bookmarkEnd w:id="124"/>
    </w:p>
    <w:p>
      <w:pPr>
        <w:pStyle w:val="yFootnoteheading"/>
        <w:keepNext/>
      </w:pPr>
      <w:r>
        <w:tab/>
        <w:t>[Heading inserted: Gazette 4 Dec 2009 p. 4912.]</w:t>
      </w:r>
    </w:p>
    <w:p>
      <w:pPr>
        <w:pStyle w:val="yHeading5"/>
      </w:pPr>
      <w:bookmarkStart w:id="125" w:name="_Toc192854810"/>
      <w:r>
        <w:rPr>
          <w:rStyle w:val="CharSClsNo"/>
        </w:rPr>
        <w:t>12A</w:t>
      </w:r>
      <w:r>
        <w:t>.</w:t>
      </w:r>
      <w:r>
        <w:rPr>
          <w:b w:val="0"/>
        </w:rPr>
        <w:tab/>
      </w:r>
      <w:r>
        <w:t>No weapons to be carried by security bodyguard</w:t>
      </w:r>
      <w:bookmarkEnd w:id="125"/>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iCs/>
        </w:rPr>
        <w:t>Firearms Act 2024</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Gazette 4 Dec 2009 p. 4912; amended: SL 2024/296 r. 12.]</w:t>
      </w:r>
    </w:p>
    <w:p>
      <w:pPr>
        <w:pStyle w:val="yHeading5"/>
      </w:pPr>
      <w:bookmarkStart w:id="126" w:name="_Toc192854811"/>
      <w:r>
        <w:rPr>
          <w:rStyle w:val="CharSClsNo"/>
        </w:rPr>
        <w:t>12B</w:t>
      </w:r>
      <w:r>
        <w:t>.</w:t>
      </w:r>
      <w:r>
        <w:rPr>
          <w:b w:val="0"/>
        </w:rPr>
        <w:tab/>
      </w:r>
      <w:r>
        <w:t>First aid certificate</w:t>
      </w:r>
      <w:bookmarkEnd w:id="126"/>
    </w:p>
    <w:p>
      <w:pPr>
        <w:pStyle w:val="ySubsection"/>
      </w:pPr>
      <w:r>
        <w:tab/>
      </w:r>
      <w:r>
        <w:tab/>
        <w:t xml:space="preserve">A security bodyguard must not perform a licensed activity unless the bodyguard holds a current first aid certificate. </w:t>
      </w:r>
    </w:p>
    <w:p>
      <w:pPr>
        <w:pStyle w:val="yFootnotesection"/>
      </w:pPr>
      <w:r>
        <w:tab/>
        <w:t>[Clause 12B inserted: Gazette 4 Dec 2009 p. 4912.]</w:t>
      </w:r>
    </w:p>
    <w:p>
      <w:pPr>
        <w:pStyle w:val="yHeading3"/>
        <w:rPr>
          <w:snapToGrid w:val="0"/>
        </w:rPr>
      </w:pPr>
      <w:bookmarkStart w:id="127" w:name="_Toc192849488"/>
      <w:bookmarkStart w:id="128" w:name="_Toc192851257"/>
      <w:bookmarkStart w:id="129" w:name="_Toc192854812"/>
      <w:r>
        <w:rPr>
          <w:rStyle w:val="CharSDivNo"/>
        </w:rPr>
        <w:t>Division 3</w:t>
      </w:r>
      <w:r>
        <w:rPr>
          <w:snapToGrid w:val="0"/>
        </w:rPr>
        <w:t> — </w:t>
      </w:r>
      <w:r>
        <w:rPr>
          <w:rStyle w:val="CharSDivText"/>
        </w:rPr>
        <w:t>Inquiry agent’s licence</w:t>
      </w:r>
      <w:bookmarkEnd w:id="127"/>
      <w:bookmarkEnd w:id="128"/>
      <w:bookmarkEnd w:id="129"/>
      <w:r>
        <w:rPr>
          <w:snapToGrid w:val="0"/>
        </w:rPr>
        <w:t xml:space="preserve"> </w:t>
      </w:r>
    </w:p>
    <w:p>
      <w:pPr>
        <w:pStyle w:val="yHeading5"/>
        <w:rPr>
          <w:rStyle w:val="CharSClsNo"/>
        </w:rPr>
      </w:pPr>
      <w:bookmarkStart w:id="130" w:name="_Toc192854813"/>
      <w:r>
        <w:rPr>
          <w:rStyle w:val="CharSClsNo"/>
        </w:rPr>
        <w:t>12</w:t>
      </w:r>
      <w:r>
        <w:t>.</w:t>
      </w:r>
      <w:r>
        <w:rPr>
          <w:rStyle w:val="CharSClsNo"/>
        </w:rPr>
        <w:tab/>
        <w:t>C</w:t>
      </w:r>
      <w:r>
        <w:rPr>
          <w:snapToGrid w:val="0"/>
        </w:rPr>
        <w:t>hange of partners, officers or personnel to be notified</w:t>
      </w:r>
      <w:bookmarkEnd w:id="130"/>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lastRenderedPageBreak/>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Gazette 4 Dec 2009 p. 4913.]</w:t>
      </w:r>
    </w:p>
    <w:p>
      <w:pPr>
        <w:pStyle w:val="yHeading3"/>
        <w:rPr>
          <w:snapToGrid w:val="0"/>
        </w:rPr>
      </w:pPr>
      <w:bookmarkStart w:id="131" w:name="_Toc192849490"/>
      <w:bookmarkStart w:id="132" w:name="_Toc192851259"/>
      <w:bookmarkStart w:id="133" w:name="_Toc192854814"/>
      <w:r>
        <w:rPr>
          <w:rStyle w:val="CharSDivNo"/>
        </w:rPr>
        <w:t>Division 4</w:t>
      </w:r>
      <w:r>
        <w:rPr>
          <w:snapToGrid w:val="0"/>
        </w:rPr>
        <w:t> — </w:t>
      </w:r>
      <w:r>
        <w:rPr>
          <w:rStyle w:val="CharSDivText"/>
        </w:rPr>
        <w:t>Crowd control agent’s licence</w:t>
      </w:r>
      <w:bookmarkEnd w:id="131"/>
      <w:bookmarkEnd w:id="132"/>
      <w:bookmarkEnd w:id="133"/>
    </w:p>
    <w:p>
      <w:pPr>
        <w:pStyle w:val="yHeading5"/>
        <w:rPr>
          <w:rStyle w:val="CharSClsNo"/>
        </w:rPr>
      </w:pPr>
      <w:bookmarkStart w:id="134" w:name="_Toc192854815"/>
      <w:r>
        <w:rPr>
          <w:rStyle w:val="CharSClsNo"/>
        </w:rPr>
        <w:t>13</w:t>
      </w:r>
      <w:r>
        <w:t>.</w:t>
      </w:r>
      <w:r>
        <w:rPr>
          <w:rStyle w:val="CharSClsNo"/>
        </w:rPr>
        <w:tab/>
        <w:t>C</w:t>
      </w:r>
      <w:r>
        <w:rPr>
          <w:snapToGrid w:val="0"/>
        </w:rPr>
        <w:t>hange of partners, officers or personnel to be notified</w:t>
      </w:r>
      <w:bookmarkEnd w:id="134"/>
      <w:r>
        <w:rPr>
          <w:rStyle w:val="CharSClsNo"/>
        </w:rPr>
        <w:t xml:space="preserve"> </w:t>
      </w:r>
    </w:p>
    <w:p>
      <w:pPr>
        <w:pStyle w:val="ySubsection"/>
        <w:keepNext/>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Gazette 4 Dec 2009 p. 4913.]</w:t>
      </w:r>
    </w:p>
    <w:p>
      <w:pPr>
        <w:pStyle w:val="yHeading5"/>
        <w:rPr>
          <w:rStyle w:val="CharSClsNo"/>
        </w:rPr>
      </w:pPr>
      <w:bookmarkStart w:id="135" w:name="_Toc192854816"/>
      <w:r>
        <w:rPr>
          <w:rStyle w:val="CharSClsNo"/>
        </w:rPr>
        <w:t>14</w:t>
      </w:r>
      <w:r>
        <w:t>.</w:t>
      </w:r>
      <w:r>
        <w:rPr>
          <w:rStyle w:val="CharSClsNo"/>
        </w:rPr>
        <w:tab/>
        <w:t>I</w:t>
      </w:r>
      <w:r>
        <w:rPr>
          <w:snapToGrid w:val="0"/>
        </w:rPr>
        <w:t>dentification cards</w:t>
      </w:r>
      <w:r>
        <w:rPr>
          <w:rStyle w:val="CharSClsNo"/>
        </w:rPr>
        <w:t xml:space="preserve"> to be worn</w:t>
      </w:r>
      <w:bookmarkEnd w:id="135"/>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Gazette 1 Sep 2005 p. 4089.]</w:t>
      </w:r>
    </w:p>
    <w:p>
      <w:pPr>
        <w:pStyle w:val="yHeading5"/>
        <w:rPr>
          <w:snapToGrid w:val="0"/>
        </w:rPr>
      </w:pPr>
      <w:bookmarkStart w:id="136" w:name="_Toc192854817"/>
      <w:r>
        <w:rPr>
          <w:rStyle w:val="CharSClsNo"/>
        </w:rPr>
        <w:t>15</w:t>
      </w:r>
      <w:r>
        <w:t>.</w:t>
      </w:r>
      <w:r>
        <w:rPr>
          <w:rStyle w:val="CharSClsNo"/>
        </w:rPr>
        <w:tab/>
        <w:t>Information</w:t>
      </w:r>
      <w:r>
        <w:rPr>
          <w:snapToGrid w:val="0"/>
        </w:rPr>
        <w:t xml:space="preserve"> to clients</w:t>
      </w:r>
      <w:bookmarkEnd w:id="136"/>
      <w:r>
        <w:rPr>
          <w:snapToGrid w:val="0"/>
        </w:rPr>
        <w:t xml:space="preserve"> </w:t>
      </w:r>
    </w:p>
    <w:p>
      <w:pPr>
        <w:pStyle w:val="ySubsection"/>
        <w:keepNext/>
        <w:rPr>
          <w:snapToGrid w:val="0"/>
        </w:rPr>
      </w:pPr>
      <w:r>
        <w:rPr>
          <w:snapToGrid w:val="0"/>
        </w:rPr>
        <w:tab/>
      </w:r>
      <w:r>
        <w:rPr>
          <w:snapToGrid w:val="0"/>
        </w:rPr>
        <w:tab/>
        <w:t xml:space="preserve">Before the start of any event or function at which a crowd control business is engaged to provide crowd controllers, the crowd control </w:t>
      </w:r>
      <w:r>
        <w:rPr>
          <w:snapToGrid w:val="0"/>
        </w:rPr>
        <w:lastRenderedPageBreak/>
        <w:t>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Gazette 1 Sep 2005 p. 4089.]</w:t>
      </w:r>
    </w:p>
    <w:p>
      <w:pPr>
        <w:pStyle w:val="yHeading5"/>
      </w:pPr>
      <w:bookmarkStart w:id="137" w:name="_Toc192854818"/>
      <w:r>
        <w:rPr>
          <w:rStyle w:val="CharSClsNo"/>
        </w:rPr>
        <w:t>15A</w:t>
      </w:r>
      <w:r>
        <w:t>.</w:t>
      </w:r>
      <w:r>
        <w:rPr>
          <w:b w:val="0"/>
        </w:rPr>
        <w:tab/>
      </w:r>
      <w:r>
        <w:t>Information to licensing officer</w:t>
      </w:r>
      <w:bookmarkEnd w:id="137"/>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keepNext/>
      </w:pPr>
      <w:r>
        <w:tab/>
        <w:t>(2)</w:t>
      </w:r>
      <w:r>
        <w:tab/>
        <w:t>The notice under subclause (1) is to be in writing and given to a licensing officer within any time frame specified in the request.</w:t>
      </w:r>
    </w:p>
    <w:p>
      <w:pPr>
        <w:pStyle w:val="yFootnotesection"/>
      </w:pPr>
      <w:r>
        <w:tab/>
        <w:t>[Clause 15A inserted: Gazette 4 Dec 2009 p. 4913</w:t>
      </w:r>
      <w:r>
        <w:noBreakHyphen/>
        <w:t>14.]</w:t>
      </w:r>
    </w:p>
    <w:p>
      <w:pPr>
        <w:pStyle w:val="yHeading5"/>
        <w:rPr>
          <w:snapToGrid w:val="0"/>
        </w:rPr>
      </w:pPr>
      <w:bookmarkStart w:id="138" w:name="_Toc192854819"/>
      <w:r>
        <w:rPr>
          <w:rStyle w:val="CharSClsNo"/>
        </w:rPr>
        <w:t>16</w:t>
      </w:r>
      <w:r>
        <w:t>.</w:t>
      </w:r>
      <w:r>
        <w:rPr>
          <w:rStyle w:val="CharSClsNo"/>
        </w:rPr>
        <w:tab/>
      </w:r>
      <w:r>
        <w:rPr>
          <w:snapToGrid w:val="0"/>
        </w:rPr>
        <w:t>No weapons to be carried by crowd controllers</w:t>
      </w:r>
      <w:bookmarkEnd w:id="138"/>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iCs/>
        </w:rPr>
        <w:t>Firearms Act 2024</w:t>
      </w:r>
      <w:r>
        <w:rPr>
          <w:snapToGrid w:val="0"/>
        </w:rPr>
        <w:t xml:space="preserve"> to be in possession of a firearm; or</w:t>
      </w:r>
    </w:p>
    <w:p>
      <w:pPr>
        <w:pStyle w:val="yIndenta"/>
        <w:keepNext/>
        <w:rPr>
          <w:snapToGrid w:val="0"/>
        </w:rPr>
      </w:pPr>
      <w:r>
        <w:rPr>
          <w:snapToGrid w:val="0"/>
        </w:rPr>
        <w:lastRenderedPageBreak/>
        <w:tab/>
        <w:t>(b)</w:t>
      </w:r>
      <w:r>
        <w:rPr>
          <w:snapToGrid w:val="0"/>
        </w:rPr>
        <w:tab/>
        <w:t>is also a security officer whose licence is endorsed under section 24 or 26 or who has a permit under section 25.</w:t>
      </w:r>
    </w:p>
    <w:p>
      <w:pPr>
        <w:pStyle w:val="yFootnotesection"/>
      </w:pPr>
      <w:r>
        <w:tab/>
        <w:t>[Clause 16 amended: Gazette 1 Sep 2005 p. 4089; SL 2024/296 r. 13.]</w:t>
      </w:r>
    </w:p>
    <w:p>
      <w:pPr>
        <w:pStyle w:val="yHeading5"/>
      </w:pPr>
      <w:bookmarkStart w:id="139" w:name="_Toc192854820"/>
      <w:r>
        <w:rPr>
          <w:rStyle w:val="CharSClsNo"/>
        </w:rPr>
        <w:t>16A</w:t>
      </w:r>
      <w:r>
        <w:t>.</w:t>
      </w:r>
      <w:r>
        <w:rPr>
          <w:rStyle w:val="CharSClsNo"/>
        </w:rPr>
        <w:tab/>
        <w:t>Incident</w:t>
      </w:r>
      <w:r>
        <w:rPr>
          <w:snapToGrid w:val="0"/>
        </w:rPr>
        <w:t xml:space="preserve"> register, duties as to</w:t>
      </w:r>
      <w:bookmarkEnd w:id="139"/>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Gazette 1 Sep 2005 p. 4090.]</w:t>
      </w:r>
    </w:p>
    <w:p>
      <w:pPr>
        <w:pStyle w:val="yHeading3"/>
        <w:rPr>
          <w:snapToGrid w:val="0"/>
        </w:rPr>
      </w:pPr>
      <w:bookmarkStart w:id="140" w:name="_Toc192849497"/>
      <w:bookmarkStart w:id="141" w:name="_Toc192851266"/>
      <w:bookmarkStart w:id="142" w:name="_Toc192854821"/>
      <w:r>
        <w:rPr>
          <w:rStyle w:val="CharSDivNo"/>
        </w:rPr>
        <w:t>Division 5</w:t>
      </w:r>
      <w:r>
        <w:rPr>
          <w:snapToGrid w:val="0"/>
        </w:rPr>
        <w:t> — </w:t>
      </w:r>
      <w:r>
        <w:rPr>
          <w:rStyle w:val="CharSDivText"/>
        </w:rPr>
        <w:t>Crowd controller’s licence</w:t>
      </w:r>
      <w:bookmarkEnd w:id="140"/>
      <w:bookmarkEnd w:id="141"/>
      <w:bookmarkEnd w:id="142"/>
    </w:p>
    <w:p>
      <w:pPr>
        <w:pStyle w:val="yHeading5"/>
        <w:rPr>
          <w:snapToGrid w:val="0"/>
        </w:rPr>
      </w:pPr>
      <w:bookmarkStart w:id="143" w:name="_Toc192854822"/>
      <w:r>
        <w:rPr>
          <w:rStyle w:val="CharSClsNo"/>
        </w:rPr>
        <w:t>17</w:t>
      </w:r>
      <w:r>
        <w:t>.</w:t>
      </w:r>
      <w:r>
        <w:rPr>
          <w:rStyle w:val="CharSClsNo"/>
        </w:rPr>
        <w:tab/>
        <w:t>I</w:t>
      </w:r>
      <w:r>
        <w:rPr>
          <w:snapToGrid w:val="0"/>
        </w:rPr>
        <w:t>dentification card to be worn</w:t>
      </w:r>
      <w:bookmarkEnd w:id="143"/>
    </w:p>
    <w:p>
      <w:pPr>
        <w:pStyle w:val="ySubsection"/>
        <w:keepNext/>
        <w:rPr>
          <w:snapToGrid w:val="0"/>
        </w:rPr>
      </w:pPr>
      <w:r>
        <w:rPr>
          <w:snapToGrid w:val="0"/>
        </w:rPr>
        <w:tab/>
      </w:r>
      <w:r>
        <w:rPr>
          <w:snapToGrid w:val="0"/>
        </w:rPr>
        <w:tab/>
        <w:t>A crowd controller to whom an identification card has been issued under section 61 must wear that card — </w:t>
      </w:r>
    </w:p>
    <w:p>
      <w:pPr>
        <w:pStyle w:val="yIndenta"/>
        <w:keepNext/>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Gazette 1 Sep 2005 p. 4090.]</w:t>
      </w:r>
    </w:p>
    <w:p>
      <w:pPr>
        <w:pStyle w:val="yHeading5"/>
        <w:rPr>
          <w:rStyle w:val="CharSClsNo"/>
        </w:rPr>
      </w:pPr>
      <w:bookmarkStart w:id="144" w:name="_Toc192854823"/>
      <w:r>
        <w:rPr>
          <w:rStyle w:val="CharSClsNo"/>
        </w:rPr>
        <w:lastRenderedPageBreak/>
        <w:t>18</w:t>
      </w:r>
      <w:r>
        <w:t>.</w:t>
      </w:r>
      <w:r>
        <w:rPr>
          <w:rStyle w:val="CharSClsNo"/>
        </w:rPr>
        <w:tab/>
      </w:r>
      <w:r>
        <w:rPr>
          <w:snapToGrid w:val="0"/>
        </w:rPr>
        <w:t xml:space="preserve">No </w:t>
      </w:r>
      <w:r>
        <w:rPr>
          <w:rStyle w:val="CharSClsNo"/>
        </w:rPr>
        <w:t>weapons</w:t>
      </w:r>
      <w:r>
        <w:rPr>
          <w:snapToGrid w:val="0"/>
        </w:rPr>
        <w:t xml:space="preserve"> to be carried by crowd controller</w:t>
      </w:r>
      <w:bookmarkEnd w:id="144"/>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keepNext/>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iCs/>
        </w:rPr>
        <w:t>Firearms Act 2024</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Footnotesection"/>
      </w:pPr>
      <w:r>
        <w:tab/>
        <w:t>[Clause 18 amended: SL 2024/296 r. 14.]</w:t>
      </w:r>
    </w:p>
    <w:p>
      <w:pPr>
        <w:pStyle w:val="yHeading5"/>
      </w:pPr>
      <w:bookmarkStart w:id="145" w:name="_Toc192854824"/>
      <w:r>
        <w:rPr>
          <w:rStyle w:val="CharSClsNo"/>
        </w:rPr>
        <w:t>19A</w:t>
      </w:r>
      <w:r>
        <w:t>.</w:t>
      </w:r>
      <w:r>
        <w:rPr>
          <w:b w:val="0"/>
        </w:rPr>
        <w:tab/>
      </w:r>
      <w:r>
        <w:t>First aid certificate</w:t>
      </w:r>
      <w:bookmarkEnd w:id="145"/>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Gazette 4 Dec 2009 p. 4914; amended: Gazette 29 Jul 2016 p. 3249.]</w:t>
      </w:r>
    </w:p>
    <w:p>
      <w:pPr>
        <w:pStyle w:val="yHeading5"/>
      </w:pPr>
      <w:bookmarkStart w:id="146" w:name="_Toc192854825"/>
      <w:r>
        <w:rPr>
          <w:rStyle w:val="CharSClsNo"/>
        </w:rPr>
        <w:t>19</w:t>
      </w:r>
      <w:r>
        <w:t>.</w:t>
      </w:r>
      <w:r>
        <w:rPr>
          <w:rStyle w:val="CharSClsNo"/>
        </w:rPr>
        <w:tab/>
        <w:t>Incident</w:t>
      </w:r>
      <w:r>
        <w:rPr>
          <w:snapToGrid w:val="0"/>
        </w:rPr>
        <w:t xml:space="preserve"> register, duties as to</w:t>
      </w:r>
      <w:bookmarkEnd w:id="146"/>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keepNext/>
      </w:pPr>
      <w:r>
        <w:lastRenderedPageBreak/>
        <w:tab/>
        <w:t>(f)</w:t>
      </w:r>
      <w:r>
        <w:tab/>
        <w:t>must date and initial any alteration that he or she makes to an entry in the incident register and legibly print his or her full name near the initials.</w:t>
      </w:r>
    </w:p>
    <w:p>
      <w:pPr>
        <w:pStyle w:val="yFootnotesection"/>
      </w:pPr>
      <w:r>
        <w:tab/>
        <w:t>[Clause 19 inserted: Gazette 1 Sep 2005 p. 4091.]</w:t>
      </w:r>
    </w:p>
    <w:p>
      <w:pPr>
        <w:pStyle w:val="yHeading3"/>
      </w:pPr>
      <w:bookmarkStart w:id="147" w:name="_Toc192849502"/>
      <w:bookmarkStart w:id="148" w:name="_Toc192851271"/>
      <w:bookmarkStart w:id="149" w:name="_Toc192854826"/>
      <w:r>
        <w:rPr>
          <w:rStyle w:val="CharSDivNo"/>
        </w:rPr>
        <w:t>Division 6 </w:t>
      </w:r>
      <w:r>
        <w:t>— </w:t>
      </w:r>
      <w:r>
        <w:rPr>
          <w:rStyle w:val="CharSDivText"/>
        </w:rPr>
        <w:t>All licences</w:t>
      </w:r>
      <w:bookmarkEnd w:id="147"/>
      <w:bookmarkEnd w:id="148"/>
      <w:bookmarkEnd w:id="149"/>
    </w:p>
    <w:p>
      <w:pPr>
        <w:pStyle w:val="yFootnoteheading"/>
      </w:pPr>
      <w:r>
        <w:tab/>
        <w:t>[Heading inserted: Gazette 1 Sep 2005 p. 4091.]</w:t>
      </w:r>
    </w:p>
    <w:p>
      <w:pPr>
        <w:pStyle w:val="yHeading5"/>
      </w:pPr>
      <w:bookmarkStart w:id="150" w:name="_Toc192854827"/>
      <w:r>
        <w:rPr>
          <w:rStyle w:val="CharSClsNo"/>
        </w:rPr>
        <w:t>20</w:t>
      </w:r>
      <w:r>
        <w:t>.</w:t>
      </w:r>
      <w:r>
        <w:tab/>
        <w:t>Identity cards, duties of people holding</w:t>
      </w:r>
      <w:bookmarkEnd w:id="150"/>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Gazette 1 Sep 2005 p. 4091</w:t>
      </w:r>
      <w:r>
        <w:noBreakHyphen/>
        <w:t>2.]</w:t>
      </w:r>
    </w:p>
    <w:p>
      <w:pPr>
        <w:pStyle w:val="yScheduleHeading"/>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52" w:name="_Toc192849504"/>
      <w:bookmarkStart w:id="153" w:name="_Toc192851273"/>
      <w:bookmarkStart w:id="154" w:name="_Toc192854828"/>
      <w:r>
        <w:rPr>
          <w:rStyle w:val="CharSchNo"/>
        </w:rPr>
        <w:lastRenderedPageBreak/>
        <w:t>Schedule 2</w:t>
      </w:r>
      <w:r>
        <w:t> — </w:t>
      </w:r>
      <w:r>
        <w:rPr>
          <w:rStyle w:val="CharSchText"/>
        </w:rPr>
        <w:t>Disqualifying offences</w:t>
      </w:r>
      <w:bookmarkEnd w:id="152"/>
      <w:bookmarkEnd w:id="153"/>
      <w:bookmarkEnd w:id="154"/>
    </w:p>
    <w:p>
      <w:pPr>
        <w:pStyle w:val="yShoulderClause"/>
      </w:pPr>
      <w:r>
        <w:t>[r. 24]</w:t>
      </w:r>
    </w:p>
    <w:p>
      <w:pPr>
        <w:pStyle w:val="yFootnoteheading"/>
      </w:pPr>
      <w:r>
        <w:tab/>
        <w:t>[Heading inserted: Gazette 4 Dec 2009 p. 4914.]</w:t>
      </w:r>
    </w:p>
    <w:p>
      <w:pPr>
        <w:pStyle w:val="yHeading3"/>
      </w:pPr>
      <w:bookmarkStart w:id="155" w:name="_Toc192849505"/>
      <w:bookmarkStart w:id="156" w:name="_Toc192851274"/>
      <w:bookmarkStart w:id="157" w:name="_Toc192854829"/>
      <w:r>
        <w:rPr>
          <w:rStyle w:val="CharSDivNo"/>
        </w:rPr>
        <w:t>Division 1</w:t>
      </w:r>
      <w:r>
        <w:rPr>
          <w:b w:val="0"/>
        </w:rPr>
        <w:t> — </w:t>
      </w:r>
      <w:r>
        <w:rPr>
          <w:rStyle w:val="CharSDivText"/>
        </w:rPr>
        <w:t>Division 1 offences</w:t>
      </w:r>
      <w:bookmarkEnd w:id="155"/>
      <w:bookmarkEnd w:id="156"/>
      <w:bookmarkEnd w:id="157"/>
    </w:p>
    <w:p>
      <w:pPr>
        <w:pStyle w:val="yFootnoteheading"/>
        <w:spacing w:after="120"/>
      </w:pPr>
      <w:r>
        <w:tab/>
        <w:t>[Heading inserted: Gazette 4 Dec 2009 p. 4914.]</w:t>
      </w:r>
    </w:p>
    <w:tbl>
      <w:tblPr>
        <w:tblW w:w="692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rPr>
                <w:i/>
                <w:iCs/>
              </w:rPr>
            </w:pPr>
            <w:r>
              <w:rPr>
                <w:i/>
                <w:iCs/>
              </w:rPr>
              <w:t>Firearms Act 1973</w:t>
            </w:r>
            <w:r>
              <w:t xml:space="preserve">, as in force immediately before the </w:t>
            </w:r>
            <w:r>
              <w:rPr>
                <w:i/>
                <w:iCs/>
              </w:rPr>
              <w:t>Firearms Act 2024</w:t>
            </w:r>
            <w:r>
              <w:t xml:space="preserve"> section 440 comes into operation</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bottom w:val="nil"/>
              <w:right w:val="nil"/>
            </w:tcBorders>
          </w:tcPr>
          <w:p>
            <w:pPr>
              <w:pStyle w:val="yTableNAm"/>
              <w:rPr>
                <w:i/>
                <w:iCs/>
              </w:rPr>
            </w:pPr>
            <w:r>
              <w:rPr>
                <w:i/>
                <w:iCs/>
              </w:rPr>
              <w:t>Firearms Act 2024</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bottom w:val="nil"/>
              <w:right w:val="nil"/>
            </w:tcBorders>
          </w:tcPr>
          <w:p>
            <w:pPr>
              <w:pStyle w:val="yTableNAm"/>
              <w:rPr>
                <w:i/>
              </w:rPr>
            </w:pPr>
            <w:r>
              <w:rPr>
                <w:i/>
              </w:rPr>
              <w:lastRenderedPageBreak/>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Gazette 4 Dec 2009 p. 4914</w:t>
      </w:r>
      <w:r>
        <w:noBreakHyphen/>
        <w:t>15; amended: Gazette 29 Jul 2016 p. 3249; SL 2024/296 r. 15.]</w:t>
      </w:r>
    </w:p>
    <w:p>
      <w:pPr>
        <w:pStyle w:val="yHeading3"/>
      </w:pPr>
      <w:bookmarkStart w:id="158" w:name="_Toc192849506"/>
      <w:bookmarkStart w:id="159" w:name="_Toc192851275"/>
      <w:bookmarkStart w:id="160" w:name="_Toc192854830"/>
      <w:r>
        <w:rPr>
          <w:rStyle w:val="CharSDivNo"/>
        </w:rPr>
        <w:t>Division 2</w:t>
      </w:r>
      <w:r>
        <w:rPr>
          <w:b w:val="0"/>
        </w:rPr>
        <w:t> — </w:t>
      </w:r>
      <w:r>
        <w:rPr>
          <w:rStyle w:val="CharSDivText"/>
        </w:rPr>
        <w:t>Division 2 offences</w:t>
      </w:r>
      <w:bookmarkEnd w:id="158"/>
      <w:bookmarkEnd w:id="159"/>
      <w:bookmarkEnd w:id="160"/>
    </w:p>
    <w:p>
      <w:pPr>
        <w:pStyle w:val="yFootnoteheading"/>
        <w:spacing w:after="120"/>
      </w:pPr>
      <w:r>
        <w:tab/>
        <w:t>[Heading inserted: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Gazette 4 Dec 2009 p. 4915</w:t>
      </w:r>
      <w:r>
        <w:noBreakHyphen/>
        <w:t>16; amended: Gazette 29 Jul 2016 p. 3249; 17 Jan 2017 p. 416.]</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61" w:name="_Toc192849507"/>
      <w:bookmarkStart w:id="162" w:name="_Toc192851276"/>
      <w:bookmarkStart w:id="163" w:name="_Toc192854831"/>
      <w:r>
        <w:rPr>
          <w:rStyle w:val="CharSchNo"/>
        </w:rPr>
        <w:lastRenderedPageBreak/>
        <w:t>Schedule 3</w:t>
      </w:r>
      <w:r>
        <w:rPr>
          <w:rStyle w:val="CharSDivText"/>
        </w:rPr>
        <w:t> </w:t>
      </w:r>
      <w:r>
        <w:t>—</w:t>
      </w:r>
      <w:r>
        <w:rPr>
          <w:rStyle w:val="CharSDivNo"/>
        </w:rPr>
        <w:t> </w:t>
      </w:r>
      <w:r>
        <w:rPr>
          <w:rStyle w:val="CharSchText"/>
        </w:rPr>
        <w:t>Prescribed drugs</w:t>
      </w:r>
      <w:bookmarkEnd w:id="161"/>
      <w:bookmarkEnd w:id="162"/>
      <w:bookmarkEnd w:id="163"/>
    </w:p>
    <w:p>
      <w:pPr>
        <w:pStyle w:val="yShoulderClause"/>
      </w:pPr>
      <w:r>
        <w:t>[r. 45, 51 and 52]</w:t>
      </w:r>
    </w:p>
    <w:p>
      <w:pPr>
        <w:pStyle w:val="yFootnoteheading"/>
        <w:spacing w:after="120"/>
      </w:pPr>
      <w:r>
        <w:tab/>
        <w:t>[Heading inserted: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sectPr>
          <w:headerReference w:type="even" r:id="rId29"/>
          <w:headerReference w:type="default" r:id="rId30"/>
          <w:pgSz w:w="11907" w:h="16840" w:code="9"/>
          <w:pgMar w:top="2376" w:right="2405" w:bottom="3542" w:left="2405" w:header="706" w:footer="3544" w:gutter="0"/>
          <w:cols w:space="720"/>
          <w:noEndnote/>
          <w:docGrid w:linePitch="326"/>
        </w:sectPr>
      </w:pPr>
      <w:r>
        <w:tab/>
        <w:t>[Schedule 3 inserted: Gazette 17 Jan 2017 p. 416</w:t>
      </w:r>
      <w:r>
        <w:noBreakHyphen/>
        <w:t>17.]</w:t>
      </w:r>
    </w:p>
    <w:p>
      <w:pPr>
        <w:pStyle w:val="yScheduleHeading"/>
      </w:pPr>
      <w:bookmarkStart w:id="164" w:name="_Toc192849508"/>
      <w:bookmarkStart w:id="165" w:name="_Toc192851277"/>
      <w:bookmarkStart w:id="166" w:name="_Toc192854832"/>
      <w:r>
        <w:rPr>
          <w:rStyle w:val="CharSchNo"/>
        </w:rPr>
        <w:lastRenderedPageBreak/>
        <w:t>Schedule 4</w:t>
      </w:r>
      <w:r>
        <w:t> — </w:t>
      </w:r>
      <w:r>
        <w:rPr>
          <w:rStyle w:val="CharSchText"/>
        </w:rPr>
        <w:t>Fees</w:t>
      </w:r>
      <w:bookmarkEnd w:id="164"/>
      <w:bookmarkEnd w:id="165"/>
      <w:bookmarkEnd w:id="166"/>
    </w:p>
    <w:p>
      <w:pPr>
        <w:pStyle w:val="yShoulderClause"/>
      </w:pPr>
      <w:r>
        <w:t>[r. 54]</w:t>
      </w:r>
    </w:p>
    <w:p>
      <w:pPr>
        <w:pStyle w:val="yFootnoteheading"/>
        <w:spacing w:after="60"/>
      </w:pPr>
      <w:r>
        <w:tab/>
        <w:t>[Heading inserted: SL 2024/94 r. 12.]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noWrap/>
          </w:tcPr>
          <w:p>
            <w:pPr>
              <w:pStyle w:val="yTableNAm"/>
              <w:jc w:val="center"/>
              <w:rPr>
                <w:b/>
                <w:bCs/>
              </w:rPr>
            </w:pPr>
            <w:r>
              <w:rPr>
                <w:b/>
                <w:bCs/>
              </w:rPr>
              <w:t>Column 1</w:t>
            </w:r>
          </w:p>
          <w:p>
            <w:pPr>
              <w:pStyle w:val="yTableNAm"/>
              <w:jc w:val="center"/>
              <w:rPr>
                <w:b/>
                <w:bCs/>
              </w:rPr>
            </w:pPr>
            <w:r>
              <w:rPr>
                <w:b/>
                <w:bCs/>
              </w:rPr>
              <w:t>Provision of Act or regulations</w:t>
            </w:r>
          </w:p>
        </w:tc>
        <w:tc>
          <w:tcPr>
            <w:tcW w:w="3543" w:type="dxa"/>
            <w:noWrap/>
          </w:tcPr>
          <w:p>
            <w:pPr>
              <w:pStyle w:val="yTableNAm"/>
              <w:jc w:val="center"/>
              <w:rPr>
                <w:b/>
                <w:bCs/>
              </w:rPr>
            </w:pPr>
            <w:r>
              <w:rPr>
                <w:b/>
                <w:bCs/>
              </w:rPr>
              <w:t>Column 2</w:t>
            </w:r>
          </w:p>
          <w:p>
            <w:pPr>
              <w:pStyle w:val="yTableNAm"/>
              <w:jc w:val="center"/>
              <w:rPr>
                <w:b/>
                <w:bCs/>
              </w:rPr>
            </w:pPr>
            <w:r>
              <w:rPr>
                <w:b/>
                <w:bCs/>
              </w:rPr>
              <w:br/>
              <w:t>Subject matter</w:t>
            </w:r>
          </w:p>
        </w:tc>
        <w:tc>
          <w:tcPr>
            <w:tcW w:w="1276" w:type="dxa"/>
            <w:noWrap/>
          </w:tcPr>
          <w:p>
            <w:pPr>
              <w:pStyle w:val="yTableNAm"/>
              <w:jc w:val="center"/>
              <w:rPr>
                <w:b/>
                <w:bCs/>
              </w:rPr>
            </w:pPr>
            <w:r>
              <w:rPr>
                <w:b/>
                <w:bCs/>
              </w:rPr>
              <w:t>Column 3</w:t>
            </w:r>
          </w:p>
          <w:p>
            <w:pPr>
              <w:pStyle w:val="yTableNAm"/>
              <w:jc w:val="center"/>
              <w:rPr>
                <w:b/>
                <w:bCs/>
              </w:rPr>
            </w:pPr>
            <w:r>
              <w:rPr>
                <w:b/>
                <w:bCs/>
              </w:rPr>
              <w:t>Fee</w:t>
            </w:r>
            <w:r>
              <w:rPr>
                <w:b/>
                <w:bCs/>
              </w:rPr>
              <w:br/>
              <w:t>$</w:t>
            </w:r>
          </w:p>
        </w:tc>
      </w:tr>
      <w:tr>
        <w:trPr>
          <w:cantSplit/>
        </w:trPr>
        <w:tc>
          <w:tcPr>
            <w:tcW w:w="6804" w:type="dxa"/>
            <w:gridSpan w:val="3"/>
            <w:noWrap/>
          </w:tcPr>
          <w:p>
            <w:pPr>
              <w:pStyle w:val="yTableNAm"/>
              <w:rPr>
                <w:b/>
                <w:bCs/>
                <w:i/>
                <w:iCs/>
              </w:rPr>
            </w:pPr>
            <w:r>
              <w:rPr>
                <w:b/>
                <w:bCs/>
                <w:i/>
                <w:iCs/>
              </w:rPr>
              <w:t>Agent’s licences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42B </w:t>
            </w:r>
            <w:r>
              <w:tab/>
            </w:r>
          </w:p>
        </w:tc>
        <w:tc>
          <w:tcPr>
            <w:tcW w:w="1276" w:type="dxa"/>
            <w:noWrap/>
            <w:vAlign w:val="bottom"/>
          </w:tcPr>
          <w:p>
            <w:pPr>
              <w:pStyle w:val="yTableNAm"/>
              <w:jc w:val="right"/>
            </w:pPr>
            <w:r>
              <w:t>1 433</w:t>
            </w:r>
          </w:p>
        </w:tc>
      </w:tr>
      <w:tr>
        <w:trPr>
          <w:cantSplit/>
        </w:trPr>
        <w:tc>
          <w:tcPr>
            <w:tcW w:w="1985" w:type="dxa"/>
            <w:noWrap/>
          </w:tcPr>
          <w:p>
            <w:pPr>
              <w:pStyle w:val="yTableNAm"/>
            </w:pPr>
            <w:r>
              <w:t>s. 46(1)(c)</w:t>
            </w:r>
          </w:p>
        </w:tc>
        <w:tc>
          <w:tcPr>
            <w:tcW w:w="3543" w:type="dxa"/>
            <w:noWrap/>
          </w:tcPr>
          <w:p>
            <w:pPr>
              <w:pStyle w:val="yTableNAm"/>
            </w:pPr>
            <w:r>
              <w:t>Application for issue of agent’s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rPr>
                <w:rStyle w:val="DraftersNotes"/>
                <w:b w:val="0"/>
                <w:i w:val="0"/>
              </w:rPr>
            </w:pPr>
            <w:r>
              <w:t xml:space="preserve">for more than 1 year but not more than 3 years </w:t>
            </w:r>
            <w:r>
              <w:tab/>
            </w:r>
          </w:p>
        </w:tc>
        <w:tc>
          <w:tcPr>
            <w:tcW w:w="1276" w:type="dxa"/>
            <w:noWrap/>
            <w:vAlign w:val="bottom"/>
          </w:tcPr>
          <w:p>
            <w:pPr>
              <w:pStyle w:val="yTableNAm"/>
              <w:jc w:val="right"/>
            </w:pPr>
            <w:r>
              <w:br/>
            </w:r>
          </w:p>
          <w:p>
            <w:pPr>
              <w:pStyle w:val="yTableNAm"/>
              <w:jc w:val="right"/>
            </w:pPr>
            <w:r>
              <w:t>1 433</w:t>
            </w:r>
          </w:p>
          <w:p>
            <w:pPr>
              <w:pStyle w:val="yTableNAm"/>
              <w:jc w:val="right"/>
            </w:pPr>
            <w:r>
              <w:br/>
              <w:t>1 507</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agent’s licence (each licence) </w:t>
            </w:r>
            <w:r>
              <w:tab/>
            </w:r>
          </w:p>
        </w:tc>
        <w:tc>
          <w:tcPr>
            <w:tcW w:w="1276" w:type="dxa"/>
            <w:noWrap/>
            <w:vAlign w:val="bottom"/>
          </w:tcPr>
          <w:p>
            <w:pPr>
              <w:pStyle w:val="yTableNAm"/>
              <w:jc w:val="right"/>
            </w:pPr>
            <w:r>
              <w:t>1 007</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agent’s licence — for 3 years or less (each </w:t>
            </w:r>
            <w:r>
              <w:br/>
              <w:t xml:space="preserve">licence) </w:t>
            </w:r>
            <w:r>
              <w:tab/>
            </w:r>
          </w:p>
        </w:tc>
        <w:tc>
          <w:tcPr>
            <w:tcW w:w="1276" w:type="dxa"/>
            <w:noWrap/>
            <w:vAlign w:val="bottom"/>
          </w:tcPr>
          <w:p>
            <w:pPr>
              <w:pStyle w:val="yTableNAm"/>
              <w:jc w:val="right"/>
              <w:rPr>
                <w:rStyle w:val="DraftersNotes"/>
                <w:b w:val="0"/>
                <w:i w:val="0"/>
              </w:rPr>
            </w:pPr>
            <w:r>
              <w:t>1 077</w:t>
            </w:r>
          </w:p>
        </w:tc>
      </w:tr>
      <w:tr>
        <w:trPr>
          <w:cantSplit/>
        </w:trPr>
        <w:tc>
          <w:tcPr>
            <w:tcW w:w="6804" w:type="dxa"/>
            <w:gridSpan w:val="3"/>
            <w:noWrap/>
          </w:tcPr>
          <w:p>
            <w:pPr>
              <w:pStyle w:val="yTableNAm"/>
              <w:keepNext/>
              <w:rPr>
                <w:b/>
                <w:bCs/>
                <w:i/>
                <w:iCs/>
              </w:rPr>
            </w:pPr>
            <w:r>
              <w:rPr>
                <w:b/>
                <w:bCs/>
                <w:i/>
                <w:iCs/>
              </w:rPr>
              <w:t>Other licences, endorsements and permits</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for issue of temporary licence under s. 42A </w:t>
            </w:r>
            <w:r>
              <w:tab/>
            </w:r>
          </w:p>
        </w:tc>
        <w:tc>
          <w:tcPr>
            <w:tcW w:w="1276" w:type="dxa"/>
            <w:noWrap/>
            <w:vAlign w:val="bottom"/>
          </w:tcPr>
          <w:p>
            <w:pPr>
              <w:pStyle w:val="yTableNAm"/>
              <w:jc w:val="right"/>
            </w:pPr>
            <w:r>
              <w:t>385</w:t>
            </w:r>
          </w:p>
        </w:tc>
      </w:tr>
      <w:tr>
        <w:trPr>
          <w:cantSplit/>
        </w:trPr>
        <w:tc>
          <w:tcPr>
            <w:tcW w:w="1985" w:type="dxa"/>
            <w:noWrap/>
          </w:tcPr>
          <w:p>
            <w:pPr>
              <w:pStyle w:val="yTableNAm"/>
            </w:pPr>
            <w:r>
              <w:lastRenderedPageBreak/>
              <w:t>s. 46(1)(c)</w:t>
            </w:r>
          </w:p>
        </w:tc>
        <w:tc>
          <w:tcPr>
            <w:tcW w:w="3543" w:type="dxa"/>
            <w:noWrap/>
          </w:tcPr>
          <w:p>
            <w:pPr>
              <w:pStyle w:val="yTableNAm"/>
            </w:pPr>
            <w:r>
              <w:t>Application for issue of licence (other than agent’s licence or temporary licence) —</w:t>
            </w:r>
          </w:p>
          <w:p>
            <w:pPr>
              <w:pStyle w:val="yTableNAm"/>
              <w:tabs>
                <w:tab w:val="right" w:leader="dot" w:pos="567"/>
                <w:tab w:val="right" w:leader="dot" w:pos="3328"/>
              </w:tabs>
            </w:pPr>
            <w:r>
              <w:t xml:space="preserve">for 1 year or less </w:t>
            </w:r>
            <w:r>
              <w:tab/>
            </w:r>
          </w:p>
          <w:p>
            <w:pPr>
              <w:pStyle w:val="yTableNAm"/>
              <w:tabs>
                <w:tab w:val="right" w:leader="dot" w:pos="567"/>
                <w:tab w:val="right" w:leader="dot" w:pos="3328"/>
              </w:tabs>
            </w:pPr>
            <w:r>
              <w:t xml:space="preserve">for more than 1 year but not more than 3 years </w:t>
            </w:r>
            <w:r>
              <w:tab/>
            </w:r>
          </w:p>
        </w:tc>
        <w:tc>
          <w:tcPr>
            <w:tcW w:w="1276" w:type="dxa"/>
            <w:noWrap/>
            <w:vAlign w:val="bottom"/>
          </w:tcPr>
          <w:p>
            <w:pPr>
              <w:pStyle w:val="yTableNAm"/>
              <w:jc w:val="right"/>
            </w:pPr>
            <w:r>
              <w:br/>
            </w:r>
            <w:r>
              <w:br/>
            </w:r>
          </w:p>
          <w:p>
            <w:pPr>
              <w:pStyle w:val="yTableNAm"/>
              <w:jc w:val="right"/>
            </w:pPr>
            <w:r>
              <w:t>385</w:t>
            </w:r>
          </w:p>
          <w:p>
            <w:pPr>
              <w:pStyle w:val="yTableNAm"/>
              <w:jc w:val="right"/>
            </w:pPr>
            <w:r>
              <w:br/>
              <w:t>412</w:t>
            </w:r>
          </w:p>
        </w:tc>
      </w:tr>
      <w:tr>
        <w:trPr>
          <w:cantSplit/>
        </w:trPr>
        <w:tc>
          <w:tcPr>
            <w:tcW w:w="1985" w:type="dxa"/>
            <w:noWrap/>
          </w:tcPr>
          <w:p>
            <w:pPr>
              <w:pStyle w:val="yTableNAm"/>
            </w:pPr>
            <w:r>
              <w:t>s. 46(1)(c)</w:t>
            </w:r>
          </w:p>
        </w:tc>
        <w:tc>
          <w:tcPr>
            <w:tcW w:w="3543" w:type="dxa"/>
            <w:noWrap/>
          </w:tcPr>
          <w:p>
            <w:pPr>
              <w:pStyle w:val="yTableNAm"/>
              <w:tabs>
                <w:tab w:val="right" w:leader="dot" w:pos="567"/>
                <w:tab w:val="right" w:leader="dot" w:pos="3328"/>
              </w:tabs>
            </w:pPr>
            <w:r>
              <w:t xml:space="preserve">Application by licensee for additional licence (other than agent’s licence or temporary licence) (each licence) </w:t>
            </w:r>
            <w:r>
              <w:tab/>
            </w:r>
          </w:p>
        </w:tc>
        <w:tc>
          <w:tcPr>
            <w:tcW w:w="1276" w:type="dxa"/>
            <w:noWrap/>
            <w:vAlign w:val="bottom"/>
          </w:tcPr>
          <w:p>
            <w:pPr>
              <w:pStyle w:val="yTableNAm"/>
              <w:jc w:val="right"/>
            </w:pPr>
            <w:r>
              <w:t>232</w:t>
            </w:r>
          </w:p>
        </w:tc>
      </w:tr>
      <w:tr>
        <w:trPr>
          <w:cantSplit/>
        </w:trPr>
        <w:tc>
          <w:tcPr>
            <w:tcW w:w="1985" w:type="dxa"/>
            <w:noWrap/>
          </w:tcPr>
          <w:p>
            <w:pPr>
              <w:pStyle w:val="yTableNAm"/>
            </w:pPr>
            <w:r>
              <w:t>s. 49(1)(c)</w:t>
            </w:r>
          </w:p>
        </w:tc>
        <w:tc>
          <w:tcPr>
            <w:tcW w:w="3543" w:type="dxa"/>
            <w:noWrap/>
          </w:tcPr>
          <w:p>
            <w:pPr>
              <w:pStyle w:val="yTableNAm"/>
              <w:tabs>
                <w:tab w:val="right" w:leader="dot" w:pos="567"/>
                <w:tab w:val="right" w:leader="dot" w:pos="3328"/>
              </w:tabs>
            </w:pPr>
            <w:r>
              <w:t xml:space="preserve">Application for renewal of licence (other than agent’s licence or temporary licence) — for 3 years or less (each licence) </w:t>
            </w:r>
            <w:r>
              <w:tab/>
            </w:r>
          </w:p>
        </w:tc>
        <w:tc>
          <w:tcPr>
            <w:tcW w:w="1276" w:type="dxa"/>
            <w:noWrap/>
            <w:vAlign w:val="bottom"/>
          </w:tcPr>
          <w:p>
            <w:pPr>
              <w:pStyle w:val="yTableNAm"/>
              <w:jc w:val="right"/>
            </w:pPr>
            <w:r>
              <w:t>258</w:t>
            </w:r>
          </w:p>
        </w:tc>
      </w:tr>
      <w:tr>
        <w:trPr>
          <w:cantSplit/>
        </w:trPr>
        <w:tc>
          <w:tcPr>
            <w:tcW w:w="1985" w:type="dxa"/>
            <w:noWrap/>
          </w:tcPr>
          <w:p>
            <w:pPr>
              <w:pStyle w:val="yTableNAm"/>
            </w:pPr>
            <w:r>
              <w:t>r. 10(b)</w:t>
            </w:r>
          </w:p>
        </w:tc>
        <w:tc>
          <w:tcPr>
            <w:tcW w:w="3543" w:type="dxa"/>
            <w:noWrap/>
          </w:tcPr>
          <w:p>
            <w:pPr>
              <w:pStyle w:val="yTableNAm"/>
              <w:tabs>
                <w:tab w:val="right" w:leader="dot" w:pos="567"/>
                <w:tab w:val="right" w:leader="dot" w:pos="3328"/>
              </w:tabs>
            </w:pPr>
            <w:r>
              <w:t xml:space="preserve">Application for endorsement under s. 24 </w:t>
            </w:r>
            <w:r>
              <w:tab/>
            </w:r>
          </w:p>
        </w:tc>
        <w:tc>
          <w:tcPr>
            <w:tcW w:w="1276" w:type="dxa"/>
            <w:noWrap/>
            <w:vAlign w:val="bottom"/>
          </w:tcPr>
          <w:p>
            <w:pPr>
              <w:pStyle w:val="yTableNAm"/>
              <w:jc w:val="right"/>
            </w:pPr>
            <w:r>
              <w:t>228</w:t>
            </w:r>
          </w:p>
        </w:tc>
      </w:tr>
      <w:tr>
        <w:trPr>
          <w:cantSplit/>
        </w:trPr>
        <w:tc>
          <w:tcPr>
            <w:tcW w:w="1985" w:type="dxa"/>
            <w:noWrap/>
          </w:tcPr>
          <w:p>
            <w:pPr>
              <w:pStyle w:val="yTableNAm"/>
            </w:pPr>
            <w:r>
              <w:t>r. 12</w:t>
            </w:r>
          </w:p>
        </w:tc>
        <w:tc>
          <w:tcPr>
            <w:tcW w:w="3543" w:type="dxa"/>
            <w:noWrap/>
          </w:tcPr>
          <w:p>
            <w:pPr>
              <w:pStyle w:val="yTableNAm"/>
              <w:tabs>
                <w:tab w:val="right" w:leader="dot" w:pos="567"/>
                <w:tab w:val="right" w:leader="dot" w:pos="3328"/>
              </w:tabs>
            </w:pPr>
            <w:r>
              <w:t xml:space="preserve">Application for permit under s. 25 </w:t>
            </w:r>
            <w:r>
              <w:tab/>
            </w:r>
          </w:p>
        </w:tc>
        <w:tc>
          <w:tcPr>
            <w:tcW w:w="1276" w:type="dxa"/>
            <w:noWrap/>
            <w:vAlign w:val="bottom"/>
          </w:tcPr>
          <w:p>
            <w:pPr>
              <w:pStyle w:val="yTableNAm"/>
              <w:jc w:val="right"/>
            </w:pPr>
            <w:r>
              <w:t>270</w:t>
            </w:r>
          </w:p>
        </w:tc>
      </w:tr>
      <w:tr>
        <w:trPr>
          <w:cantSplit/>
        </w:trPr>
        <w:tc>
          <w:tcPr>
            <w:tcW w:w="1985" w:type="dxa"/>
            <w:noWrap/>
          </w:tcPr>
          <w:p>
            <w:pPr>
              <w:pStyle w:val="yTableNAm"/>
            </w:pPr>
            <w:r>
              <w:t>r. 13(b)</w:t>
            </w:r>
          </w:p>
        </w:tc>
        <w:tc>
          <w:tcPr>
            <w:tcW w:w="3543" w:type="dxa"/>
            <w:noWrap/>
          </w:tcPr>
          <w:p>
            <w:pPr>
              <w:pStyle w:val="yTableNAm"/>
              <w:tabs>
                <w:tab w:val="right" w:leader="dot" w:pos="567"/>
                <w:tab w:val="right" w:leader="dot" w:pos="3328"/>
              </w:tabs>
            </w:pPr>
            <w:r>
              <w:t xml:space="preserve">Application for endorsement under s. 26 </w:t>
            </w:r>
            <w:r>
              <w:tab/>
            </w:r>
          </w:p>
        </w:tc>
        <w:tc>
          <w:tcPr>
            <w:tcW w:w="1276" w:type="dxa"/>
            <w:noWrap/>
            <w:vAlign w:val="bottom"/>
          </w:tcPr>
          <w:p>
            <w:pPr>
              <w:pStyle w:val="yTableNAm"/>
              <w:jc w:val="right"/>
            </w:pPr>
            <w:r>
              <w:t>228</w:t>
            </w:r>
          </w:p>
        </w:tc>
      </w:tr>
      <w:tr>
        <w:trPr>
          <w:cantSplit/>
        </w:trPr>
        <w:tc>
          <w:tcPr>
            <w:tcW w:w="6804" w:type="dxa"/>
            <w:gridSpan w:val="3"/>
            <w:noWrap/>
          </w:tcPr>
          <w:p>
            <w:pPr>
              <w:pStyle w:val="yTableNAm"/>
              <w:rPr>
                <w:b/>
                <w:bCs/>
                <w:i/>
                <w:iCs/>
              </w:rPr>
            </w:pPr>
            <w:r>
              <w:rPr>
                <w:b/>
                <w:bCs/>
                <w:i/>
                <w:iCs/>
              </w:rPr>
              <w:t>Miscellaneous</w:t>
            </w:r>
          </w:p>
        </w:tc>
      </w:tr>
      <w:tr>
        <w:trPr>
          <w:cantSplit/>
        </w:trPr>
        <w:tc>
          <w:tcPr>
            <w:tcW w:w="1985" w:type="dxa"/>
            <w:noWrap/>
          </w:tcPr>
          <w:p>
            <w:pPr>
              <w:pStyle w:val="yTableNAm"/>
            </w:pPr>
            <w:r>
              <w:t>s. 10(2)</w:t>
            </w:r>
          </w:p>
        </w:tc>
        <w:tc>
          <w:tcPr>
            <w:tcW w:w="3543" w:type="dxa"/>
            <w:noWrap/>
          </w:tcPr>
          <w:p>
            <w:pPr>
              <w:pStyle w:val="yTableNAm"/>
              <w:tabs>
                <w:tab w:val="right" w:leader="dot" w:pos="567"/>
                <w:tab w:val="right" w:leader="dot" w:pos="3328"/>
              </w:tabs>
            </w:pPr>
            <w:r>
              <w:t xml:space="preserve">Application to inspect register </w:t>
            </w:r>
            <w:r>
              <w:tab/>
            </w:r>
          </w:p>
        </w:tc>
        <w:tc>
          <w:tcPr>
            <w:tcW w:w="1276" w:type="dxa"/>
            <w:noWrap/>
            <w:vAlign w:val="bottom"/>
          </w:tcPr>
          <w:p>
            <w:pPr>
              <w:pStyle w:val="yTableNAm"/>
              <w:jc w:val="right"/>
            </w:pPr>
            <w:r>
              <w:t>52</w:t>
            </w:r>
          </w:p>
        </w:tc>
      </w:tr>
      <w:tr>
        <w:trPr>
          <w:cantSplit/>
          <w:trHeight w:val="434"/>
        </w:trPr>
        <w:tc>
          <w:tcPr>
            <w:tcW w:w="1985" w:type="dxa"/>
            <w:noWrap/>
          </w:tcPr>
          <w:p>
            <w:pPr>
              <w:pStyle w:val="yTableNAm"/>
            </w:pPr>
            <w:r>
              <w:t>s. 10(3)</w:t>
            </w:r>
          </w:p>
        </w:tc>
        <w:tc>
          <w:tcPr>
            <w:tcW w:w="3543" w:type="dxa"/>
            <w:noWrap/>
          </w:tcPr>
          <w:p>
            <w:pPr>
              <w:pStyle w:val="yTableNAm"/>
              <w:tabs>
                <w:tab w:val="right" w:leader="dot" w:pos="567"/>
                <w:tab w:val="right" w:leader="dot" w:pos="3328"/>
              </w:tabs>
            </w:pPr>
            <w:r>
              <w:t xml:space="preserve">Certified copy of register entry </w:t>
            </w:r>
            <w:r>
              <w:tab/>
            </w:r>
          </w:p>
        </w:tc>
        <w:tc>
          <w:tcPr>
            <w:tcW w:w="1276" w:type="dxa"/>
            <w:noWrap/>
            <w:vAlign w:val="bottom"/>
          </w:tcPr>
          <w:p>
            <w:pPr>
              <w:pStyle w:val="yTableNAm"/>
              <w:jc w:val="right"/>
            </w:pPr>
            <w:r>
              <w:t>54</w:t>
            </w:r>
          </w:p>
        </w:tc>
      </w:tr>
      <w:tr>
        <w:trPr>
          <w:cantSplit/>
        </w:trPr>
        <w:tc>
          <w:tcPr>
            <w:tcW w:w="1985" w:type="dxa"/>
            <w:noWrap/>
          </w:tcPr>
          <w:p>
            <w:pPr>
              <w:pStyle w:val="yTableNAm"/>
            </w:pPr>
            <w:r>
              <w:t>s. 66</w:t>
            </w:r>
          </w:p>
        </w:tc>
        <w:tc>
          <w:tcPr>
            <w:tcW w:w="3543" w:type="dxa"/>
            <w:noWrap/>
          </w:tcPr>
          <w:p>
            <w:pPr>
              <w:pStyle w:val="yTableNAm"/>
              <w:tabs>
                <w:tab w:val="right" w:leader="dot" w:pos="567"/>
                <w:tab w:val="right" w:leader="dot" w:pos="3328"/>
              </w:tabs>
            </w:pPr>
            <w:r>
              <w:t xml:space="preserve">Issue of duplicate licence or duplicate identity card </w:t>
            </w:r>
            <w:r>
              <w:tab/>
            </w:r>
          </w:p>
        </w:tc>
        <w:tc>
          <w:tcPr>
            <w:tcW w:w="1276" w:type="dxa"/>
            <w:noWrap/>
            <w:vAlign w:val="bottom"/>
          </w:tcPr>
          <w:p>
            <w:pPr>
              <w:pStyle w:val="yTableNAm"/>
              <w:jc w:val="right"/>
            </w:pPr>
            <w:r>
              <w:t>35</w:t>
            </w:r>
          </w:p>
        </w:tc>
      </w:tr>
      <w:tr>
        <w:trPr>
          <w:cantSplit/>
        </w:trPr>
        <w:tc>
          <w:tcPr>
            <w:tcW w:w="1985" w:type="dxa"/>
            <w:noWrap/>
          </w:tcPr>
          <w:p>
            <w:pPr>
              <w:pStyle w:val="yTableNAm"/>
            </w:pPr>
            <w:r>
              <w:lastRenderedPageBreak/>
              <w:t>s. 94(4)(b)</w:t>
            </w:r>
          </w:p>
        </w:tc>
        <w:tc>
          <w:tcPr>
            <w:tcW w:w="3543" w:type="dxa"/>
            <w:noWrap/>
          </w:tcPr>
          <w:p>
            <w:pPr>
              <w:pStyle w:val="yTableNAm"/>
              <w:tabs>
                <w:tab w:val="right" w:leader="dot" w:pos="567"/>
                <w:tab w:val="right" w:leader="dot" w:pos="3328"/>
              </w:tabs>
            </w:pPr>
            <w:r>
              <w:t xml:space="preserve">Additional fee if fingerprints and palm prints are required under s. 48(1)(a) or (b)(i) </w:t>
            </w:r>
            <w:r>
              <w:tab/>
            </w:r>
          </w:p>
        </w:tc>
        <w:tc>
          <w:tcPr>
            <w:tcW w:w="1276" w:type="dxa"/>
            <w:noWrap/>
            <w:vAlign w:val="bottom"/>
          </w:tcPr>
          <w:p>
            <w:pPr>
              <w:pStyle w:val="yTableNAm"/>
              <w:jc w:val="right"/>
            </w:pPr>
            <w:r>
              <w:t>129</w:t>
            </w:r>
          </w:p>
        </w:tc>
      </w:tr>
    </w:tbl>
    <w:p>
      <w:pPr>
        <w:pStyle w:val="yFootnotesection"/>
      </w:pPr>
      <w:r>
        <w:tab/>
        <w:t>[Schedule 4 inserted: SL 2024/94 r. 12.]</w:t>
      </w:r>
    </w:p>
    <w:p>
      <w:pPr>
        <w:pStyle w:val="yScheduleHeading"/>
      </w:pPr>
      <w:bookmarkStart w:id="167" w:name="_Toc192849509"/>
      <w:bookmarkStart w:id="168" w:name="_Toc192851278"/>
      <w:bookmarkStart w:id="169" w:name="_Toc192854833"/>
      <w:r>
        <w:rPr>
          <w:rStyle w:val="CharSchNo"/>
        </w:rPr>
        <w:lastRenderedPageBreak/>
        <w:t>Schedule 5</w:t>
      </w:r>
      <w:r>
        <w:t> — </w:t>
      </w:r>
      <w:r>
        <w:rPr>
          <w:rStyle w:val="CharSchText"/>
        </w:rPr>
        <w:t>Prescribed offences and modified penalties for infringement notices</w:t>
      </w:r>
      <w:bookmarkEnd w:id="167"/>
      <w:bookmarkEnd w:id="168"/>
      <w:bookmarkEnd w:id="169"/>
    </w:p>
    <w:p>
      <w:pPr>
        <w:pStyle w:val="yShoulderClause"/>
        <w:rPr>
          <w:szCs w:val="22"/>
        </w:rPr>
      </w:pPr>
      <w:r>
        <w:rPr>
          <w:szCs w:val="22"/>
        </w:rPr>
        <w:t>[r. 58]</w:t>
      </w:r>
    </w:p>
    <w:p>
      <w:pPr>
        <w:pStyle w:val="yFootnoteheading"/>
      </w:pPr>
      <w:r>
        <w:tab/>
        <w:t>[Heading inserted: Gazette 29 Jul 2016 p. 3249.]</w:t>
      </w:r>
    </w:p>
    <w:p>
      <w:pPr>
        <w:pStyle w:val="yHeading3"/>
      </w:pPr>
      <w:bookmarkStart w:id="170" w:name="_Toc192849510"/>
      <w:bookmarkStart w:id="171" w:name="_Toc192851279"/>
      <w:bookmarkStart w:id="172" w:name="_Toc192854834"/>
      <w:r>
        <w:rPr>
          <w:rStyle w:val="CharSDivNo"/>
        </w:rPr>
        <w:t>Division 1</w:t>
      </w:r>
      <w:r>
        <w:t> — </w:t>
      </w:r>
      <w:r>
        <w:rPr>
          <w:rStyle w:val="CharSDivText"/>
        </w:rPr>
        <w:t>Offences under the Act</w:t>
      </w:r>
      <w:bookmarkEnd w:id="170"/>
      <w:bookmarkEnd w:id="171"/>
      <w:bookmarkEnd w:id="172"/>
    </w:p>
    <w:p>
      <w:pPr>
        <w:pStyle w:val="yFootnoteheading"/>
      </w:pPr>
      <w:r>
        <w:tab/>
        <w:t>[Heading inserted: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vAlign w:val="bottom"/>
          </w:tcPr>
          <w:p>
            <w:pPr>
              <w:pStyle w:val="yTableNAm"/>
              <w:jc w:val="center"/>
            </w:pPr>
            <w: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vAlign w:val="bottom"/>
          </w:tcPr>
          <w:p>
            <w:pPr>
              <w:pStyle w:val="yTableNAm"/>
              <w:jc w:val="center"/>
            </w:pPr>
            <w: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vAlign w:val="bottom"/>
          </w:tcPr>
          <w:p>
            <w:pPr>
              <w:pStyle w:val="yTableNAm"/>
              <w:jc w:val="center"/>
            </w:pPr>
            <w: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vAlign w:val="bottom"/>
          </w:tcPr>
          <w:p>
            <w:pPr>
              <w:pStyle w:val="yTableNAm"/>
              <w:jc w:val="center"/>
            </w:pPr>
            <w: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vAlign w:val="bottom"/>
          </w:tcPr>
          <w:p>
            <w:pPr>
              <w:pStyle w:val="yTableNAm"/>
              <w:jc w:val="center"/>
            </w:pPr>
            <w: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vAlign w:val="bottom"/>
          </w:tcPr>
          <w:p>
            <w:pPr>
              <w:pStyle w:val="yTableNAm"/>
              <w:jc w:val="center"/>
            </w:pPr>
            <w: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vAlign w:val="bottom"/>
          </w:tcPr>
          <w:p>
            <w:pPr>
              <w:pStyle w:val="yTableNAm"/>
              <w:jc w:val="center"/>
            </w:pPr>
            <w:r>
              <w:t>500</w:t>
            </w:r>
          </w:p>
        </w:tc>
      </w:tr>
      <w:tr>
        <w:tc>
          <w:tcPr>
            <w:tcW w:w="766" w:type="dxa"/>
          </w:tcPr>
          <w:p>
            <w:pPr>
              <w:pStyle w:val="yTableNAm"/>
              <w:keepNext/>
            </w:pPr>
            <w:r>
              <w:lastRenderedPageBreak/>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vAlign w:val="bottom"/>
          </w:tcPr>
          <w:p>
            <w:pPr>
              <w:pStyle w:val="yTableNAm"/>
              <w:keepNext/>
              <w:jc w:val="center"/>
            </w:pPr>
            <w: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vAlign w:val="bottom"/>
          </w:tcPr>
          <w:p>
            <w:pPr>
              <w:pStyle w:val="yTableNAm"/>
              <w:jc w:val="center"/>
            </w:pPr>
            <w: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vAlign w:val="bottom"/>
          </w:tcPr>
          <w:p>
            <w:pPr>
              <w:pStyle w:val="yTableNAm"/>
              <w:jc w:val="center"/>
            </w:pPr>
            <w: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vAlign w:val="bottom"/>
          </w:tcPr>
          <w:p>
            <w:pPr>
              <w:pStyle w:val="yTableNAm"/>
              <w:jc w:val="center"/>
            </w:pPr>
            <w: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vAlign w:val="bottom"/>
          </w:tcPr>
          <w:p>
            <w:pPr>
              <w:pStyle w:val="yTableNAm"/>
              <w:jc w:val="center"/>
            </w:pPr>
            <w: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vAlign w:val="bottom"/>
          </w:tcPr>
          <w:p>
            <w:pPr>
              <w:pStyle w:val="yTableNAm"/>
              <w:jc w:val="center"/>
            </w:pPr>
            <w: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vAlign w:val="bottom"/>
          </w:tcPr>
          <w:p>
            <w:pPr>
              <w:pStyle w:val="yTableNAm"/>
              <w:jc w:val="center"/>
            </w:pPr>
            <w: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vAlign w:val="bottom"/>
          </w:tcPr>
          <w:p>
            <w:pPr>
              <w:pStyle w:val="yTableNAm"/>
              <w:jc w:val="center"/>
            </w:pPr>
            <w: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vAlign w:val="bottom"/>
          </w:tcPr>
          <w:p>
            <w:pPr>
              <w:pStyle w:val="yTableNAm"/>
              <w:jc w:val="center"/>
            </w:pPr>
            <w:r>
              <w:t>500</w:t>
            </w:r>
          </w:p>
        </w:tc>
      </w:tr>
      <w:tr>
        <w:tc>
          <w:tcPr>
            <w:tcW w:w="766" w:type="dxa"/>
          </w:tcPr>
          <w:p>
            <w:pPr>
              <w:pStyle w:val="yTableNAm"/>
            </w:pPr>
            <w:r>
              <w:lastRenderedPageBreak/>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vAlign w:val="bottom"/>
          </w:tcPr>
          <w:p>
            <w:pPr>
              <w:pStyle w:val="yTableNAm"/>
              <w:jc w:val="center"/>
            </w:pPr>
            <w: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vAlign w:val="bottom"/>
          </w:tcPr>
          <w:p>
            <w:pPr>
              <w:pStyle w:val="yTableNAm"/>
              <w:jc w:val="center"/>
            </w:pPr>
            <w: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vAlign w:val="bottom"/>
          </w:tcPr>
          <w:p>
            <w:pPr>
              <w:pStyle w:val="yTableNAm"/>
              <w:jc w:val="center"/>
            </w:pPr>
            <w: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vAlign w:val="bottom"/>
          </w:tcPr>
          <w:p>
            <w:pPr>
              <w:pStyle w:val="yTableNAm"/>
              <w:jc w:val="center"/>
            </w:pPr>
            <w: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vAlign w:val="bottom"/>
          </w:tcPr>
          <w:p>
            <w:pPr>
              <w:pStyle w:val="yTableNAm"/>
              <w:jc w:val="center"/>
            </w:pPr>
            <w: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vAlign w:val="bottom"/>
          </w:tcPr>
          <w:p>
            <w:pPr>
              <w:pStyle w:val="yTableNAm"/>
              <w:jc w:val="center"/>
            </w:pPr>
            <w: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vAlign w:val="bottom"/>
          </w:tcPr>
          <w:p>
            <w:pPr>
              <w:pStyle w:val="yTableNAm"/>
              <w:jc w:val="center"/>
            </w:pPr>
            <w: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vAlign w:val="bottom"/>
          </w:tcPr>
          <w:p>
            <w:pPr>
              <w:pStyle w:val="yTableNAm"/>
              <w:jc w:val="center"/>
            </w:pPr>
            <w:r>
              <w:t>400</w:t>
            </w:r>
          </w:p>
        </w:tc>
      </w:tr>
      <w:tr>
        <w:tc>
          <w:tcPr>
            <w:tcW w:w="766" w:type="dxa"/>
          </w:tcPr>
          <w:p>
            <w:pPr>
              <w:pStyle w:val="yTableNAm"/>
            </w:pPr>
            <w:r>
              <w:lastRenderedPageBreak/>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vAlign w:val="bottom"/>
          </w:tcPr>
          <w:p>
            <w:pPr>
              <w:pStyle w:val="yTableNAm"/>
              <w:jc w:val="center"/>
            </w:pPr>
            <w: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vAlign w:val="bottom"/>
          </w:tcPr>
          <w:p>
            <w:pPr>
              <w:pStyle w:val="yTableNAm"/>
              <w:jc w:val="center"/>
            </w:pPr>
            <w: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vAlign w:val="bottom"/>
          </w:tcPr>
          <w:p>
            <w:pPr>
              <w:pStyle w:val="yTableNAm"/>
              <w:jc w:val="center"/>
            </w:pPr>
            <w: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vAlign w:val="bottom"/>
          </w:tcPr>
          <w:p>
            <w:pPr>
              <w:pStyle w:val="yTableNAm"/>
              <w:jc w:val="center"/>
            </w:pPr>
            <w: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vAlign w:val="bottom"/>
          </w:tcPr>
          <w:p>
            <w:pPr>
              <w:pStyle w:val="yTableNAm"/>
              <w:jc w:val="center"/>
            </w:pPr>
            <w: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vAlign w:val="bottom"/>
          </w:tcPr>
          <w:p>
            <w:pPr>
              <w:pStyle w:val="yTableNAm"/>
              <w:jc w:val="center"/>
            </w:pPr>
            <w: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vAlign w:val="bottom"/>
          </w:tcPr>
          <w:p>
            <w:pPr>
              <w:pStyle w:val="yTableNAm"/>
              <w:jc w:val="center"/>
            </w:pPr>
            <w: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vAlign w:val="bottom"/>
          </w:tcPr>
          <w:p>
            <w:pPr>
              <w:pStyle w:val="yTableNAm"/>
              <w:jc w:val="center"/>
            </w:pPr>
            <w:r>
              <w:t>400</w:t>
            </w:r>
          </w:p>
        </w:tc>
      </w:tr>
    </w:tbl>
    <w:p>
      <w:pPr>
        <w:pStyle w:val="yFootnotesection"/>
      </w:pPr>
      <w:r>
        <w:tab/>
        <w:t>[Division 1 inserted: Gazette 29 Jul 2016 p. 3249-53.]</w:t>
      </w:r>
    </w:p>
    <w:p>
      <w:pPr>
        <w:pStyle w:val="yHeading3"/>
      </w:pPr>
      <w:bookmarkStart w:id="173" w:name="_Toc192849511"/>
      <w:bookmarkStart w:id="174" w:name="_Toc192851280"/>
      <w:bookmarkStart w:id="175" w:name="_Toc192854835"/>
      <w:r>
        <w:rPr>
          <w:rStyle w:val="CharSDivNo"/>
        </w:rPr>
        <w:lastRenderedPageBreak/>
        <w:t>Division 2</w:t>
      </w:r>
      <w:r>
        <w:rPr>
          <w:b w:val="0"/>
        </w:rPr>
        <w:t> — </w:t>
      </w:r>
      <w:r>
        <w:rPr>
          <w:rStyle w:val="CharSDivText"/>
        </w:rPr>
        <w:t>Offence under these regulations</w:t>
      </w:r>
      <w:bookmarkEnd w:id="173"/>
      <w:bookmarkEnd w:id="174"/>
      <w:bookmarkEnd w:id="175"/>
    </w:p>
    <w:p>
      <w:pPr>
        <w:pStyle w:val="yFootnoteheading"/>
      </w:pPr>
      <w:r>
        <w:tab/>
        <w:t>[Heading inserted: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vAlign w:val="center"/>
          </w:tcPr>
          <w:p>
            <w:pPr>
              <w:pStyle w:val="yTableNAm"/>
              <w:jc w:val="center"/>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vAlign w:val="bottom"/>
          </w:tcPr>
          <w:p>
            <w:pPr>
              <w:pStyle w:val="yTableNAm"/>
              <w:jc w:val="center"/>
            </w:pPr>
            <w: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vAlign w:val="bottom"/>
          </w:tcPr>
          <w:p>
            <w:pPr>
              <w:pStyle w:val="yTableNAm"/>
              <w:jc w:val="center"/>
            </w:pPr>
            <w:r>
              <w:t>400</w:t>
            </w:r>
          </w:p>
        </w:tc>
      </w:tr>
    </w:tbl>
    <w:p>
      <w:pPr>
        <w:pStyle w:val="yFootnotesection"/>
      </w:pPr>
      <w:r>
        <w:tab/>
        <w:t>[Division 2 inserted: Gazette 29 Jul 2016 p. 3253.]</w:t>
      </w:r>
    </w:p>
    <w:p>
      <w:pPr>
        <w:sectPr>
          <w:pgSz w:w="11907" w:h="16840" w:code="9"/>
          <w:pgMar w:top="2376" w:right="2405" w:bottom="3542" w:left="2405" w:header="706" w:footer="3544" w:gutter="0"/>
          <w:cols w:space="720"/>
          <w:noEndnote/>
          <w:docGrid w:linePitch="326"/>
        </w:sectPr>
      </w:pPr>
    </w:p>
    <w:p>
      <w:pPr>
        <w:pStyle w:val="yScheduleHeading"/>
      </w:pPr>
      <w:bookmarkStart w:id="176" w:name="_Toc192849512"/>
      <w:bookmarkStart w:id="177" w:name="_Toc192851281"/>
      <w:bookmarkStart w:id="178" w:name="_Toc192854836"/>
      <w:r>
        <w:rPr>
          <w:rStyle w:val="CharSchNo"/>
        </w:rPr>
        <w:lastRenderedPageBreak/>
        <w:t>Schedule 6</w:t>
      </w:r>
      <w:r>
        <w:t> — </w:t>
      </w:r>
      <w:r>
        <w:rPr>
          <w:rStyle w:val="CharSchText"/>
        </w:rPr>
        <w:t>Forms</w:t>
      </w:r>
      <w:bookmarkEnd w:id="176"/>
      <w:bookmarkEnd w:id="177"/>
      <w:bookmarkEnd w:id="178"/>
    </w:p>
    <w:p>
      <w:pPr>
        <w:pStyle w:val="yShoulderClause"/>
      </w:pPr>
      <w:r>
        <w:t>[r. 59]</w:t>
      </w:r>
    </w:p>
    <w:p>
      <w:pPr>
        <w:pStyle w:val="yFootnoteheading"/>
      </w:pPr>
      <w:r>
        <w:tab/>
        <w:t>[Heading inserted: Gazette 29 Jul 2016 p. 3254.]</w:t>
      </w:r>
    </w:p>
    <w:p>
      <w:pPr>
        <w:pStyle w:val="zyMiscellaneousHeading"/>
        <w:spacing w:after="60"/>
        <w:rPr>
          <w:b/>
        </w:rPr>
      </w:pPr>
      <w:r>
        <w:rPr>
          <w:b/>
        </w:rPr>
        <w:t xml:space="preserve">Form </w:t>
      </w:r>
      <w:r>
        <w:rPr>
          <w:rStyle w:val="CharSClsNo"/>
          <w:b/>
        </w:rPr>
        <w:t>1</w:t>
      </w:r>
      <w:r>
        <w:rPr>
          <w:b/>
        </w:rPr>
        <w:t>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lastRenderedPageBreak/>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lastRenderedPageBreak/>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Gazette 29 Jul 2016 p. 3254</w:t>
      </w:r>
      <w:r>
        <w:noBreakHyphen/>
        <w:t>6; amended: SL 2020/171 r. 4.]</w:t>
      </w:r>
    </w:p>
    <w:p>
      <w:pPr>
        <w:pStyle w:val="zyMiscellaneousHeading"/>
        <w:spacing w:before="360" w:after="60"/>
        <w:rPr>
          <w:b/>
        </w:rPr>
      </w:pPr>
      <w:r>
        <w:rPr>
          <w:b/>
        </w:rPr>
        <w:t xml:space="preserve">Form </w:t>
      </w:r>
      <w:r>
        <w:rPr>
          <w:rStyle w:val="CharSClsNo"/>
          <w:b/>
        </w:rPr>
        <w:t>2</w:t>
      </w:r>
      <w:r>
        <w:rPr>
          <w:b/>
        </w:rPr>
        <w:t>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179" w:name="_Toc192849513"/>
      <w:bookmarkStart w:id="180" w:name="_Toc192851282"/>
      <w:bookmarkStart w:id="181" w:name="_Toc192854837"/>
      <w:r>
        <w:lastRenderedPageBreak/>
        <w:t>Notes</w:t>
      </w:r>
      <w:bookmarkEnd w:id="179"/>
      <w:bookmarkEnd w:id="180"/>
      <w:bookmarkEnd w:id="181"/>
    </w:p>
    <w:p>
      <w:pPr>
        <w:pStyle w:val="nStatement"/>
      </w:pPr>
      <w:r>
        <w:t xml:space="preserve">This is a compilation of the </w:t>
      </w:r>
      <w:r>
        <w:rPr>
          <w:i/>
          <w:noProof/>
        </w:rPr>
        <w:t>Security and Related Activities (Control) Regulations 1997</w:t>
      </w:r>
      <w:r>
        <w:t xml:space="preserve"> and includes amendments made by other written laws. For provisions that have come into operation, and for information about any reprints, see the compilation table. </w:t>
      </w:r>
    </w:p>
    <w:p>
      <w:pPr>
        <w:pStyle w:val="nHeading3"/>
      </w:pPr>
      <w:bookmarkStart w:id="182" w:name="_Toc192854838"/>
      <w:r>
        <w:t>Compilation table</w:t>
      </w:r>
      <w:bookmarkEnd w:id="182"/>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keepNext/>
              <w:keepLines/>
              <w:spacing w:after="40"/>
              <w:rPr>
                <w:i/>
              </w:rPr>
            </w:pPr>
            <w:r>
              <w:rPr>
                <w:i/>
              </w:rPr>
              <w:lastRenderedPageBreak/>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bCs/>
                <w:snapToGrid w:val="0"/>
              </w:rPr>
              <w:t>r. 1 and 2: 5 Aug 2014 (see r. 2(a));</w:t>
            </w:r>
            <w:r>
              <w:rPr>
                <w:bCs/>
                <w:snapToGrid w:val="0"/>
              </w:rPr>
              <w:br/>
              <w:t>Regulations other than r. 1 and 2: 6 Aug 2014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bCs/>
                <w:snapToGrid w:val="0"/>
              </w:rPr>
            </w:pPr>
            <w:r>
              <w:rPr>
                <w:bCs/>
                <w:snapToGrid w:val="0"/>
              </w:rPr>
              <w:t xml:space="preserve">r. 1 and 2: </w:t>
            </w:r>
            <w:r>
              <w:t>2 Jun 2015</w:t>
            </w:r>
            <w:r>
              <w:rPr>
                <w:bCs/>
                <w:snapToGrid w:val="0"/>
              </w:rPr>
              <w:t xml:space="preserve"> (see r. 2(a));</w:t>
            </w:r>
            <w:r>
              <w:rPr>
                <w:bCs/>
                <w:snapToGrid w:val="0"/>
              </w:rPr>
              <w:br/>
              <w:t>Regulations other than r. 1 and 2: 1 Jul 2015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bCs/>
                <w:snapToGrid w:val="0"/>
              </w:rPr>
            </w:pPr>
            <w:r>
              <w:rPr>
                <w:bCs/>
                <w:snapToGrid w:val="0"/>
              </w:rPr>
              <w:t>r. 1 and 2: 16 Jun 2015 (see r. 2(a));</w:t>
            </w:r>
            <w:r>
              <w:rPr>
                <w:bCs/>
                <w:snapToGrid w:val="0"/>
              </w:rPr>
              <w:br/>
              <w:t>Regulations other than r. 1 and 2: 17 Jun 2015 (see r. 2(b) and Gazette 16 Jun 2015 p. 2071)</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Security and Related Activities (Control) Regulations 1997</w:t>
            </w:r>
            <w:r>
              <w:rPr>
                <w:b/>
                <w:bCs/>
                <w:snapToGrid w:val="0"/>
                <w:spacing w:val="-2"/>
              </w:rPr>
              <w:t xml:space="preserve"> as at 4 Dec 2015</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bCs/>
                <w:snapToGrid w:val="0"/>
              </w:rPr>
            </w:pPr>
            <w:r>
              <w:t>1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bCs/>
                <w:snapToGrid w:val="0"/>
                <w:spacing w:val="-2"/>
              </w:rPr>
              <w:t>r. 1 and 2: 29 Jul 2016 (see r. 2(a));</w:t>
            </w:r>
            <w:r>
              <w:rPr>
                <w:bCs/>
                <w:snapToGrid w:val="0"/>
                <w:spacing w:val="-2"/>
              </w:rPr>
              <w:br/>
              <w:t>Regulations other than r. 1 and 2: 30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2017</w:t>
            </w:r>
            <w:r>
              <w:t xml:space="preserve"> Pt. 5</w:t>
            </w:r>
          </w:p>
        </w:tc>
        <w:tc>
          <w:tcPr>
            <w:tcW w:w="1276" w:type="dxa"/>
            <w:shd w:val="clear" w:color="auto" w:fill="auto"/>
          </w:tcPr>
          <w:p>
            <w:pPr>
              <w:pStyle w:val="nTable"/>
              <w:spacing w:after="40"/>
            </w:pPr>
            <w:r>
              <w:t>27 Jun 2017 p. 3440</w:t>
            </w:r>
            <w:r>
              <w:noBreakHyphen/>
              <w:t>8</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Police Regulations Amendment (Fees and Charges) Regulations 2018</w:t>
            </w:r>
            <w:r>
              <w:t xml:space="preserve"> Pt. 5</w:t>
            </w:r>
          </w:p>
        </w:tc>
        <w:tc>
          <w:tcPr>
            <w:tcW w:w="1276" w:type="dxa"/>
            <w:shd w:val="clear" w:color="auto" w:fill="auto"/>
          </w:tcPr>
          <w:p>
            <w:pPr>
              <w:pStyle w:val="nTable"/>
              <w:spacing w:after="40"/>
            </w:pPr>
            <w:r>
              <w:t>26 Jun 2018 p. 2392</w:t>
            </w:r>
            <w:r>
              <w:noBreakHyphen/>
              <w:t>400</w:t>
            </w:r>
          </w:p>
        </w:tc>
        <w:tc>
          <w:tcPr>
            <w:tcW w:w="2693" w:type="dxa"/>
            <w:shd w:val="clear" w:color="auto" w:fill="auto"/>
          </w:tcPr>
          <w:p>
            <w:pPr>
              <w:pStyle w:val="nTable"/>
              <w:spacing w:after="40"/>
            </w:pPr>
            <w:r>
              <w:t>1 Jul 2018 (see r. 2(b))</w:t>
            </w:r>
          </w:p>
        </w:tc>
      </w:tr>
      <w:tr>
        <w:tc>
          <w:tcPr>
            <w:tcW w:w="3119" w:type="dxa"/>
            <w:tcBorders>
              <w:top w:val="nil"/>
              <w:bottom w:val="nil"/>
            </w:tcBorders>
            <w:shd w:val="clear" w:color="auto" w:fill="auto"/>
          </w:tcPr>
          <w:p>
            <w:pPr>
              <w:pStyle w:val="nTable"/>
              <w:spacing w:after="40"/>
              <w:rPr>
                <w:i/>
              </w:rPr>
            </w:pPr>
            <w:r>
              <w:rPr>
                <w:i/>
              </w:rPr>
              <w:t>Police Regulations Amendment (Fees and Charges) Regulations 2019</w:t>
            </w:r>
            <w:r>
              <w:t xml:space="preserve"> Pt. 5</w:t>
            </w:r>
          </w:p>
        </w:tc>
        <w:tc>
          <w:tcPr>
            <w:tcW w:w="1276" w:type="dxa"/>
            <w:tcBorders>
              <w:top w:val="nil"/>
              <w:bottom w:val="nil"/>
            </w:tcBorders>
            <w:shd w:val="clear" w:color="auto" w:fill="auto"/>
          </w:tcPr>
          <w:p>
            <w:pPr>
              <w:pStyle w:val="nTable"/>
              <w:spacing w:after="40"/>
            </w:pPr>
            <w:r>
              <w:t>21 Jun 2019 p. 2141</w:t>
            </w:r>
            <w:r>
              <w:noBreakHyphen/>
              <w:t>50</w:t>
            </w:r>
          </w:p>
        </w:tc>
        <w:tc>
          <w:tcPr>
            <w:tcW w:w="2693" w:type="dxa"/>
            <w:tcBorders>
              <w:top w:val="nil"/>
              <w:bottom w:val="nil"/>
            </w:tcBorders>
            <w:shd w:val="clear" w:color="auto" w:fill="auto"/>
          </w:tcPr>
          <w:p>
            <w:pPr>
              <w:pStyle w:val="nTable"/>
              <w:spacing w:after="40"/>
            </w:pPr>
            <w:r>
              <w:t>1 Jul 2019 (see r. 2(b))</w:t>
            </w:r>
          </w:p>
        </w:tc>
      </w:tr>
      <w:tr>
        <w:trPr>
          <w:cantSplit/>
        </w:trPr>
        <w:tc>
          <w:tcPr>
            <w:tcW w:w="3119" w:type="dxa"/>
            <w:tcBorders>
              <w:top w:val="nil"/>
              <w:bottom w:val="nil"/>
            </w:tcBorders>
            <w:shd w:val="clear" w:color="auto" w:fill="auto"/>
          </w:tcPr>
          <w:p>
            <w:pPr>
              <w:pStyle w:val="nTable"/>
              <w:spacing w:after="40"/>
              <w:rPr>
                <w:i/>
              </w:rPr>
            </w:pPr>
            <w:r>
              <w:rPr>
                <w:i/>
              </w:rPr>
              <w:lastRenderedPageBreak/>
              <w:t>Police Regulations Amendment (Fees and Charges) Regulations 2020</w:t>
            </w:r>
            <w:r>
              <w:t xml:space="preserve"> Pt. 5</w:t>
            </w:r>
          </w:p>
        </w:tc>
        <w:tc>
          <w:tcPr>
            <w:tcW w:w="1276" w:type="dxa"/>
            <w:tcBorders>
              <w:top w:val="nil"/>
              <w:bottom w:val="nil"/>
            </w:tcBorders>
            <w:shd w:val="clear" w:color="auto" w:fill="auto"/>
          </w:tcPr>
          <w:p>
            <w:pPr>
              <w:pStyle w:val="nTable"/>
              <w:spacing w:after="40"/>
            </w:pPr>
            <w:r>
              <w:t xml:space="preserve">SL 2020/82 19 Jun 2020 </w:t>
            </w:r>
          </w:p>
        </w:tc>
        <w:tc>
          <w:tcPr>
            <w:tcW w:w="2693" w:type="dxa"/>
            <w:tcBorders>
              <w:top w:val="nil"/>
              <w:bottom w:val="nil"/>
            </w:tcBorders>
            <w:shd w:val="clear" w:color="auto" w:fill="auto"/>
          </w:tcPr>
          <w:p>
            <w:pPr>
              <w:pStyle w:val="nTable"/>
              <w:spacing w:after="40"/>
            </w:pPr>
            <w:r>
              <w:t>1 Jul 2020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2020</w:t>
            </w:r>
          </w:p>
        </w:tc>
        <w:tc>
          <w:tcPr>
            <w:tcW w:w="1276" w:type="dxa"/>
            <w:tcBorders>
              <w:top w:val="nil"/>
              <w:bottom w:val="nil"/>
            </w:tcBorders>
            <w:shd w:val="clear" w:color="auto" w:fill="auto"/>
          </w:tcPr>
          <w:p>
            <w:pPr>
              <w:pStyle w:val="nTable"/>
              <w:spacing w:after="40"/>
            </w:pPr>
            <w:r>
              <w:t>SL 2020/171 25 Sep 2020</w:t>
            </w:r>
          </w:p>
        </w:tc>
        <w:tc>
          <w:tcPr>
            <w:tcW w:w="2693" w:type="dxa"/>
            <w:tcBorders>
              <w:top w:val="nil"/>
              <w:bottom w:val="nil"/>
            </w:tcBorders>
            <w:shd w:val="clear" w:color="auto" w:fill="auto"/>
          </w:tcPr>
          <w:p>
            <w:pPr>
              <w:pStyle w:val="nTable"/>
              <w:spacing w:after="40"/>
            </w:pPr>
            <w:r>
              <w:t>r. 1 and 2: 25 Sep 2020 (see r. 2(a));</w:t>
            </w:r>
            <w:r>
              <w:br/>
              <w:t>Regulations other than r. 1 and 2: 29 Sep 2020 (see r. 2(b) and SL 2020/159 cl. 2(a))</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2021</w:t>
            </w:r>
            <w:r>
              <w:t xml:space="preserve"> Pt. 5</w:t>
            </w:r>
          </w:p>
        </w:tc>
        <w:tc>
          <w:tcPr>
            <w:tcW w:w="1276" w:type="dxa"/>
            <w:tcBorders>
              <w:top w:val="nil"/>
              <w:bottom w:val="nil"/>
            </w:tcBorders>
            <w:shd w:val="clear" w:color="auto" w:fill="auto"/>
          </w:tcPr>
          <w:p>
            <w:pPr>
              <w:pStyle w:val="nTable"/>
              <w:spacing w:after="40"/>
            </w:pPr>
            <w:r>
              <w:t xml:space="preserve">SL 2021/106 29 Jun 2021 </w:t>
            </w:r>
          </w:p>
        </w:tc>
        <w:tc>
          <w:tcPr>
            <w:tcW w:w="2693" w:type="dxa"/>
            <w:tcBorders>
              <w:top w:val="nil"/>
              <w:bottom w:val="nil"/>
            </w:tcBorders>
            <w:shd w:val="clear" w:color="auto" w:fill="auto"/>
          </w:tcPr>
          <w:p>
            <w:pPr>
              <w:pStyle w:val="nTable"/>
              <w:spacing w:after="40"/>
            </w:pPr>
            <w:r>
              <w:t>1 Jul 2021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2022</w:t>
            </w:r>
            <w:r>
              <w:t xml:space="preserve"> Pt. 5</w:t>
            </w:r>
          </w:p>
        </w:tc>
        <w:tc>
          <w:tcPr>
            <w:tcW w:w="1276" w:type="dxa"/>
            <w:tcBorders>
              <w:top w:val="nil"/>
              <w:bottom w:val="nil"/>
            </w:tcBorders>
            <w:shd w:val="clear" w:color="auto" w:fill="auto"/>
          </w:tcPr>
          <w:p>
            <w:pPr>
              <w:pStyle w:val="nTable"/>
              <w:spacing w:after="40"/>
            </w:pPr>
            <w:r>
              <w:t>SL 2022/65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2022</w:t>
            </w:r>
          </w:p>
        </w:tc>
        <w:tc>
          <w:tcPr>
            <w:tcW w:w="1276" w:type="dxa"/>
            <w:tcBorders>
              <w:top w:val="nil"/>
              <w:bottom w:val="nil"/>
            </w:tcBorders>
            <w:shd w:val="clear" w:color="auto" w:fill="auto"/>
          </w:tcPr>
          <w:p>
            <w:pPr>
              <w:pStyle w:val="nTable"/>
              <w:spacing w:after="40"/>
            </w:pPr>
            <w:r>
              <w:t>SL 2022/211 16 Dec 2022</w:t>
            </w:r>
          </w:p>
        </w:tc>
        <w:tc>
          <w:tcPr>
            <w:tcW w:w="2693" w:type="dxa"/>
            <w:tcBorders>
              <w:top w:val="nil"/>
              <w:bottom w:val="nil"/>
            </w:tcBorders>
            <w:shd w:val="clear" w:color="auto" w:fill="auto"/>
          </w:tcPr>
          <w:p>
            <w:pPr>
              <w:pStyle w:val="nTable"/>
              <w:spacing w:after="40"/>
            </w:pPr>
            <w:r>
              <w:t>r. 1 and 2: 16 Dec 2022 (see r. 2(a));</w:t>
            </w:r>
            <w:r>
              <w:br/>
              <w:t>Regulations other than r. 1 and 2: 17 Dec 2022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(Fees and Charges) Regulations 2023 </w:t>
            </w:r>
            <w:r>
              <w:t>Pt. 5</w:t>
            </w:r>
          </w:p>
        </w:tc>
        <w:tc>
          <w:tcPr>
            <w:tcW w:w="1276" w:type="dxa"/>
            <w:tcBorders>
              <w:top w:val="nil"/>
              <w:bottom w:val="nil"/>
            </w:tcBorders>
            <w:shd w:val="clear" w:color="auto" w:fill="auto"/>
          </w:tcPr>
          <w:p>
            <w:pPr>
              <w:pStyle w:val="nTable"/>
              <w:spacing w:after="40"/>
            </w:pPr>
            <w:r>
              <w:t>SL 2023/74 16 Jun 2023</w:t>
            </w:r>
          </w:p>
        </w:tc>
        <w:tc>
          <w:tcPr>
            <w:tcW w:w="2693" w:type="dxa"/>
            <w:tcBorders>
              <w:top w:val="nil"/>
              <w:bottom w:val="nil"/>
            </w:tcBorders>
            <w:shd w:val="clear" w:color="auto" w:fill="auto"/>
          </w:tcPr>
          <w:p>
            <w:pPr>
              <w:pStyle w:val="nTable"/>
              <w:spacing w:after="40"/>
            </w:pPr>
            <w:r>
              <w:t>1 Jul 2023 (see r. 2(b))</w:t>
            </w:r>
          </w:p>
        </w:tc>
      </w:tr>
      <w:tr>
        <w:trPr>
          <w:cantSplit/>
        </w:trPr>
        <w:tc>
          <w:tcPr>
            <w:tcW w:w="3119" w:type="dxa"/>
            <w:tcBorders>
              <w:top w:val="nil"/>
              <w:bottom w:val="nil"/>
            </w:tcBorders>
            <w:shd w:val="clear" w:color="auto" w:fill="auto"/>
          </w:tcPr>
          <w:p>
            <w:pPr>
              <w:pStyle w:val="nTable"/>
              <w:spacing w:after="40"/>
              <w:rPr>
                <w:i/>
              </w:rPr>
            </w:pPr>
            <w:r>
              <w:rPr>
                <w:i/>
              </w:rPr>
              <w:t>Police Regulations Amendment (Fees and Charges) Regulations 2024</w:t>
            </w:r>
            <w:r>
              <w:rPr>
                <w:iCs/>
              </w:rPr>
              <w:t xml:space="preserve"> Pt. 5</w:t>
            </w:r>
          </w:p>
        </w:tc>
        <w:tc>
          <w:tcPr>
            <w:tcW w:w="1276" w:type="dxa"/>
            <w:tcBorders>
              <w:top w:val="nil"/>
              <w:bottom w:val="nil"/>
            </w:tcBorders>
            <w:shd w:val="clear" w:color="auto" w:fill="auto"/>
          </w:tcPr>
          <w:p>
            <w:pPr>
              <w:pStyle w:val="nTable"/>
              <w:spacing w:after="40"/>
            </w:pPr>
            <w:r>
              <w:t>SL 2024/94 12 Jun 2024</w:t>
            </w:r>
          </w:p>
        </w:tc>
        <w:tc>
          <w:tcPr>
            <w:tcW w:w="2693" w:type="dxa"/>
            <w:tcBorders>
              <w:top w:val="nil"/>
              <w:bottom w:val="nil"/>
            </w:tcBorders>
            <w:shd w:val="clear" w:color="auto" w:fill="auto"/>
          </w:tcPr>
          <w:p>
            <w:pPr>
              <w:pStyle w:val="nTable"/>
              <w:spacing w:after="40"/>
            </w:pPr>
            <w:r>
              <w:t>1 Jul 2024 (see r. 2(b))</w:t>
            </w:r>
          </w:p>
        </w:tc>
      </w:tr>
      <w:tr>
        <w:trPr>
          <w:cantSplit/>
        </w:trPr>
        <w:tc>
          <w:tcPr>
            <w:tcW w:w="3119" w:type="dxa"/>
            <w:tcBorders>
              <w:top w:val="nil"/>
              <w:bottom w:val="nil"/>
            </w:tcBorders>
            <w:shd w:val="clear" w:color="auto" w:fill="auto"/>
          </w:tcPr>
          <w:p>
            <w:pPr>
              <w:pStyle w:val="nTable"/>
              <w:spacing w:after="40"/>
              <w:rPr>
                <w:i/>
              </w:rPr>
            </w:pPr>
            <w:r>
              <w:rPr>
                <w:i/>
              </w:rPr>
              <w:t>Security and Related Activities (Control) Amendment Regulations 2024</w:t>
            </w:r>
          </w:p>
        </w:tc>
        <w:tc>
          <w:tcPr>
            <w:tcW w:w="1276" w:type="dxa"/>
            <w:tcBorders>
              <w:top w:val="nil"/>
              <w:bottom w:val="nil"/>
            </w:tcBorders>
            <w:shd w:val="clear" w:color="auto" w:fill="auto"/>
          </w:tcPr>
          <w:p>
            <w:pPr>
              <w:pStyle w:val="nTable"/>
              <w:spacing w:after="40"/>
            </w:pPr>
            <w:r>
              <w:t>SL 2024/161 7 Aug 2024</w:t>
            </w:r>
          </w:p>
        </w:tc>
        <w:tc>
          <w:tcPr>
            <w:tcW w:w="2693" w:type="dxa"/>
            <w:tcBorders>
              <w:top w:val="nil"/>
              <w:bottom w:val="nil"/>
            </w:tcBorders>
            <w:shd w:val="clear" w:color="auto" w:fill="auto"/>
          </w:tcPr>
          <w:p>
            <w:pPr>
              <w:pStyle w:val="nTable"/>
              <w:spacing w:after="40"/>
            </w:pPr>
            <w:r>
              <w:t>r. 1 and 2: 7 Aug 2024 (see r. 2(a));</w:t>
            </w:r>
            <w:r>
              <w:br/>
              <w:t>Regulations other than r. 1 and 2: 8 Aug 2024 (see r. 2(b))</w:t>
            </w:r>
          </w:p>
        </w:tc>
      </w:tr>
      <w:tr>
        <w:trPr>
          <w:cantSplit/>
        </w:trPr>
        <w:tc>
          <w:tcPr>
            <w:tcW w:w="3119" w:type="dxa"/>
            <w:tcBorders>
              <w:top w:val="nil"/>
              <w:bottom w:val="nil"/>
            </w:tcBorders>
            <w:shd w:val="clear" w:color="auto" w:fill="auto"/>
          </w:tcPr>
          <w:p>
            <w:pPr>
              <w:pStyle w:val="nTable"/>
              <w:spacing w:after="40"/>
              <w:rPr>
                <w:i/>
              </w:rPr>
            </w:pPr>
            <w:r>
              <w:rPr>
                <w:i/>
              </w:rPr>
              <w:t xml:space="preserve">Police Regulations Amendment (Criminal Law Mental Impairment) Regulations 2024 </w:t>
            </w:r>
            <w:r>
              <w:rPr>
                <w:iCs/>
              </w:rPr>
              <w:t>Pt. 3</w:t>
            </w:r>
          </w:p>
        </w:tc>
        <w:tc>
          <w:tcPr>
            <w:tcW w:w="1276" w:type="dxa"/>
            <w:tcBorders>
              <w:top w:val="nil"/>
              <w:bottom w:val="nil"/>
            </w:tcBorders>
            <w:shd w:val="clear" w:color="auto" w:fill="auto"/>
          </w:tcPr>
          <w:p>
            <w:pPr>
              <w:pStyle w:val="nTable"/>
              <w:spacing w:after="40"/>
            </w:pPr>
            <w:r>
              <w:t>SL 2024/172 21 Aug 2024</w:t>
            </w:r>
          </w:p>
        </w:tc>
        <w:tc>
          <w:tcPr>
            <w:tcW w:w="2693" w:type="dxa"/>
            <w:tcBorders>
              <w:top w:val="nil"/>
              <w:bottom w:val="nil"/>
            </w:tcBorders>
            <w:shd w:val="clear" w:color="auto" w:fill="auto"/>
          </w:tcPr>
          <w:p>
            <w:pPr>
              <w:pStyle w:val="nTable"/>
              <w:spacing w:after="40"/>
            </w:pPr>
            <w:r>
              <w:t>1 Sep 2024 (see r. 2(b))</w:t>
            </w:r>
          </w:p>
        </w:tc>
      </w:tr>
      <w:tr>
        <w:trPr>
          <w:cantSplit/>
        </w:trPr>
        <w:tc>
          <w:tcPr>
            <w:tcW w:w="3119" w:type="dxa"/>
            <w:tcBorders>
              <w:top w:val="nil"/>
              <w:bottom w:val="single" w:sz="4" w:space="0" w:color="auto"/>
            </w:tcBorders>
            <w:shd w:val="clear" w:color="auto" w:fill="auto"/>
          </w:tcPr>
          <w:p>
            <w:pPr>
              <w:pStyle w:val="nTable"/>
              <w:spacing w:after="40"/>
              <w:rPr>
                <w:i/>
              </w:rPr>
            </w:pPr>
            <w:r>
              <w:rPr>
                <w:i/>
              </w:rPr>
              <w:t>Police Regulations Amendment (Firearms) Regulations 2024</w:t>
            </w:r>
            <w:r>
              <w:rPr>
                <w:iCs/>
              </w:rPr>
              <w:t xml:space="preserve"> Pt. 2</w:t>
            </w:r>
          </w:p>
        </w:tc>
        <w:tc>
          <w:tcPr>
            <w:tcW w:w="1276" w:type="dxa"/>
            <w:tcBorders>
              <w:top w:val="nil"/>
              <w:bottom w:val="single" w:sz="4" w:space="0" w:color="auto"/>
            </w:tcBorders>
            <w:shd w:val="clear" w:color="auto" w:fill="auto"/>
          </w:tcPr>
          <w:p>
            <w:pPr>
              <w:pStyle w:val="nTable"/>
              <w:spacing w:after="40"/>
            </w:pPr>
            <w:r>
              <w:t xml:space="preserve">SL 2024/296 21 Dec 2024 </w:t>
            </w:r>
          </w:p>
        </w:tc>
        <w:tc>
          <w:tcPr>
            <w:tcW w:w="2693" w:type="dxa"/>
            <w:tcBorders>
              <w:top w:val="nil"/>
              <w:bottom w:val="single" w:sz="4" w:space="0" w:color="auto"/>
            </w:tcBorders>
            <w:shd w:val="clear" w:color="auto" w:fill="auto"/>
          </w:tcPr>
          <w:p>
            <w:pPr>
              <w:pStyle w:val="nTable"/>
              <w:spacing w:after="40"/>
            </w:pPr>
            <w:r>
              <w:rPr>
                <w:snapToGrid w:val="0"/>
              </w:rPr>
              <w:t>31 Mar 2025 (see r. 2(b) and SL 2024/289 cl. 2)</w:t>
            </w:r>
          </w:p>
        </w:tc>
      </w:tr>
    </w:tbl>
    <w:p>
      <w:pPr>
        <w:pStyle w:val="nHeading3"/>
      </w:pPr>
      <w:bookmarkStart w:id="183" w:name="_Toc192854839"/>
      <w:r>
        <w:t>Other notes</w:t>
      </w:r>
      <w:bookmarkEnd w:id="183"/>
    </w:p>
    <w:p>
      <w:pPr>
        <w:pStyle w:val="nNote"/>
        <w:keepNext/>
        <w:keepLines/>
        <w:spacing w:before="160"/>
      </w:pPr>
      <w:r>
        <w:rPr>
          <w:szCs w:val="13"/>
          <w:vertAlign w:val="superscript"/>
        </w:rPr>
        <w:t>1</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185" w:name="_Toc192854840"/>
      <w:r>
        <w:rPr>
          <w:sz w:val="28"/>
        </w:rPr>
        <w:lastRenderedPageBreak/>
        <w:t>Defined terms</w:t>
      </w:r>
      <w:bookmarkEnd w:id="18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accountant</w:t>
      </w:r>
      <w:r>
        <w:tab/>
        <w:t>13A(1)</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business activity</w:t>
      </w:r>
      <w:r>
        <w:tab/>
        <w:t>Sch. 1 cl. 1A</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relevant training course</w:t>
      </w:r>
      <w:r>
        <w:tab/>
        <w:t>10(1)</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urine sampling equipment</w:t>
      </w:r>
      <w:r>
        <w:tab/>
        <w:t>44</w:t>
      </w:r>
    </w:p>
    <w:p>
      <w:pPr>
        <w:pStyle w:val="DefinedTerms"/>
      </w:pPr>
      <w:r>
        <w:t>written examination</w:t>
      </w:r>
      <w:r>
        <w:tab/>
        <w:t>17(3)</w:t>
      </w:r>
    </w:p>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8DCBF8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C08770D" w14:textId="4ECA72B9" w:rsidR="00A539DF" w:rsidRDefault="00E40D5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21667">
                        <w:rPr>
                          <w:sz w:val="16"/>
                        </w:rPr>
                        <w:t>2025</w:t>
                      </w:r>
                      <w:r>
                        <w:rPr>
                          <w:sz w:val="16"/>
                        </w:rPr>
                        <w:fldChar w:fldCharType="end"/>
                      </w:r>
                      <w:r>
                        <w:rPr>
                          <w:sz w:val="16"/>
                        </w:rPr>
                        <w:t>.</w:t>
                      </w:r>
                    </w:p>
                    <w:p w14:paraId="2BCC0E28" w14:textId="77777777" w:rsidR="00A539DF" w:rsidRDefault="00E40D5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E47E59A" w14:textId="5F7C49E0" w:rsidR="00A539DF" w:rsidRDefault="00E40D5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21667">
                        <w:rPr>
                          <w:sz w:val="16"/>
                        </w:rPr>
                        <w:t>2025</w:t>
                      </w:r>
                      <w:r>
                        <w:rPr>
                          <w:sz w:val="16"/>
                        </w:rPr>
                        <w:fldChar w:fldCharType="end"/>
                      </w:r>
                      <w:r>
                        <w:rPr>
                          <w:sz w:val="16"/>
                        </w:rPr>
                        <w:t>.</w:t>
                      </w:r>
                    </w:p>
                    <w:p w14:paraId="37403351" w14:textId="77777777" w:rsidR="00A539DF" w:rsidRDefault="00E40D5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07-aa0-00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07-aa0-00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07-aa0-00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07-aa0-00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07-aa0-00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07-aa0-00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rPr>
        <w:jc w:val="center"/>
      </w:trP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497"/>
      <w:gridCol w:w="576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rPr>
        <w:jc w:val="center"/>
      </w:trP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bookmarkStart w:id="151" w:name="Schedule"/>
    <w:bookmarkEnd w:id="15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54" w:type="dxa"/>
      <w:jc w:val="center"/>
      <w:tblLayout w:type="fixed"/>
      <w:tblCellMar>
        <w:left w:w="72" w:type="dxa"/>
        <w:right w:w="72" w:type="dxa"/>
      </w:tblCellMar>
      <w:tblLook w:val="0000" w:firstRow="0" w:lastRow="0" w:firstColumn="0" w:lastColumn="0" w:noHBand="0" w:noVBand="0"/>
    </w:tblPr>
    <w:tblGrid>
      <w:gridCol w:w="5772"/>
      <w:gridCol w:w="1482"/>
    </w:tblGrid>
    <w:tr>
      <w:trPr>
        <w:cantSplit/>
        <w:jc w:val="center"/>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rPr>
        <w:jc w:val="center"/>
      </w:trP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rPr>
        <w:jc w:val="center"/>
      </w:trPr>
      <w:tc>
        <w:tcPr>
          <w:tcW w:w="5772" w:type="dxa"/>
        </w:tcPr>
        <w:p>
          <w:pPr>
            <w:pStyle w:val="Header"/>
            <w:spacing w:before="40"/>
            <w:jc w:val="right"/>
          </w:pPr>
        </w:p>
      </w:tc>
      <w:tc>
        <w:tcPr>
          <w:tcW w:w="1482" w:type="dxa"/>
        </w:tcPr>
        <w:p>
          <w:pPr>
            <w:pStyle w:val="Header"/>
            <w:spacing w:before="40"/>
            <w:ind w:right="17"/>
            <w:jc w:val="right"/>
          </w:pPr>
        </w:p>
      </w:tc>
    </w:tr>
    <w:tr>
      <w:trPr>
        <w:jc w:val="center"/>
      </w:trPr>
      <w:tc>
        <w:tcPr>
          <w:tcW w:w="5772" w:type="dxa"/>
        </w:tcPr>
        <w:p>
          <w:pPr>
            <w:pStyle w:val="Header"/>
            <w:spacing w:before="40"/>
            <w:jc w:val="right"/>
          </w:pPr>
        </w:p>
      </w:tc>
      <w:tc>
        <w:tcPr>
          <w:tcW w:w="1482"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20</w:instrText>
          </w:r>
          <w:r>
            <w:rPr>
              <w:b/>
            </w:rPr>
            <w:fldChar w:fldCharType="end"/>
          </w:r>
          <w:r>
            <w:rPr>
              <w:b/>
            </w:rPr>
            <w:instrText xml:space="preserve"> </w:instrText>
          </w:r>
          <w:r>
            <w:rPr>
              <w:b/>
            </w:rPr>
            <w:fldChar w:fldCharType="separate"/>
          </w:r>
          <w:r>
            <w:rPr>
              <w:b/>
            </w:rPr>
            <w:t>20</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84" w:name="Compilation"/>
    <w:bookmarkEnd w:id="18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6" w:name="DefinedTerms"/>
    <w:bookmarkEnd w:id="186"/>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87" w:name="Coversheet"/>
    <w:bookmarkEnd w:id="18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84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4125454"/>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 w:name="WAFER_202006181512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8151237_GUID" w:val="bd73fba4-4e34-456d-9727-5c7a98015662"/>
    <w:docVar w:name="WAFER_2020062309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095946_GUID" w:val="dc648999-51c4-4219-a2da-ba19166de4a5"/>
    <w:docVar w:name="WAFER_20200922171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71347_GUID" w:val="e709533c-ecd4-45f8-87d8-1f8b0f8e3c0d"/>
    <w:docVar w:name="WAFER_202106281112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1240_GUID" w:val="80ae8f59-e4bb-404f-b1b5-d61ee6a8992f"/>
    <w:docVar w:name="WAFER_202206010909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090905_GUID" w:val="c77cfb01-5732-446f-b33f-b1d4408536d0"/>
    <w:docVar w:name="WAFER_2022062411143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11431_GUID" w:val="c119d31c-a1c8-4cf0-b49e-fc396886a5dc"/>
    <w:docVar w:name="WAFER_202212151047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5104746_GUID" w:val="485eea64-3c11-4ac5-a7d5-abcce315f79e"/>
    <w:docVar w:name="WAFER_20230613155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13155907_GUID" w:val="1aa7cb3a-f50a-4158-bdbd-ad8b18dcc044"/>
    <w:docVar w:name="WAFER_20230626170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70608_GUID" w:val="8694cae0-b902-4018-bdd3-06aa2907f8a9"/>
    <w:docVar w:name="WAFER_202312281610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1002_GUID" w:val="a45a3fe5-d2bb-44b0-94e4-2881e3f084b1"/>
    <w:docVar w:name="WAFER_202406071348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34827_GUID" w:val="04225664-d3ea-41d0-a8eb-87f4d5241f9a"/>
    <w:docVar w:name="WAFER_20240625131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31341_GUID" w:val="432049e8-81e4-4d2a-9e05-593052435871"/>
    <w:docVar w:name="WAFER_2024080214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142908_GUID" w:val="df8a4f03-4200-4807-92f3-b25b7216fee7"/>
    <w:docVar w:name="WAFER_202408221041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118_GUID" w:val="0f0945cd-0888-4ecc-8772-abe470bcab68"/>
    <w:docVar w:name="WAFER_20240822104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04518_GUID" w:val="740c3b37-0d31-4538-bec2-0bf5800bc4cb"/>
    <w:docVar w:name="WAFER_202412181601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107_GUID" w:val="d677f7df-0c37-43a0-ba5d-cc403f31cf8f"/>
    <w:docVar w:name="WAFER_202412181601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8160123_GUID" w:val="a4b6af34-e18a-44a6-af9e-6e1e21b0d4d7"/>
    <w:docVar w:name="WAFER_20250314125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4125454_GUID" w:val="e846bc3a-c8cc-4c79-ab1a-3e36e1a5de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8417"/>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952788886">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header" Target="head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7.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C396C-84AB-4356-BFD7-B3DC03A64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18050</Words>
  <Characters>88085</Characters>
  <Application>Microsoft Office Word</Application>
  <DocSecurity>0</DocSecurity>
  <Lines>2936</Lines>
  <Paragraphs>1862</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104273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1997 - 07-aa0-00</dc:title>
  <dc:subject/>
  <dc:creator/>
  <cp:keywords/>
  <dc:description/>
  <cp:lastModifiedBy>Master Repository Process</cp:lastModifiedBy>
  <cp:revision>4</cp:revision>
  <cp:lastPrinted>2016-07-28T08:24:00Z</cp:lastPrinted>
  <dcterms:created xsi:type="dcterms:W3CDTF">2025-07-03T04:03:00Z</dcterms:created>
  <dcterms:modified xsi:type="dcterms:W3CDTF">2025-07-03T04:04:00Z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31 Mar 2025</vt:lpwstr>
  </property>
  <property fmtid="{D5CDD505-2E9C-101B-9397-08002B2CF9AE}" pid="9" name="Suffix">
    <vt:lpwstr>07-aa0-00</vt:lpwstr>
  </property>
  <property fmtid="{D5CDD505-2E9C-101B-9397-08002B2CF9AE}" pid="10" name="Official">
    <vt:lpwstr/>
  </property>
  <property fmtid="{D5CDD505-2E9C-101B-9397-08002B2CF9AE}" pid="11" name="CommencementDate">
    <vt:lpwstr>20250331</vt:lpwstr>
  </property>
  <property fmtid="{D5CDD505-2E9C-101B-9397-08002B2CF9AE}" pid="12" name="CommencementAsAt">
    <vt:filetime>2025-03-30T16:00:00Z</vt:filetime>
  </property>
  <property fmtid="{D5CDD505-2E9C-101B-9397-08002B2CF9AE}" pid="13" name="CommencementYear">
    <vt:lpwstr>2025</vt:lpwstr>
  </property>
</Properties>
</file>