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_Toc192856260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_Toc192856261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_Toc192856262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_Toc192856264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_Toc192856265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_Toc192856266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_Toc192856267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_Toc192856268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_Toc192856269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_Toc192856270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_Toc192856273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_Toc192856274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_Toc192856276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_Toc192856277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_Toc192856278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_Toc192856281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_Toc192856282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_Toc192856284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_Toc192856285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_Toc192856287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_Toc192856288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_Toc192856290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_Toc192856291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_Toc192856292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_Toc192856293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_Toc192856295 \h </w:instrText>
      </w:r>
      <w:r>
        <w:fldChar w:fldCharType="separate"/>
      </w:r>
      <w:r>
        <w:t>24</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_Toc192856296 \h </w:instrText>
      </w:r>
      <w:r>
        <w:fldChar w:fldCharType="separate"/>
      </w:r>
      <w:r>
        <w:t>25</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_Toc192856297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_Toc192856299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_Toc192856300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_Toc192856301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_Toc192856303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_Toc192856305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_Toc192856306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_Toc192856308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_Toc192856309 \h </w:instrText>
      </w:r>
      <w:r>
        <w:fldChar w:fldCharType="separate"/>
      </w:r>
      <w:r>
        <w:t>33</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_Toc192856310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_Toc192856313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_Toc192856314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_Toc192856316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_Toc192856317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_Toc192856318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_Toc192856320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_Toc192856321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_Toc192856322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_Toc192856323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_Toc192856324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_Toc192856326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_Toc192856327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_Toc192856328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_Toc192856329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_Toc192856331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_Toc192856332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_Toc192856333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_Toc192856335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_Toc192856338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_Toc192856339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_Toc192856340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_Toc192856342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_Toc192856344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_Toc192856345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_Toc192856347 \h </w:instrText>
      </w:r>
      <w:r>
        <w:fldChar w:fldCharType="separate"/>
      </w:r>
      <w:r>
        <w:t>53</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_Toc192856348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_Toc192856350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_Toc192856353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_Toc192856355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_Toc192856356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_Toc192856357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_Toc192856358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_Toc192856360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_Toc192856362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_Toc192856363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_Toc192856364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_Toc192856365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_Toc192856367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_Toc192856368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_Toc192856370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_Toc192856371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_Toc192856374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_Toc192856375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_Toc192856376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_Toc192856378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_Toc192856380 \h </w:instrText>
      </w:r>
      <w:r>
        <w:fldChar w:fldCharType="separate"/>
      </w:r>
      <w:r>
        <w:t>66</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_Toc192856381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_Toc192856382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_Toc192856383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_Toc192856384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_Toc192856386 \h </w:instrText>
      </w:r>
      <w:r>
        <w:fldChar w:fldCharType="separate"/>
      </w:r>
      <w:r>
        <w:t>70</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_Toc192856387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_Toc192856388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_Toc192856390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_Toc192856392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_Toc192856393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_Toc192856394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_Toc192856397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_Toc192856398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_Toc192856399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_Toc192856401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_Toc192856402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_Toc192856403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_Toc192856404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_Toc192856405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_Toc192856407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_Toc192856410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_Toc192856411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_Toc192856412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_Toc192856414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_Toc192856415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_Toc192856416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_Toc192856417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_Toc192856418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_Toc192856419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_Toc192856420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_Toc192856421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_Toc192856424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_Toc192856425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_Toc192856426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_Toc192856427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_Toc192856428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_Toc192856429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_Toc192856430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_Toc192856431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_Toc192856432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_Toc192856433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_Toc192856434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_Toc192856435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_Toc192856437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_Toc192856438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_Toc192856439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_Toc192856440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_Toc192856441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2A — Passenger Transport Subsidy Scheme (PTSS)</w:t>
      </w:r>
    </w:p>
    <w:p>
      <w:pPr>
        <w:pStyle w:val="TOC8"/>
        <w:rPr>
          <w:rFonts w:asciiTheme="minorHAnsi" w:eastAsiaTheme="minorEastAsia" w:hAnsiTheme="minorHAnsi" w:cstheme="minorBidi"/>
          <w:szCs w:val="22"/>
        </w:rPr>
      </w:pPr>
      <w:r>
        <w:t>130A.</w:t>
      </w:r>
      <w:r>
        <w:tab/>
        <w:t>Terms used</w:t>
      </w:r>
      <w:r>
        <w:tab/>
      </w:r>
      <w:r>
        <w:fldChar w:fldCharType="begin"/>
      </w:r>
      <w:r>
        <w:instrText xml:space="preserve"> PAGEREF _Toc192856443 \h </w:instrText>
      </w:r>
      <w:r>
        <w:fldChar w:fldCharType="separate"/>
      </w:r>
      <w:r>
        <w:t>108</w:t>
      </w:r>
      <w:r>
        <w:fldChar w:fldCharType="end"/>
      </w:r>
    </w:p>
    <w:p>
      <w:pPr>
        <w:pStyle w:val="TOC8"/>
        <w:rPr>
          <w:rFonts w:asciiTheme="minorHAnsi" w:eastAsiaTheme="minorEastAsia" w:hAnsiTheme="minorHAnsi" w:cstheme="minorBidi"/>
          <w:szCs w:val="22"/>
        </w:rPr>
      </w:pPr>
      <w:r>
        <w:t>130B.</w:t>
      </w:r>
      <w:r>
        <w:tab/>
        <w:t>CEO may issue smartcards</w:t>
      </w:r>
      <w:r>
        <w:tab/>
      </w:r>
      <w:r>
        <w:fldChar w:fldCharType="begin"/>
      </w:r>
      <w:r>
        <w:instrText xml:space="preserve"> PAGEREF _Toc192856444 \h </w:instrText>
      </w:r>
      <w:r>
        <w:fldChar w:fldCharType="separate"/>
      </w:r>
      <w:r>
        <w:t>109</w:t>
      </w:r>
      <w:r>
        <w:fldChar w:fldCharType="end"/>
      </w:r>
    </w:p>
    <w:p>
      <w:pPr>
        <w:pStyle w:val="TOC8"/>
        <w:rPr>
          <w:rFonts w:asciiTheme="minorHAnsi" w:eastAsiaTheme="minorEastAsia" w:hAnsiTheme="minorHAnsi" w:cstheme="minorBidi"/>
          <w:szCs w:val="22"/>
        </w:rPr>
      </w:pPr>
      <w:r>
        <w:t>130C.</w:t>
      </w:r>
      <w:r>
        <w:tab/>
        <w:t>CEO may pay subsidy</w:t>
      </w:r>
      <w:r>
        <w:tab/>
      </w:r>
      <w:r>
        <w:fldChar w:fldCharType="begin"/>
      </w:r>
      <w:r>
        <w:instrText xml:space="preserve"> PAGEREF _Toc192856445 \h </w:instrText>
      </w:r>
      <w:r>
        <w:fldChar w:fldCharType="separate"/>
      </w:r>
      <w:r>
        <w:t>109</w:t>
      </w:r>
      <w:r>
        <w:fldChar w:fldCharType="end"/>
      </w:r>
    </w:p>
    <w:p>
      <w:pPr>
        <w:pStyle w:val="TOC8"/>
        <w:rPr>
          <w:rFonts w:asciiTheme="minorHAnsi" w:eastAsiaTheme="minorEastAsia" w:hAnsiTheme="minorHAnsi" w:cstheme="minorBidi"/>
          <w:szCs w:val="22"/>
        </w:rPr>
      </w:pPr>
      <w:r>
        <w:t>130D.</w:t>
      </w:r>
      <w:r>
        <w:tab/>
        <w:t>Person must not provide PTSS smartcard as payment or part</w:t>
      </w:r>
      <w:r>
        <w:noBreakHyphen/>
        <w:t>payment unless PTSS passenger</w:t>
      </w:r>
      <w:r>
        <w:tab/>
      </w:r>
      <w:r>
        <w:fldChar w:fldCharType="begin"/>
      </w:r>
      <w:r>
        <w:instrText xml:space="preserve"> PAGEREF _Toc192856446 \h </w:instrText>
      </w:r>
      <w:r>
        <w:fldChar w:fldCharType="separate"/>
      </w:r>
      <w:r>
        <w:t>110</w:t>
      </w:r>
      <w:r>
        <w:fldChar w:fldCharType="end"/>
      </w:r>
    </w:p>
    <w:p>
      <w:pPr>
        <w:pStyle w:val="TOC8"/>
        <w:rPr>
          <w:rFonts w:asciiTheme="minorHAnsi" w:eastAsiaTheme="minorEastAsia" w:hAnsiTheme="minorHAnsi" w:cstheme="minorBidi"/>
          <w:szCs w:val="22"/>
        </w:rPr>
      </w:pPr>
      <w:r>
        <w:t>130DA.</w:t>
      </w:r>
      <w:r>
        <w:tab/>
        <w:t>Driver must not refuse payment or part</w:t>
      </w:r>
      <w:r>
        <w:noBreakHyphen/>
        <w:t>payment</w:t>
      </w:r>
      <w:r>
        <w:tab/>
      </w:r>
      <w:r>
        <w:fldChar w:fldCharType="begin"/>
      </w:r>
      <w:r>
        <w:instrText xml:space="preserve"> PAGEREF _Toc192856447 \h </w:instrText>
      </w:r>
      <w:r>
        <w:fldChar w:fldCharType="separate"/>
      </w:r>
      <w:r>
        <w:t>110</w:t>
      </w:r>
      <w:r>
        <w:fldChar w:fldCharType="end"/>
      </w:r>
    </w:p>
    <w:p>
      <w:pPr>
        <w:pStyle w:val="TOC8"/>
        <w:rPr>
          <w:rFonts w:asciiTheme="minorHAnsi" w:eastAsiaTheme="minorEastAsia" w:hAnsiTheme="minorHAnsi" w:cstheme="minorBidi"/>
          <w:szCs w:val="22"/>
        </w:rPr>
      </w:pPr>
      <w:r>
        <w:t>130DB.</w:t>
      </w:r>
      <w:r>
        <w:tab/>
        <w:t>Certain providers must not direct driver to refuse payment or part</w:t>
      </w:r>
      <w:r>
        <w:noBreakHyphen/>
        <w:t>payment</w:t>
      </w:r>
      <w:r>
        <w:tab/>
      </w:r>
      <w:r>
        <w:fldChar w:fldCharType="begin"/>
      </w:r>
      <w:r>
        <w:instrText xml:space="preserve"> PAGEREF _Toc192856448 \h </w:instrText>
      </w:r>
      <w:r>
        <w:fldChar w:fldCharType="separate"/>
      </w:r>
      <w:r>
        <w:t>110</w:t>
      </w:r>
      <w:r>
        <w:fldChar w:fldCharType="end"/>
      </w:r>
    </w:p>
    <w:p>
      <w:pPr>
        <w:pStyle w:val="TOC8"/>
        <w:rPr>
          <w:rFonts w:asciiTheme="minorHAnsi" w:eastAsiaTheme="minorEastAsia" w:hAnsiTheme="minorHAnsi" w:cstheme="minorBidi"/>
          <w:szCs w:val="22"/>
        </w:rPr>
      </w:pPr>
      <w:r>
        <w:t>130E.</w:t>
      </w:r>
      <w:r>
        <w:tab/>
        <w:t>Driver must not accept PTSS smartcard as payment or part</w:t>
      </w:r>
      <w:r>
        <w:noBreakHyphen/>
        <w:t>payment from person driver knows is not PTSS passenger</w:t>
      </w:r>
      <w:r>
        <w:tab/>
      </w:r>
      <w:r>
        <w:fldChar w:fldCharType="begin"/>
      </w:r>
      <w:r>
        <w:instrText xml:space="preserve"> PAGEREF _Toc192856449 \h </w:instrText>
      </w:r>
      <w:r>
        <w:fldChar w:fldCharType="separate"/>
      </w:r>
      <w:r>
        <w:t>111</w:t>
      </w:r>
      <w:r>
        <w:fldChar w:fldCharType="end"/>
      </w:r>
    </w:p>
    <w:p>
      <w:pPr>
        <w:pStyle w:val="TOC8"/>
        <w:rPr>
          <w:rFonts w:asciiTheme="minorHAnsi" w:eastAsiaTheme="minorEastAsia" w:hAnsiTheme="minorHAnsi" w:cstheme="minorBidi"/>
          <w:szCs w:val="22"/>
        </w:rPr>
      </w:pPr>
      <w:r>
        <w:t>130F.</w:t>
      </w:r>
      <w:r>
        <w:tab/>
        <w:t>Driver or provider of on</w:t>
      </w:r>
      <w:r>
        <w:noBreakHyphen/>
        <w:t>demand booking service must not enter false or misleading information</w:t>
      </w:r>
      <w:r>
        <w:tab/>
      </w:r>
      <w:r>
        <w:fldChar w:fldCharType="begin"/>
      </w:r>
      <w:r>
        <w:instrText xml:space="preserve"> PAGEREF _Toc192856450 \h </w:instrText>
      </w:r>
      <w:r>
        <w:fldChar w:fldCharType="separate"/>
      </w:r>
      <w:r>
        <w:t>111</w:t>
      </w:r>
      <w:r>
        <w:fldChar w:fldCharType="end"/>
      </w:r>
    </w:p>
    <w:p>
      <w:pPr>
        <w:pStyle w:val="TOC8"/>
        <w:rPr>
          <w:rFonts w:asciiTheme="minorHAnsi" w:eastAsiaTheme="minorEastAsia" w:hAnsiTheme="minorHAnsi" w:cstheme="minorBidi"/>
          <w:szCs w:val="22"/>
        </w:rPr>
      </w:pPr>
      <w:r>
        <w:t>130G.</w:t>
      </w:r>
      <w:r>
        <w:tab/>
        <w:t>Driver must not cause or permit another person to enter particular information</w:t>
      </w:r>
      <w:r>
        <w:tab/>
      </w:r>
      <w:r>
        <w:fldChar w:fldCharType="begin"/>
      </w:r>
      <w:r>
        <w:instrText xml:space="preserve"> PAGEREF _Toc192856451 \h </w:instrText>
      </w:r>
      <w:r>
        <w:fldChar w:fldCharType="separate"/>
      </w:r>
      <w:r>
        <w:t>111</w:t>
      </w:r>
      <w:r>
        <w:fldChar w:fldCharType="end"/>
      </w:r>
    </w:p>
    <w:p>
      <w:pPr>
        <w:pStyle w:val="TOC8"/>
        <w:rPr>
          <w:rFonts w:asciiTheme="minorHAnsi" w:eastAsiaTheme="minorEastAsia" w:hAnsiTheme="minorHAnsi" w:cstheme="minorBidi"/>
          <w:szCs w:val="22"/>
        </w:rPr>
      </w:pPr>
      <w:r>
        <w:t>130H.</w:t>
      </w:r>
      <w:r>
        <w:tab/>
        <w:t>Provider of on</w:t>
      </w:r>
      <w:r>
        <w:noBreakHyphen/>
        <w:t>demand booking service must not cause or permit another person to enter particular information</w:t>
      </w:r>
      <w:r>
        <w:tab/>
      </w:r>
      <w:r>
        <w:fldChar w:fldCharType="begin"/>
      </w:r>
      <w:r>
        <w:instrText xml:space="preserve"> PAGEREF _Toc192856452 \h </w:instrText>
      </w:r>
      <w:r>
        <w:fldChar w:fldCharType="separate"/>
      </w:r>
      <w:r>
        <w:t>112</w:t>
      </w:r>
      <w:r>
        <w:fldChar w:fldCharType="end"/>
      </w:r>
    </w:p>
    <w:p>
      <w:pPr>
        <w:pStyle w:val="TOC8"/>
        <w:rPr>
          <w:rFonts w:asciiTheme="minorHAnsi" w:eastAsiaTheme="minorEastAsia" w:hAnsiTheme="minorHAnsi" w:cstheme="minorBidi"/>
          <w:szCs w:val="22"/>
        </w:rPr>
      </w:pPr>
      <w:r>
        <w:t>130HA.</w:t>
      </w:r>
      <w:r>
        <w:tab/>
        <w:t>Provider of on</w:t>
      </w:r>
      <w:r>
        <w:noBreakHyphen/>
        <w:t>demand booking service must ensure vehicle fitted with PTSS electronic device that is not a mobile phone</w:t>
      </w:r>
      <w:r>
        <w:tab/>
      </w:r>
      <w:r>
        <w:fldChar w:fldCharType="begin"/>
      </w:r>
      <w:r>
        <w:instrText xml:space="preserve"> PAGEREF _Toc192856453 \h </w:instrText>
      </w:r>
      <w:r>
        <w:fldChar w:fldCharType="separate"/>
      </w:r>
      <w:r>
        <w:t>112</w:t>
      </w:r>
      <w:r>
        <w:fldChar w:fldCharType="end"/>
      </w:r>
    </w:p>
    <w:p>
      <w:pPr>
        <w:pStyle w:val="TOC8"/>
        <w:rPr>
          <w:rFonts w:asciiTheme="minorHAnsi" w:eastAsiaTheme="minorEastAsia" w:hAnsiTheme="minorHAnsi" w:cstheme="minorBidi"/>
          <w:szCs w:val="22"/>
        </w:rPr>
      </w:pPr>
      <w:r>
        <w:t>130HB.</w:t>
      </w:r>
      <w:r>
        <w:tab/>
        <w:t>Driver must ensure vehicle contains PTSS electronic device</w:t>
      </w:r>
      <w:r>
        <w:tab/>
      </w:r>
      <w:r>
        <w:fldChar w:fldCharType="begin"/>
      </w:r>
      <w:r>
        <w:instrText xml:space="preserve"> PAGEREF _Toc192856454 \h </w:instrText>
      </w:r>
      <w:r>
        <w:fldChar w:fldCharType="separate"/>
      </w:r>
      <w:r>
        <w:t>113</w:t>
      </w:r>
      <w:r>
        <w:fldChar w:fldCharType="end"/>
      </w:r>
    </w:p>
    <w:p>
      <w:pPr>
        <w:pStyle w:val="TOC8"/>
        <w:rPr>
          <w:rFonts w:asciiTheme="minorHAnsi" w:eastAsiaTheme="minorEastAsia" w:hAnsiTheme="minorHAnsi" w:cstheme="minorBidi"/>
          <w:szCs w:val="22"/>
        </w:rPr>
      </w:pPr>
      <w:r>
        <w:t>130I.</w:t>
      </w:r>
      <w:r>
        <w:tab/>
        <w:t>False claims for payment</w:t>
      </w:r>
      <w:r>
        <w:tab/>
      </w:r>
      <w:r>
        <w:fldChar w:fldCharType="begin"/>
      </w:r>
      <w:r>
        <w:instrText xml:space="preserve"> PAGEREF _Toc192856455 \h </w:instrText>
      </w:r>
      <w:r>
        <w:fldChar w:fldCharType="separate"/>
      </w:r>
      <w:r>
        <w:t>113</w:t>
      </w:r>
      <w:r>
        <w:fldChar w:fldCharType="end"/>
      </w:r>
    </w:p>
    <w:p>
      <w:pPr>
        <w:pStyle w:val="TOC8"/>
        <w:rPr>
          <w:rFonts w:asciiTheme="minorHAnsi" w:eastAsiaTheme="minorEastAsia" w:hAnsiTheme="minorHAnsi" w:cstheme="minorBidi"/>
          <w:szCs w:val="22"/>
        </w:rPr>
      </w:pPr>
      <w:r>
        <w:t>130J.</w:t>
      </w:r>
      <w:r>
        <w:tab/>
        <w:t>Providers of on</w:t>
      </w:r>
      <w:r>
        <w:noBreakHyphen/>
        <w:t>demand booking services to provide information about PTSS journeys</w:t>
      </w:r>
      <w:r>
        <w:tab/>
      </w:r>
      <w:r>
        <w:fldChar w:fldCharType="begin"/>
      </w:r>
      <w:r>
        <w:instrText xml:space="preserve"> PAGEREF _Toc192856456 \h </w:instrText>
      </w:r>
      <w:r>
        <w:fldChar w:fldCharType="separate"/>
      </w:r>
      <w:r>
        <w:t>114</w:t>
      </w:r>
      <w:r>
        <w:fldChar w:fldCharType="end"/>
      </w:r>
    </w:p>
    <w:p>
      <w:pPr>
        <w:pStyle w:val="TOC8"/>
        <w:rPr>
          <w:rFonts w:asciiTheme="minorHAnsi" w:eastAsiaTheme="minorEastAsia" w:hAnsiTheme="minorHAnsi" w:cstheme="minorBidi"/>
          <w:szCs w:val="22"/>
        </w:rPr>
      </w:pPr>
      <w:r>
        <w:t>130K.</w:t>
      </w:r>
      <w:r>
        <w:tab/>
        <w:t>CEO may recover subsidies paid</w:t>
      </w:r>
      <w:r>
        <w:tab/>
      </w:r>
      <w:r>
        <w:fldChar w:fldCharType="begin"/>
      </w:r>
      <w:r>
        <w:instrText xml:space="preserve"> PAGEREF _Toc192856457 \h </w:instrText>
      </w:r>
      <w:r>
        <w:fldChar w:fldCharType="separate"/>
      </w:r>
      <w:r>
        <w:t>115</w:t>
      </w:r>
      <w:r>
        <w:fldChar w:fldCharType="end"/>
      </w:r>
    </w:p>
    <w:p>
      <w:pPr>
        <w:pStyle w:val="TOC8"/>
        <w:rPr>
          <w:rFonts w:asciiTheme="minorHAnsi" w:eastAsiaTheme="minorEastAsia" w:hAnsiTheme="minorHAnsi" w:cstheme="minorBidi"/>
          <w:szCs w:val="22"/>
        </w:rPr>
      </w:pPr>
      <w:r>
        <w:t>130L.</w:t>
      </w:r>
      <w:r>
        <w:tab/>
        <w:t>CEO may approve guidelines</w:t>
      </w:r>
      <w:r>
        <w:tab/>
      </w:r>
      <w:r>
        <w:fldChar w:fldCharType="begin"/>
      </w:r>
      <w:r>
        <w:instrText xml:space="preserve"> PAGEREF _Toc192856458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_Toc192856460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_Toc192856462 \h </w:instrText>
      </w:r>
      <w:r>
        <w:fldChar w:fldCharType="separate"/>
      </w:r>
      <w:r>
        <w:t>117</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_Toc192856463 \h </w:instrText>
      </w:r>
      <w:r>
        <w:fldChar w:fldCharType="separate"/>
      </w:r>
      <w:r>
        <w:t>118</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_Toc192856464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_Toc192856466 \h </w:instrText>
      </w:r>
      <w:r>
        <w:fldChar w:fldCharType="separate"/>
      </w:r>
      <w:r>
        <w:t>120</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_Toc192856467 \h </w:instrText>
      </w:r>
      <w:r>
        <w:fldChar w:fldCharType="separate"/>
      </w:r>
      <w:r>
        <w:t>121</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_Toc192856468 \h </w:instrText>
      </w:r>
      <w:r>
        <w:fldChar w:fldCharType="separate"/>
      </w:r>
      <w:r>
        <w:t>121</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_Toc192856469 \h </w:instrText>
      </w:r>
      <w:r>
        <w:fldChar w:fldCharType="separate"/>
      </w:r>
      <w:r>
        <w:t>121</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_Toc192856470 \h </w:instrText>
      </w:r>
      <w:r>
        <w:fldChar w:fldCharType="separate"/>
      </w:r>
      <w:r>
        <w:t>123</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_Toc192856471 \h </w:instrText>
      </w:r>
      <w:r>
        <w:fldChar w:fldCharType="separate"/>
      </w:r>
      <w:r>
        <w:t>123</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_Toc192856472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_Toc192856474 \h </w:instrText>
      </w:r>
      <w:r>
        <w:fldChar w:fldCharType="separate"/>
      </w:r>
      <w:r>
        <w:t>125</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_Toc192856475 \h </w:instrText>
      </w:r>
      <w:r>
        <w:fldChar w:fldCharType="separate"/>
      </w:r>
      <w:r>
        <w:t>125</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_Toc192856476 \h </w:instrText>
      </w:r>
      <w:r>
        <w:fldChar w:fldCharType="separate"/>
      </w:r>
      <w:r>
        <w:t>126</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_Toc192856477 \h </w:instrText>
      </w:r>
      <w:r>
        <w:fldChar w:fldCharType="separate"/>
      </w:r>
      <w:r>
        <w:t>126</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_Toc192856478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_Toc192856480 \h </w:instrText>
      </w:r>
      <w:r>
        <w:fldChar w:fldCharType="separate"/>
      </w:r>
      <w:r>
        <w:t>129</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_Toc192856481 \h </w:instrText>
      </w:r>
      <w:r>
        <w:fldChar w:fldCharType="separate"/>
      </w:r>
      <w:r>
        <w:t>129</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_Toc192856482 \h </w:instrText>
      </w:r>
      <w:r>
        <w:fldChar w:fldCharType="separate"/>
      </w:r>
      <w:r>
        <w:t>130</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_Toc192856483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_Toc192856486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_Toc192856489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_Toc192856491 \h </w:instrText>
      </w:r>
      <w:r>
        <w:fldChar w:fldCharType="separate"/>
      </w:r>
      <w:r>
        <w:t>133</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_Toc192856492 \h </w:instrText>
      </w:r>
      <w:r>
        <w:fldChar w:fldCharType="separate"/>
      </w:r>
      <w:r>
        <w:t>134</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_Toc192856493 \h </w:instrText>
      </w:r>
      <w:r>
        <w:fldChar w:fldCharType="separate"/>
      </w:r>
      <w:r>
        <w:t>135</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_Toc192856494 \h </w:instrText>
      </w:r>
      <w:r>
        <w:fldChar w:fldCharType="separate"/>
      </w:r>
      <w:r>
        <w:t>136</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_Toc192856495 \h </w:instrText>
      </w:r>
      <w:r>
        <w:fldChar w:fldCharType="separate"/>
      </w:r>
      <w:r>
        <w:t>137</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_Toc192856496 \h </w:instrText>
      </w:r>
      <w:r>
        <w:fldChar w:fldCharType="separate"/>
      </w:r>
      <w:r>
        <w:t>137</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_Toc192856497 \h </w:instrText>
      </w:r>
      <w:r>
        <w:fldChar w:fldCharType="separate"/>
      </w:r>
      <w:r>
        <w:t>138</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_Toc192856498 \h </w:instrText>
      </w:r>
      <w:r>
        <w:fldChar w:fldCharType="separate"/>
      </w:r>
      <w:r>
        <w:t>140</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_Toc192856499 \h </w:instrText>
      </w:r>
      <w:r>
        <w:fldChar w:fldCharType="separate"/>
      </w:r>
      <w:r>
        <w:t>140</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_Toc192856500 \h </w:instrText>
      </w:r>
      <w:r>
        <w:fldChar w:fldCharType="separate"/>
      </w:r>
      <w:r>
        <w:t>141</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_Toc192856501 \h </w:instrText>
      </w:r>
      <w:r>
        <w:fldChar w:fldCharType="separate"/>
      </w:r>
      <w:r>
        <w:t>141</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_Toc192856502 \h </w:instrText>
      </w:r>
      <w:r>
        <w:fldChar w:fldCharType="separate"/>
      </w:r>
      <w:r>
        <w:t>142</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_Toc192856503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_Toc192856505 \h </w:instrText>
      </w:r>
      <w:r>
        <w:fldChar w:fldCharType="separate"/>
      </w:r>
      <w:r>
        <w:t>144</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_Toc192856506 \h </w:instrText>
      </w:r>
      <w:r>
        <w:fldChar w:fldCharType="separate"/>
      </w:r>
      <w:r>
        <w:t>144</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_Toc192856507 \h </w:instrText>
      </w:r>
      <w:r>
        <w:fldChar w:fldCharType="separate"/>
      </w:r>
      <w:r>
        <w:t>144</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_Toc192856508 \h </w:instrText>
      </w:r>
      <w:r>
        <w:fldChar w:fldCharType="separate"/>
      </w:r>
      <w:r>
        <w:t>144</w:t>
      </w:r>
      <w:r>
        <w:fldChar w:fldCharType="end"/>
      </w:r>
    </w:p>
    <w:p>
      <w:pPr>
        <w:pStyle w:val="TOC8"/>
        <w:rPr>
          <w:rFonts w:asciiTheme="minorHAnsi" w:eastAsiaTheme="minorEastAsia" w:hAnsiTheme="minorHAnsi" w:cstheme="minorBidi"/>
          <w:szCs w:val="22"/>
        </w:rPr>
      </w:pPr>
      <w:r>
        <w:t>170.</w:t>
      </w:r>
      <w:r>
        <w:tab/>
        <w:t>Time for lodging objections</w:t>
      </w:r>
      <w:r>
        <w:tab/>
      </w:r>
      <w:r>
        <w:fldChar w:fldCharType="begin"/>
      </w:r>
      <w:r>
        <w:instrText xml:space="preserve"> PAGEREF _Toc192856509 \h </w:instrText>
      </w:r>
      <w:r>
        <w:fldChar w:fldCharType="separate"/>
      </w:r>
      <w:r>
        <w:t>145</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_Toc192856510 \h </w:instrText>
      </w:r>
      <w:r>
        <w:fldChar w:fldCharType="separate"/>
      </w:r>
      <w:r>
        <w:t>145</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_Toc192856511 \h </w:instrText>
      </w:r>
      <w:r>
        <w:fldChar w:fldCharType="separate"/>
      </w:r>
      <w:r>
        <w:t>145</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_Toc192856512 \h </w:instrText>
      </w:r>
      <w:r>
        <w:fldChar w:fldCharType="separate"/>
      </w:r>
      <w:r>
        <w:t>146</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_Toc192856513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_Toc192856515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_Toc192856517 \h </w:instrText>
      </w:r>
      <w:r>
        <w:fldChar w:fldCharType="separate"/>
      </w:r>
      <w:r>
        <w:t>147</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_Toc192856518 \h </w:instrText>
      </w:r>
      <w:r>
        <w:fldChar w:fldCharType="separate"/>
      </w:r>
      <w:r>
        <w:t>147</w:t>
      </w:r>
      <w:r>
        <w:fldChar w:fldCharType="end"/>
      </w:r>
    </w:p>
    <w:p>
      <w:pPr>
        <w:pStyle w:val="TOC8"/>
        <w:rPr>
          <w:rFonts w:asciiTheme="minorHAnsi" w:eastAsiaTheme="minorEastAsia" w:hAnsiTheme="minorHAnsi" w:cstheme="minorBidi"/>
          <w:szCs w:val="22"/>
        </w:rPr>
      </w:pPr>
      <w:r>
        <w:lastRenderedPageBreak/>
        <w:t>178.</w:t>
      </w:r>
      <w:r>
        <w:tab/>
        <w:t>Waiver of fees</w:t>
      </w:r>
      <w:r>
        <w:tab/>
      </w:r>
      <w:r>
        <w:fldChar w:fldCharType="begin"/>
      </w:r>
      <w:r>
        <w:instrText xml:space="preserve"> PAGEREF _Toc192856519 \h </w:instrText>
      </w:r>
      <w:r>
        <w:fldChar w:fldCharType="separate"/>
      </w:r>
      <w:r>
        <w:t>149</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_Toc192856520 \h </w:instrText>
      </w:r>
      <w:r>
        <w:fldChar w:fldCharType="separate"/>
      </w:r>
      <w:r>
        <w:t>149</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_Toc192856521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_Toc192856524 \h </w:instrText>
      </w:r>
      <w:r>
        <w:fldChar w:fldCharType="separate"/>
      </w:r>
      <w:r>
        <w:t>152</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_Toc192856525 \h </w:instrText>
      </w:r>
      <w:r>
        <w:fldChar w:fldCharType="separate"/>
      </w:r>
      <w:r>
        <w:t>152</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_Toc192856526 \h </w:instrText>
      </w:r>
      <w:r>
        <w:fldChar w:fldCharType="separate"/>
      </w:r>
      <w:r>
        <w:t>153</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_Toc192856527 \h </w:instrText>
      </w:r>
      <w:r>
        <w:fldChar w:fldCharType="separate"/>
      </w:r>
      <w:r>
        <w:t>153</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_Toc192856528 \h </w:instrText>
      </w:r>
      <w:r>
        <w:fldChar w:fldCharType="separate"/>
      </w:r>
      <w:r>
        <w:t>154</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_Toc192856529 \h </w:instrText>
      </w:r>
      <w:r>
        <w:fldChar w:fldCharType="separate"/>
      </w:r>
      <w:r>
        <w:t>155</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_Toc192856530 \h </w:instrText>
      </w:r>
      <w:r>
        <w:fldChar w:fldCharType="separate"/>
      </w:r>
      <w:r>
        <w:t>156</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_Toc192856531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_Toc192856533 \h </w:instrText>
      </w:r>
      <w:r>
        <w:fldChar w:fldCharType="separate"/>
      </w:r>
      <w:r>
        <w:t>158</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_Toc192856534 \h </w:instrText>
      </w:r>
      <w:r>
        <w:fldChar w:fldCharType="separate"/>
      </w:r>
      <w:r>
        <w:t>158</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_Toc192856535 \h </w:instrText>
      </w:r>
      <w:r>
        <w:fldChar w:fldCharType="separate"/>
      </w:r>
      <w:r>
        <w:t>158</w:t>
      </w:r>
      <w:r>
        <w:fldChar w:fldCharType="end"/>
      </w:r>
    </w:p>
    <w:p>
      <w:pPr>
        <w:pStyle w:val="TOC8"/>
        <w:rPr>
          <w:rFonts w:asciiTheme="minorHAnsi" w:eastAsiaTheme="minorEastAsia" w:hAnsiTheme="minorHAnsi" w:cstheme="minorBidi"/>
          <w:szCs w:val="22"/>
        </w:rPr>
      </w:pPr>
      <w:r>
        <w:t>192.</w:t>
      </w:r>
      <w:r>
        <w:tab/>
        <w:t>Omnibus number plates</w:t>
      </w:r>
      <w:r>
        <w:tab/>
      </w:r>
      <w:r>
        <w:fldChar w:fldCharType="begin"/>
      </w:r>
      <w:r>
        <w:instrText xml:space="preserve"> PAGEREF _Toc192856536 \h </w:instrText>
      </w:r>
      <w:r>
        <w:fldChar w:fldCharType="separate"/>
      </w:r>
      <w:r>
        <w:t>159</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_Toc192856537 \h </w:instrText>
      </w:r>
      <w:r>
        <w:fldChar w:fldCharType="separate"/>
      </w:r>
      <w:r>
        <w:t>160</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_Toc192856538 \h </w:instrText>
      </w:r>
      <w:r>
        <w:fldChar w:fldCharType="separate"/>
      </w:r>
      <w:r>
        <w:t>161</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_Toc192856539 \h </w:instrText>
      </w:r>
      <w:r>
        <w:fldChar w:fldCharType="separate"/>
      </w:r>
      <w:r>
        <w:t>162</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_Toc192856540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_Toc192856542 \h </w:instrText>
      </w:r>
      <w:r>
        <w:fldChar w:fldCharType="separate"/>
      </w:r>
      <w:r>
        <w:t>164</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_Toc192856543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199.</w:t>
      </w:r>
      <w:r>
        <w:tab/>
        <w:t>Provisions relating to disqualification periods under 2019 regulations</w:t>
      </w:r>
      <w:r>
        <w:tab/>
      </w:r>
      <w:r>
        <w:fldChar w:fldCharType="begin"/>
      </w:r>
      <w:r>
        <w:instrText xml:space="preserve"> PAGEREF _Toc192856544 \h </w:instrText>
      </w:r>
      <w:r>
        <w:fldChar w:fldCharType="separate"/>
      </w:r>
      <w:r>
        <w:t>165</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_Toc192856545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Transitional provision in relation to the </w:t>
      </w:r>
      <w:r>
        <w:rPr>
          <w:i/>
          <w:iCs/>
        </w:rPr>
        <w:t>Transport (Road Passenger Services) Amendment Regulations (No. 2) 2024</w:t>
      </w:r>
    </w:p>
    <w:p>
      <w:pPr>
        <w:pStyle w:val="TOC8"/>
        <w:rPr>
          <w:rFonts w:asciiTheme="minorHAnsi" w:eastAsiaTheme="minorEastAsia" w:hAnsiTheme="minorHAnsi" w:cstheme="minorBidi"/>
          <w:szCs w:val="22"/>
        </w:rPr>
      </w:pPr>
      <w:r>
        <w:t>200A.</w:t>
      </w:r>
      <w:r>
        <w:tab/>
        <w:t>Display of fare schedules</w:t>
      </w:r>
      <w:r>
        <w:tab/>
      </w:r>
      <w:r>
        <w:fldChar w:fldCharType="begin"/>
      </w:r>
      <w:r>
        <w:instrText xml:space="preserve"> PAGEREF _Toc192856547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_Toc192856549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_Toc192856551 \h </w:instrText>
      </w:r>
      <w:r>
        <w:fldChar w:fldCharType="separate"/>
      </w:r>
      <w:r>
        <w:t>168</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_Toc192856552 \h </w:instrText>
      </w:r>
      <w:r>
        <w:fldChar w:fldCharType="separate"/>
      </w:r>
      <w:r>
        <w:t>168</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_Toc192856553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general</w:t>
      </w:r>
    </w:p>
    <w:p>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_Toc192856560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_Toc192856562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_Toc192856577 \h </w:instrText>
      </w:r>
      <w:r>
        <w:fldChar w:fldCharType="separate"/>
      </w:r>
      <w:r>
        <w:t>229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_Toc192856578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2" w:name="_Toc192852252"/>
      <w:bookmarkStart w:id="3" w:name="_Toc192853378"/>
      <w:bookmarkStart w:id="4" w:name="_Toc19285625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92856260"/>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7" w:name="_Toc192856261"/>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8" w:name="_Toc192856262"/>
      <w:r>
        <w:rPr>
          <w:rStyle w:val="CharSectno"/>
        </w:rPr>
        <w:t>3</w:t>
      </w:r>
      <w:r>
        <w:t>.</w:t>
      </w:r>
      <w:r>
        <w:tab/>
        <w:t>Terms used</w:t>
      </w:r>
      <w:bookmarkEnd w:id="8"/>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w:t>
      </w:r>
      <w:r>
        <w:t>, followed by a designation, means the Australian Standard having that designation that is published by Standards Australia;</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lastRenderedPageBreak/>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lastRenderedPageBreak/>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lastRenderedPageBreak/>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 xml:space="preserve">National Vocational </w:t>
      </w:r>
      <w:r>
        <w:rPr>
          <w:i/>
        </w:rPr>
        <w:lastRenderedPageBreak/>
        <w:t>Education and Training Regulator Act 2011</w:t>
      </w:r>
      <w:r>
        <w:t xml:space="preserve"> (Commonwealth) section 3);</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 SL 2024/286 r. 4.]</w:t>
      </w:r>
    </w:p>
    <w:p>
      <w:pPr>
        <w:pStyle w:val="Heading2"/>
      </w:pPr>
      <w:bookmarkStart w:id="9" w:name="_Toc192852256"/>
      <w:bookmarkStart w:id="10" w:name="_Toc192853382"/>
      <w:bookmarkStart w:id="11" w:name="_Toc192856263"/>
      <w:r>
        <w:rPr>
          <w:rStyle w:val="CharPartNo"/>
        </w:rPr>
        <w:lastRenderedPageBreak/>
        <w:t>Part 2</w:t>
      </w:r>
      <w:r>
        <w:rPr>
          <w:rStyle w:val="CharDivNo"/>
        </w:rPr>
        <w:t> </w:t>
      </w:r>
      <w:r>
        <w:t>—</w:t>
      </w:r>
      <w:r>
        <w:rPr>
          <w:rStyle w:val="CharDivText"/>
        </w:rPr>
        <w:t> </w:t>
      </w:r>
      <w:r>
        <w:rPr>
          <w:rStyle w:val="CharPartText"/>
        </w:rPr>
        <w:t>Key concepts</w:t>
      </w:r>
      <w:bookmarkEnd w:id="9"/>
      <w:bookmarkEnd w:id="10"/>
      <w:bookmarkEnd w:id="11"/>
    </w:p>
    <w:p>
      <w:pPr>
        <w:pStyle w:val="Heading5"/>
      </w:pPr>
      <w:bookmarkStart w:id="12" w:name="_Toc192856264"/>
      <w:r>
        <w:rPr>
          <w:rStyle w:val="CharSectno"/>
        </w:rPr>
        <w:t>4</w:t>
      </w:r>
      <w:r>
        <w:t>.</w:t>
      </w:r>
      <w:r>
        <w:tab/>
        <w:t>Approved medical report (s. 4(1))</w:t>
      </w:r>
      <w:bookmarkEnd w:id="1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3" w:name="_Toc192856265"/>
      <w:r>
        <w:rPr>
          <w:rStyle w:val="CharSectno"/>
        </w:rPr>
        <w:t>5</w:t>
      </w:r>
      <w:r>
        <w:t>.</w:t>
      </w:r>
      <w:r>
        <w:tab/>
        <w:t>Association arrangements (s. 4(1))</w:t>
      </w:r>
      <w:bookmarkEnd w:id="13"/>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4" w:name="_Toc192856266"/>
      <w:r>
        <w:rPr>
          <w:rStyle w:val="CharSectno"/>
        </w:rPr>
        <w:t>6</w:t>
      </w:r>
      <w:r>
        <w:t>.</w:t>
      </w:r>
      <w:r>
        <w:tab/>
        <w:t>Interstate driver authorisation (s. 4(1))</w:t>
      </w:r>
      <w:bookmarkEnd w:id="14"/>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5" w:name="_Toc192856267"/>
      <w:r>
        <w:rPr>
          <w:rStyle w:val="CharSectno"/>
        </w:rPr>
        <w:lastRenderedPageBreak/>
        <w:t>7</w:t>
      </w:r>
      <w:r>
        <w:t>.</w:t>
      </w:r>
      <w:r>
        <w:tab/>
        <w:t>Interstate vehicle authorisation (s. 4(1))</w:t>
      </w:r>
      <w:bookmarkEnd w:id="15"/>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192856268"/>
      <w:r>
        <w:rPr>
          <w:rStyle w:val="CharSectno"/>
        </w:rPr>
        <w:t>8</w:t>
      </w:r>
      <w:r>
        <w:t>.</w:t>
      </w:r>
      <w:r>
        <w:tab/>
        <w:t>On</w:t>
      </w:r>
      <w:r>
        <w:noBreakHyphen/>
        <w:t>demand passenger transport services (s. 5(3)(c))</w:t>
      </w:r>
      <w:bookmarkEnd w:id="16"/>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7" w:name="_Toc192856269"/>
      <w:r>
        <w:rPr>
          <w:rStyle w:val="CharSectno"/>
        </w:rPr>
        <w:t>9</w:t>
      </w:r>
      <w:r>
        <w:t>.</w:t>
      </w:r>
      <w:r>
        <w:tab/>
        <w:t>On</w:t>
      </w:r>
      <w:r>
        <w:noBreakHyphen/>
        <w:t>demand booking services (s. 10(3))</w:t>
      </w:r>
      <w:bookmarkEnd w:id="17"/>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8" w:name="_Toc192856270"/>
      <w:r>
        <w:rPr>
          <w:rStyle w:val="CharSectno"/>
        </w:rPr>
        <w:t>10</w:t>
      </w:r>
      <w:r>
        <w:t>.</w:t>
      </w:r>
      <w:r>
        <w:tab/>
        <w:t>Hire or reward (s. 11)</w:t>
      </w:r>
      <w:bookmarkEnd w:id="18"/>
    </w:p>
    <w:p>
      <w:pPr>
        <w:pStyle w:val="Subsection"/>
      </w:pPr>
      <w:r>
        <w:tab/>
        <w:t>(1)</w:t>
      </w:r>
      <w:r>
        <w:tab/>
        <w:t>For the purposes of section 11(1)(a)(i) of the Act, the prescribed amount in relation to a journey to transport passengers is 88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 SL 2024/286 r. 5.]</w:t>
      </w:r>
    </w:p>
    <w:p>
      <w:pPr>
        <w:pStyle w:val="Heading2"/>
      </w:pPr>
      <w:bookmarkStart w:id="19" w:name="_Toc192852264"/>
      <w:bookmarkStart w:id="20" w:name="_Toc192853390"/>
      <w:bookmarkStart w:id="21" w:name="_Toc192856271"/>
      <w:r>
        <w:rPr>
          <w:rStyle w:val="CharPartNo"/>
        </w:rPr>
        <w:lastRenderedPageBreak/>
        <w:t>Part 3</w:t>
      </w:r>
      <w:r>
        <w:t> — </w:t>
      </w:r>
      <w:r>
        <w:rPr>
          <w:rStyle w:val="CharPartText"/>
        </w:rPr>
        <w:t>Safety standards</w:t>
      </w:r>
      <w:bookmarkEnd w:id="19"/>
      <w:bookmarkEnd w:id="20"/>
      <w:bookmarkEnd w:id="21"/>
    </w:p>
    <w:p>
      <w:pPr>
        <w:pStyle w:val="Heading3"/>
      </w:pPr>
      <w:bookmarkStart w:id="22" w:name="_Toc192852265"/>
      <w:bookmarkStart w:id="23" w:name="_Toc192853391"/>
      <w:bookmarkStart w:id="24" w:name="_Toc192856272"/>
      <w:r>
        <w:rPr>
          <w:rStyle w:val="CharDivNo"/>
        </w:rPr>
        <w:t>Division 1</w:t>
      </w:r>
      <w:r>
        <w:t> — </w:t>
      </w:r>
      <w:r>
        <w:rPr>
          <w:rStyle w:val="CharDivText"/>
        </w:rPr>
        <w:t>Preliminary</w:t>
      </w:r>
      <w:bookmarkEnd w:id="22"/>
      <w:bookmarkEnd w:id="23"/>
      <w:bookmarkEnd w:id="24"/>
    </w:p>
    <w:p>
      <w:pPr>
        <w:pStyle w:val="Heading5"/>
      </w:pPr>
      <w:bookmarkStart w:id="25" w:name="_Toc192856273"/>
      <w:r>
        <w:rPr>
          <w:rStyle w:val="CharSectno"/>
        </w:rPr>
        <w:t>11</w:t>
      </w:r>
      <w:r>
        <w:t>.</w:t>
      </w:r>
      <w:r>
        <w:tab/>
        <w:t>Safety standards (s. 14(2))</w:t>
      </w:r>
      <w:bookmarkEnd w:id="25"/>
    </w:p>
    <w:p>
      <w:pPr>
        <w:pStyle w:val="Subsection"/>
      </w:pPr>
      <w:r>
        <w:tab/>
      </w:r>
      <w:r>
        <w:tab/>
        <w:t>For the purposes of section 14(2) of the Act, the provisions of Divisions 2 to 5 are specified as safety standards.</w:t>
      </w:r>
    </w:p>
    <w:p>
      <w:pPr>
        <w:pStyle w:val="Heading5"/>
      </w:pPr>
      <w:bookmarkStart w:id="26" w:name="_Toc192856274"/>
      <w:r>
        <w:rPr>
          <w:rStyle w:val="CharSectno"/>
        </w:rPr>
        <w:t>12</w:t>
      </w:r>
      <w:r>
        <w:t>.</w:t>
      </w:r>
      <w:r>
        <w:tab/>
        <w:t>Persons to whom specified safety standards apply</w:t>
      </w:r>
      <w:bookmarkEnd w:id="26"/>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7" w:name="_Toc192852268"/>
      <w:bookmarkStart w:id="28" w:name="_Toc192853394"/>
      <w:bookmarkStart w:id="29" w:name="_Toc192856275"/>
      <w:r>
        <w:rPr>
          <w:rStyle w:val="CharDivNo"/>
        </w:rPr>
        <w:t>Division 2</w:t>
      </w:r>
      <w:r>
        <w:t> — </w:t>
      </w:r>
      <w:r>
        <w:rPr>
          <w:rStyle w:val="CharDivText"/>
        </w:rPr>
        <w:t>Safety management system</w:t>
      </w:r>
      <w:bookmarkEnd w:id="27"/>
      <w:bookmarkEnd w:id="28"/>
      <w:bookmarkEnd w:id="29"/>
    </w:p>
    <w:p>
      <w:pPr>
        <w:pStyle w:val="Heading5"/>
      </w:pPr>
      <w:bookmarkStart w:id="30" w:name="_Toc192856276"/>
      <w:r>
        <w:rPr>
          <w:rStyle w:val="CharSectno"/>
        </w:rPr>
        <w:t>13</w:t>
      </w:r>
      <w:r>
        <w:t>.</w:t>
      </w:r>
      <w:r>
        <w:tab/>
        <w:t>Specified services</w:t>
      </w:r>
      <w:bookmarkEnd w:id="30"/>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1" w:name="_Toc192856277"/>
      <w:r>
        <w:rPr>
          <w:rStyle w:val="CharSectno"/>
        </w:rPr>
        <w:t>14</w:t>
      </w:r>
      <w:r>
        <w:t>.</w:t>
      </w:r>
      <w:r>
        <w:tab/>
        <w:t>Safety management system</w:t>
      </w:r>
      <w:bookmarkEnd w:id="31"/>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2" w:name="_Toc192856278"/>
      <w:r>
        <w:rPr>
          <w:rStyle w:val="CharSectno"/>
        </w:rPr>
        <w:t>15</w:t>
      </w:r>
      <w:r>
        <w:t>.</w:t>
      </w:r>
      <w:r>
        <w:tab/>
        <w:t>Offence of contravening safety standard</w:t>
      </w:r>
      <w:bookmarkEnd w:id="3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3" w:name="_Toc192852272"/>
      <w:bookmarkStart w:id="34" w:name="_Toc192853398"/>
      <w:bookmarkStart w:id="35" w:name="_Toc192856279"/>
      <w:r>
        <w:rPr>
          <w:rStyle w:val="CharDivNo"/>
        </w:rPr>
        <w:t>Division 3</w:t>
      </w:r>
      <w:r>
        <w:t> — </w:t>
      </w:r>
      <w:r>
        <w:rPr>
          <w:rStyle w:val="CharDivText"/>
        </w:rPr>
        <w:t>Vehicle standards</w:t>
      </w:r>
      <w:bookmarkEnd w:id="33"/>
      <w:bookmarkEnd w:id="34"/>
      <w:bookmarkEnd w:id="35"/>
    </w:p>
    <w:p>
      <w:pPr>
        <w:pStyle w:val="Heading4"/>
      </w:pPr>
      <w:bookmarkStart w:id="36" w:name="_Toc192852273"/>
      <w:bookmarkStart w:id="37" w:name="_Toc192853399"/>
      <w:bookmarkStart w:id="38" w:name="_Toc192856280"/>
      <w:r>
        <w:t>Subdivision 1 — General standards</w:t>
      </w:r>
      <w:bookmarkEnd w:id="36"/>
      <w:bookmarkEnd w:id="37"/>
      <w:bookmarkEnd w:id="38"/>
    </w:p>
    <w:p>
      <w:pPr>
        <w:pStyle w:val="Heading5"/>
      </w:pPr>
      <w:bookmarkStart w:id="39" w:name="_Toc192856281"/>
      <w:r>
        <w:rPr>
          <w:rStyle w:val="CharSectno"/>
        </w:rPr>
        <w:t>16</w:t>
      </w:r>
      <w:r>
        <w:t>.</w:t>
      </w:r>
      <w:r>
        <w:tab/>
        <w:t>Vehicle licence and standards for vehicles</w:t>
      </w:r>
      <w:bookmarkEnd w:id="39"/>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0" w:name="_Toc192856282"/>
      <w:r>
        <w:rPr>
          <w:rStyle w:val="CharSectno"/>
        </w:rPr>
        <w:t>17</w:t>
      </w:r>
      <w:r>
        <w:t>.</w:t>
      </w:r>
      <w:r>
        <w:tab/>
        <w:t>Vehicle maintenance</w:t>
      </w:r>
      <w:bookmarkEnd w:id="40"/>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1" w:name="_Toc192852276"/>
      <w:bookmarkStart w:id="42" w:name="_Toc192853402"/>
      <w:bookmarkStart w:id="43" w:name="_Toc192856283"/>
      <w:r>
        <w:lastRenderedPageBreak/>
        <w:t>Subdivision 2 — Wheelchair accessible vehicle standards</w:t>
      </w:r>
      <w:bookmarkEnd w:id="41"/>
      <w:bookmarkEnd w:id="42"/>
      <w:bookmarkEnd w:id="43"/>
    </w:p>
    <w:p>
      <w:pPr>
        <w:pStyle w:val="Heading5"/>
      </w:pPr>
      <w:bookmarkStart w:id="44" w:name="_Toc192856284"/>
      <w:r>
        <w:rPr>
          <w:rStyle w:val="CharSectno"/>
        </w:rPr>
        <w:t>18</w:t>
      </w:r>
      <w:r>
        <w:t>.</w:t>
      </w:r>
      <w:r>
        <w:tab/>
        <w:t>Wheelchair accessible vehicles: applicable standards</w:t>
      </w:r>
      <w:bookmarkEnd w:id="44"/>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 3856.1:2021, Hoists and ramps for people with disabilities — Vehicle mounted, Part 1: Product requirements;</w:t>
      </w:r>
    </w:p>
    <w:p>
      <w:pPr>
        <w:pStyle w:val="Indenti"/>
      </w:pPr>
      <w:r>
        <w:tab/>
        <w:t>(ii)</w:t>
      </w:r>
      <w:r>
        <w:tab/>
        <w:t>AS 3856.2:2021, Hoists and ramps for people with disabilities — Vehicle fitted, Part 2: Fitting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Footnotesection"/>
      </w:pPr>
      <w:r>
        <w:tab/>
        <w:t>[Regulation 18 amended: SL 2024/286 r. 6.]</w:t>
      </w:r>
    </w:p>
    <w:p>
      <w:pPr>
        <w:pStyle w:val="Heading5"/>
      </w:pPr>
      <w:bookmarkStart w:id="45" w:name="_Toc192856285"/>
      <w:r>
        <w:rPr>
          <w:rStyle w:val="CharSectno"/>
        </w:rPr>
        <w:t>19</w:t>
      </w:r>
      <w:r>
        <w:t>.</w:t>
      </w:r>
      <w:r>
        <w:tab/>
        <w:t>Wheelchair accessible vehicles: operation standards</w:t>
      </w:r>
      <w:bookmarkEnd w:id="45"/>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6" w:name="_Toc192852279"/>
      <w:bookmarkStart w:id="47" w:name="_Toc192853405"/>
      <w:bookmarkStart w:id="48" w:name="_Toc192856286"/>
      <w:r>
        <w:t>Subdivision 3 — Motor cycle standards</w:t>
      </w:r>
      <w:bookmarkEnd w:id="46"/>
      <w:bookmarkEnd w:id="47"/>
      <w:bookmarkEnd w:id="48"/>
    </w:p>
    <w:p>
      <w:pPr>
        <w:pStyle w:val="Heading5"/>
      </w:pPr>
      <w:bookmarkStart w:id="49" w:name="_Toc192856287"/>
      <w:r>
        <w:rPr>
          <w:rStyle w:val="CharSectno"/>
        </w:rPr>
        <w:t>20</w:t>
      </w:r>
      <w:r>
        <w:t>.</w:t>
      </w:r>
      <w:r>
        <w:tab/>
        <w:t>Motor cycles: applicable standards</w:t>
      </w:r>
      <w:bookmarkEnd w:id="49"/>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lastRenderedPageBreak/>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0" w:name="_Toc192856288"/>
      <w:r>
        <w:rPr>
          <w:rStyle w:val="CharSectno"/>
        </w:rPr>
        <w:t>21</w:t>
      </w:r>
      <w:r>
        <w:t>.</w:t>
      </w:r>
      <w:r>
        <w:tab/>
        <w:t>Motor cycle requirements</w:t>
      </w:r>
      <w:bookmarkEnd w:id="50"/>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lastRenderedPageBreak/>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1" w:name="_Toc192852282"/>
      <w:bookmarkStart w:id="52" w:name="_Toc192853408"/>
      <w:bookmarkStart w:id="53" w:name="_Toc192856289"/>
      <w:r>
        <w:t>Subdivision 4 — Specific requirements: on</w:t>
      </w:r>
      <w:r>
        <w:noBreakHyphen/>
        <w:t>demand rank or hail vehicles</w:t>
      </w:r>
      <w:bookmarkEnd w:id="51"/>
      <w:bookmarkEnd w:id="52"/>
      <w:bookmarkEnd w:id="53"/>
    </w:p>
    <w:p>
      <w:pPr>
        <w:pStyle w:val="Heading5"/>
      </w:pPr>
      <w:bookmarkStart w:id="54" w:name="_Toc192856290"/>
      <w:r>
        <w:rPr>
          <w:rStyle w:val="CharSectno"/>
        </w:rPr>
        <w:t>22</w:t>
      </w:r>
      <w:r>
        <w:t>.</w:t>
      </w:r>
      <w:r>
        <w:tab/>
        <w:t>Markings, lights and signs: on</w:t>
      </w:r>
      <w:r>
        <w:noBreakHyphen/>
        <w:t>demand rank or hail vehicles</w:t>
      </w:r>
      <w:bookmarkEnd w:id="54"/>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lastRenderedPageBreak/>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5" w:name="_Toc192856291"/>
      <w:r>
        <w:rPr>
          <w:rStyle w:val="CharSectno"/>
        </w:rPr>
        <w:t>23</w:t>
      </w:r>
      <w:r>
        <w:t>.</w:t>
      </w:r>
      <w:r>
        <w:tab/>
        <w:t>Livery: on</w:t>
      </w:r>
      <w:r>
        <w:noBreakHyphen/>
        <w:t>demand rank or hail vehicles</w:t>
      </w:r>
      <w:bookmarkEnd w:id="55"/>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6" w:name="_Toc192856292"/>
      <w:r>
        <w:rPr>
          <w:rStyle w:val="CharSectno"/>
        </w:rPr>
        <w:t>24</w:t>
      </w:r>
      <w:r>
        <w:t>.</w:t>
      </w:r>
      <w:r>
        <w:tab/>
        <w:t>When roof lights to be lit: on</w:t>
      </w:r>
      <w:r>
        <w:noBreakHyphen/>
        <w:t>demand rank or hail vehicles</w:t>
      </w:r>
      <w:bookmarkEnd w:id="56"/>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lastRenderedPageBreak/>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7" w:name="_Toc192856293"/>
      <w:r>
        <w:rPr>
          <w:rStyle w:val="CharSectno"/>
        </w:rPr>
        <w:t>25</w:t>
      </w:r>
      <w:r>
        <w:t>.</w:t>
      </w:r>
      <w:r>
        <w:tab/>
        <w:t>Contact information: on</w:t>
      </w:r>
      <w:r>
        <w:noBreakHyphen/>
        <w:t>demand rank or hail vehicles</w:t>
      </w:r>
      <w:bookmarkEnd w:id="57"/>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8" w:name="_Toc192852287"/>
      <w:bookmarkStart w:id="59" w:name="_Toc192853413"/>
      <w:bookmarkStart w:id="60" w:name="_Toc192856294"/>
      <w:r>
        <w:lastRenderedPageBreak/>
        <w:t>Subdivision 5 — Specific requirements: on</w:t>
      </w:r>
      <w:r>
        <w:noBreakHyphen/>
        <w:t>demand charter vehicles</w:t>
      </w:r>
      <w:bookmarkEnd w:id="58"/>
      <w:bookmarkEnd w:id="59"/>
      <w:bookmarkEnd w:id="60"/>
    </w:p>
    <w:p>
      <w:pPr>
        <w:pStyle w:val="Heading5"/>
      </w:pPr>
      <w:bookmarkStart w:id="61" w:name="_Toc192856295"/>
      <w:r>
        <w:rPr>
          <w:rStyle w:val="CharSectno"/>
        </w:rPr>
        <w:t>26</w:t>
      </w:r>
      <w:r>
        <w:t>.</w:t>
      </w:r>
      <w:r>
        <w:tab/>
        <w:t>Signs, lights and markings: on</w:t>
      </w:r>
      <w:r>
        <w:noBreakHyphen/>
        <w:t>demand charter vehicles not to be represented as on</w:t>
      </w:r>
      <w:r>
        <w:noBreakHyphen/>
        <w:t>demand rank or hail vehicles</w:t>
      </w:r>
      <w:bookmarkEnd w:id="61"/>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2" w:name="_Toc192856296"/>
      <w:r>
        <w:rPr>
          <w:rStyle w:val="CharSectno"/>
        </w:rPr>
        <w:lastRenderedPageBreak/>
        <w:t>27</w:t>
      </w:r>
      <w:r>
        <w:t>.</w:t>
      </w:r>
      <w:r>
        <w:tab/>
        <w:t>Signs and livery: on</w:t>
      </w:r>
      <w:r>
        <w:noBreakHyphen/>
        <w:t>demand charter vehicles</w:t>
      </w:r>
      <w:bookmarkEnd w:id="6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lastRenderedPageBreak/>
        <w:tab/>
        <w:t>(6)</w:t>
      </w:r>
      <w:r>
        <w:tab/>
        <w:t>The provider of the on</w:t>
      </w:r>
      <w:r>
        <w:noBreakHyphen/>
        <w:t>demand passenger transport service is a responsible person in relation to this safety standard.</w:t>
      </w:r>
    </w:p>
    <w:p>
      <w:pPr>
        <w:pStyle w:val="Heading5"/>
      </w:pPr>
      <w:bookmarkStart w:id="63" w:name="_Toc192856297"/>
      <w:r>
        <w:rPr>
          <w:rStyle w:val="CharSectno"/>
        </w:rPr>
        <w:t>28</w:t>
      </w:r>
      <w:r>
        <w:t>.</w:t>
      </w:r>
      <w:r>
        <w:tab/>
        <w:t>Exception to signs and livery requirements relating to family violence: on</w:t>
      </w:r>
      <w:r>
        <w:noBreakHyphen/>
        <w:t>demand charter vehicles</w:t>
      </w:r>
      <w:bookmarkEnd w:id="63"/>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lastRenderedPageBreak/>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4" w:name="_Toc192852291"/>
      <w:bookmarkStart w:id="65" w:name="_Toc192853417"/>
      <w:bookmarkStart w:id="66" w:name="_Toc192856298"/>
      <w:r>
        <w:t>Subdivision 6 — Driver identity documents</w:t>
      </w:r>
      <w:bookmarkEnd w:id="64"/>
      <w:bookmarkEnd w:id="65"/>
      <w:bookmarkEnd w:id="66"/>
    </w:p>
    <w:p>
      <w:pPr>
        <w:pStyle w:val="Heading5"/>
      </w:pPr>
      <w:bookmarkStart w:id="67" w:name="_Toc192856299"/>
      <w:r>
        <w:rPr>
          <w:rStyle w:val="CharSectno"/>
        </w:rPr>
        <w:t>29</w:t>
      </w:r>
      <w:r>
        <w:t>.</w:t>
      </w:r>
      <w:r>
        <w:tab/>
        <w:t>Driver identity document: on</w:t>
      </w:r>
      <w:r>
        <w:noBreakHyphen/>
        <w:t>demand rank or hail vehicle</w:t>
      </w:r>
      <w:bookmarkEnd w:id="67"/>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lastRenderedPageBreak/>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8" w:name="_Toc192856300"/>
      <w:r>
        <w:rPr>
          <w:rStyle w:val="CharSectno"/>
        </w:rPr>
        <w:t>30</w:t>
      </w:r>
      <w:r>
        <w:t>.</w:t>
      </w:r>
      <w:r>
        <w:tab/>
        <w:t>Display of driver identity document: on</w:t>
      </w:r>
      <w:r>
        <w:noBreakHyphen/>
        <w:t>demand rank or hail vehicle</w:t>
      </w:r>
      <w:bookmarkEnd w:id="68"/>
    </w:p>
    <w:p>
      <w:pPr>
        <w:pStyle w:val="Subsection"/>
      </w:pPr>
      <w:r>
        <w:tab/>
        <w:t>(1)</w:t>
      </w:r>
      <w:r>
        <w:tab/>
        <w:t>The driver identity document of the driver of an on</w:t>
      </w:r>
      <w:r>
        <w:noBreakHyphen/>
        <w:t>demand rank or hail vehicle must be displayed prominently in the vehicle.</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pPr>
      <w:r>
        <w:tab/>
        <w:t>[Regulation 30 amended: SL 2024/286 r. 7.]</w:t>
      </w:r>
    </w:p>
    <w:p>
      <w:pPr>
        <w:pStyle w:val="Heading5"/>
      </w:pPr>
      <w:bookmarkStart w:id="69" w:name="_Toc192856301"/>
      <w:r>
        <w:rPr>
          <w:rStyle w:val="CharSectno"/>
        </w:rPr>
        <w:lastRenderedPageBreak/>
        <w:t>31</w:t>
      </w:r>
      <w:r>
        <w:t>.</w:t>
      </w:r>
      <w:r>
        <w:tab/>
        <w:t>Provision or display of driver identity information: on</w:t>
      </w:r>
      <w:r>
        <w:noBreakHyphen/>
        <w:t>demand charter vehicle</w:t>
      </w:r>
      <w:bookmarkEnd w:id="69"/>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prominently in the vehicle.</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lastRenderedPageBreak/>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prominently in the vehicle.</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pPr>
      <w:r>
        <w:tab/>
        <w:t>[Regulation 31 amended: SL 2024/286 r. 8.]</w:t>
      </w:r>
    </w:p>
    <w:p>
      <w:pPr>
        <w:pStyle w:val="Heading4"/>
      </w:pPr>
      <w:bookmarkStart w:id="70" w:name="_Toc192852295"/>
      <w:bookmarkStart w:id="71" w:name="_Toc192853421"/>
      <w:bookmarkStart w:id="72" w:name="_Toc192856302"/>
      <w:r>
        <w:t>Subdivision 7 — Offences</w:t>
      </w:r>
      <w:bookmarkEnd w:id="70"/>
      <w:bookmarkEnd w:id="71"/>
      <w:bookmarkEnd w:id="72"/>
    </w:p>
    <w:p>
      <w:pPr>
        <w:pStyle w:val="Heading5"/>
      </w:pPr>
      <w:bookmarkStart w:id="73" w:name="_Toc192856303"/>
      <w:r>
        <w:rPr>
          <w:rStyle w:val="CharSectno"/>
        </w:rPr>
        <w:t>32</w:t>
      </w:r>
      <w:r>
        <w:t>.</w:t>
      </w:r>
      <w:r>
        <w:tab/>
        <w:t>Offence of contravening safety standard</w:t>
      </w:r>
      <w:bookmarkEnd w:id="73"/>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4" w:name="_Toc192852297"/>
      <w:bookmarkStart w:id="75" w:name="_Toc192853423"/>
      <w:bookmarkStart w:id="76" w:name="_Toc192856304"/>
      <w:r>
        <w:rPr>
          <w:rStyle w:val="CharDivNo"/>
        </w:rPr>
        <w:t>Division 4</w:t>
      </w:r>
      <w:r>
        <w:t> — </w:t>
      </w:r>
      <w:r>
        <w:rPr>
          <w:rStyle w:val="CharDivText"/>
        </w:rPr>
        <w:t>Provision of information</w:t>
      </w:r>
      <w:bookmarkEnd w:id="74"/>
      <w:bookmarkEnd w:id="75"/>
      <w:bookmarkEnd w:id="76"/>
    </w:p>
    <w:p>
      <w:pPr>
        <w:pStyle w:val="Heading5"/>
      </w:pPr>
      <w:bookmarkStart w:id="77" w:name="_Toc192856305"/>
      <w:r>
        <w:rPr>
          <w:rStyle w:val="CharSectno"/>
        </w:rPr>
        <w:t>33</w:t>
      </w:r>
      <w:r>
        <w:t>.</w:t>
      </w:r>
      <w:r>
        <w:tab/>
        <w:t>Information to be made available by provider of on</w:t>
      </w:r>
      <w:r>
        <w:noBreakHyphen/>
        <w:t>demand booking service</w:t>
      </w:r>
      <w:bookmarkEnd w:id="77"/>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8" w:name="_Toc192856306"/>
      <w:r>
        <w:rPr>
          <w:rStyle w:val="CharSectno"/>
        </w:rPr>
        <w:lastRenderedPageBreak/>
        <w:t>34</w:t>
      </w:r>
      <w:r>
        <w:t>.</w:t>
      </w:r>
      <w:r>
        <w:tab/>
        <w:t>Offence of contravening safety standard</w:t>
      </w:r>
      <w:bookmarkEnd w:id="78"/>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79" w:name="_Toc192852300"/>
      <w:bookmarkStart w:id="80" w:name="_Toc192853426"/>
      <w:bookmarkStart w:id="81" w:name="_Toc192856307"/>
      <w:r>
        <w:rPr>
          <w:rStyle w:val="CharDivNo"/>
        </w:rPr>
        <w:t>Division 5</w:t>
      </w:r>
      <w:r>
        <w:t> — </w:t>
      </w:r>
      <w:r>
        <w:rPr>
          <w:rStyle w:val="CharDivText"/>
        </w:rPr>
        <w:t>Driver competence and reporting</w:t>
      </w:r>
      <w:bookmarkEnd w:id="79"/>
      <w:bookmarkEnd w:id="80"/>
      <w:bookmarkEnd w:id="81"/>
    </w:p>
    <w:p>
      <w:pPr>
        <w:pStyle w:val="Heading5"/>
      </w:pPr>
      <w:bookmarkStart w:id="82" w:name="_Toc192856308"/>
      <w:r>
        <w:rPr>
          <w:rStyle w:val="CharSectno"/>
        </w:rPr>
        <w:t>35</w:t>
      </w:r>
      <w:r>
        <w:t>.</w:t>
      </w:r>
      <w:r>
        <w:tab/>
        <w:t>Driver of wheelchair accessible vehicle to be competent in loading and unloading wheelchair passengers</w:t>
      </w:r>
      <w:bookmarkEnd w:id="8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lastRenderedPageBreak/>
        <w:tab/>
        <w:t>(4)</w:t>
      </w:r>
      <w:r>
        <w:tab/>
        <w:t>The provider of the vehicle for use in providing the passenger transport service is a responsible person in relation to this safety standard.</w:t>
      </w:r>
    </w:p>
    <w:p>
      <w:pPr>
        <w:pStyle w:val="Footnotesection"/>
      </w:pPr>
      <w:r>
        <w:tab/>
        <w:t>[Regulation 35 amended: SL 2024/286 r. 9.]</w:t>
      </w:r>
    </w:p>
    <w:p>
      <w:pPr>
        <w:pStyle w:val="Heading5"/>
      </w:pPr>
      <w:bookmarkStart w:id="83" w:name="_Toc192856309"/>
      <w:r>
        <w:rPr>
          <w:rStyle w:val="CharSectno"/>
        </w:rPr>
        <w:t>36</w:t>
      </w:r>
      <w:r>
        <w:t>.</w:t>
      </w:r>
      <w:r>
        <w:tab/>
        <w:t>Driver reporting requirements</w:t>
      </w:r>
      <w:bookmarkEnd w:id="8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lastRenderedPageBreak/>
        <w:tab/>
        <w:t>(b)</w:t>
      </w:r>
      <w:r>
        <w:tab/>
        <w:t>the provider of a passenger transport service provided using a vehicle driven by the passenger transport driver.</w:t>
      </w:r>
    </w:p>
    <w:p>
      <w:pPr>
        <w:pStyle w:val="Heading5"/>
      </w:pPr>
      <w:bookmarkStart w:id="84" w:name="_Toc192856310"/>
      <w:r>
        <w:rPr>
          <w:rStyle w:val="CharSectno"/>
        </w:rPr>
        <w:t>37</w:t>
      </w:r>
      <w:r>
        <w:t>.</w:t>
      </w:r>
      <w:r>
        <w:tab/>
        <w:t>Offence of contravening safety standard</w:t>
      </w:r>
      <w:bookmarkEnd w:id="84"/>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5" w:name="_Toc192852304"/>
      <w:bookmarkStart w:id="86" w:name="_Toc192853430"/>
      <w:bookmarkStart w:id="87" w:name="_Toc192856311"/>
      <w:r>
        <w:rPr>
          <w:rStyle w:val="CharPartNo"/>
        </w:rPr>
        <w:lastRenderedPageBreak/>
        <w:t>Part 4</w:t>
      </w:r>
      <w:r>
        <w:t> — </w:t>
      </w:r>
      <w:r>
        <w:rPr>
          <w:rStyle w:val="CharPartText"/>
        </w:rPr>
        <w:t>Authorisation of on</w:t>
      </w:r>
      <w:r>
        <w:rPr>
          <w:rStyle w:val="CharPartText"/>
        </w:rPr>
        <w:noBreakHyphen/>
        <w:t>demand booking services</w:t>
      </w:r>
      <w:bookmarkEnd w:id="85"/>
      <w:bookmarkEnd w:id="86"/>
      <w:bookmarkEnd w:id="87"/>
    </w:p>
    <w:p>
      <w:pPr>
        <w:pStyle w:val="Heading3"/>
      </w:pPr>
      <w:bookmarkStart w:id="88" w:name="_Toc192852305"/>
      <w:bookmarkStart w:id="89" w:name="_Toc192853431"/>
      <w:bookmarkStart w:id="90" w:name="_Toc192856312"/>
      <w:r>
        <w:rPr>
          <w:rStyle w:val="CharDivNo"/>
        </w:rPr>
        <w:t>Division 1</w:t>
      </w:r>
      <w:r>
        <w:t> — </w:t>
      </w:r>
      <w:r>
        <w:rPr>
          <w:rStyle w:val="CharDivText"/>
        </w:rPr>
        <w:t>Preliminary</w:t>
      </w:r>
      <w:bookmarkEnd w:id="88"/>
      <w:bookmarkEnd w:id="89"/>
      <w:bookmarkEnd w:id="90"/>
    </w:p>
    <w:p>
      <w:pPr>
        <w:pStyle w:val="Heading5"/>
      </w:pPr>
      <w:bookmarkStart w:id="91" w:name="_Toc192856313"/>
      <w:r>
        <w:rPr>
          <w:rStyle w:val="CharSectno"/>
        </w:rPr>
        <w:t>38</w:t>
      </w:r>
      <w:r>
        <w:t>.</w:t>
      </w:r>
      <w:r>
        <w:tab/>
        <w:t>Term used: disqualification offence</w:t>
      </w:r>
      <w:bookmarkEnd w:id="91"/>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2" w:name="_Toc192856314"/>
      <w:r>
        <w:rPr>
          <w:rStyle w:val="CharSectno"/>
        </w:rPr>
        <w:t>39</w:t>
      </w:r>
      <w:r>
        <w:t>.</w:t>
      </w:r>
      <w:r>
        <w:tab/>
        <w:t>Prescribed functions for which provider of principal booking service is responsible (s. 27(3))</w:t>
      </w:r>
      <w:bookmarkEnd w:id="9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3" w:name="_Toc192852308"/>
      <w:bookmarkStart w:id="94" w:name="_Toc192853434"/>
      <w:bookmarkStart w:id="95" w:name="_Toc192856315"/>
      <w:r>
        <w:rPr>
          <w:rStyle w:val="CharDivNo"/>
        </w:rPr>
        <w:t>Division 2</w:t>
      </w:r>
      <w:r>
        <w:t> — </w:t>
      </w:r>
      <w:r>
        <w:rPr>
          <w:rStyle w:val="CharDivText"/>
        </w:rPr>
        <w:t>Applications for on</w:t>
      </w:r>
      <w:r>
        <w:rPr>
          <w:rStyle w:val="CharDivText"/>
        </w:rPr>
        <w:noBreakHyphen/>
        <w:t>demand booking service authorisations</w:t>
      </w:r>
      <w:bookmarkEnd w:id="93"/>
      <w:bookmarkEnd w:id="94"/>
      <w:bookmarkEnd w:id="95"/>
    </w:p>
    <w:p>
      <w:pPr>
        <w:pStyle w:val="Heading5"/>
      </w:pPr>
      <w:bookmarkStart w:id="96" w:name="_Toc192856316"/>
      <w:r>
        <w:rPr>
          <w:rStyle w:val="CharSectno"/>
        </w:rPr>
        <w:t>40</w:t>
      </w:r>
      <w:r>
        <w:t>.</w:t>
      </w:r>
      <w:r>
        <w:tab/>
        <w:t>Information to be included in on</w:t>
      </w:r>
      <w:r>
        <w:noBreakHyphen/>
        <w:t>demand booking service authorisation application (s. 29(4)(e))</w:t>
      </w:r>
      <w:bookmarkEnd w:id="96"/>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7" w:name="_Toc192856317"/>
      <w:r>
        <w:rPr>
          <w:rStyle w:val="CharSectno"/>
        </w:rPr>
        <w:t>41</w:t>
      </w:r>
      <w:r>
        <w:t>.</w:t>
      </w:r>
      <w:r>
        <w:tab/>
        <w:t>Documents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8" w:name="_Toc192856318"/>
      <w:r>
        <w:rPr>
          <w:rStyle w:val="CharSectno"/>
        </w:rPr>
        <w:t>42</w:t>
      </w:r>
      <w:r>
        <w:t>.</w:t>
      </w:r>
      <w:r>
        <w:tab/>
        <w:t>Declaration as to persons nominated as responsible officers</w:t>
      </w:r>
      <w:bookmarkEnd w:id="98"/>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99" w:name="_Toc192852312"/>
      <w:bookmarkStart w:id="100" w:name="_Toc192853438"/>
      <w:bookmarkStart w:id="101" w:name="_Toc192856319"/>
      <w:r>
        <w:rPr>
          <w:rStyle w:val="CharDivNo"/>
        </w:rPr>
        <w:t>Division 3</w:t>
      </w:r>
      <w:r>
        <w:t> — </w:t>
      </w:r>
      <w:r>
        <w:rPr>
          <w:rStyle w:val="CharDivText"/>
        </w:rPr>
        <w:t>Grant, duration and renewal of on</w:t>
      </w:r>
      <w:r>
        <w:rPr>
          <w:rStyle w:val="CharDivText"/>
        </w:rPr>
        <w:noBreakHyphen/>
        <w:t>demand booking service authorisations</w:t>
      </w:r>
      <w:bookmarkEnd w:id="99"/>
      <w:bookmarkEnd w:id="100"/>
      <w:bookmarkEnd w:id="101"/>
    </w:p>
    <w:p>
      <w:pPr>
        <w:pStyle w:val="Heading5"/>
      </w:pPr>
      <w:bookmarkStart w:id="102" w:name="_Toc192856320"/>
      <w:r>
        <w:rPr>
          <w:rStyle w:val="CharSectno"/>
        </w:rPr>
        <w:t>43</w:t>
      </w:r>
      <w:r>
        <w:t>.</w:t>
      </w:r>
      <w:r>
        <w:tab/>
        <w:t>Condition for maximum number of vehicles</w:t>
      </w:r>
      <w:bookmarkEnd w:id="10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3" w:name="_Toc192856321"/>
      <w:r>
        <w:rPr>
          <w:rStyle w:val="CharSectno"/>
        </w:rPr>
        <w:t>44</w:t>
      </w:r>
      <w:r>
        <w:t>.</w:t>
      </w:r>
      <w:r>
        <w:tab/>
        <w:t>Variation of maximum number of vehicles</w:t>
      </w:r>
      <w:bookmarkEnd w:id="103"/>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4" w:name="_Toc192856322"/>
      <w:r>
        <w:rPr>
          <w:rStyle w:val="CharSectno"/>
        </w:rPr>
        <w:t>45</w:t>
      </w:r>
      <w:r>
        <w:t>.</w:t>
      </w:r>
      <w:r>
        <w:tab/>
        <w:t>Duration of on</w:t>
      </w:r>
      <w:r>
        <w:noBreakHyphen/>
        <w:t>demand booking service authorisation (s. 39(1))</w:t>
      </w:r>
      <w:bookmarkEnd w:id="104"/>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5" w:name="_Toc192856323"/>
      <w:r>
        <w:rPr>
          <w:rStyle w:val="CharSectno"/>
        </w:rPr>
        <w:lastRenderedPageBreak/>
        <w:t>46</w:t>
      </w:r>
      <w:r>
        <w:t>.</w:t>
      </w:r>
      <w:r>
        <w:tab/>
        <w:t>Renewal of on</w:t>
      </w:r>
      <w:r>
        <w:noBreakHyphen/>
        <w:t>demand booking service authorisation</w:t>
      </w:r>
      <w:bookmarkEnd w:id="105"/>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6" w:name="_Toc192856324"/>
      <w:r>
        <w:rPr>
          <w:rStyle w:val="CharSectno"/>
        </w:rPr>
        <w:t>47</w:t>
      </w:r>
      <w:r>
        <w:t>.</w:t>
      </w:r>
      <w:r>
        <w:tab/>
        <w:t>Surrender of on</w:t>
      </w:r>
      <w:r>
        <w:noBreakHyphen/>
        <w:t>demand booking service authorisation</w:t>
      </w:r>
      <w:bookmarkEnd w:id="106"/>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7" w:name="_Toc192852318"/>
      <w:bookmarkStart w:id="108" w:name="_Toc192853444"/>
      <w:bookmarkStart w:id="109" w:name="_Toc192856325"/>
      <w:r>
        <w:rPr>
          <w:rStyle w:val="CharDivNo"/>
        </w:rPr>
        <w:t>Division 4</w:t>
      </w:r>
      <w:r>
        <w:t> — </w:t>
      </w:r>
      <w:r>
        <w:rPr>
          <w:rStyle w:val="CharDivText"/>
        </w:rPr>
        <w:t>Responsible officers</w:t>
      </w:r>
      <w:bookmarkEnd w:id="107"/>
      <w:bookmarkEnd w:id="108"/>
      <w:bookmarkEnd w:id="109"/>
    </w:p>
    <w:p>
      <w:pPr>
        <w:pStyle w:val="Heading5"/>
      </w:pPr>
      <w:bookmarkStart w:id="110" w:name="_Toc192856326"/>
      <w:r>
        <w:rPr>
          <w:rStyle w:val="CharSectno"/>
        </w:rPr>
        <w:t>48</w:t>
      </w:r>
      <w:r>
        <w:t>.</w:t>
      </w:r>
      <w:r>
        <w:tab/>
        <w:t>Responsible officer must be ordinarily resident in Australia (s. 30(f))</w:t>
      </w:r>
      <w:bookmarkEnd w:id="110"/>
    </w:p>
    <w:p>
      <w:pPr>
        <w:pStyle w:val="Subsection"/>
      </w:pPr>
      <w:r>
        <w:tab/>
      </w:r>
      <w:r>
        <w:tab/>
        <w:t>For the purposes of section 30(f) of the Act, a person nominated under section 29(4)(c) of the Act or regulation 50 must be ordinarily resident in Australia.</w:t>
      </w:r>
    </w:p>
    <w:p>
      <w:pPr>
        <w:pStyle w:val="Heading5"/>
      </w:pPr>
      <w:bookmarkStart w:id="111" w:name="_Toc192856327"/>
      <w:r>
        <w:rPr>
          <w:rStyle w:val="CharSectno"/>
        </w:rPr>
        <w:t>49</w:t>
      </w:r>
      <w:r>
        <w:t>.</w:t>
      </w:r>
      <w:r>
        <w:tab/>
        <w:t>At least 1 responsible officer to be resident in State</w:t>
      </w:r>
      <w:bookmarkEnd w:id="111"/>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2" w:name="_Toc192856328"/>
      <w:r>
        <w:rPr>
          <w:rStyle w:val="CharSectno"/>
        </w:rPr>
        <w:t>50</w:t>
      </w:r>
      <w:r>
        <w:t>.</w:t>
      </w:r>
      <w:r>
        <w:tab/>
        <w:t>Nomination of additional or replacement responsible officer</w:t>
      </w:r>
      <w:bookmarkEnd w:id="11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3" w:name="_Toc192856329"/>
      <w:r>
        <w:rPr>
          <w:rStyle w:val="CharSectno"/>
        </w:rPr>
        <w:t>51</w:t>
      </w:r>
      <w:r>
        <w:t>.</w:t>
      </w:r>
      <w:r>
        <w:tab/>
        <w:t>Acceptance of or refusal to accept nomination of additional or replacement responsible officer</w:t>
      </w:r>
      <w:bookmarkEnd w:id="113"/>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4" w:name="_Toc192852323"/>
      <w:bookmarkStart w:id="115" w:name="_Toc192853449"/>
      <w:bookmarkStart w:id="116" w:name="_Toc192856330"/>
      <w:r>
        <w:rPr>
          <w:rStyle w:val="CharDivNo"/>
        </w:rPr>
        <w:lastRenderedPageBreak/>
        <w:t>Division 5</w:t>
      </w:r>
      <w:r>
        <w:t> — </w:t>
      </w:r>
      <w:r>
        <w:rPr>
          <w:rStyle w:val="CharDivText"/>
        </w:rPr>
        <w:t>Disqualification</w:t>
      </w:r>
      <w:bookmarkEnd w:id="114"/>
      <w:bookmarkEnd w:id="115"/>
      <w:bookmarkEnd w:id="116"/>
    </w:p>
    <w:p>
      <w:pPr>
        <w:pStyle w:val="Heading5"/>
      </w:pPr>
      <w:bookmarkStart w:id="117" w:name="_Toc192856331"/>
      <w:r>
        <w:rPr>
          <w:rStyle w:val="CharSectno"/>
        </w:rPr>
        <w:t>52</w:t>
      </w:r>
      <w:r>
        <w:t>.</w:t>
      </w:r>
      <w:r>
        <w:tab/>
        <w:t>Disqualification offences and disqualification periods (s. 26 and 46)</w:t>
      </w:r>
      <w:bookmarkEnd w:id="117"/>
    </w:p>
    <w:p>
      <w:pPr>
        <w:pStyle w:val="Subsection"/>
      </w:pPr>
      <w:r>
        <w:tab/>
      </w:r>
      <w:r>
        <w:tab/>
        <w:t>The disqualification offences and disqualification periods set out in Schedule 2 are prescribed for the purposes of Part 3 of the Act.</w:t>
      </w:r>
    </w:p>
    <w:p>
      <w:pPr>
        <w:pStyle w:val="Heading5"/>
      </w:pPr>
      <w:bookmarkStart w:id="118" w:name="_Toc192856332"/>
      <w:r>
        <w:rPr>
          <w:rStyle w:val="CharSectno"/>
        </w:rPr>
        <w:t>53</w:t>
      </w:r>
      <w:r>
        <w:t>.</w:t>
      </w:r>
      <w:r>
        <w:tab/>
        <w:t>Reinstatement of authorisation if conviction quashed or set aside</w:t>
      </w:r>
      <w:bookmarkEnd w:id="118"/>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19" w:name="_Toc192856333"/>
      <w:r>
        <w:rPr>
          <w:rStyle w:val="CharSectno"/>
        </w:rPr>
        <w:t>54</w:t>
      </w:r>
      <w:r>
        <w:t>.</w:t>
      </w:r>
      <w:r>
        <w:tab/>
        <w:t>Requirement to notify CEO of charge or conviction for disqualification offence</w:t>
      </w:r>
      <w:bookmarkEnd w:id="119"/>
    </w:p>
    <w:p>
      <w:pPr>
        <w:pStyle w:val="Subsection"/>
        <w:keepNext/>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keepNex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0" w:name="_Toc192852327"/>
      <w:bookmarkStart w:id="121" w:name="_Toc192853453"/>
      <w:bookmarkStart w:id="122" w:name="_Toc192856334"/>
      <w:r>
        <w:rPr>
          <w:rStyle w:val="CharDivNo"/>
        </w:rPr>
        <w:t>Division 6</w:t>
      </w:r>
      <w:r>
        <w:t> — </w:t>
      </w:r>
      <w:r>
        <w:rPr>
          <w:rStyle w:val="CharDivText"/>
        </w:rPr>
        <w:t>Changes to information</w:t>
      </w:r>
      <w:bookmarkEnd w:id="120"/>
      <w:bookmarkEnd w:id="121"/>
      <w:bookmarkEnd w:id="122"/>
    </w:p>
    <w:p>
      <w:pPr>
        <w:pStyle w:val="Heading5"/>
      </w:pPr>
      <w:bookmarkStart w:id="123" w:name="_Toc192856335"/>
      <w:r>
        <w:rPr>
          <w:rStyle w:val="CharSectno"/>
        </w:rPr>
        <w:t>55</w:t>
      </w:r>
      <w:r>
        <w:t>.</w:t>
      </w:r>
      <w:r>
        <w:tab/>
        <w:t>Provider of on</w:t>
      </w:r>
      <w:r>
        <w:noBreakHyphen/>
        <w:t>demand booking service to notify change in circumstances</w:t>
      </w:r>
      <w:bookmarkEnd w:id="123"/>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4" w:name="_Toc192852329"/>
      <w:bookmarkStart w:id="125" w:name="_Toc192853455"/>
      <w:bookmarkStart w:id="126" w:name="_Toc192856336"/>
      <w:r>
        <w:rPr>
          <w:rStyle w:val="CharDivNo"/>
        </w:rPr>
        <w:t>Division 7</w:t>
      </w:r>
      <w:r>
        <w:t> — </w:t>
      </w:r>
      <w:r>
        <w:rPr>
          <w:rStyle w:val="CharDivText"/>
        </w:rPr>
        <w:t>Records</w:t>
      </w:r>
      <w:bookmarkEnd w:id="124"/>
      <w:bookmarkEnd w:id="125"/>
      <w:bookmarkEnd w:id="126"/>
    </w:p>
    <w:p>
      <w:pPr>
        <w:pStyle w:val="Heading4"/>
      </w:pPr>
      <w:bookmarkStart w:id="127" w:name="_Toc192852330"/>
      <w:bookmarkStart w:id="128" w:name="_Toc192853456"/>
      <w:bookmarkStart w:id="129" w:name="_Toc192856337"/>
      <w:r>
        <w:t>Subdivision 1 — Records of drivers, vehicles and bookings</w:t>
      </w:r>
      <w:bookmarkEnd w:id="127"/>
      <w:bookmarkEnd w:id="128"/>
      <w:bookmarkEnd w:id="129"/>
    </w:p>
    <w:p>
      <w:pPr>
        <w:pStyle w:val="Heading5"/>
      </w:pPr>
      <w:bookmarkStart w:id="130" w:name="_Toc192856338"/>
      <w:r>
        <w:rPr>
          <w:rStyle w:val="CharSectno"/>
        </w:rPr>
        <w:t>56</w:t>
      </w:r>
      <w:r>
        <w:t>.</w:t>
      </w:r>
      <w:r>
        <w:tab/>
        <w:t>Obligations in this Division are conditions on authorisation</w:t>
      </w:r>
      <w:bookmarkEnd w:id="130"/>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1" w:name="_Toc192856339"/>
      <w:r>
        <w:rPr>
          <w:rStyle w:val="CharSectno"/>
        </w:rPr>
        <w:lastRenderedPageBreak/>
        <w:t>57</w:t>
      </w:r>
      <w:r>
        <w:t>.</w:t>
      </w:r>
      <w:r>
        <w:tab/>
        <w:t>Records of drivers and vehicles</w:t>
      </w:r>
      <w:bookmarkEnd w:id="131"/>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2" w:name="_Toc192856340"/>
      <w:r>
        <w:rPr>
          <w:rStyle w:val="CharSectno"/>
        </w:rPr>
        <w:t>58</w:t>
      </w:r>
      <w:r>
        <w:t>.</w:t>
      </w:r>
      <w:r>
        <w:tab/>
        <w:t>Records of bookings for on</w:t>
      </w:r>
      <w:r>
        <w:noBreakHyphen/>
        <w:t>demand passenger transport services</w:t>
      </w:r>
      <w:bookmarkEnd w:id="13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3" w:name="_Toc192852334"/>
      <w:bookmarkStart w:id="134" w:name="_Toc192853460"/>
      <w:bookmarkStart w:id="135" w:name="_Toc192856341"/>
      <w:r>
        <w:t>Subdivision 2 — Records of association arrangements</w:t>
      </w:r>
      <w:bookmarkEnd w:id="133"/>
      <w:bookmarkEnd w:id="134"/>
      <w:bookmarkEnd w:id="135"/>
    </w:p>
    <w:p>
      <w:pPr>
        <w:pStyle w:val="Heading5"/>
      </w:pPr>
      <w:bookmarkStart w:id="136" w:name="_Toc192856342"/>
      <w:r>
        <w:rPr>
          <w:rStyle w:val="CharSectno"/>
        </w:rPr>
        <w:t>59</w:t>
      </w:r>
      <w:r>
        <w:t>.</w:t>
      </w:r>
      <w:r>
        <w:tab/>
        <w:t>Records of association arrangements</w:t>
      </w:r>
      <w:bookmarkEnd w:id="136"/>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7" w:name="_Toc192852336"/>
      <w:bookmarkStart w:id="138" w:name="_Toc192853462"/>
      <w:bookmarkStart w:id="139" w:name="_Toc192856343"/>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7"/>
      <w:bookmarkEnd w:id="138"/>
      <w:bookmarkEnd w:id="139"/>
    </w:p>
    <w:p>
      <w:pPr>
        <w:pStyle w:val="Heading5"/>
      </w:pPr>
      <w:bookmarkStart w:id="140" w:name="_Toc192856344"/>
      <w:r>
        <w:rPr>
          <w:rStyle w:val="CharSectno"/>
        </w:rPr>
        <w:t>60</w:t>
      </w:r>
      <w:r>
        <w:t>.</w:t>
      </w:r>
      <w:r>
        <w:tab/>
        <w:t>Offence to offer or advertise on</w:t>
      </w:r>
      <w:r>
        <w:noBreakHyphen/>
        <w:t>demand booking service or on</w:t>
      </w:r>
      <w:r>
        <w:noBreakHyphen/>
        <w:t>demand passenger transport service unless authorised</w:t>
      </w:r>
      <w:bookmarkEnd w:id="140"/>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1" w:name="_Toc192856345"/>
      <w:r>
        <w:rPr>
          <w:rStyle w:val="CharSectno"/>
        </w:rPr>
        <w:t>61</w:t>
      </w:r>
      <w:r>
        <w:t>.</w:t>
      </w:r>
      <w:r>
        <w:tab/>
        <w:t>Name or authorisation number of provider must be included in advertising</w:t>
      </w:r>
      <w:bookmarkEnd w:id="141"/>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keepNext/>
      </w:pPr>
      <w:r>
        <w:lastRenderedPageBreak/>
        <w:tab/>
        <w:t>(c)</w:t>
      </w:r>
      <w:r>
        <w:tab/>
        <w:t>a business name used by the provider in connection with the provision of the on</w:t>
      </w:r>
      <w:r>
        <w:noBreakHyphen/>
        <w:t>demand booking service.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61 amended: SL 2024/286 r. 10.]</w:t>
      </w:r>
    </w:p>
    <w:p>
      <w:pPr>
        <w:pStyle w:val="Heading3"/>
      </w:pPr>
      <w:bookmarkStart w:id="142" w:name="_Toc192852339"/>
      <w:bookmarkStart w:id="143" w:name="_Toc192853465"/>
      <w:bookmarkStart w:id="144" w:name="_Toc192856346"/>
      <w:r>
        <w:rPr>
          <w:rStyle w:val="CharDivNo"/>
        </w:rPr>
        <w:lastRenderedPageBreak/>
        <w:t>Division 9</w:t>
      </w:r>
      <w:r>
        <w:t> — </w:t>
      </w:r>
      <w:r>
        <w:rPr>
          <w:rStyle w:val="CharDivText"/>
        </w:rPr>
        <w:t>Complaints</w:t>
      </w:r>
      <w:bookmarkEnd w:id="142"/>
      <w:bookmarkEnd w:id="143"/>
      <w:bookmarkEnd w:id="144"/>
    </w:p>
    <w:p>
      <w:pPr>
        <w:pStyle w:val="Heading5"/>
      </w:pPr>
      <w:bookmarkStart w:id="145" w:name="_Toc192856347"/>
      <w:r>
        <w:rPr>
          <w:rStyle w:val="CharSectno"/>
        </w:rPr>
        <w:t>62</w:t>
      </w:r>
      <w:r>
        <w:t>.</w:t>
      </w:r>
      <w:r>
        <w:tab/>
        <w:t>Complaints resolution procedure</w:t>
      </w:r>
      <w:bookmarkEnd w:id="145"/>
    </w:p>
    <w:p>
      <w:pPr>
        <w:pStyle w:val="Subsection"/>
        <w:keepNext/>
      </w:pPr>
      <w:r>
        <w:tab/>
      </w:r>
      <w:r>
        <w:tab/>
        <w:t>The provider of an authorised on</w:t>
      </w:r>
      <w:r>
        <w:noBreakHyphen/>
        <w:t xml:space="preserve">demand booking service must ensure that — </w:t>
      </w:r>
    </w:p>
    <w:p>
      <w:pPr>
        <w:pStyle w:val="Indenta"/>
        <w:keepNext/>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6" w:name="_Toc192856348"/>
      <w:r>
        <w:rPr>
          <w:rStyle w:val="CharSectno"/>
        </w:rPr>
        <w:t>63</w:t>
      </w:r>
      <w:r>
        <w:t>.</w:t>
      </w:r>
      <w:r>
        <w:tab/>
        <w:t>Records of customer complaints</w:t>
      </w:r>
      <w:bookmarkEnd w:id="146"/>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lastRenderedPageBreak/>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7" w:name="_Toc192852342"/>
      <w:bookmarkStart w:id="148" w:name="_Toc192853468"/>
      <w:bookmarkStart w:id="149" w:name="_Toc192856349"/>
      <w:r>
        <w:rPr>
          <w:rStyle w:val="CharDivNo"/>
        </w:rPr>
        <w:t>Division 10</w:t>
      </w:r>
      <w:r>
        <w:t> — </w:t>
      </w:r>
      <w:r>
        <w:rPr>
          <w:rStyle w:val="CharDivText"/>
        </w:rPr>
        <w:t>Miscellaneous</w:t>
      </w:r>
      <w:bookmarkEnd w:id="147"/>
      <w:bookmarkEnd w:id="148"/>
      <w:bookmarkEnd w:id="149"/>
    </w:p>
    <w:p>
      <w:pPr>
        <w:pStyle w:val="Heading5"/>
      </w:pPr>
      <w:bookmarkStart w:id="150" w:name="_Toc192856350"/>
      <w:r>
        <w:rPr>
          <w:rStyle w:val="CharSectno"/>
        </w:rPr>
        <w:t>64</w:t>
      </w:r>
      <w:r>
        <w:t>.</w:t>
      </w:r>
      <w:r>
        <w:tab/>
        <w:t>List of authorised on</w:t>
      </w:r>
      <w:r>
        <w:noBreakHyphen/>
        <w:t>demand booking services (s. 41)</w:t>
      </w:r>
      <w:bookmarkEnd w:id="150"/>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each business name used by the provider in connection with the provision of the on</w:t>
      </w:r>
      <w:r>
        <w:noBreakHyphen/>
        <w:t>demand booking service;</w:t>
      </w:r>
    </w:p>
    <w:p>
      <w:pPr>
        <w:pStyle w:val="Indenta"/>
      </w:pPr>
      <w:r>
        <w:tab/>
        <w:t>(c)</w:t>
      </w:r>
      <w:r>
        <w:tab/>
        <w:t>the authorisation number for the on</w:t>
      </w:r>
      <w:r>
        <w:noBreakHyphen/>
        <w:t>demand booking service authorisation.</w:t>
      </w:r>
    </w:p>
    <w:p>
      <w:pPr>
        <w:pStyle w:val="Footnotesection"/>
      </w:pPr>
      <w:r>
        <w:tab/>
        <w:t>[Regulation 64 amended: SL 2024/286 r. 11.]</w:t>
      </w:r>
    </w:p>
    <w:p>
      <w:pPr>
        <w:pStyle w:val="Heading2"/>
      </w:pPr>
      <w:bookmarkStart w:id="151" w:name="_Toc192852344"/>
      <w:bookmarkStart w:id="152" w:name="_Toc192853470"/>
      <w:bookmarkStart w:id="153" w:name="_Toc192856351"/>
      <w:r>
        <w:rPr>
          <w:rStyle w:val="CharPartNo"/>
        </w:rPr>
        <w:lastRenderedPageBreak/>
        <w:t>Part 5</w:t>
      </w:r>
      <w:r>
        <w:t> — </w:t>
      </w:r>
      <w:r>
        <w:rPr>
          <w:rStyle w:val="CharPartText"/>
        </w:rPr>
        <w:t>Authorisation of regular passenger transport services</w:t>
      </w:r>
      <w:bookmarkEnd w:id="151"/>
      <w:bookmarkEnd w:id="152"/>
      <w:bookmarkEnd w:id="153"/>
    </w:p>
    <w:p>
      <w:pPr>
        <w:pStyle w:val="Heading3"/>
      </w:pPr>
      <w:bookmarkStart w:id="154" w:name="_Toc192852345"/>
      <w:bookmarkStart w:id="155" w:name="_Toc192853471"/>
      <w:bookmarkStart w:id="156" w:name="_Toc192856352"/>
      <w:r>
        <w:rPr>
          <w:rStyle w:val="CharDivNo"/>
        </w:rPr>
        <w:t>Division 1</w:t>
      </w:r>
      <w:r>
        <w:t> — </w:t>
      </w:r>
      <w:r>
        <w:rPr>
          <w:rStyle w:val="CharDivText"/>
        </w:rPr>
        <w:t>Preliminary</w:t>
      </w:r>
      <w:bookmarkEnd w:id="154"/>
      <w:bookmarkEnd w:id="155"/>
      <w:bookmarkEnd w:id="156"/>
    </w:p>
    <w:p>
      <w:pPr>
        <w:pStyle w:val="Heading5"/>
      </w:pPr>
      <w:bookmarkStart w:id="157" w:name="_Toc192856353"/>
      <w:r>
        <w:rPr>
          <w:rStyle w:val="CharSectno"/>
        </w:rPr>
        <w:t>65</w:t>
      </w:r>
      <w:r>
        <w:t>.</w:t>
      </w:r>
      <w:r>
        <w:tab/>
        <w:t>Exemption for contracted provider of authorised regular passenger transport service</w:t>
      </w:r>
      <w:bookmarkEnd w:id="157"/>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158" w:name="_Toc192852347"/>
      <w:bookmarkStart w:id="159" w:name="_Toc192853473"/>
      <w:bookmarkStart w:id="160" w:name="_Toc192856354"/>
      <w:r>
        <w:rPr>
          <w:rStyle w:val="CharDivNo"/>
        </w:rPr>
        <w:lastRenderedPageBreak/>
        <w:t>Division 2</w:t>
      </w:r>
      <w:r>
        <w:t> — </w:t>
      </w:r>
      <w:r>
        <w:rPr>
          <w:rStyle w:val="CharDivText"/>
        </w:rPr>
        <w:t>Grant, duration and renewal of regular passenger service authorisations</w:t>
      </w:r>
      <w:bookmarkEnd w:id="158"/>
      <w:bookmarkEnd w:id="159"/>
      <w:bookmarkEnd w:id="160"/>
    </w:p>
    <w:p>
      <w:pPr>
        <w:pStyle w:val="Heading5"/>
      </w:pPr>
      <w:bookmarkStart w:id="161" w:name="_Toc192856355"/>
      <w:r>
        <w:rPr>
          <w:rStyle w:val="CharSectno"/>
        </w:rPr>
        <w:t>66</w:t>
      </w:r>
      <w:r>
        <w:t>.</w:t>
      </w:r>
      <w:r>
        <w:tab/>
        <w:t>Application for approval of temporary variation of route or area (s. 70(2))</w:t>
      </w:r>
      <w:bookmarkEnd w:id="161"/>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2" w:name="_Toc192856356"/>
      <w:r>
        <w:rPr>
          <w:rStyle w:val="CharSectno"/>
        </w:rPr>
        <w:t>67</w:t>
      </w:r>
      <w:r>
        <w:t>.</w:t>
      </w:r>
      <w:r>
        <w:tab/>
        <w:t>Temporary variation of route or area (s. 70(2))</w:t>
      </w:r>
      <w:bookmarkEnd w:id="16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3" w:name="_Toc192856357"/>
      <w:r>
        <w:rPr>
          <w:rStyle w:val="CharSectno"/>
        </w:rPr>
        <w:t>68</w:t>
      </w:r>
      <w:r>
        <w:t>.</w:t>
      </w:r>
      <w:r>
        <w:tab/>
        <w:t>Duration of regular passenger transport service authorisation (s. 74(1))</w:t>
      </w:r>
      <w:bookmarkEnd w:id="163"/>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4" w:name="_Toc192856358"/>
      <w:r>
        <w:rPr>
          <w:rStyle w:val="CharSectno"/>
        </w:rPr>
        <w:t>69</w:t>
      </w:r>
      <w:r>
        <w:t>.</w:t>
      </w:r>
      <w:r>
        <w:tab/>
        <w:t>Renewal of regular passenger transport service authorisation</w:t>
      </w:r>
      <w:bookmarkEnd w:id="164"/>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5" w:name="_Toc192852352"/>
      <w:bookmarkStart w:id="166" w:name="_Toc192853478"/>
      <w:bookmarkStart w:id="167" w:name="_Toc192856359"/>
      <w:r>
        <w:rPr>
          <w:rStyle w:val="CharDivNo"/>
        </w:rPr>
        <w:t>Division 3</w:t>
      </w:r>
      <w:r>
        <w:t> — </w:t>
      </w:r>
      <w:r>
        <w:rPr>
          <w:rStyle w:val="CharDivText"/>
        </w:rPr>
        <w:t>Changes to information</w:t>
      </w:r>
      <w:bookmarkEnd w:id="165"/>
      <w:bookmarkEnd w:id="166"/>
      <w:bookmarkEnd w:id="167"/>
    </w:p>
    <w:p>
      <w:pPr>
        <w:pStyle w:val="Heading5"/>
      </w:pPr>
      <w:bookmarkStart w:id="168" w:name="_Toc192856360"/>
      <w:r>
        <w:rPr>
          <w:rStyle w:val="CharSectno"/>
        </w:rPr>
        <w:t>70</w:t>
      </w:r>
      <w:r>
        <w:t>.</w:t>
      </w:r>
      <w:r>
        <w:tab/>
        <w:t>Provider of authorised regular passenger transport service to notify change in circumstances</w:t>
      </w:r>
      <w:bookmarkEnd w:id="168"/>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69" w:name="_Toc192852354"/>
      <w:bookmarkStart w:id="170" w:name="_Toc192853480"/>
      <w:bookmarkStart w:id="171" w:name="_Toc192856361"/>
      <w:r>
        <w:rPr>
          <w:rStyle w:val="CharDivNo"/>
        </w:rPr>
        <w:lastRenderedPageBreak/>
        <w:t>Division 4</w:t>
      </w:r>
      <w:r>
        <w:t> — </w:t>
      </w:r>
      <w:r>
        <w:rPr>
          <w:rStyle w:val="CharDivText"/>
        </w:rPr>
        <w:t>Conditions of authorisation</w:t>
      </w:r>
      <w:bookmarkEnd w:id="169"/>
      <w:bookmarkEnd w:id="170"/>
      <w:bookmarkEnd w:id="171"/>
    </w:p>
    <w:p>
      <w:pPr>
        <w:pStyle w:val="Heading5"/>
      </w:pPr>
      <w:bookmarkStart w:id="172" w:name="_Toc192856362"/>
      <w:r>
        <w:rPr>
          <w:rStyle w:val="CharSectno"/>
        </w:rPr>
        <w:t>71</w:t>
      </w:r>
      <w:r>
        <w:t>.</w:t>
      </w:r>
      <w:r>
        <w:tab/>
        <w:t>Obligations in this Division are conditions on authorisation</w:t>
      </w:r>
      <w:bookmarkEnd w:id="17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3" w:name="_Toc192856363"/>
      <w:r>
        <w:rPr>
          <w:rStyle w:val="CharSectno"/>
        </w:rPr>
        <w:t>72</w:t>
      </w:r>
      <w:r>
        <w:t>.</w:t>
      </w:r>
      <w:r>
        <w:tab/>
        <w:t>Use of regular passenger transport vehicles</w:t>
      </w:r>
      <w:bookmarkEnd w:id="173"/>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4" w:name="_Toc192856364"/>
      <w:r>
        <w:rPr>
          <w:rStyle w:val="CharSectno"/>
        </w:rPr>
        <w:t>73</w:t>
      </w:r>
      <w:r>
        <w:t>.</w:t>
      </w:r>
      <w:r>
        <w:tab/>
        <w:t>Fares</w:t>
      </w:r>
      <w:bookmarkEnd w:id="174"/>
    </w:p>
    <w:p>
      <w:pPr>
        <w:pStyle w:val="Subsection"/>
      </w:pPr>
      <w:r>
        <w:tab/>
        <w:t>(1)</w:t>
      </w:r>
      <w:r>
        <w:tab/>
        <w:t>The provider of an authorised regular passenger transport service must use a transparent process for the determination of fares.</w:t>
      </w:r>
    </w:p>
    <w:p>
      <w:pPr>
        <w:pStyle w:val="Subsection"/>
        <w:keepNext/>
      </w:pPr>
      <w:r>
        <w:tab/>
        <w:t>(2)</w:t>
      </w:r>
      <w:r>
        <w:tab/>
        <w:t xml:space="preserve">The provider of an authorised regular passenger transport service must make the amount of any fare to be charged </w:t>
      </w:r>
      <w:r>
        <w:lastRenderedPageBreak/>
        <w:t>available to a passenger by publication or otherwise a reasonable time before a journey begins.</w:t>
      </w:r>
    </w:p>
    <w:p>
      <w:pPr>
        <w:pStyle w:val="Heading5"/>
      </w:pPr>
      <w:bookmarkStart w:id="175" w:name="_Toc192856365"/>
      <w:r>
        <w:rPr>
          <w:rStyle w:val="CharSectno"/>
        </w:rPr>
        <w:t>74</w:t>
      </w:r>
      <w:r>
        <w:t>.</w:t>
      </w:r>
      <w:r>
        <w:tab/>
        <w:t>Records</w:t>
      </w:r>
      <w:bookmarkEnd w:id="175"/>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6" w:name="_Toc192852359"/>
      <w:bookmarkStart w:id="177" w:name="_Toc192853485"/>
      <w:bookmarkStart w:id="178" w:name="_Toc192856366"/>
      <w:r>
        <w:rPr>
          <w:rStyle w:val="CharDivNo"/>
        </w:rPr>
        <w:t>Division 5</w:t>
      </w:r>
      <w:r>
        <w:t> — </w:t>
      </w:r>
      <w:r>
        <w:rPr>
          <w:rStyle w:val="CharDivText"/>
        </w:rPr>
        <w:t>Offences relating to advertising by providers of regular passenger transport services</w:t>
      </w:r>
      <w:bookmarkEnd w:id="176"/>
      <w:bookmarkEnd w:id="177"/>
      <w:bookmarkEnd w:id="178"/>
    </w:p>
    <w:p>
      <w:pPr>
        <w:pStyle w:val="Heading5"/>
      </w:pPr>
      <w:bookmarkStart w:id="179" w:name="_Toc192856367"/>
      <w:r>
        <w:rPr>
          <w:rStyle w:val="CharSectno"/>
        </w:rPr>
        <w:t>75</w:t>
      </w:r>
      <w:r>
        <w:t>.</w:t>
      </w:r>
      <w:r>
        <w:tab/>
        <w:t>Offence to offer or advertise regular passenger transport service unless authorised</w:t>
      </w:r>
      <w:bookmarkEnd w:id="179"/>
    </w:p>
    <w:p>
      <w:pPr>
        <w:pStyle w:val="Subsection"/>
        <w:keepNext/>
      </w:pPr>
      <w:r>
        <w:tab/>
      </w:r>
      <w:r>
        <w:tab/>
        <w:t xml:space="preserve">The provider of a regular passenger transport service must not offer to provide, advertise, or authorise or permit the publication </w:t>
      </w:r>
      <w:r>
        <w:lastRenderedPageBreak/>
        <w:t xml:space="preserve">of an advertisement for, the regular passenger transport service unless the provider — </w:t>
      </w:r>
    </w:p>
    <w:p>
      <w:pPr>
        <w:pStyle w:val="Indenta"/>
        <w:keepNext/>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0" w:name="_Toc192856368"/>
      <w:r>
        <w:rPr>
          <w:rStyle w:val="CharSectno"/>
        </w:rPr>
        <w:t>76</w:t>
      </w:r>
      <w:r>
        <w:t>.</w:t>
      </w:r>
      <w:r>
        <w:tab/>
        <w:t>Name or authorisation number of provider must be included in advertising</w:t>
      </w:r>
      <w:bookmarkEnd w:id="180"/>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business name used by the provider in connection with the provision of the regular passenger transport service;</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keepNext/>
      </w:pPr>
      <w:r>
        <w:lastRenderedPageBreak/>
        <w:tab/>
        <w:t>(iii)</w:t>
      </w:r>
      <w:r>
        <w:tab/>
        <w:t>a business name used by the authorised provider in connection with the provision of the authorised regular passenger transport service.</w:t>
      </w:r>
    </w:p>
    <w:p>
      <w:pPr>
        <w:pStyle w:val="Penstart"/>
        <w:keepNext/>
      </w:pPr>
      <w:r>
        <w:tab/>
        <w:t>Penalty:</w:t>
      </w:r>
    </w:p>
    <w:p>
      <w:pPr>
        <w:pStyle w:val="Penpara"/>
        <w:keepNext/>
      </w:pPr>
      <w:r>
        <w:tab/>
        <w:t>(a)</w:t>
      </w:r>
      <w:r>
        <w:tab/>
        <w:t>for an individual, a fine of $9 000;</w:t>
      </w:r>
    </w:p>
    <w:p>
      <w:pPr>
        <w:pStyle w:val="Penpara"/>
        <w:keepNext/>
      </w:pPr>
      <w:r>
        <w:tab/>
        <w:t>(b)</w:t>
      </w:r>
      <w:r>
        <w:tab/>
        <w:t>for a body corporate, a fine of $30 000.</w:t>
      </w:r>
    </w:p>
    <w:p>
      <w:pPr>
        <w:pStyle w:val="Footnotesection"/>
      </w:pPr>
      <w:r>
        <w:tab/>
        <w:t>[Regulation 76 amended: SL 2024/286 r. 12.]</w:t>
      </w:r>
    </w:p>
    <w:p>
      <w:pPr>
        <w:pStyle w:val="Heading3"/>
      </w:pPr>
      <w:bookmarkStart w:id="181" w:name="_Toc192852362"/>
      <w:bookmarkStart w:id="182" w:name="_Toc192853488"/>
      <w:bookmarkStart w:id="183" w:name="_Toc192856369"/>
      <w:r>
        <w:rPr>
          <w:rStyle w:val="CharDivNo"/>
        </w:rPr>
        <w:t>Division 6</w:t>
      </w:r>
      <w:r>
        <w:t> — </w:t>
      </w:r>
      <w:r>
        <w:rPr>
          <w:rStyle w:val="CharDivText"/>
        </w:rPr>
        <w:t>Complaints</w:t>
      </w:r>
      <w:bookmarkEnd w:id="181"/>
      <w:bookmarkEnd w:id="182"/>
      <w:bookmarkEnd w:id="183"/>
    </w:p>
    <w:p>
      <w:pPr>
        <w:pStyle w:val="Heading5"/>
      </w:pPr>
      <w:bookmarkStart w:id="184" w:name="_Toc192856370"/>
      <w:r>
        <w:rPr>
          <w:rStyle w:val="CharSectno"/>
        </w:rPr>
        <w:t>77</w:t>
      </w:r>
      <w:r>
        <w:t>.</w:t>
      </w:r>
      <w:r>
        <w:tab/>
        <w:t>Complaints resolution procedure</w:t>
      </w:r>
      <w:bookmarkEnd w:id="184"/>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5" w:name="_Toc192856371"/>
      <w:r>
        <w:rPr>
          <w:rStyle w:val="CharSectno"/>
        </w:rPr>
        <w:lastRenderedPageBreak/>
        <w:t>78</w:t>
      </w:r>
      <w:r>
        <w:t>.</w:t>
      </w:r>
      <w:r>
        <w:tab/>
        <w:t>Records of customer complaints</w:t>
      </w:r>
      <w:bookmarkEnd w:id="185"/>
    </w:p>
    <w:p>
      <w:pPr>
        <w:pStyle w:val="Subsection"/>
        <w:keepNext/>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6" w:name="_Toc192852365"/>
      <w:bookmarkStart w:id="187" w:name="_Toc192853491"/>
      <w:bookmarkStart w:id="188" w:name="_Toc192856372"/>
      <w:r>
        <w:rPr>
          <w:rStyle w:val="CharPartNo"/>
        </w:rPr>
        <w:lastRenderedPageBreak/>
        <w:t>Part 6</w:t>
      </w:r>
      <w:r>
        <w:t> — </w:t>
      </w:r>
      <w:r>
        <w:rPr>
          <w:rStyle w:val="CharPartText"/>
        </w:rPr>
        <w:t>Authorisation of passenger transport drivers</w:t>
      </w:r>
      <w:bookmarkEnd w:id="186"/>
      <w:bookmarkEnd w:id="187"/>
      <w:bookmarkEnd w:id="188"/>
    </w:p>
    <w:p>
      <w:pPr>
        <w:pStyle w:val="Heading3"/>
      </w:pPr>
      <w:bookmarkStart w:id="189" w:name="_Toc192852366"/>
      <w:bookmarkStart w:id="190" w:name="_Toc192853492"/>
      <w:bookmarkStart w:id="191" w:name="_Toc192856373"/>
      <w:r>
        <w:rPr>
          <w:rStyle w:val="CharDivNo"/>
        </w:rPr>
        <w:t>Division 1</w:t>
      </w:r>
      <w:r>
        <w:t> — </w:t>
      </w:r>
      <w:r>
        <w:rPr>
          <w:rStyle w:val="CharDivText"/>
        </w:rPr>
        <w:t>Preliminary</w:t>
      </w:r>
      <w:bookmarkEnd w:id="189"/>
      <w:bookmarkEnd w:id="190"/>
      <w:bookmarkEnd w:id="191"/>
    </w:p>
    <w:p>
      <w:pPr>
        <w:pStyle w:val="Heading5"/>
      </w:pPr>
      <w:bookmarkStart w:id="192" w:name="_Toc192856374"/>
      <w:r>
        <w:rPr>
          <w:rStyle w:val="CharSectno"/>
        </w:rPr>
        <w:t>79</w:t>
      </w:r>
      <w:r>
        <w:t>.</w:t>
      </w:r>
      <w:r>
        <w:tab/>
        <w:t>Term used: disqualification offence</w:t>
      </w:r>
      <w:bookmarkEnd w:id="1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3" w:name="_Toc192856375"/>
      <w:r>
        <w:rPr>
          <w:rStyle w:val="CharSectno"/>
        </w:rPr>
        <w:t>80</w:t>
      </w:r>
      <w:r>
        <w:t>.</w:t>
      </w:r>
      <w:r>
        <w:tab/>
        <w:t>Driving vehicle with interstate driver authorisation (s. 90 and 91)</w:t>
      </w:r>
      <w:bookmarkEnd w:id="193"/>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4" w:name="_Toc192856376"/>
      <w:r>
        <w:rPr>
          <w:rStyle w:val="CharSectno"/>
        </w:rPr>
        <w:t>81</w:t>
      </w:r>
      <w:r>
        <w:t>.</w:t>
      </w:r>
      <w:r>
        <w:tab/>
        <w:t>Exemption from s. 90 and 91 where driver has interstate driver authorisation and conditions complied with to the extent possible in the State</w:t>
      </w:r>
      <w:bookmarkEnd w:id="194"/>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5" w:name="_Toc192852370"/>
      <w:bookmarkStart w:id="196" w:name="_Toc192853496"/>
      <w:bookmarkStart w:id="197" w:name="_Toc192856377"/>
      <w:r>
        <w:rPr>
          <w:rStyle w:val="CharDivNo"/>
        </w:rPr>
        <w:t>Division 2</w:t>
      </w:r>
      <w:r>
        <w:t> — </w:t>
      </w:r>
      <w:r>
        <w:rPr>
          <w:rStyle w:val="CharDivText"/>
        </w:rPr>
        <w:t>Applications for passenger transport driver authorisations</w:t>
      </w:r>
      <w:bookmarkEnd w:id="195"/>
      <w:bookmarkEnd w:id="196"/>
      <w:bookmarkEnd w:id="197"/>
    </w:p>
    <w:p>
      <w:pPr>
        <w:pStyle w:val="Heading5"/>
      </w:pPr>
      <w:bookmarkStart w:id="198" w:name="_Toc192856378"/>
      <w:r>
        <w:rPr>
          <w:rStyle w:val="CharSectno"/>
        </w:rPr>
        <w:t>82</w:t>
      </w:r>
      <w:r>
        <w:t>.</w:t>
      </w:r>
      <w:r>
        <w:tab/>
        <w:t>Documents to be included in passenger transport driver authorisation application</w:t>
      </w:r>
      <w:bookmarkEnd w:id="198"/>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keepNext w:val="0"/>
      </w:pPr>
      <w:bookmarkStart w:id="199" w:name="_Toc192852372"/>
      <w:bookmarkStart w:id="200" w:name="_Toc192853498"/>
      <w:bookmarkStart w:id="201" w:name="_Toc192856379"/>
      <w:r>
        <w:rPr>
          <w:rStyle w:val="CharDivNo"/>
        </w:rPr>
        <w:t>Division 3</w:t>
      </w:r>
      <w:r>
        <w:t> — </w:t>
      </w:r>
      <w:r>
        <w:rPr>
          <w:rStyle w:val="CharDivText"/>
        </w:rPr>
        <w:t>Grant, duration and renewal of passenger transport driver authorisations</w:t>
      </w:r>
      <w:bookmarkEnd w:id="199"/>
      <w:bookmarkEnd w:id="200"/>
      <w:bookmarkEnd w:id="201"/>
    </w:p>
    <w:p>
      <w:pPr>
        <w:pStyle w:val="Heading5"/>
        <w:keepNext w:val="0"/>
        <w:keepLines w:val="0"/>
      </w:pPr>
      <w:bookmarkStart w:id="202" w:name="_Toc192856380"/>
      <w:r>
        <w:rPr>
          <w:rStyle w:val="CharSectno"/>
        </w:rPr>
        <w:t>83</w:t>
      </w:r>
      <w:r>
        <w:t>.</w:t>
      </w:r>
      <w:r>
        <w:tab/>
        <w:t>Grant of passenger transport driver authorisation (s. 96(b))</w:t>
      </w:r>
      <w:bookmarkEnd w:id="202"/>
    </w:p>
    <w:p>
      <w:pPr>
        <w:pStyle w:val="Subsection"/>
      </w:pPr>
      <w:r>
        <w:tab/>
        <w:t>(1)</w:t>
      </w:r>
      <w:r>
        <w:tab/>
        <w:t xml:space="preserve">For the purposes of section 96(b) of the Act, the following criteria are prescribed — </w:t>
      </w:r>
    </w:p>
    <w:p>
      <w:pPr>
        <w:pStyle w:val="Indenta"/>
      </w:pPr>
      <w:r>
        <w:lastRenderedPageBreak/>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3" w:name="_Toc192856381"/>
      <w:r>
        <w:rPr>
          <w:rStyle w:val="CharSectno"/>
        </w:rPr>
        <w:t>84</w:t>
      </w:r>
      <w:r>
        <w:t>.</w:t>
      </w:r>
      <w:r>
        <w:tab/>
        <w:t>Duration of passenger transport driver authorisation (s. 104(1))</w:t>
      </w:r>
      <w:bookmarkEnd w:id="203"/>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lastRenderedPageBreak/>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4" w:name="_Toc192856382"/>
      <w:r>
        <w:rPr>
          <w:rStyle w:val="CharSectno"/>
        </w:rPr>
        <w:t>85</w:t>
      </w:r>
      <w:r>
        <w:t>.</w:t>
      </w:r>
      <w:r>
        <w:tab/>
        <w:t>Renewal of passenger transport driver authorisation</w:t>
      </w:r>
      <w:bookmarkEnd w:id="204"/>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lastRenderedPageBreak/>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lastRenderedPageBreak/>
        <w:tab/>
        <w:t>(ii)</w:t>
      </w:r>
      <w:r>
        <w:tab/>
        <w:t>otherwise — the day after the day on which the further authorisation is granted.</w:t>
      </w:r>
    </w:p>
    <w:p>
      <w:pPr>
        <w:pStyle w:val="Heading5"/>
      </w:pPr>
      <w:bookmarkStart w:id="205" w:name="_Toc192856383"/>
      <w:r>
        <w:rPr>
          <w:rStyle w:val="CharSectno"/>
        </w:rPr>
        <w:t>86</w:t>
      </w:r>
      <w:r>
        <w:t>.</w:t>
      </w:r>
      <w:r>
        <w:tab/>
        <w:t>Approved medical report required to be included in renewal application after shorter period</w:t>
      </w:r>
      <w:bookmarkEnd w:id="205"/>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6" w:name="_Toc192856384"/>
      <w:r>
        <w:rPr>
          <w:rStyle w:val="CharSectno"/>
        </w:rPr>
        <w:t>87</w:t>
      </w:r>
      <w:r>
        <w:t>.</w:t>
      </w:r>
      <w:r>
        <w:tab/>
        <w:t>Surrender of passenger transport driver authorisation</w:t>
      </w:r>
      <w:bookmarkEnd w:id="206"/>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7" w:name="_Toc192852378"/>
      <w:bookmarkStart w:id="208" w:name="_Toc192853504"/>
      <w:bookmarkStart w:id="209" w:name="_Toc192856385"/>
      <w:r>
        <w:rPr>
          <w:rStyle w:val="CharDivNo"/>
        </w:rPr>
        <w:t>Division 4</w:t>
      </w:r>
      <w:r>
        <w:t> — </w:t>
      </w:r>
      <w:r>
        <w:rPr>
          <w:rStyle w:val="CharDivText"/>
        </w:rPr>
        <w:t>Suspension, cancellation and disqualification</w:t>
      </w:r>
      <w:bookmarkEnd w:id="207"/>
      <w:bookmarkEnd w:id="208"/>
      <w:bookmarkEnd w:id="209"/>
    </w:p>
    <w:p>
      <w:pPr>
        <w:pStyle w:val="Heading5"/>
      </w:pPr>
      <w:bookmarkStart w:id="210" w:name="_Toc192856386"/>
      <w:r>
        <w:rPr>
          <w:rStyle w:val="CharSectno"/>
        </w:rPr>
        <w:t>88</w:t>
      </w:r>
      <w:r>
        <w:t>.</w:t>
      </w:r>
      <w:r>
        <w:tab/>
        <w:t>Disqualification offences and disqualification periods (s. 89 and 115)</w:t>
      </w:r>
      <w:bookmarkEnd w:id="210"/>
    </w:p>
    <w:p>
      <w:pPr>
        <w:pStyle w:val="Subsection"/>
      </w:pPr>
      <w:r>
        <w:tab/>
      </w:r>
      <w:r>
        <w:tab/>
        <w:t>The disqualification offences and disqualification periods set out in Schedule 3 are prescribed for the purposes of Part 5 of the Act.</w:t>
      </w:r>
    </w:p>
    <w:p>
      <w:pPr>
        <w:pStyle w:val="Heading5"/>
      </w:pPr>
      <w:bookmarkStart w:id="211" w:name="_Toc192856387"/>
      <w:r>
        <w:rPr>
          <w:rStyle w:val="CharSectno"/>
        </w:rPr>
        <w:lastRenderedPageBreak/>
        <w:t>89</w:t>
      </w:r>
      <w:r>
        <w:t>.</w:t>
      </w:r>
      <w:r>
        <w:tab/>
        <w:t>Reinstatement of authorisation if conviction quashed or set aside</w:t>
      </w:r>
      <w:bookmarkEnd w:id="211"/>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2" w:name="_Toc192856388"/>
      <w:r>
        <w:rPr>
          <w:rStyle w:val="CharSectno"/>
        </w:rPr>
        <w:t>90</w:t>
      </w:r>
      <w:r>
        <w:t>.</w:t>
      </w:r>
      <w:r>
        <w:tab/>
        <w:t>Requirement to notify CEO of charge or conviction for disqualification offence</w:t>
      </w:r>
      <w:bookmarkEnd w:id="212"/>
    </w:p>
    <w:p>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213" w:name="_Toc192852382"/>
      <w:bookmarkStart w:id="214" w:name="_Toc192853508"/>
      <w:bookmarkStart w:id="215" w:name="_Toc192856389"/>
      <w:r>
        <w:rPr>
          <w:rStyle w:val="CharDivNo"/>
        </w:rPr>
        <w:t>Division 5</w:t>
      </w:r>
      <w:r>
        <w:t> — </w:t>
      </w:r>
      <w:r>
        <w:rPr>
          <w:rStyle w:val="CharDivText"/>
        </w:rPr>
        <w:t>Changes to information</w:t>
      </w:r>
      <w:bookmarkEnd w:id="213"/>
      <w:bookmarkEnd w:id="214"/>
      <w:bookmarkEnd w:id="215"/>
    </w:p>
    <w:p>
      <w:pPr>
        <w:pStyle w:val="Heading5"/>
      </w:pPr>
      <w:bookmarkStart w:id="216" w:name="_Toc192856390"/>
      <w:r>
        <w:rPr>
          <w:rStyle w:val="CharSectno"/>
        </w:rPr>
        <w:t>91</w:t>
      </w:r>
      <w:r>
        <w:t>.</w:t>
      </w:r>
      <w:r>
        <w:tab/>
        <w:t>Authorisation holder to notify change in circumstances</w:t>
      </w:r>
      <w:bookmarkEnd w:id="216"/>
    </w:p>
    <w:p>
      <w:pPr>
        <w:pStyle w:val="Subsection"/>
      </w:pPr>
      <w:r>
        <w:tab/>
      </w:r>
      <w:r>
        <w:tab/>
        <w:t xml:space="preserve">The holder of a passenger transport driver authorisation must give written notice to the CEO, as soon as practicable after </w:t>
      </w:r>
      <w:r>
        <w:lastRenderedPageBreak/>
        <w:t xml:space="preserve">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7" w:name="_Toc192852384"/>
      <w:bookmarkStart w:id="218" w:name="_Toc192853510"/>
      <w:bookmarkStart w:id="219" w:name="_Toc192856391"/>
      <w:r>
        <w:rPr>
          <w:rStyle w:val="CharDivNo"/>
        </w:rPr>
        <w:t>Division 6</w:t>
      </w:r>
      <w:r>
        <w:t> — </w:t>
      </w:r>
      <w:r>
        <w:rPr>
          <w:rStyle w:val="CharDivText"/>
        </w:rPr>
        <w:t>Miscellaneous</w:t>
      </w:r>
      <w:bookmarkEnd w:id="217"/>
      <w:bookmarkEnd w:id="218"/>
      <w:bookmarkEnd w:id="219"/>
    </w:p>
    <w:p>
      <w:pPr>
        <w:pStyle w:val="Heading5"/>
      </w:pPr>
      <w:bookmarkStart w:id="220" w:name="_Toc192856392"/>
      <w:r>
        <w:rPr>
          <w:rStyle w:val="CharSectno"/>
        </w:rPr>
        <w:t>92</w:t>
      </w:r>
      <w:r>
        <w:t>.</w:t>
      </w:r>
      <w:r>
        <w:tab/>
        <w:t>CEO may require authorisation holder to provide certain documents</w:t>
      </w:r>
      <w:bookmarkEnd w:id="220"/>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1" w:name="_Toc192856393"/>
      <w:r>
        <w:rPr>
          <w:rStyle w:val="CharSectno"/>
        </w:rPr>
        <w:lastRenderedPageBreak/>
        <w:t>93</w:t>
      </w:r>
      <w:r>
        <w:t>.</w:t>
      </w:r>
      <w:r>
        <w:tab/>
        <w:t>Authorisation holder may provide criminal record check or approved medical report to CEO</w:t>
      </w:r>
      <w:bookmarkEnd w:id="221"/>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2" w:name="_Toc192856394"/>
      <w:r>
        <w:rPr>
          <w:rStyle w:val="CharSectno"/>
        </w:rPr>
        <w:t>94</w:t>
      </w:r>
      <w:r>
        <w:t>.</w:t>
      </w:r>
      <w:r>
        <w:tab/>
        <w:t>CEO may issue documents for purposes of r. 29 and 31</w:t>
      </w:r>
      <w:bookmarkEnd w:id="22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lastRenderedPageBreak/>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3" w:name="_Toc192852388"/>
      <w:bookmarkStart w:id="224" w:name="_Toc192853514"/>
      <w:bookmarkStart w:id="225" w:name="_Toc192856395"/>
      <w:r>
        <w:rPr>
          <w:rStyle w:val="CharPartNo"/>
        </w:rPr>
        <w:lastRenderedPageBreak/>
        <w:t>Part 7</w:t>
      </w:r>
      <w:r>
        <w:t> — </w:t>
      </w:r>
      <w:r>
        <w:rPr>
          <w:rStyle w:val="CharPartText"/>
        </w:rPr>
        <w:t>Authorisation of passenger transport vehicles</w:t>
      </w:r>
      <w:bookmarkEnd w:id="223"/>
      <w:bookmarkEnd w:id="224"/>
      <w:bookmarkEnd w:id="225"/>
    </w:p>
    <w:p>
      <w:pPr>
        <w:pStyle w:val="Heading3"/>
      </w:pPr>
      <w:bookmarkStart w:id="226" w:name="_Toc192852389"/>
      <w:bookmarkStart w:id="227" w:name="_Toc192853515"/>
      <w:bookmarkStart w:id="228" w:name="_Toc192856396"/>
      <w:r>
        <w:rPr>
          <w:rStyle w:val="CharDivNo"/>
        </w:rPr>
        <w:t>Division 1</w:t>
      </w:r>
      <w:r>
        <w:t> — </w:t>
      </w:r>
      <w:r>
        <w:rPr>
          <w:rStyle w:val="CharDivText"/>
        </w:rPr>
        <w:t>Preliminary</w:t>
      </w:r>
      <w:bookmarkEnd w:id="226"/>
      <w:bookmarkEnd w:id="227"/>
      <w:bookmarkEnd w:id="228"/>
    </w:p>
    <w:p>
      <w:pPr>
        <w:pStyle w:val="Heading5"/>
      </w:pPr>
      <w:bookmarkStart w:id="229" w:name="_Toc192856397"/>
      <w:r>
        <w:rPr>
          <w:rStyle w:val="CharSectno"/>
        </w:rPr>
        <w:t>95</w:t>
      </w:r>
      <w:r>
        <w:t>.</w:t>
      </w:r>
      <w:r>
        <w:tab/>
        <w:t>Driving or operating vehicle with interstate vehicle authorisation (s. 121 and 122)</w:t>
      </w:r>
      <w:bookmarkEnd w:id="229"/>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0" w:name="_Toc192856398"/>
      <w:r>
        <w:rPr>
          <w:rStyle w:val="CharSectno"/>
        </w:rPr>
        <w:t>96</w:t>
      </w:r>
      <w:r>
        <w:t>.</w:t>
      </w:r>
      <w:r>
        <w:tab/>
        <w:t>Exemption from s. 121 and 122 for vehicle with interstate vehicle authorisation where conditions complied with to extent possible in the State</w:t>
      </w:r>
      <w:bookmarkEnd w:id="230"/>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1" w:name="_Toc192856399"/>
      <w:r>
        <w:rPr>
          <w:rStyle w:val="CharSectno"/>
        </w:rPr>
        <w:t>97</w:t>
      </w:r>
      <w:r>
        <w:t>.</w:t>
      </w:r>
      <w:r>
        <w:tab/>
        <w:t>Replacement vehicles (s. 121 and 122)</w:t>
      </w:r>
      <w:bookmarkEnd w:id="231"/>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2" w:name="_Toc192852393"/>
      <w:bookmarkStart w:id="233" w:name="_Toc192853519"/>
      <w:bookmarkStart w:id="234" w:name="_Toc192856400"/>
      <w:r>
        <w:rPr>
          <w:rStyle w:val="CharDivNo"/>
        </w:rPr>
        <w:lastRenderedPageBreak/>
        <w:t>Division 2</w:t>
      </w:r>
      <w:r>
        <w:t> — </w:t>
      </w:r>
      <w:r>
        <w:rPr>
          <w:rStyle w:val="CharDivText"/>
        </w:rPr>
        <w:t>Grant, duration and renewal of passenger transport vehicle authorisations</w:t>
      </w:r>
      <w:bookmarkEnd w:id="232"/>
      <w:bookmarkEnd w:id="233"/>
      <w:bookmarkEnd w:id="234"/>
    </w:p>
    <w:p>
      <w:pPr>
        <w:pStyle w:val="Heading5"/>
      </w:pPr>
      <w:bookmarkStart w:id="235" w:name="_Toc192856401"/>
      <w:r>
        <w:rPr>
          <w:rStyle w:val="CharSectno"/>
        </w:rPr>
        <w:t>98</w:t>
      </w:r>
      <w:r>
        <w:t>.</w:t>
      </w:r>
      <w:r>
        <w:tab/>
        <w:t>Requirements for authorisation of vehicle (s. 126 and 133)</w:t>
      </w:r>
      <w:bookmarkEnd w:id="235"/>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6" w:name="_Toc192856402"/>
      <w:r>
        <w:rPr>
          <w:rStyle w:val="CharSectno"/>
        </w:rPr>
        <w:lastRenderedPageBreak/>
        <w:t>99</w:t>
      </w:r>
      <w:r>
        <w:t>.</w:t>
      </w:r>
      <w:r>
        <w:tab/>
        <w:t>Duration of passenger transport vehicle authorisation (s. 137(1))</w:t>
      </w:r>
      <w:bookmarkEnd w:id="236"/>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7" w:name="_Toc192856403"/>
      <w:r>
        <w:rPr>
          <w:rStyle w:val="CharSectno"/>
        </w:rPr>
        <w:t>100</w:t>
      </w:r>
      <w:r>
        <w:t>.</w:t>
      </w:r>
      <w:r>
        <w:tab/>
        <w:t>Renewal of passenger transport vehicle authorisation</w:t>
      </w:r>
      <w:bookmarkEnd w:id="237"/>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8" w:name="_Toc192856404"/>
      <w:r>
        <w:rPr>
          <w:rStyle w:val="CharSectno"/>
        </w:rPr>
        <w:t>101</w:t>
      </w:r>
      <w:r>
        <w:t>.</w:t>
      </w:r>
      <w:r>
        <w:tab/>
        <w:t>Cancellation of authorisation: transfer of ownership of vehicle (s. 148)</w:t>
      </w:r>
      <w:bookmarkEnd w:id="238"/>
    </w:p>
    <w:p>
      <w:pPr>
        <w:pStyle w:val="Subsection"/>
      </w:pPr>
      <w:r>
        <w:tab/>
      </w:r>
      <w:r>
        <w:tab/>
        <w:t>For the purposes of section 148(2) of the Act, the prescribed period is 14 days.</w:t>
      </w:r>
    </w:p>
    <w:p>
      <w:pPr>
        <w:pStyle w:val="Heading5"/>
      </w:pPr>
      <w:bookmarkStart w:id="239" w:name="_Toc192856405"/>
      <w:r>
        <w:rPr>
          <w:rStyle w:val="CharSectno"/>
        </w:rPr>
        <w:lastRenderedPageBreak/>
        <w:t>102</w:t>
      </w:r>
      <w:r>
        <w:t>.</w:t>
      </w:r>
      <w:r>
        <w:tab/>
        <w:t>Cancellation of authorisation on request (s. 149(3))</w:t>
      </w:r>
      <w:bookmarkEnd w:id="239"/>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0" w:name="_Toc192852399"/>
      <w:bookmarkStart w:id="241" w:name="_Toc192853525"/>
      <w:bookmarkStart w:id="242" w:name="_Toc192856406"/>
      <w:r>
        <w:rPr>
          <w:rStyle w:val="CharDivNo"/>
        </w:rPr>
        <w:t>Division 3</w:t>
      </w:r>
      <w:r>
        <w:t> — </w:t>
      </w:r>
      <w:r>
        <w:rPr>
          <w:rStyle w:val="CharDivText"/>
        </w:rPr>
        <w:t>Changes to information</w:t>
      </w:r>
      <w:bookmarkEnd w:id="240"/>
      <w:bookmarkEnd w:id="241"/>
      <w:bookmarkEnd w:id="242"/>
    </w:p>
    <w:p>
      <w:pPr>
        <w:pStyle w:val="Heading5"/>
      </w:pPr>
      <w:bookmarkStart w:id="243" w:name="_Toc192856407"/>
      <w:r>
        <w:rPr>
          <w:rStyle w:val="CharSectno"/>
        </w:rPr>
        <w:t>103</w:t>
      </w:r>
      <w:r>
        <w:t>.</w:t>
      </w:r>
      <w:r>
        <w:tab/>
        <w:t>Holder of passenger transport vehicle authorisation to notify change in circumstances</w:t>
      </w:r>
      <w:bookmarkEnd w:id="243"/>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4" w:name="_Toc192852401"/>
      <w:bookmarkStart w:id="245" w:name="_Toc192853527"/>
      <w:bookmarkStart w:id="246" w:name="_Toc192856408"/>
      <w:r>
        <w:rPr>
          <w:rStyle w:val="CharPartNo"/>
        </w:rPr>
        <w:lastRenderedPageBreak/>
        <w:t>Part 8</w:t>
      </w:r>
      <w:r>
        <w:t> — </w:t>
      </w:r>
      <w:r>
        <w:rPr>
          <w:rStyle w:val="CharPartText"/>
        </w:rPr>
        <w:t>Requirements relating to passenger transport services</w:t>
      </w:r>
      <w:bookmarkEnd w:id="244"/>
      <w:bookmarkEnd w:id="245"/>
      <w:bookmarkEnd w:id="246"/>
    </w:p>
    <w:p>
      <w:pPr>
        <w:pStyle w:val="Heading3"/>
      </w:pPr>
      <w:bookmarkStart w:id="247" w:name="_Toc192852402"/>
      <w:bookmarkStart w:id="248" w:name="_Toc192853528"/>
      <w:bookmarkStart w:id="249" w:name="_Toc192856409"/>
      <w:r>
        <w:rPr>
          <w:rStyle w:val="CharDivNo"/>
        </w:rPr>
        <w:t>Division 1</w:t>
      </w:r>
      <w:r>
        <w:t> — </w:t>
      </w:r>
      <w:r>
        <w:rPr>
          <w:rStyle w:val="CharDivText"/>
        </w:rPr>
        <w:t>Notifiable occurrences</w:t>
      </w:r>
      <w:bookmarkEnd w:id="247"/>
      <w:bookmarkEnd w:id="248"/>
      <w:bookmarkEnd w:id="249"/>
    </w:p>
    <w:p>
      <w:pPr>
        <w:pStyle w:val="Heading5"/>
      </w:pPr>
      <w:bookmarkStart w:id="250" w:name="_Toc192856410"/>
      <w:r>
        <w:rPr>
          <w:rStyle w:val="CharSectno"/>
        </w:rPr>
        <w:t>104</w:t>
      </w:r>
      <w:r>
        <w:t>.</w:t>
      </w:r>
      <w:r>
        <w:tab/>
        <w:t>Term used: notifiable occurrence</w:t>
      </w:r>
      <w:bookmarkEnd w:id="250"/>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1" w:name="_Toc192856411"/>
      <w:r>
        <w:rPr>
          <w:rStyle w:val="CharSectno"/>
        </w:rPr>
        <w:t>105</w:t>
      </w:r>
      <w:r>
        <w:t>.</w:t>
      </w:r>
      <w:r>
        <w:tab/>
        <w:t>Reporting of notifiable occurrences</w:t>
      </w:r>
      <w:bookmarkEnd w:id="251"/>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2" w:name="_Toc192856412"/>
      <w:r>
        <w:rPr>
          <w:rStyle w:val="CharSectno"/>
        </w:rPr>
        <w:t>106</w:t>
      </w:r>
      <w:r>
        <w:t>.</w:t>
      </w:r>
      <w:r>
        <w:tab/>
        <w:t>Provider of on</w:t>
      </w:r>
      <w:r>
        <w:noBreakHyphen/>
        <w:t>demand booking service to report allegations about driver conduct</w:t>
      </w:r>
      <w:bookmarkEnd w:id="25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3" w:name="_Toc192852406"/>
      <w:bookmarkStart w:id="254" w:name="_Toc192853532"/>
      <w:bookmarkStart w:id="255" w:name="_Toc192856413"/>
      <w:r>
        <w:rPr>
          <w:rStyle w:val="CharDivNo"/>
        </w:rPr>
        <w:lastRenderedPageBreak/>
        <w:t>Division 2</w:t>
      </w:r>
      <w:r>
        <w:t> — </w:t>
      </w:r>
      <w:r>
        <w:rPr>
          <w:rStyle w:val="CharDivText"/>
        </w:rPr>
        <w:t>Camera surveillance</w:t>
      </w:r>
      <w:bookmarkEnd w:id="253"/>
      <w:bookmarkEnd w:id="254"/>
      <w:bookmarkEnd w:id="255"/>
    </w:p>
    <w:p>
      <w:pPr>
        <w:pStyle w:val="Heading5"/>
      </w:pPr>
      <w:bookmarkStart w:id="256" w:name="_Toc192856414"/>
      <w:r>
        <w:rPr>
          <w:rStyle w:val="CharSectno"/>
        </w:rPr>
        <w:t>107</w:t>
      </w:r>
      <w:r>
        <w:t>.</w:t>
      </w:r>
      <w:r>
        <w:tab/>
        <w:t>Terms used</w:t>
      </w:r>
      <w:bookmarkEnd w:id="256"/>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7" w:name="_Toc192856415"/>
      <w:r>
        <w:rPr>
          <w:rStyle w:val="CharSectno"/>
        </w:rPr>
        <w:lastRenderedPageBreak/>
        <w:t>108</w:t>
      </w:r>
      <w:r>
        <w:t>.</w:t>
      </w:r>
      <w:r>
        <w:tab/>
        <w:t>Camera surveillance units</w:t>
      </w:r>
      <w:bookmarkEnd w:id="257"/>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8" w:name="_Toc192856416"/>
      <w:r>
        <w:rPr>
          <w:rStyle w:val="CharSectno"/>
        </w:rPr>
        <w:t>109</w:t>
      </w:r>
      <w:r>
        <w:t>.</w:t>
      </w:r>
      <w:r>
        <w:tab/>
        <w:t>Signs about camera surveillance</w:t>
      </w:r>
      <w:bookmarkEnd w:id="258"/>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59" w:name="_Toc192856417"/>
      <w:r>
        <w:rPr>
          <w:rStyle w:val="CharSectno"/>
        </w:rPr>
        <w:lastRenderedPageBreak/>
        <w:t>110</w:t>
      </w:r>
      <w:r>
        <w:t>.</w:t>
      </w:r>
      <w:r>
        <w:tab/>
        <w:t>Recordings taken by camera surveillance units</w:t>
      </w:r>
      <w:bookmarkEnd w:id="259"/>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0" w:name="_Toc192856418"/>
      <w:r>
        <w:rPr>
          <w:rStyle w:val="CharSectno"/>
        </w:rPr>
        <w:t>111</w:t>
      </w:r>
      <w:r>
        <w:t>.</w:t>
      </w:r>
      <w:r>
        <w:tab/>
        <w:t>Safeguards applying to camera surveillance units</w:t>
      </w:r>
      <w:bookmarkEnd w:id="260"/>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1" w:name="_Toc192856419"/>
      <w:r>
        <w:rPr>
          <w:rStyle w:val="CharSectno"/>
        </w:rPr>
        <w:t>112</w:t>
      </w:r>
      <w:r>
        <w:t>.</w:t>
      </w:r>
      <w:r>
        <w:tab/>
        <w:t>Production of camera recordings to authorised officers</w:t>
      </w:r>
      <w:bookmarkEnd w:id="261"/>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2" w:name="_Toc192856420"/>
      <w:r>
        <w:rPr>
          <w:rStyle w:val="CharSectno"/>
        </w:rPr>
        <w:t>113</w:t>
      </w:r>
      <w:r>
        <w:t>.</w:t>
      </w:r>
      <w:r>
        <w:tab/>
        <w:t>Use of recordings taken by camera surveillance units</w:t>
      </w:r>
      <w:bookmarkEnd w:id="26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3" w:name="_Toc192856421"/>
      <w:r>
        <w:rPr>
          <w:rStyle w:val="CharSectno"/>
        </w:rPr>
        <w:t>114</w:t>
      </w:r>
      <w:r>
        <w:t>.</w:t>
      </w:r>
      <w:r>
        <w:tab/>
        <w:t>Deletion, destruction or disposal of copies of recordings</w:t>
      </w:r>
      <w:bookmarkEnd w:id="263"/>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4" w:name="_Toc192852415"/>
      <w:bookmarkStart w:id="265" w:name="_Toc192853541"/>
      <w:bookmarkStart w:id="266" w:name="_Toc192856422"/>
      <w:r>
        <w:rPr>
          <w:rStyle w:val="CharDivNo"/>
        </w:rPr>
        <w:lastRenderedPageBreak/>
        <w:t>Division 3</w:t>
      </w:r>
      <w:r>
        <w:t> — </w:t>
      </w:r>
      <w:r>
        <w:rPr>
          <w:rStyle w:val="CharDivText"/>
        </w:rPr>
        <w:t>Fares and fare devices</w:t>
      </w:r>
      <w:bookmarkEnd w:id="264"/>
      <w:bookmarkEnd w:id="265"/>
      <w:bookmarkEnd w:id="266"/>
    </w:p>
    <w:p>
      <w:pPr>
        <w:pStyle w:val="Heading4"/>
        <w:spacing w:before="200"/>
      </w:pPr>
      <w:bookmarkStart w:id="267" w:name="_Toc192852416"/>
      <w:bookmarkStart w:id="268" w:name="_Toc192853542"/>
      <w:bookmarkStart w:id="269" w:name="_Toc192856423"/>
      <w:r>
        <w:t>Subdivision 1 — Requirements for fares that apply only to on</w:t>
      </w:r>
      <w:r>
        <w:noBreakHyphen/>
        <w:t>demand rank or hail vehicles</w:t>
      </w:r>
      <w:bookmarkEnd w:id="267"/>
      <w:bookmarkEnd w:id="268"/>
      <w:bookmarkEnd w:id="269"/>
    </w:p>
    <w:p>
      <w:pPr>
        <w:pStyle w:val="Heading5"/>
      </w:pPr>
      <w:bookmarkStart w:id="270" w:name="_Toc192856424"/>
      <w:r>
        <w:rPr>
          <w:rStyle w:val="CharSectno"/>
        </w:rPr>
        <w:t>115</w:t>
      </w:r>
      <w:r>
        <w:t>.</w:t>
      </w:r>
      <w:r>
        <w:tab/>
        <w:t>Term used: relevant person</w:t>
      </w:r>
      <w:bookmarkEnd w:id="270"/>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1" w:name="_Toc192856425"/>
      <w:r>
        <w:rPr>
          <w:rStyle w:val="CharSectno"/>
        </w:rPr>
        <w:t>116</w:t>
      </w:r>
      <w:r>
        <w:t>.</w:t>
      </w:r>
      <w:r>
        <w:tab/>
        <w:t>Maximum fares, surcharges and fees: metropolitan region</w:t>
      </w:r>
      <w:bookmarkEnd w:id="271"/>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w:t>
      </w:r>
      <w:r>
        <w:lastRenderedPageBreak/>
        <w:t xml:space="preserve">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2" w:name="_Toc192856426"/>
      <w:r>
        <w:rPr>
          <w:rStyle w:val="CharSectno"/>
        </w:rPr>
        <w:t>117</w:t>
      </w:r>
      <w:r>
        <w:t>.</w:t>
      </w:r>
      <w:r>
        <w:tab/>
        <w:t>Maximum fares, surcharges and fees: regions</w:t>
      </w:r>
      <w:bookmarkEnd w:id="27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lastRenderedPageBreak/>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273" w:name="_Toc192856427"/>
      <w:r>
        <w:rPr>
          <w:rStyle w:val="CharSectno"/>
        </w:rPr>
        <w:t>118</w:t>
      </w:r>
      <w:r>
        <w:t>.</w:t>
      </w:r>
      <w:r>
        <w:tab/>
        <w:t>Fare schedule to be displayed in vehicle</w:t>
      </w:r>
      <w:bookmarkEnd w:id="273"/>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lastRenderedPageBreak/>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 xml:space="preserve">a fare schedule that complies with subregulations (2) and (3) is displayed in the vehicle in a position from </w:t>
      </w:r>
      <w:r>
        <w:lastRenderedPageBreak/>
        <w:t>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274" w:name="_Toc192856428"/>
      <w:r>
        <w:rPr>
          <w:rStyle w:val="CharSectno"/>
        </w:rPr>
        <w:t>119</w:t>
      </w:r>
      <w:r>
        <w:t>.</w:t>
      </w:r>
      <w:r>
        <w:tab/>
        <w:t>Deposit</w:t>
      </w:r>
      <w:bookmarkEnd w:id="274"/>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5" w:name="_Toc192856429"/>
      <w:r>
        <w:rPr>
          <w:rStyle w:val="CharSectno"/>
        </w:rPr>
        <w:t>120</w:t>
      </w:r>
      <w:r>
        <w:t>.</w:t>
      </w:r>
      <w:r>
        <w:tab/>
        <w:t>Contract fares</w:t>
      </w:r>
      <w:bookmarkEnd w:id="275"/>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lastRenderedPageBreak/>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276" w:name="_Toc192856430"/>
      <w:r>
        <w:rPr>
          <w:rStyle w:val="CharSectno"/>
        </w:rPr>
        <w:t>121</w:t>
      </w:r>
      <w:r>
        <w:t>.</w:t>
      </w:r>
      <w:r>
        <w:tab/>
        <w:t>Written confirmation of contract fare</w:t>
      </w:r>
      <w:bookmarkEnd w:id="276"/>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lastRenderedPageBreak/>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7" w:name="_Toc192856431"/>
      <w:r>
        <w:rPr>
          <w:rStyle w:val="CharSectno"/>
        </w:rPr>
        <w:t>122</w:t>
      </w:r>
      <w:r>
        <w:t>.</w:t>
      </w:r>
      <w:r>
        <w:tab/>
        <w:t>Passenger subsidy scheme vouchers</w:t>
      </w:r>
      <w:bookmarkEnd w:id="277"/>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 xml:space="preserve">payment of a Schedule 4 </w:t>
      </w:r>
      <w:r>
        <w:lastRenderedPageBreak/>
        <w:t>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278" w:name="_Toc192856432"/>
      <w:r>
        <w:rPr>
          <w:rStyle w:val="CharSectno"/>
        </w:rPr>
        <w:t>123</w:t>
      </w:r>
      <w:r>
        <w:t>.</w:t>
      </w:r>
      <w:r>
        <w:tab/>
        <w:t>Guidelines</w:t>
      </w:r>
      <w:bookmarkEnd w:id="278"/>
    </w:p>
    <w:p>
      <w:pPr>
        <w:pStyle w:val="Subsection"/>
      </w:pPr>
      <w:r>
        <w:tab/>
        <w:t>(1)</w:t>
      </w:r>
      <w:r>
        <w:tab/>
        <w:t>The CEO may approve guidelines for the purposes of regulation 122.</w:t>
      </w:r>
    </w:p>
    <w:p>
      <w:pPr>
        <w:pStyle w:val="Subsection"/>
      </w:pPr>
      <w:r>
        <w:lastRenderedPageBreak/>
        <w:tab/>
        <w:t>(2)</w:t>
      </w:r>
      <w:r>
        <w:tab/>
        <w:t>The CEO must publish the approved guidelines on the Department’s website.</w:t>
      </w:r>
    </w:p>
    <w:p>
      <w:pPr>
        <w:pStyle w:val="Heading5"/>
      </w:pPr>
      <w:bookmarkStart w:id="279" w:name="_Toc192856433"/>
      <w:r>
        <w:rPr>
          <w:rStyle w:val="CharSectno"/>
        </w:rPr>
        <w:t>124</w:t>
      </w:r>
      <w:r>
        <w:t>.</w:t>
      </w:r>
      <w:r>
        <w:tab/>
        <w:t>Commencement and termination of journey in on</w:t>
      </w:r>
      <w:r>
        <w:noBreakHyphen/>
        <w:t>demand rank or hail vehicle</w:t>
      </w:r>
      <w:bookmarkEnd w:id="279"/>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lastRenderedPageBreak/>
        <w:tab/>
        <w:t>(4)</w:t>
      </w:r>
      <w:r>
        <w:tab/>
        <w:t>This regulation does not apply if the on</w:t>
      </w:r>
      <w:r>
        <w:noBreakHyphen/>
        <w:t>demand passenger transport service is provided for a contract fare.</w:t>
      </w:r>
    </w:p>
    <w:p>
      <w:pPr>
        <w:pStyle w:val="Heading5"/>
      </w:pPr>
      <w:bookmarkStart w:id="280" w:name="_Toc192856434"/>
      <w:r>
        <w:rPr>
          <w:rStyle w:val="CharSectno"/>
        </w:rPr>
        <w:t>125</w:t>
      </w:r>
      <w:r>
        <w:t>.</w:t>
      </w:r>
      <w:r>
        <w:tab/>
        <w:t>Multiple hiring</w:t>
      </w:r>
      <w:bookmarkEnd w:id="280"/>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lastRenderedPageBreak/>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1" w:name="_Toc192856435"/>
      <w:r>
        <w:rPr>
          <w:rStyle w:val="CharSectno"/>
        </w:rPr>
        <w:t>126</w:t>
      </w:r>
      <w:r>
        <w:t>.</w:t>
      </w:r>
      <w:r>
        <w:tab/>
        <w:t>Surcharge for non</w:t>
      </w:r>
      <w:r>
        <w:noBreakHyphen/>
        <w:t>cash payment</w:t>
      </w:r>
      <w:bookmarkEnd w:id="281"/>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lastRenderedPageBreak/>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2" w:name="_Toc192852429"/>
      <w:bookmarkStart w:id="283" w:name="_Toc192853555"/>
      <w:bookmarkStart w:id="284" w:name="_Toc192856436"/>
      <w:r>
        <w:t>Subdivision 2 — Other requirements for fares</w:t>
      </w:r>
      <w:bookmarkEnd w:id="282"/>
      <w:bookmarkEnd w:id="283"/>
      <w:bookmarkEnd w:id="284"/>
    </w:p>
    <w:p>
      <w:pPr>
        <w:pStyle w:val="Heading5"/>
      </w:pPr>
      <w:bookmarkStart w:id="285" w:name="_Toc192856437"/>
      <w:r>
        <w:rPr>
          <w:rStyle w:val="CharSectno"/>
        </w:rPr>
        <w:t>127</w:t>
      </w:r>
      <w:r>
        <w:t>.</w:t>
      </w:r>
      <w:r>
        <w:tab/>
        <w:t>Terms used</w:t>
      </w:r>
      <w:bookmarkEnd w:id="285"/>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lastRenderedPageBreak/>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6" w:name="_Toc192856438"/>
      <w:r>
        <w:rPr>
          <w:rStyle w:val="CharSectno"/>
        </w:rPr>
        <w:t>128</w:t>
      </w:r>
      <w:r>
        <w:t>.</w:t>
      </w:r>
      <w:r>
        <w:tab/>
        <w:t>Fare amounts for passenger transport services using on</w:t>
      </w:r>
      <w:r>
        <w:noBreakHyphen/>
        <w:t>demand vehicles</w:t>
      </w:r>
      <w:bookmarkEnd w:id="286"/>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lastRenderedPageBreak/>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7" w:name="_Toc192856439"/>
      <w:r>
        <w:rPr>
          <w:rStyle w:val="CharSectno"/>
        </w:rPr>
        <w:t>129</w:t>
      </w:r>
      <w:r>
        <w:t>.</w:t>
      </w:r>
      <w:r>
        <w:tab/>
        <w:t>Certain fares and charges prohibited in certain declared emergencies</w:t>
      </w:r>
      <w:bookmarkEnd w:id="287"/>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 xml:space="preserve">jumping fee, is not charged </w:t>
      </w:r>
      <w:r>
        <w:lastRenderedPageBreak/>
        <w:t>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8" w:name="_Toc192856440"/>
      <w:r>
        <w:rPr>
          <w:rStyle w:val="CharSectno"/>
        </w:rPr>
        <w:t>129A</w:t>
      </w:r>
      <w:r>
        <w:t>.</w:t>
      </w:r>
      <w:r>
        <w:tab/>
        <w:t>Exempt areas in relation to emergency declarations</w:t>
      </w:r>
      <w:bookmarkEnd w:id="288"/>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lastRenderedPageBreak/>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89" w:name="_Toc192856441"/>
      <w:r>
        <w:rPr>
          <w:rStyle w:val="CharSectno"/>
        </w:rPr>
        <w:t>130</w:t>
      </w:r>
      <w:r>
        <w:t>.</w:t>
      </w:r>
      <w:r>
        <w:tab/>
        <w:t>Parking fees and cleaning costs</w:t>
      </w:r>
      <w:bookmarkEnd w:id="289"/>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0" w:name="_Toc192852435"/>
      <w:bookmarkStart w:id="291" w:name="_Toc192853561"/>
      <w:bookmarkStart w:id="292" w:name="_Toc192856442"/>
      <w:r>
        <w:t>Subdivision 2A — Passenger Transport Subsidy Scheme (PTSS)</w:t>
      </w:r>
      <w:bookmarkEnd w:id="290"/>
      <w:bookmarkEnd w:id="291"/>
      <w:bookmarkEnd w:id="292"/>
    </w:p>
    <w:p>
      <w:pPr>
        <w:pStyle w:val="Footnoteheading"/>
      </w:pPr>
      <w:r>
        <w:tab/>
        <w:t>[Heading inserted: SL 2024/245 r. 5.]</w:t>
      </w:r>
    </w:p>
    <w:p>
      <w:pPr>
        <w:pStyle w:val="Heading5"/>
      </w:pPr>
      <w:bookmarkStart w:id="293" w:name="_Toc192856443"/>
      <w:r>
        <w:rPr>
          <w:rStyle w:val="CharSectno"/>
        </w:rPr>
        <w:t>130A</w:t>
      </w:r>
      <w:r>
        <w:t>.</w:t>
      </w:r>
      <w:r>
        <w:tab/>
        <w:t>Terms used</w:t>
      </w:r>
      <w:bookmarkEnd w:id="293"/>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lastRenderedPageBreak/>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294" w:name="_Toc192856444"/>
      <w:r>
        <w:rPr>
          <w:rStyle w:val="CharSectno"/>
        </w:rPr>
        <w:t>130B</w:t>
      </w:r>
      <w:r>
        <w:t>.</w:t>
      </w:r>
      <w:r>
        <w:tab/>
        <w:t>CEO may issue smartcards</w:t>
      </w:r>
      <w:bookmarkEnd w:id="294"/>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295" w:name="_Toc192856445"/>
      <w:r>
        <w:rPr>
          <w:rStyle w:val="CharSectno"/>
        </w:rPr>
        <w:t>130C</w:t>
      </w:r>
      <w:r>
        <w:t>.</w:t>
      </w:r>
      <w:r>
        <w:tab/>
        <w:t>CEO may pay subsidy</w:t>
      </w:r>
      <w:bookmarkEnd w:id="295"/>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296" w:name="_Toc192856446"/>
      <w:r>
        <w:rPr>
          <w:rStyle w:val="CharSectno"/>
        </w:rPr>
        <w:lastRenderedPageBreak/>
        <w:t>130D</w:t>
      </w:r>
      <w:r>
        <w:t>.</w:t>
      </w:r>
      <w:r>
        <w:tab/>
        <w:t>Person must not provide PTSS smartcard as payment or part</w:t>
      </w:r>
      <w:r>
        <w:noBreakHyphen/>
        <w:t>payment unless PTSS passenger</w:t>
      </w:r>
      <w:bookmarkEnd w:id="296"/>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297" w:name="_Toc192856447"/>
      <w:r>
        <w:rPr>
          <w:rStyle w:val="CharSectno"/>
        </w:rPr>
        <w:t>130DA</w:t>
      </w:r>
      <w:r>
        <w:t>.</w:t>
      </w:r>
      <w:r>
        <w:tab/>
        <w:t>Driver must not refuse payment or part</w:t>
      </w:r>
      <w:r>
        <w:noBreakHyphen/>
        <w:t>payment</w:t>
      </w:r>
      <w:bookmarkEnd w:id="297"/>
    </w:p>
    <w:p>
      <w:pPr>
        <w:pStyle w:val="Subsection"/>
      </w:pPr>
      <w:r>
        <w:tab/>
      </w:r>
      <w:r>
        <w:tab/>
        <w:t>A driver of an on</w:t>
      </w:r>
      <w:r>
        <w:noBreakHyphen/>
        <w:t>demand rank or hail vehicle must not refuse to accept a PTSS smartcard as payment or part</w:t>
      </w:r>
      <w:r>
        <w:noBreakHyphen/>
        <w:t>payment of a Schedule 4 fare, a Schedule 5 fare or a contract fare if the payment or part</w:t>
      </w:r>
      <w:r>
        <w:noBreakHyphen/>
        <w:t>payment is in accordance with the guidelines.</w:t>
      </w:r>
    </w:p>
    <w:p>
      <w:pPr>
        <w:pStyle w:val="Penstart"/>
        <w:rPr>
          <w:rStyle w:val="DraftersNotes"/>
          <w:b w:val="0"/>
          <w:i w:val="0"/>
          <w:sz w:val="24"/>
        </w:rPr>
      </w:pPr>
      <w:r>
        <w:tab/>
        <w:t>Penalty: a fine of $9 000.</w:t>
      </w:r>
    </w:p>
    <w:p>
      <w:pPr>
        <w:pStyle w:val="Footnotesection"/>
      </w:pPr>
      <w:r>
        <w:tab/>
        <w:t>[Regulation 130DA inserted: SL 2024/245 r. 7.]</w:t>
      </w:r>
    </w:p>
    <w:p>
      <w:pPr>
        <w:pStyle w:val="Heading5"/>
      </w:pPr>
      <w:bookmarkStart w:id="298" w:name="_Toc192856448"/>
      <w:r>
        <w:rPr>
          <w:rStyle w:val="CharSectno"/>
        </w:rPr>
        <w:t>130DB</w:t>
      </w:r>
      <w:r>
        <w:t>.</w:t>
      </w:r>
      <w:r>
        <w:tab/>
        <w:t>Certain providers must not direct driver to refuse payment or part</w:t>
      </w:r>
      <w:r>
        <w:noBreakHyphen/>
        <w:t>payment</w:t>
      </w:r>
      <w:bookmarkEnd w:id="298"/>
    </w:p>
    <w:p>
      <w:pPr>
        <w:pStyle w:val="Subsection"/>
      </w:pPr>
      <w:r>
        <w:tab/>
      </w:r>
      <w:r>
        <w:tab/>
        <w:t>The following persons must not direct a driver of an on</w:t>
      </w:r>
      <w:r>
        <w:noBreakHyphen/>
        <w:t>demand rank or hail vehicle to refuse to accept a PTSS smartcard as payment or part</w:t>
      </w:r>
      <w:r>
        <w:noBreakHyphen/>
        <w:t>payment of a Schedule 4 fare, a Schedule 5 fare or a contract fare if the payment or part</w:t>
      </w:r>
      <w:r>
        <w:noBreakHyphen/>
        <w:t xml:space="preserve">payment is in accordance with the guidelines — </w:t>
      </w:r>
    </w:p>
    <w:p>
      <w:pPr>
        <w:pStyle w:val="Indenta"/>
      </w:pPr>
      <w:r>
        <w:tab/>
        <w:t>(a)</w:t>
      </w:r>
      <w:r>
        <w:tab/>
        <w:t>the provider of an on</w:t>
      </w:r>
      <w:r>
        <w:noBreakHyphen/>
        <w:t>demand booking service;</w:t>
      </w:r>
    </w:p>
    <w:p>
      <w:pPr>
        <w:pStyle w:val="Indenta"/>
      </w:pPr>
      <w:r>
        <w:tab/>
        <w:t>(b)</w:t>
      </w:r>
      <w:r>
        <w:tab/>
        <w:t>the provider of an on</w:t>
      </w:r>
      <w:r>
        <w:noBreakHyphen/>
        <w:t>demand passenger transport service;</w:t>
      </w:r>
    </w:p>
    <w:p>
      <w:pPr>
        <w:pStyle w:val="Indenta"/>
      </w:pPr>
      <w:r>
        <w:tab/>
        <w:t>(c)</w:t>
      </w:r>
      <w:r>
        <w:tab/>
        <w:t>the provider of an on</w:t>
      </w:r>
      <w:r>
        <w:noBreakHyphen/>
        <w:t>demand rank or hail vehicle.</w:t>
      </w:r>
    </w:p>
    <w:p>
      <w:pPr>
        <w:pStyle w:val="Penstart"/>
      </w:pPr>
      <w:r>
        <w:tab/>
        <w:t xml:space="preserve">Penalty: </w:t>
      </w:r>
    </w:p>
    <w:p>
      <w:pPr>
        <w:pStyle w:val="Penpara"/>
      </w:pPr>
      <w:r>
        <w:tab/>
        <w:t>(a)</w:t>
      </w:r>
      <w:r>
        <w:tab/>
        <w:t>for an individual, a fine of $9 000;</w:t>
      </w:r>
    </w:p>
    <w:p>
      <w:pPr>
        <w:pStyle w:val="Penpara"/>
        <w:keepNext/>
      </w:pPr>
      <w:r>
        <w:lastRenderedPageBreak/>
        <w:tab/>
        <w:t>(b)</w:t>
      </w:r>
      <w:r>
        <w:tab/>
        <w:t>for a body corporate, a fine of $30 000.</w:t>
      </w:r>
    </w:p>
    <w:p>
      <w:pPr>
        <w:pStyle w:val="Footnotesection"/>
      </w:pPr>
      <w:r>
        <w:tab/>
        <w:t>[Regulation 130DB inserted: SL 2024/245 r. 7.]</w:t>
      </w:r>
    </w:p>
    <w:p>
      <w:pPr>
        <w:pStyle w:val="Heading5"/>
      </w:pPr>
      <w:bookmarkStart w:id="299" w:name="_Toc192856449"/>
      <w:r>
        <w:rPr>
          <w:rStyle w:val="CharSectno"/>
        </w:rPr>
        <w:t>130E</w:t>
      </w:r>
      <w:r>
        <w:t>.</w:t>
      </w:r>
      <w:r>
        <w:tab/>
        <w:t>Driver must not accept PTSS smartcard as payment or part</w:t>
      </w:r>
      <w:r>
        <w:noBreakHyphen/>
        <w:t>payment from person driver knows is not PTSS passenger</w:t>
      </w:r>
      <w:bookmarkEnd w:id="299"/>
    </w:p>
    <w:p>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pPr>
        <w:pStyle w:val="Penstart"/>
      </w:pPr>
      <w:r>
        <w:tab/>
        <w:t>Penalty: a fine of $9 000.</w:t>
      </w:r>
    </w:p>
    <w:p>
      <w:pPr>
        <w:pStyle w:val="Footnotesection"/>
        <w:rPr>
          <w:rStyle w:val="DraftersNotes"/>
          <w:b w:val="0"/>
          <w:sz w:val="24"/>
        </w:rPr>
      </w:pPr>
      <w:r>
        <w:tab/>
        <w:t>[Regulation 130E inserted: SL 2024/245 r. 5.]</w:t>
      </w:r>
    </w:p>
    <w:p>
      <w:pPr>
        <w:pStyle w:val="Heading5"/>
      </w:pPr>
      <w:bookmarkStart w:id="300" w:name="_Toc192856450"/>
      <w:r>
        <w:rPr>
          <w:rStyle w:val="CharSectno"/>
        </w:rPr>
        <w:t>130F</w:t>
      </w:r>
      <w:r>
        <w:t>.</w:t>
      </w:r>
      <w:r>
        <w:tab/>
        <w:t>Driver or provider of on</w:t>
      </w:r>
      <w:r>
        <w:noBreakHyphen/>
        <w:t>demand booking service must not enter false or misleading information</w:t>
      </w:r>
      <w:bookmarkEnd w:id="300"/>
    </w:p>
    <w:p>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130F inserted: SL 2024/245 r. 5.]</w:t>
      </w:r>
    </w:p>
    <w:p>
      <w:pPr>
        <w:pStyle w:val="Heading5"/>
      </w:pPr>
      <w:bookmarkStart w:id="301" w:name="_Toc192856451"/>
      <w:r>
        <w:rPr>
          <w:rStyle w:val="CharSectno"/>
        </w:rPr>
        <w:t>130G</w:t>
      </w:r>
      <w:r>
        <w:t>.</w:t>
      </w:r>
      <w:r>
        <w:tab/>
        <w:t>Driver must not cause or permit another person to enter particular information</w:t>
      </w:r>
      <w:bookmarkEnd w:id="301"/>
    </w:p>
    <w:p>
      <w:pPr>
        <w:pStyle w:val="Subsection"/>
        <w:keepNext/>
      </w:pPr>
      <w:r>
        <w:tab/>
      </w:r>
      <w:r>
        <w:tab/>
        <w:t>A driver of an on</w:t>
      </w:r>
      <w:r>
        <w:noBreakHyphen/>
        <w:t xml:space="preserve">demand rank or hail vehicle must not cause or permit a person, other than the following persons, to enter </w:t>
      </w:r>
      <w:r>
        <w:lastRenderedPageBreak/>
        <w:t xml:space="preserve">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302" w:name="_Toc192856452"/>
      <w:r>
        <w:rPr>
          <w:rStyle w:val="CharSectno"/>
        </w:rPr>
        <w:t>130H</w:t>
      </w:r>
      <w:r>
        <w:t>.</w:t>
      </w:r>
      <w:r>
        <w:tab/>
        <w:t>Provider of on</w:t>
      </w:r>
      <w:r>
        <w:noBreakHyphen/>
        <w:t>demand booking service must not cause or permit another person to enter particular information</w:t>
      </w:r>
      <w:bookmarkEnd w:id="302"/>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130H inserted: SL 2024/245 r. 5.]</w:t>
      </w:r>
    </w:p>
    <w:p>
      <w:pPr>
        <w:pStyle w:val="Heading5"/>
      </w:pPr>
      <w:bookmarkStart w:id="303" w:name="_Toc192856453"/>
      <w:r>
        <w:rPr>
          <w:rStyle w:val="CharSectno"/>
        </w:rPr>
        <w:t>130HA</w:t>
      </w:r>
      <w:r>
        <w:t>.</w:t>
      </w:r>
      <w:r>
        <w:tab/>
        <w:t>Provider of on</w:t>
      </w:r>
      <w:r>
        <w:noBreakHyphen/>
        <w:t>demand booking service must ensure vehicle fitted with PTSS electronic device that is not a mobile phone</w:t>
      </w:r>
      <w:bookmarkEnd w:id="303"/>
    </w:p>
    <w:p>
      <w:pPr>
        <w:pStyle w:val="Subsection"/>
      </w:pPr>
      <w:r>
        <w:tab/>
        <w:t>(1)</w:t>
      </w:r>
      <w:r>
        <w:tab/>
        <w:t>The provider of an on</w:t>
      </w:r>
      <w:r>
        <w:noBreakHyphen/>
        <w:t>demand booking service for the use of an on</w:t>
      </w:r>
      <w:r>
        <w:noBreakHyphen/>
        <w:t>demand rank or hail vehicle must ensure the vehicle is fitted with a PTSS electronic device that is not a mobile phone.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(2)</w:t>
      </w:r>
      <w:r>
        <w:tab/>
        <w:t>The provider of the on</w:t>
      </w:r>
      <w:r>
        <w:noBreakHyphen/>
        <w:t xml:space="preserve">demand booking service does not commit an offence under subregulation (1) if — </w:t>
      </w:r>
    </w:p>
    <w:p>
      <w:pPr>
        <w:pStyle w:val="Indenta"/>
      </w:pPr>
      <w:r>
        <w:tab/>
        <w:t>(a)</w:t>
      </w:r>
      <w:r>
        <w:tab/>
        <w:t xml:space="preserve">the provider has — </w:t>
      </w:r>
    </w:p>
    <w:p>
      <w:pPr>
        <w:pStyle w:val="Indenti"/>
      </w:pPr>
      <w:r>
        <w:tab/>
        <w:t>(i)</w:t>
      </w:r>
      <w:r>
        <w:tab/>
        <w:t>informed the Department, in accordance with the guidelines, that when the on</w:t>
      </w:r>
      <w:r>
        <w:noBreakHyphen/>
        <w:t>demand rank or hail vehicle is being driven to provide an on</w:t>
      </w:r>
      <w:r>
        <w:noBreakHyphen/>
        <w:t>demand passenger transport service it will contain a PTSS electronic device that is a mobile phone; and</w:t>
      </w:r>
    </w:p>
    <w:p>
      <w:pPr>
        <w:pStyle w:val="Indenti"/>
      </w:pPr>
      <w:r>
        <w:tab/>
        <w:t>(ii)</w:t>
      </w:r>
      <w:r>
        <w:tab/>
        <w:t>informed the driver of the vehicle that the vehicle must contain a PTSS electronic device that is a mobile phone when the vehicle is being driven to provide an on</w:t>
      </w:r>
      <w:r>
        <w:noBreakHyphen/>
        <w:t>demand passenger transport service;</w:t>
      </w:r>
    </w:p>
    <w:p>
      <w:pPr>
        <w:pStyle w:val="Indenta"/>
      </w:pPr>
      <w:r>
        <w:tab/>
      </w:r>
      <w:r>
        <w:tab/>
        <w:t>or</w:t>
      </w:r>
    </w:p>
    <w:p>
      <w:pPr>
        <w:pStyle w:val="Indenta"/>
      </w:pPr>
      <w:r>
        <w:tab/>
        <w:t>(b)</w:t>
      </w:r>
      <w:r>
        <w:tab/>
        <w:t>the provider has a reasonable excuse.</w:t>
      </w:r>
    </w:p>
    <w:p>
      <w:pPr>
        <w:pStyle w:val="Footnotesection"/>
      </w:pPr>
      <w:r>
        <w:tab/>
        <w:t>[Regulation 130HA inserted: SL 2024/245 r. 8.]</w:t>
      </w:r>
    </w:p>
    <w:p>
      <w:pPr>
        <w:pStyle w:val="Heading5"/>
      </w:pPr>
      <w:bookmarkStart w:id="304" w:name="_Toc192856454"/>
      <w:r>
        <w:rPr>
          <w:rStyle w:val="CharSectno"/>
        </w:rPr>
        <w:t>130HB</w:t>
      </w:r>
      <w:r>
        <w:t>.</w:t>
      </w:r>
      <w:r>
        <w:tab/>
        <w:t>Driver must ensure vehicle contains PTSS electronic device</w:t>
      </w:r>
      <w:bookmarkEnd w:id="304"/>
    </w:p>
    <w:p>
      <w:pPr>
        <w:pStyle w:val="Subsection"/>
      </w:pPr>
      <w:r>
        <w:tab/>
        <w:t>(1)</w:t>
      </w:r>
      <w:r>
        <w:tab/>
        <w:t>The driver of an on</w:t>
      </w:r>
      <w:r>
        <w:noBreakHyphen/>
        <w:t>demand rank or hail vehicle must ensure that when the vehicle is being driven to provide an on</w:t>
      </w:r>
      <w:r>
        <w:noBreakHyphen/>
        <w:t>demand passenger transport service it contains or is fitted with a PTSS electronic device.</w:t>
      </w:r>
    </w:p>
    <w:p>
      <w:pPr>
        <w:pStyle w:val="Penstart"/>
      </w:pPr>
      <w:r>
        <w:tab/>
        <w:t>Penalty for this subregulation: a fine of $9 000.</w:t>
      </w:r>
    </w:p>
    <w:p>
      <w:pPr>
        <w:pStyle w:val="Subsection"/>
      </w:pPr>
      <w:r>
        <w:tab/>
        <w:t>(2)</w:t>
      </w:r>
      <w:r>
        <w:tab/>
        <w:t>The driver of an on</w:t>
      </w:r>
      <w:r>
        <w:noBreakHyphen/>
        <w:t xml:space="preserve">demand rank or hail vehicle does not commit an offence under subregulation (1) if the driver has a reasonable excuse. </w:t>
      </w:r>
    </w:p>
    <w:p>
      <w:pPr>
        <w:pStyle w:val="Footnotesection"/>
      </w:pPr>
      <w:r>
        <w:tab/>
        <w:t>[Regulation 130HB inserted: SL 2024/245 r. 8.]</w:t>
      </w:r>
    </w:p>
    <w:p>
      <w:pPr>
        <w:pStyle w:val="Heading5"/>
      </w:pPr>
      <w:bookmarkStart w:id="305" w:name="_Toc192856455"/>
      <w:r>
        <w:rPr>
          <w:rStyle w:val="CharSectno"/>
        </w:rPr>
        <w:t>130I</w:t>
      </w:r>
      <w:r>
        <w:t>.</w:t>
      </w:r>
      <w:r>
        <w:tab/>
        <w:t>False claims for payment</w:t>
      </w:r>
      <w:bookmarkEnd w:id="305"/>
    </w:p>
    <w:p>
      <w:pPr>
        <w:pStyle w:val="Subsection"/>
      </w:pPr>
      <w:r>
        <w:tab/>
      </w:r>
      <w:r>
        <w:tab/>
        <w:t>A person must not make a claim for payment of a subsidy under regulation 130C other than in relation to a PTSS journey.</w:t>
      </w:r>
    </w:p>
    <w:p>
      <w:pPr>
        <w:pStyle w:val="Penstart"/>
      </w:pPr>
      <w:r>
        <w:lastRenderedPageBreak/>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130I inserted: SL 2024/245 r. 5.]</w:t>
      </w:r>
    </w:p>
    <w:p>
      <w:pPr>
        <w:pStyle w:val="Heading5"/>
      </w:pPr>
      <w:bookmarkStart w:id="306" w:name="_Toc192856456"/>
      <w:r>
        <w:rPr>
          <w:rStyle w:val="CharSectno"/>
        </w:rPr>
        <w:t>130J</w:t>
      </w:r>
      <w:r>
        <w:t>.</w:t>
      </w:r>
      <w:r>
        <w:tab/>
        <w:t>Providers of on</w:t>
      </w:r>
      <w:r>
        <w:noBreakHyphen/>
        <w:t>demand booking services to provide information about PTSS journeys</w:t>
      </w:r>
      <w:bookmarkEnd w:id="306"/>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307" w:name="_Toc192856457"/>
      <w:r>
        <w:rPr>
          <w:rStyle w:val="CharSectno"/>
        </w:rPr>
        <w:t>130K</w:t>
      </w:r>
      <w:r>
        <w:t>.</w:t>
      </w:r>
      <w:r>
        <w:tab/>
        <w:t>CEO may recover subsidies paid</w:t>
      </w:r>
      <w:bookmarkEnd w:id="307"/>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308" w:name="_Toc192856458"/>
      <w:r>
        <w:rPr>
          <w:rStyle w:val="CharSectno"/>
        </w:rPr>
        <w:t>130L</w:t>
      </w:r>
      <w:r>
        <w:t>.</w:t>
      </w:r>
      <w:r>
        <w:tab/>
        <w:t>CEO may approve guidelines</w:t>
      </w:r>
      <w:bookmarkEnd w:id="308"/>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309" w:name="_Toc192852452"/>
      <w:bookmarkStart w:id="310" w:name="_Toc192853578"/>
      <w:bookmarkStart w:id="311" w:name="_Toc192856459"/>
      <w:r>
        <w:lastRenderedPageBreak/>
        <w:t>Subdivision 3 — Receipts</w:t>
      </w:r>
      <w:bookmarkEnd w:id="309"/>
      <w:bookmarkEnd w:id="310"/>
      <w:bookmarkEnd w:id="311"/>
    </w:p>
    <w:p>
      <w:pPr>
        <w:pStyle w:val="Heading5"/>
      </w:pPr>
      <w:bookmarkStart w:id="312" w:name="_Toc192856460"/>
      <w:r>
        <w:rPr>
          <w:rStyle w:val="CharSectno"/>
        </w:rPr>
        <w:t>131</w:t>
      </w:r>
      <w:r>
        <w:t>.</w:t>
      </w:r>
      <w:r>
        <w:tab/>
        <w:t>Receipts</w:t>
      </w:r>
      <w:bookmarkEnd w:id="312"/>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the business name used by the provider in connection with the provision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the business name used by the provider of the associated booking service in connection with the provision of the associated booking service;</w:t>
      </w:r>
    </w:p>
    <w:p>
      <w:pPr>
        <w:pStyle w:val="Indenta"/>
      </w:pPr>
      <w:r>
        <w:tab/>
      </w:r>
      <w:r>
        <w:tab/>
        <w:t>and</w:t>
      </w:r>
    </w:p>
    <w:p>
      <w:pPr>
        <w:pStyle w:val="Indenta"/>
        <w:keepNext/>
      </w:pPr>
      <w:r>
        <w:lastRenderedPageBreak/>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131 amended: SL 2024/286 r. 13.]</w:t>
      </w:r>
    </w:p>
    <w:p>
      <w:pPr>
        <w:pStyle w:val="Heading4"/>
      </w:pPr>
      <w:bookmarkStart w:id="313" w:name="_Toc192852454"/>
      <w:bookmarkStart w:id="314" w:name="_Toc192853580"/>
      <w:bookmarkStart w:id="315" w:name="_Toc192856461"/>
      <w:r>
        <w:t>Subdivision 4 — Fare calculation devices</w:t>
      </w:r>
      <w:bookmarkEnd w:id="313"/>
      <w:bookmarkEnd w:id="314"/>
      <w:bookmarkEnd w:id="315"/>
    </w:p>
    <w:p>
      <w:pPr>
        <w:pStyle w:val="Heading5"/>
        <w:keepNext w:val="0"/>
      </w:pPr>
      <w:bookmarkStart w:id="316" w:name="_Toc192856462"/>
      <w:r>
        <w:rPr>
          <w:rStyle w:val="CharSectno"/>
        </w:rPr>
        <w:t>132</w:t>
      </w:r>
      <w:r>
        <w:t>.</w:t>
      </w:r>
      <w:r>
        <w:tab/>
        <w:t>On</w:t>
      </w:r>
      <w:r>
        <w:noBreakHyphen/>
        <w:t>demand rank or hail vehicles to be fitted with fare calculation device</w:t>
      </w:r>
      <w:bookmarkEnd w:id="316"/>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keepNext/>
      </w:pPr>
      <w:r>
        <w:lastRenderedPageBreak/>
        <w:tab/>
        <w:t>(b)</w:t>
      </w:r>
      <w:r>
        <w:tab/>
        <w:t>for a body corporate, a fine of $30 000.</w:t>
      </w:r>
    </w:p>
    <w:p>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17" w:name="_Toc192856463"/>
      <w:r>
        <w:rPr>
          <w:rStyle w:val="CharSectno"/>
        </w:rPr>
        <w:t>133</w:t>
      </w:r>
      <w:r>
        <w:t>.</w:t>
      </w:r>
      <w:r>
        <w:tab/>
        <w:t>Requirements for fare calculation devices</w:t>
      </w:r>
      <w:bookmarkEnd w:id="317"/>
    </w:p>
    <w:p>
      <w:pPr>
        <w:pStyle w:val="Subsection"/>
      </w:pPr>
      <w:r>
        <w:tab/>
        <w:t>(1)</w:t>
      </w:r>
      <w:r>
        <w:tab/>
        <w:t>All fares and other figures shown by the fare calculation device must be displayed prominently in the vehicle,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keepNext/>
      </w:pPr>
      <w:r>
        <w:lastRenderedPageBreak/>
        <w:tab/>
        <w:t>(5)</w:t>
      </w:r>
      <w:r>
        <w:tab/>
        <w:t xml:space="preserve">The fare calculation device must — </w:t>
      </w:r>
    </w:p>
    <w:p>
      <w:pPr>
        <w:pStyle w:val="Indenta"/>
        <w:keepNext/>
      </w:pPr>
      <w:r>
        <w:tab/>
        <w:t>(a)</w:t>
      </w:r>
      <w:r>
        <w:tab/>
        <w:t>show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pPr>
      <w:r>
        <w:tab/>
        <w:t>[Regulation 133 amended: SL 2024/286 r. 14.]</w:t>
      </w:r>
    </w:p>
    <w:p>
      <w:pPr>
        <w:pStyle w:val="Heading5"/>
      </w:pPr>
      <w:bookmarkStart w:id="318" w:name="_Toc192856464"/>
      <w:r>
        <w:rPr>
          <w:rStyle w:val="CharSectno"/>
        </w:rPr>
        <w:t>134</w:t>
      </w:r>
      <w:r>
        <w:t>.</w:t>
      </w:r>
      <w:r>
        <w:tab/>
        <w:t>Display of information: on</w:t>
      </w:r>
      <w:r>
        <w:noBreakHyphen/>
        <w:t>demand rank or hail vehicles</w:t>
      </w:r>
      <w:bookmarkEnd w:id="318"/>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lastRenderedPageBreak/>
        <w:tab/>
        <w:t>(b)</w:t>
      </w:r>
      <w:r>
        <w:tab/>
        <w:t>the driver of the vehicle.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keepNext/>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19" w:name="_Toc192852458"/>
      <w:bookmarkStart w:id="320" w:name="_Toc192853584"/>
      <w:bookmarkStart w:id="321" w:name="_Toc192856465"/>
      <w:r>
        <w:rPr>
          <w:rStyle w:val="CharDivNo"/>
        </w:rPr>
        <w:t>Division 4</w:t>
      </w:r>
      <w:r>
        <w:t> — </w:t>
      </w:r>
      <w:r>
        <w:rPr>
          <w:rStyle w:val="CharDivText"/>
        </w:rPr>
        <w:t>Other obligations</w:t>
      </w:r>
      <w:bookmarkEnd w:id="319"/>
      <w:bookmarkEnd w:id="320"/>
      <w:bookmarkEnd w:id="321"/>
    </w:p>
    <w:p>
      <w:pPr>
        <w:pStyle w:val="Heading5"/>
      </w:pPr>
      <w:bookmarkStart w:id="322" w:name="_Toc192856466"/>
      <w:r>
        <w:rPr>
          <w:rStyle w:val="CharSectno"/>
        </w:rPr>
        <w:t>135</w:t>
      </w:r>
      <w:r>
        <w:t>.</w:t>
      </w:r>
      <w:r>
        <w:tab/>
        <w:t>Driver to inform on</w:t>
      </w:r>
      <w:r>
        <w:noBreakHyphen/>
        <w:t>demand booking service of certain matters</w:t>
      </w:r>
      <w:bookmarkEnd w:id="322"/>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23" w:name="_Toc192856467"/>
      <w:r>
        <w:rPr>
          <w:rStyle w:val="CharSectno"/>
        </w:rPr>
        <w:lastRenderedPageBreak/>
        <w:t>136</w:t>
      </w:r>
      <w:r>
        <w:t>.</w:t>
      </w:r>
      <w:r>
        <w:tab/>
        <w:t>Conduct of drivers while driving vehicle to transport passengers for hire or reward</w:t>
      </w:r>
      <w:bookmarkEnd w:id="323"/>
    </w:p>
    <w:p>
      <w:pPr>
        <w:pStyle w:val="Subsection"/>
        <w:keepNext/>
      </w:pPr>
      <w:r>
        <w:tab/>
        <w:t>(1)</w:t>
      </w:r>
      <w:r>
        <w:tab/>
        <w:t>A driver of a passenger transport vehicle must behave in an orderly manner at all times while driving the vehicle for the purpose of transporting passengers for hire or reward.</w:t>
      </w:r>
    </w:p>
    <w:p>
      <w:pPr>
        <w:pStyle w:val="Penstart"/>
        <w:keepNex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24" w:name="_Toc192856468"/>
      <w:r>
        <w:rPr>
          <w:rStyle w:val="CharSectno"/>
        </w:rPr>
        <w:t>137</w:t>
      </w:r>
      <w:r>
        <w:t>.</w:t>
      </w:r>
      <w:r>
        <w:tab/>
        <w:t>Assistance animals</w:t>
      </w:r>
      <w:bookmarkEnd w:id="324"/>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25" w:name="_Toc192856469"/>
      <w:r>
        <w:rPr>
          <w:rStyle w:val="CharSectno"/>
        </w:rPr>
        <w:t>138</w:t>
      </w:r>
      <w:r>
        <w:t>.</w:t>
      </w:r>
      <w:r>
        <w:tab/>
        <w:t>Driver must accept hiring except in certain circumstances</w:t>
      </w:r>
      <w:bookmarkEnd w:id="325"/>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lastRenderedPageBreak/>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lastRenderedPageBreak/>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26" w:name="_Toc192856470"/>
      <w:r>
        <w:rPr>
          <w:rStyle w:val="CharSectno"/>
        </w:rPr>
        <w:t>139</w:t>
      </w:r>
      <w:r>
        <w:t>.</w:t>
      </w:r>
      <w:r>
        <w:tab/>
        <w:t>No touting or soliciting for passengers</w:t>
      </w:r>
      <w:bookmarkEnd w:id="326"/>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27" w:name="_Toc192856471"/>
      <w:r>
        <w:rPr>
          <w:rStyle w:val="CharSectno"/>
        </w:rPr>
        <w:t>140</w:t>
      </w:r>
      <w:r>
        <w:t>.</w:t>
      </w:r>
      <w:r>
        <w:tab/>
        <w:t>Offence to operate unauthorised vehicle with passenger transport vehicle number plates</w:t>
      </w:r>
      <w:bookmarkEnd w:id="327"/>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28" w:name="_Toc192856472"/>
      <w:r>
        <w:rPr>
          <w:rStyle w:val="CharSectno"/>
        </w:rPr>
        <w:t>141</w:t>
      </w:r>
      <w:r>
        <w:t>.</w:t>
      </w:r>
      <w:r>
        <w:tab/>
        <w:t>Wheelchair accessible vehicle to be used to attend to passenger who uses or requires wheelchair first</w:t>
      </w:r>
      <w:bookmarkEnd w:id="328"/>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29" w:name="_Toc192852466"/>
      <w:bookmarkStart w:id="330" w:name="_Toc192853592"/>
      <w:bookmarkStart w:id="331" w:name="_Toc192856473"/>
      <w:r>
        <w:rPr>
          <w:rStyle w:val="CharPartNo"/>
        </w:rPr>
        <w:lastRenderedPageBreak/>
        <w:t>Part 9</w:t>
      </w:r>
      <w:r>
        <w:rPr>
          <w:rStyle w:val="CharDivNo"/>
        </w:rPr>
        <w:t> </w:t>
      </w:r>
      <w:r>
        <w:t>—</w:t>
      </w:r>
      <w:r>
        <w:rPr>
          <w:rStyle w:val="CharDivText"/>
        </w:rPr>
        <w:t> </w:t>
      </w:r>
      <w:r>
        <w:rPr>
          <w:rStyle w:val="CharPartText"/>
        </w:rPr>
        <w:t>Information</w:t>
      </w:r>
      <w:bookmarkEnd w:id="329"/>
      <w:bookmarkEnd w:id="330"/>
      <w:bookmarkEnd w:id="331"/>
    </w:p>
    <w:p>
      <w:pPr>
        <w:pStyle w:val="Heading5"/>
      </w:pPr>
      <w:bookmarkStart w:id="332" w:name="_Toc192856474"/>
      <w:r>
        <w:rPr>
          <w:rStyle w:val="CharSectno"/>
        </w:rPr>
        <w:t>142</w:t>
      </w:r>
      <w:r>
        <w:t>.</w:t>
      </w:r>
      <w:r>
        <w:tab/>
        <w:t>Law enforcement officials (s. 150)</w:t>
      </w:r>
      <w:bookmarkEnd w:id="332"/>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33" w:name="_Toc192856475"/>
      <w:r>
        <w:rPr>
          <w:rStyle w:val="CharSectno"/>
        </w:rPr>
        <w:t>143</w:t>
      </w:r>
      <w:r>
        <w:t>.</w:t>
      </w:r>
      <w:r>
        <w:tab/>
        <w:t>Relevant authorities (s. 150)</w:t>
      </w:r>
      <w:bookmarkEnd w:id="333"/>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34" w:name="_Toc192856476"/>
      <w:r>
        <w:rPr>
          <w:rStyle w:val="CharSectno"/>
        </w:rPr>
        <w:t>144</w:t>
      </w:r>
      <w:r>
        <w:t>.</w:t>
      </w:r>
      <w:r>
        <w:tab/>
        <w:t>Prescribed period (s. 152(a))</w:t>
      </w:r>
      <w:bookmarkEnd w:id="334"/>
    </w:p>
    <w:p>
      <w:pPr>
        <w:pStyle w:val="Subsection"/>
      </w:pPr>
      <w:r>
        <w:tab/>
      </w:r>
      <w:r>
        <w:tab/>
        <w:t>For the purposes of section 152(a) of the Act, the prescribed period is 6 months.</w:t>
      </w:r>
    </w:p>
    <w:p>
      <w:pPr>
        <w:pStyle w:val="Heading5"/>
      </w:pPr>
      <w:bookmarkStart w:id="335" w:name="_Toc192856477"/>
      <w:r>
        <w:rPr>
          <w:rStyle w:val="CharSectno"/>
        </w:rPr>
        <w:t>145</w:t>
      </w:r>
      <w:r>
        <w:t>.</w:t>
      </w:r>
      <w:r>
        <w:tab/>
        <w:t>Disclosure of authorisation status of driver (s. 153)</w:t>
      </w:r>
      <w:bookmarkEnd w:id="335"/>
    </w:p>
    <w:p>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Indenta"/>
      </w:pPr>
      <w:r>
        <w:tab/>
        <w:t>(d)</w:t>
      </w:r>
      <w:r>
        <w:tab/>
        <w:t>a member of the public.</w:t>
      </w:r>
    </w:p>
    <w:p>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to a recipient mentioned in subregulation (1)(a), (b) or (c)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pPr>
        <w:pStyle w:val="Footnotesection"/>
      </w:pPr>
      <w:r>
        <w:tab/>
        <w:t>[Regulation 145 amended: SL 2024/286 r. 15.]</w:t>
      </w:r>
    </w:p>
    <w:p>
      <w:pPr>
        <w:pStyle w:val="Heading5"/>
      </w:pPr>
      <w:bookmarkStart w:id="336" w:name="_Toc192856478"/>
      <w:r>
        <w:rPr>
          <w:rStyle w:val="CharSectno"/>
        </w:rPr>
        <w:t>146</w:t>
      </w:r>
      <w:r>
        <w:t>.</w:t>
      </w:r>
      <w:r>
        <w:tab/>
        <w:t>Prescribed information road traffic CEO must provide to CEO (s. 158)</w:t>
      </w:r>
      <w:bookmarkEnd w:id="336"/>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37" w:name="_Toc192852472"/>
      <w:bookmarkStart w:id="338" w:name="_Toc192853598"/>
      <w:bookmarkStart w:id="339" w:name="_Toc192856479"/>
      <w:r>
        <w:rPr>
          <w:rStyle w:val="CharPartNo"/>
        </w:rPr>
        <w:lastRenderedPageBreak/>
        <w:t>Part 10</w:t>
      </w:r>
      <w:r>
        <w:rPr>
          <w:rStyle w:val="CharDivNo"/>
        </w:rPr>
        <w:t> </w:t>
      </w:r>
      <w:r>
        <w:t>—</w:t>
      </w:r>
      <w:r>
        <w:rPr>
          <w:rStyle w:val="CharDivText"/>
        </w:rPr>
        <w:t> </w:t>
      </w:r>
      <w:r>
        <w:rPr>
          <w:rStyle w:val="CharPartText"/>
        </w:rPr>
        <w:t>Infringement notices and enforcement</w:t>
      </w:r>
      <w:bookmarkEnd w:id="337"/>
      <w:bookmarkEnd w:id="338"/>
      <w:bookmarkEnd w:id="339"/>
    </w:p>
    <w:p>
      <w:pPr>
        <w:pStyle w:val="Heading5"/>
      </w:pPr>
      <w:bookmarkStart w:id="340" w:name="_Toc192856480"/>
      <w:r>
        <w:rPr>
          <w:rStyle w:val="CharSectno"/>
        </w:rPr>
        <w:t>147</w:t>
      </w:r>
      <w:r>
        <w:t>.</w:t>
      </w:r>
      <w:r>
        <w:tab/>
        <w:t>Prescribed offences and modified penalties</w:t>
      </w:r>
      <w:bookmarkEnd w:id="340"/>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41" w:name="_Toc192856481"/>
      <w:r>
        <w:rPr>
          <w:rStyle w:val="CharSectno"/>
        </w:rPr>
        <w:t>148</w:t>
      </w:r>
      <w:r>
        <w:t>.</w:t>
      </w:r>
      <w:r>
        <w:tab/>
        <w:t>Approved officers and authorised officers</w:t>
      </w:r>
      <w:bookmarkEnd w:id="341"/>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42" w:name="_Toc192856482"/>
      <w:r>
        <w:rPr>
          <w:rStyle w:val="CharSectno"/>
        </w:rPr>
        <w:lastRenderedPageBreak/>
        <w:t>149</w:t>
      </w:r>
      <w:r>
        <w:t>.</w:t>
      </w:r>
      <w:r>
        <w:tab/>
        <w:t>Entry warrants (s. 178(2))</w:t>
      </w:r>
      <w:bookmarkEnd w:id="342"/>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43" w:name="_Toc192856483"/>
      <w:r>
        <w:rPr>
          <w:rStyle w:val="CharSectno"/>
        </w:rPr>
        <w:t>150</w:t>
      </w:r>
      <w:r>
        <w:t>.</w:t>
      </w:r>
      <w:r>
        <w:tab/>
        <w:t>Forms</w:t>
      </w:r>
      <w:bookmarkEnd w:id="343"/>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44" w:name="_Toc192852477"/>
      <w:bookmarkStart w:id="345" w:name="_Toc192853603"/>
      <w:bookmarkStart w:id="346" w:name="_Toc192856484"/>
      <w:r>
        <w:rPr>
          <w:rStyle w:val="CharPartNo"/>
        </w:rPr>
        <w:lastRenderedPageBreak/>
        <w:t>Part 11</w:t>
      </w:r>
      <w:r>
        <w:t> — </w:t>
      </w:r>
      <w:r>
        <w:rPr>
          <w:rStyle w:val="CharPartText"/>
        </w:rPr>
        <w:t>Voluntary buyback, adjustment assistance and levy</w:t>
      </w:r>
      <w:bookmarkEnd w:id="344"/>
      <w:bookmarkEnd w:id="345"/>
      <w:bookmarkEnd w:id="346"/>
    </w:p>
    <w:p>
      <w:pPr>
        <w:pStyle w:val="Heading3"/>
      </w:pPr>
      <w:bookmarkStart w:id="347" w:name="_Toc192852478"/>
      <w:bookmarkStart w:id="348" w:name="_Toc192853604"/>
      <w:bookmarkStart w:id="349" w:name="_Toc192856485"/>
      <w:r>
        <w:rPr>
          <w:rStyle w:val="CharDivNo"/>
        </w:rPr>
        <w:t>Division 1</w:t>
      </w:r>
      <w:r>
        <w:t> — </w:t>
      </w:r>
      <w:r>
        <w:rPr>
          <w:rStyle w:val="CharDivText"/>
        </w:rPr>
        <w:t>Buyback payment and net loss payment</w:t>
      </w:r>
      <w:bookmarkEnd w:id="347"/>
      <w:bookmarkEnd w:id="348"/>
      <w:bookmarkEnd w:id="349"/>
    </w:p>
    <w:p>
      <w:pPr>
        <w:pStyle w:val="Heading5"/>
      </w:pPr>
      <w:bookmarkStart w:id="350" w:name="_Toc192856486"/>
      <w:r>
        <w:rPr>
          <w:rStyle w:val="CharSectno"/>
        </w:rPr>
        <w:t>151</w:t>
      </w:r>
      <w:r>
        <w:t>.</w:t>
      </w:r>
      <w:r>
        <w:tab/>
        <w:t>Prescribed day for buyback payment and net loss payment applications (s. 229(2) and 235(2))</w:t>
      </w:r>
      <w:bookmarkEnd w:id="350"/>
    </w:p>
    <w:p>
      <w:pPr>
        <w:pStyle w:val="Subsection"/>
      </w:pPr>
      <w:r>
        <w:tab/>
      </w:r>
      <w:r>
        <w:tab/>
        <w:t>For the purposes of sections 229(2) and 235(2) of the Act, the prescribed day is 31 May 2019.</w:t>
      </w:r>
    </w:p>
    <w:p>
      <w:pPr>
        <w:pStyle w:val="Heading3"/>
      </w:pPr>
      <w:bookmarkStart w:id="351" w:name="_Toc192852480"/>
      <w:bookmarkStart w:id="352" w:name="_Toc192853606"/>
      <w:bookmarkStart w:id="353" w:name="_Toc192856487"/>
      <w:r>
        <w:rPr>
          <w:rStyle w:val="CharDivNo"/>
        </w:rPr>
        <w:t>Division 2</w:t>
      </w:r>
      <w:r>
        <w:t> — </w:t>
      </w:r>
      <w:r>
        <w:rPr>
          <w:rStyle w:val="CharDivText"/>
        </w:rPr>
        <w:t>On</w:t>
      </w:r>
      <w:r>
        <w:rPr>
          <w:rStyle w:val="CharDivText"/>
        </w:rPr>
        <w:noBreakHyphen/>
        <w:t>demand passenger transport levy</w:t>
      </w:r>
      <w:bookmarkEnd w:id="351"/>
      <w:bookmarkEnd w:id="352"/>
      <w:bookmarkEnd w:id="353"/>
    </w:p>
    <w:p>
      <w:pPr>
        <w:pStyle w:val="Heading4"/>
      </w:pPr>
      <w:bookmarkStart w:id="354" w:name="_Toc192852481"/>
      <w:bookmarkStart w:id="355" w:name="_Toc192853607"/>
      <w:bookmarkStart w:id="356" w:name="_Toc192856488"/>
      <w:r>
        <w:t>Subdivision 1 — Preliminary</w:t>
      </w:r>
      <w:bookmarkEnd w:id="354"/>
      <w:bookmarkEnd w:id="355"/>
      <w:bookmarkEnd w:id="356"/>
    </w:p>
    <w:p>
      <w:pPr>
        <w:pStyle w:val="Heading5"/>
      </w:pPr>
      <w:bookmarkStart w:id="357" w:name="_Toc192856489"/>
      <w:r>
        <w:rPr>
          <w:rStyle w:val="CharSectno"/>
        </w:rPr>
        <w:t>152</w:t>
      </w:r>
      <w:r>
        <w:t>.</w:t>
      </w:r>
      <w:r>
        <w:tab/>
        <w:t>Terms used</w:t>
      </w:r>
      <w:bookmarkEnd w:id="357"/>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lastRenderedPageBreak/>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 xml:space="preserve">demand passenger transport service for a special event, but does not include a </w:t>
      </w:r>
      <w:r>
        <w:lastRenderedPageBreak/>
        <w:t>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58" w:name="_Toc192852483"/>
      <w:bookmarkStart w:id="359" w:name="_Toc192853609"/>
      <w:bookmarkStart w:id="360" w:name="_Toc192856490"/>
      <w:r>
        <w:t>Subdivision 2 — General provisions relating to levy</w:t>
      </w:r>
      <w:bookmarkEnd w:id="358"/>
      <w:bookmarkEnd w:id="359"/>
      <w:bookmarkEnd w:id="360"/>
    </w:p>
    <w:p>
      <w:pPr>
        <w:pStyle w:val="Heading5"/>
      </w:pPr>
      <w:bookmarkStart w:id="361" w:name="_Toc192856491"/>
      <w:r>
        <w:rPr>
          <w:rStyle w:val="CharSectno"/>
        </w:rPr>
        <w:t>153</w:t>
      </w:r>
      <w:r>
        <w:t>.</w:t>
      </w:r>
      <w:r>
        <w:tab/>
        <w:t>Classes of providers of on</w:t>
      </w:r>
      <w:r>
        <w:noBreakHyphen/>
        <w:t>demand booking services (s. 241)</w:t>
      </w:r>
      <w:bookmarkEnd w:id="361"/>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62" w:name="_Toc192856492"/>
      <w:r>
        <w:rPr>
          <w:rStyle w:val="CharSectno"/>
        </w:rPr>
        <w:lastRenderedPageBreak/>
        <w:t>154</w:t>
      </w:r>
      <w:r>
        <w:t>.</w:t>
      </w:r>
      <w:r>
        <w:tab/>
        <w:t>Levy fare: general (s. 241)</w:t>
      </w:r>
      <w:bookmarkEnd w:id="362"/>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63" w:name="_Toc192856493"/>
      <w:r>
        <w:rPr>
          <w:rStyle w:val="CharSectno"/>
        </w:rPr>
        <w:t>155</w:t>
      </w:r>
      <w:r>
        <w:t>.</w:t>
      </w:r>
      <w:r>
        <w:tab/>
        <w:t>Levy fare: on</w:t>
      </w:r>
      <w:r>
        <w:noBreakHyphen/>
        <w:t>demand passenger transport service provided for metered fare (s. 241)</w:t>
      </w:r>
      <w:bookmarkEnd w:id="363"/>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lastRenderedPageBreak/>
        <w:tab/>
        <w:t>(g)</w:t>
      </w:r>
      <w:r>
        <w:tab/>
        <w:t>any charge for carrying oversized or excess luggage using a trailer, roof</w:t>
      </w:r>
      <w:r>
        <w:noBreakHyphen/>
        <w:t>rack or similar equipment.</w:t>
      </w:r>
    </w:p>
    <w:p>
      <w:pPr>
        <w:pStyle w:val="Footnotesection"/>
      </w:pPr>
      <w:r>
        <w:tab/>
        <w:t>[Regulation 155 amended: SL 2024/286 r. 16.]</w:t>
      </w:r>
    </w:p>
    <w:p>
      <w:pPr>
        <w:pStyle w:val="Heading5"/>
      </w:pPr>
      <w:bookmarkStart w:id="364" w:name="_Toc192856494"/>
      <w:r>
        <w:rPr>
          <w:rStyle w:val="CharSectno"/>
        </w:rPr>
        <w:t>156</w:t>
      </w:r>
      <w:r>
        <w:t>.</w:t>
      </w:r>
      <w:r>
        <w:tab/>
        <w:t>Levy fare: fare under multiple service agreement (s. 241)</w:t>
      </w:r>
      <w:bookmarkEnd w:id="364"/>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65" w:name="_Toc192856495"/>
      <w:r>
        <w:rPr>
          <w:rStyle w:val="CharSectno"/>
        </w:rPr>
        <w:lastRenderedPageBreak/>
        <w:t>157</w:t>
      </w:r>
      <w:r>
        <w:t>.</w:t>
      </w:r>
      <w:r>
        <w:tab/>
        <w:t>Transactions relating to electric vehicles not leviable passenger service transactions</w:t>
      </w:r>
      <w:bookmarkEnd w:id="365"/>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66" w:name="_Toc192856496"/>
      <w:r>
        <w:rPr>
          <w:rStyle w:val="CharSectno"/>
        </w:rPr>
        <w:t>158</w:t>
      </w:r>
      <w:r>
        <w:t>.</w:t>
      </w:r>
      <w:r>
        <w:tab/>
        <w:t>Exemption from requirement to pay levy for approved special events providers</w:t>
      </w:r>
      <w:bookmarkEnd w:id="366"/>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367" w:name="_Toc192856497"/>
      <w:r>
        <w:rPr>
          <w:rStyle w:val="CharSectno"/>
        </w:rPr>
        <w:t>159</w:t>
      </w:r>
      <w:r>
        <w:t>.</w:t>
      </w:r>
      <w:r>
        <w:tab/>
        <w:t>Calculation of amount of levy payable on estimated basis (s. 247(1))</w:t>
      </w:r>
      <w:bookmarkEnd w:id="367"/>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68" w:name="_Toc192856498"/>
      <w:r>
        <w:rPr>
          <w:rStyle w:val="CharSectno"/>
        </w:rPr>
        <w:lastRenderedPageBreak/>
        <w:t>160</w:t>
      </w:r>
      <w:r>
        <w:t>.</w:t>
      </w:r>
      <w:r>
        <w:tab/>
        <w:t>Registration as taxpayer (s. 249)</w:t>
      </w:r>
      <w:bookmarkEnd w:id="368"/>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69" w:name="_Toc192856499"/>
      <w:r>
        <w:rPr>
          <w:rStyle w:val="CharSectno"/>
        </w:rPr>
        <w:t>161</w:t>
      </w:r>
      <w:r>
        <w:t>.</w:t>
      </w:r>
      <w:r>
        <w:tab/>
        <w:t>Payment of levy</w:t>
      </w:r>
      <w:bookmarkEnd w:id="369"/>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70" w:name="_Toc192856500"/>
      <w:r>
        <w:rPr>
          <w:rStyle w:val="CharSectno"/>
        </w:rPr>
        <w:t>162</w:t>
      </w:r>
      <w:r>
        <w:t>.</w:t>
      </w:r>
      <w:r>
        <w:tab/>
        <w:t>Returns (s. 250)</w:t>
      </w:r>
      <w:bookmarkEnd w:id="370"/>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71" w:name="_Toc192856501"/>
      <w:r>
        <w:rPr>
          <w:rStyle w:val="CharSectno"/>
        </w:rPr>
        <w:t>163</w:t>
      </w:r>
      <w:r>
        <w:t>.</w:t>
      </w:r>
      <w:r>
        <w:tab/>
        <w:t>Records (s. 251)</w:t>
      </w:r>
      <w:bookmarkEnd w:id="371"/>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72" w:name="_Toc192856502"/>
      <w:r>
        <w:rPr>
          <w:rStyle w:val="CharSectno"/>
        </w:rPr>
        <w:t>164</w:t>
      </w:r>
      <w:r>
        <w:t>.</w:t>
      </w:r>
      <w:r>
        <w:tab/>
        <w:t>Records: fare information</w:t>
      </w:r>
      <w:bookmarkEnd w:id="372"/>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73" w:name="_Toc192856503"/>
      <w:r>
        <w:rPr>
          <w:rStyle w:val="CharSectno"/>
        </w:rPr>
        <w:t>165</w:t>
      </w:r>
      <w:r>
        <w:t>.</w:t>
      </w:r>
      <w:r>
        <w:tab/>
        <w:t>Records to be produced or provided to CEO or authorised officer</w:t>
      </w:r>
      <w:bookmarkEnd w:id="373"/>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74" w:name="_Toc192852497"/>
      <w:bookmarkStart w:id="375" w:name="_Toc192853623"/>
      <w:bookmarkStart w:id="376" w:name="_Toc192856504"/>
      <w:r>
        <w:t xml:space="preserve">Subdivision 3 — Modifications of </w:t>
      </w:r>
      <w:r>
        <w:rPr>
          <w:i/>
        </w:rPr>
        <w:t>Taxation Administration Act 2003</w:t>
      </w:r>
      <w:bookmarkEnd w:id="374"/>
      <w:bookmarkEnd w:id="375"/>
      <w:bookmarkEnd w:id="376"/>
    </w:p>
    <w:p>
      <w:pPr>
        <w:pStyle w:val="Heading5"/>
      </w:pPr>
      <w:bookmarkStart w:id="377" w:name="_Toc192856505"/>
      <w:r>
        <w:rPr>
          <w:rStyle w:val="CharSectno"/>
        </w:rPr>
        <w:t>166</w:t>
      </w:r>
      <w:r>
        <w:t>.</w:t>
      </w:r>
      <w:r>
        <w:tab/>
        <w:t xml:space="preserve">Modifications of </w:t>
      </w:r>
      <w:r>
        <w:rPr>
          <w:i/>
        </w:rPr>
        <w:t>Taxation Administration Act 2003</w:t>
      </w:r>
      <w:r>
        <w:t xml:space="preserve"> (s. 243(2))</w:t>
      </w:r>
      <w:bookmarkEnd w:id="377"/>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378" w:name="_Toc192856506"/>
      <w:r>
        <w:rPr>
          <w:rStyle w:val="CharSectno"/>
        </w:rPr>
        <w:t>167</w:t>
      </w:r>
      <w:r>
        <w:t>.</w:t>
      </w:r>
      <w:r>
        <w:tab/>
        <w:t>Time limits on reassessment</w:t>
      </w:r>
      <w:bookmarkEnd w:id="378"/>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379" w:name="_Toc192856507"/>
      <w:r>
        <w:rPr>
          <w:rStyle w:val="CharSectno"/>
        </w:rPr>
        <w:t>168</w:t>
      </w:r>
      <w:r>
        <w:t>.</w:t>
      </w:r>
      <w:r>
        <w:tab/>
        <w:t>Penalty tax not payable</w:t>
      </w:r>
      <w:bookmarkEnd w:id="379"/>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380" w:name="_Toc192856508"/>
      <w:r>
        <w:rPr>
          <w:rStyle w:val="CharSectno"/>
        </w:rPr>
        <w:t>169</w:t>
      </w:r>
      <w:r>
        <w:t>.</w:t>
      </w:r>
      <w:r>
        <w:tab/>
        <w:t>Records relevant to objections</w:t>
      </w:r>
      <w:bookmarkEnd w:id="380"/>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381" w:name="_Toc192856509"/>
      <w:r>
        <w:rPr>
          <w:rStyle w:val="CharSectno"/>
        </w:rPr>
        <w:t>170</w:t>
      </w:r>
      <w:r>
        <w:t>.</w:t>
      </w:r>
      <w:r>
        <w:tab/>
        <w:t>Time for lodging objections</w:t>
      </w:r>
      <w:bookmarkEnd w:id="381"/>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382" w:name="_Toc192856510"/>
      <w:r>
        <w:rPr>
          <w:rStyle w:val="CharSectno"/>
        </w:rPr>
        <w:t>171</w:t>
      </w:r>
      <w:r>
        <w:t>.</w:t>
      </w:r>
      <w:r>
        <w:tab/>
        <w:t>Proceedings before State Administrative Tribunal</w:t>
      </w:r>
      <w:bookmarkEnd w:id="382"/>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383" w:name="_Toc192856511"/>
      <w:r>
        <w:rPr>
          <w:rStyle w:val="CharSectno"/>
        </w:rPr>
        <w:t>172</w:t>
      </w:r>
      <w:r>
        <w:t>.</w:t>
      </w:r>
      <w:r>
        <w:tab/>
        <w:t>Time limit on refund applications</w:t>
      </w:r>
      <w:bookmarkEnd w:id="383"/>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384" w:name="_Toc192856512"/>
      <w:r>
        <w:rPr>
          <w:rStyle w:val="CharSectno"/>
        </w:rPr>
        <w:lastRenderedPageBreak/>
        <w:t>173</w:t>
      </w:r>
      <w:r>
        <w:t>.</w:t>
      </w:r>
      <w:r>
        <w:tab/>
        <w:t>Proceedings for an offence</w:t>
      </w:r>
      <w:bookmarkEnd w:id="384"/>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385" w:name="_Toc192856513"/>
      <w:r>
        <w:rPr>
          <w:rStyle w:val="CharSectno"/>
        </w:rPr>
        <w:t>174</w:t>
      </w:r>
      <w:r>
        <w:t>.</w:t>
      </w:r>
      <w:r>
        <w:tab/>
        <w:t>Service</w:t>
      </w:r>
      <w:bookmarkEnd w:id="385"/>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386" w:name="_Toc192852507"/>
      <w:bookmarkStart w:id="387" w:name="_Toc192853633"/>
      <w:bookmarkStart w:id="388" w:name="_Toc192856514"/>
      <w:r>
        <w:rPr>
          <w:rStyle w:val="CharDivNo"/>
        </w:rPr>
        <w:t>Division 3</w:t>
      </w:r>
      <w:r>
        <w:t> — </w:t>
      </w:r>
      <w:r>
        <w:rPr>
          <w:rStyle w:val="CharDivText"/>
        </w:rPr>
        <w:t>Adjustment assistance grants</w:t>
      </w:r>
      <w:bookmarkEnd w:id="386"/>
      <w:bookmarkEnd w:id="387"/>
      <w:bookmarkEnd w:id="388"/>
    </w:p>
    <w:p>
      <w:pPr>
        <w:pStyle w:val="Heading5"/>
      </w:pPr>
      <w:bookmarkStart w:id="389" w:name="_Toc192856515"/>
      <w:r>
        <w:rPr>
          <w:rStyle w:val="CharSectno"/>
        </w:rPr>
        <w:t>175</w:t>
      </w:r>
      <w:r>
        <w:t>.</w:t>
      </w:r>
      <w:r>
        <w:tab/>
        <w:t>Prescribed day for adjustment assistance grant applications (s. 259(2))</w:t>
      </w:r>
      <w:bookmarkEnd w:id="389"/>
    </w:p>
    <w:p>
      <w:pPr>
        <w:pStyle w:val="Subsection"/>
      </w:pPr>
      <w:r>
        <w:tab/>
      </w:r>
      <w:r>
        <w:tab/>
        <w:t>For the purposes of section 259(2) of the Act, the prescribed day is 31 March 2019.</w:t>
      </w:r>
    </w:p>
    <w:p>
      <w:pPr>
        <w:pStyle w:val="Heading2"/>
      </w:pPr>
      <w:bookmarkStart w:id="390" w:name="_Toc192852509"/>
      <w:bookmarkStart w:id="391" w:name="_Toc192853635"/>
      <w:bookmarkStart w:id="392" w:name="_Toc192856516"/>
      <w:r>
        <w:rPr>
          <w:rStyle w:val="CharPartNo"/>
        </w:rPr>
        <w:lastRenderedPageBreak/>
        <w:t>Part 12</w:t>
      </w:r>
      <w:r>
        <w:rPr>
          <w:rStyle w:val="CharDivNo"/>
        </w:rPr>
        <w:t> </w:t>
      </w:r>
      <w:r>
        <w:t>—</w:t>
      </w:r>
      <w:r>
        <w:rPr>
          <w:rStyle w:val="CharDivText"/>
        </w:rPr>
        <w:t> </w:t>
      </w:r>
      <w:r>
        <w:rPr>
          <w:rStyle w:val="CharPartText"/>
        </w:rPr>
        <w:t>Miscellaneous</w:t>
      </w:r>
      <w:bookmarkEnd w:id="390"/>
      <w:bookmarkEnd w:id="391"/>
      <w:bookmarkEnd w:id="392"/>
    </w:p>
    <w:p>
      <w:pPr>
        <w:pStyle w:val="Heading5"/>
      </w:pPr>
      <w:bookmarkStart w:id="393" w:name="_Toc192856517"/>
      <w:r>
        <w:rPr>
          <w:rStyle w:val="CharSectno"/>
        </w:rPr>
        <w:t>176</w:t>
      </w:r>
      <w:r>
        <w:t>.</w:t>
      </w:r>
      <w:r>
        <w:tab/>
        <w:t>Review of decisions (s. 262)</w:t>
      </w:r>
      <w:bookmarkEnd w:id="393"/>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394" w:name="_Toc192856518"/>
      <w:r>
        <w:rPr>
          <w:rStyle w:val="CharSectno"/>
        </w:rPr>
        <w:t>177</w:t>
      </w:r>
      <w:r>
        <w:t>.</w:t>
      </w:r>
      <w:r>
        <w:tab/>
        <w:t>Fees</w:t>
      </w:r>
      <w:bookmarkEnd w:id="394"/>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395" w:name="_Toc192856519"/>
      <w:r>
        <w:rPr>
          <w:rStyle w:val="CharSectno"/>
        </w:rPr>
        <w:t>178</w:t>
      </w:r>
      <w:r>
        <w:t>.</w:t>
      </w:r>
      <w:r>
        <w:tab/>
        <w:t>Waiver of fees</w:t>
      </w:r>
      <w:bookmarkEnd w:id="395"/>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396" w:name="_Toc192856520"/>
      <w:r>
        <w:rPr>
          <w:rStyle w:val="CharSectno"/>
        </w:rPr>
        <w:t>179</w:t>
      </w:r>
      <w:r>
        <w:t>.</w:t>
      </w:r>
      <w:r>
        <w:tab/>
        <w:t>Exemption of providers of school bus services and vehicles</w:t>
      </w:r>
      <w:bookmarkEnd w:id="396"/>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397" w:name="_Toc192856521"/>
      <w:r>
        <w:rPr>
          <w:rStyle w:val="CharSectno"/>
        </w:rPr>
        <w:t>180</w:t>
      </w:r>
      <w:r>
        <w:t>.</w:t>
      </w:r>
      <w:r>
        <w:tab/>
        <w:t>CEO or authorised officer may require documents to be produced or provided</w:t>
      </w:r>
      <w:bookmarkEnd w:id="397"/>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398" w:name="_Toc192852515"/>
      <w:bookmarkStart w:id="399" w:name="_Toc192853641"/>
      <w:bookmarkStart w:id="400" w:name="_Toc192856522"/>
      <w:r>
        <w:rPr>
          <w:rStyle w:val="CharPartNo"/>
        </w:rPr>
        <w:lastRenderedPageBreak/>
        <w:t>Part 13</w:t>
      </w:r>
      <w:r>
        <w:t> — </w:t>
      </w:r>
      <w:r>
        <w:rPr>
          <w:rStyle w:val="CharPartText"/>
        </w:rPr>
        <w:t>Transitional provisions</w:t>
      </w:r>
      <w:bookmarkEnd w:id="398"/>
      <w:bookmarkEnd w:id="399"/>
      <w:bookmarkEnd w:id="400"/>
    </w:p>
    <w:p>
      <w:pPr>
        <w:pStyle w:val="Heading3"/>
      </w:pPr>
      <w:bookmarkStart w:id="401" w:name="_Toc192852516"/>
      <w:bookmarkStart w:id="402" w:name="_Toc192853642"/>
      <w:bookmarkStart w:id="403" w:name="_Toc192856523"/>
      <w:r>
        <w:rPr>
          <w:rStyle w:val="CharDivNo"/>
        </w:rPr>
        <w:t>Division 1</w:t>
      </w:r>
      <w:r>
        <w:t> — </w:t>
      </w:r>
      <w:r>
        <w:rPr>
          <w:rStyle w:val="CharDivText"/>
        </w:rPr>
        <w:t>General matters</w:t>
      </w:r>
      <w:bookmarkEnd w:id="401"/>
      <w:bookmarkEnd w:id="402"/>
      <w:bookmarkEnd w:id="403"/>
    </w:p>
    <w:p>
      <w:pPr>
        <w:pStyle w:val="Heading5"/>
      </w:pPr>
      <w:bookmarkStart w:id="404" w:name="_Toc192856524"/>
      <w:r>
        <w:rPr>
          <w:rStyle w:val="CharSectno"/>
        </w:rPr>
        <w:t>181</w:t>
      </w:r>
      <w:r>
        <w:t>.</w:t>
      </w:r>
      <w:r>
        <w:tab/>
        <w:t>Disclosure of information about drivers’ licences (s. 293(2))</w:t>
      </w:r>
      <w:bookmarkEnd w:id="404"/>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405" w:name="_Toc192856525"/>
      <w:r>
        <w:rPr>
          <w:rStyle w:val="CharSectno"/>
        </w:rPr>
        <w:t>182</w:t>
      </w:r>
      <w:r>
        <w:t>.</w:t>
      </w:r>
      <w:r>
        <w:tab/>
        <w:t>Camera surveillance units installed before 2 July 2019</w:t>
      </w:r>
      <w:bookmarkEnd w:id="405"/>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406" w:name="_Toc192856526"/>
      <w:r>
        <w:rPr>
          <w:rStyle w:val="CharSectno"/>
        </w:rPr>
        <w:lastRenderedPageBreak/>
        <w:t>183</w:t>
      </w:r>
      <w:r>
        <w:t>.</w:t>
      </w:r>
      <w:r>
        <w:tab/>
        <w:t>Camera surveillance units in on</w:t>
      </w:r>
      <w:r>
        <w:noBreakHyphen/>
        <w:t>demand rank or hail vehicles in regional areas</w:t>
      </w:r>
      <w:bookmarkEnd w:id="406"/>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407" w:name="_Toc192856527"/>
      <w:r>
        <w:rPr>
          <w:rStyle w:val="CharSectno"/>
        </w:rPr>
        <w:t>184</w:t>
      </w:r>
      <w:r>
        <w:t>.</w:t>
      </w:r>
      <w:r>
        <w:tab/>
        <w:t>Prescribed transition period for ‘F’ or ‘T’ endorsed driver’s licence (s. 294)</w:t>
      </w:r>
      <w:bookmarkEnd w:id="407"/>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408" w:name="_Toc192856528"/>
      <w:r>
        <w:rPr>
          <w:rStyle w:val="CharSectno"/>
        </w:rPr>
        <w:t>185</w:t>
      </w:r>
      <w:r>
        <w:t>.</w:t>
      </w:r>
      <w:r>
        <w:tab/>
        <w:t>Provisions for drivers authorised to drive under s. 294 or interstate driver authorisation</w:t>
      </w:r>
      <w:bookmarkEnd w:id="408"/>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409" w:name="_Toc192856529"/>
      <w:r>
        <w:rPr>
          <w:rStyle w:val="CharSectno"/>
        </w:rPr>
        <w:t>186</w:t>
      </w:r>
      <w:r>
        <w:t>.</w:t>
      </w:r>
      <w:r>
        <w:tab/>
        <w:t>Provisions for s. 295 of the Act</w:t>
      </w:r>
      <w:bookmarkEnd w:id="409"/>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410" w:name="_Toc192856530"/>
      <w:r>
        <w:rPr>
          <w:rStyle w:val="CharSectno"/>
        </w:rPr>
        <w:t>187</w:t>
      </w:r>
      <w:r>
        <w:t>.</w:t>
      </w:r>
      <w:r>
        <w:tab/>
        <w:t>Provisions for s. 296 of the Act</w:t>
      </w:r>
      <w:bookmarkEnd w:id="410"/>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411" w:name="_Toc192856531"/>
      <w:r>
        <w:rPr>
          <w:rStyle w:val="CharSectno"/>
        </w:rPr>
        <w:t>188</w:t>
      </w:r>
      <w:r>
        <w:t>.</w:t>
      </w:r>
      <w:r>
        <w:tab/>
        <w:t>Medical reports</w:t>
      </w:r>
      <w:bookmarkEnd w:id="411"/>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412" w:name="_Toc192852525"/>
      <w:bookmarkStart w:id="413" w:name="_Toc192853651"/>
      <w:bookmarkStart w:id="414" w:name="_Toc192856532"/>
      <w:r>
        <w:rPr>
          <w:rStyle w:val="CharDivNo"/>
        </w:rPr>
        <w:t>Division 2</w:t>
      </w:r>
      <w:r>
        <w:t> — </w:t>
      </w:r>
      <w:r>
        <w:rPr>
          <w:rStyle w:val="CharDivText"/>
        </w:rPr>
        <w:t>Number plates</w:t>
      </w:r>
      <w:bookmarkEnd w:id="412"/>
      <w:bookmarkEnd w:id="413"/>
      <w:bookmarkEnd w:id="414"/>
    </w:p>
    <w:p>
      <w:pPr>
        <w:pStyle w:val="Heading5"/>
      </w:pPr>
      <w:bookmarkStart w:id="415" w:name="_Toc192856533"/>
      <w:r>
        <w:rPr>
          <w:rStyle w:val="CharSectno"/>
        </w:rPr>
        <w:t>189</w:t>
      </w:r>
      <w:r>
        <w:t>.</w:t>
      </w:r>
      <w:r>
        <w:tab/>
        <w:t>Term used: commencement day</w:t>
      </w:r>
      <w:bookmarkEnd w:id="415"/>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416" w:name="_Toc192856534"/>
      <w:r>
        <w:rPr>
          <w:rStyle w:val="CharSectno"/>
        </w:rPr>
        <w:t>190</w:t>
      </w:r>
      <w:r>
        <w:t>.</w:t>
      </w:r>
      <w:r>
        <w:tab/>
        <w:t>Existing attached taxi plates for taxis may continue to be used</w:t>
      </w:r>
      <w:bookmarkEnd w:id="416"/>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417" w:name="_Toc192856535"/>
      <w:r>
        <w:rPr>
          <w:rStyle w:val="CharSectno"/>
        </w:rPr>
        <w:t>191</w:t>
      </w:r>
      <w:r>
        <w:t>.</w:t>
      </w:r>
      <w:r>
        <w:tab/>
        <w:t>Existing attached number plates for country taxi</w:t>
      </w:r>
      <w:r>
        <w:noBreakHyphen/>
        <w:t>cars may continue to be used</w:t>
      </w:r>
      <w:bookmarkEnd w:id="417"/>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18" w:name="_Toc192856536"/>
      <w:r>
        <w:rPr>
          <w:rStyle w:val="CharSectno"/>
        </w:rPr>
        <w:t>192</w:t>
      </w:r>
      <w:r>
        <w:t>.</w:t>
      </w:r>
      <w:r>
        <w:tab/>
        <w:t>Omnibus number plates</w:t>
      </w:r>
      <w:bookmarkEnd w:id="418"/>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19" w:name="_Toc192856537"/>
      <w:r>
        <w:rPr>
          <w:rStyle w:val="CharSectno"/>
        </w:rPr>
        <w:t>193</w:t>
      </w:r>
      <w:r>
        <w:t>.</w:t>
      </w:r>
      <w:r>
        <w:tab/>
        <w:t>Owned taxi plates that were attached and were not the subject of the buyback scheme</w:t>
      </w:r>
      <w:bookmarkEnd w:id="419"/>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20" w:name="_Toc192856538"/>
      <w:r>
        <w:rPr>
          <w:rStyle w:val="CharSectno"/>
        </w:rPr>
        <w:t>194</w:t>
      </w:r>
      <w:r>
        <w:t>.</w:t>
      </w:r>
      <w:r>
        <w:tab/>
        <w:t>Leased taxi plates that were attached</w:t>
      </w:r>
      <w:bookmarkEnd w:id="420"/>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21" w:name="_Toc192856539"/>
      <w:r>
        <w:rPr>
          <w:rStyle w:val="CharSectno"/>
        </w:rPr>
        <w:t>195</w:t>
      </w:r>
      <w:r>
        <w:t>.</w:t>
      </w:r>
      <w:r>
        <w:tab/>
        <w:t>Return of number plates that were not attached to a vehicle</w:t>
      </w:r>
      <w:bookmarkEnd w:id="421"/>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22" w:name="_Toc192856540"/>
      <w:r>
        <w:rPr>
          <w:rStyle w:val="CharSectno"/>
        </w:rPr>
        <w:t>196</w:t>
      </w:r>
      <w:r>
        <w:t>.</w:t>
      </w:r>
      <w:r>
        <w:tab/>
        <w:t>Seizure of number plates</w:t>
      </w:r>
      <w:bookmarkEnd w:id="422"/>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23" w:name="_Toc192852534"/>
      <w:bookmarkStart w:id="424" w:name="_Toc192853660"/>
      <w:bookmarkStart w:id="425" w:name="_Toc192856541"/>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23"/>
      <w:bookmarkEnd w:id="424"/>
      <w:bookmarkEnd w:id="425"/>
    </w:p>
    <w:p>
      <w:pPr>
        <w:pStyle w:val="Heading5"/>
      </w:pPr>
      <w:bookmarkStart w:id="426" w:name="_Toc192856542"/>
      <w:r>
        <w:rPr>
          <w:rStyle w:val="CharSectno"/>
        </w:rPr>
        <w:t>197</w:t>
      </w:r>
      <w:r>
        <w:t>.</w:t>
      </w:r>
      <w:r>
        <w:tab/>
        <w:t>Things done for 2019 regulations continue for these regulations</w:t>
      </w:r>
      <w:bookmarkEnd w:id="426"/>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27" w:name="_Toc192856543"/>
      <w:r>
        <w:rPr>
          <w:rStyle w:val="CharSectno"/>
        </w:rPr>
        <w:t>198</w:t>
      </w:r>
      <w:r>
        <w:t>.</w:t>
      </w:r>
      <w:r>
        <w:tab/>
        <w:t>Review of decisions under 2019 regulations</w:t>
      </w:r>
      <w:bookmarkEnd w:id="427"/>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28" w:name="_Toc192856544"/>
      <w:r>
        <w:rPr>
          <w:rStyle w:val="CharSectno"/>
        </w:rPr>
        <w:t>199</w:t>
      </w:r>
      <w:r>
        <w:t>.</w:t>
      </w:r>
      <w:r>
        <w:tab/>
        <w:t>Provisions relating to disqualification periods under 2019 regulations</w:t>
      </w:r>
      <w:bookmarkEnd w:id="428"/>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29" w:name="_Toc192856545"/>
      <w:r>
        <w:rPr>
          <w:rStyle w:val="CharSectno"/>
        </w:rPr>
        <w:t>200</w:t>
      </w:r>
      <w:r>
        <w:t>.</w:t>
      </w:r>
      <w:r>
        <w:tab/>
        <w:t>Provisions relating to association arrangements</w:t>
      </w:r>
      <w:bookmarkEnd w:id="429"/>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3"/>
      </w:pPr>
      <w:bookmarkStart w:id="430" w:name="_Toc192852539"/>
      <w:bookmarkStart w:id="431" w:name="_Toc192853665"/>
      <w:bookmarkStart w:id="432" w:name="_Toc192856546"/>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430"/>
      <w:bookmarkEnd w:id="431"/>
      <w:bookmarkEnd w:id="432"/>
    </w:p>
    <w:p>
      <w:pPr>
        <w:pStyle w:val="Footnoteheading"/>
      </w:pPr>
      <w:r>
        <w:tab/>
        <w:t>[Heading inserted: SL 2024/286 r. 17.]</w:t>
      </w:r>
    </w:p>
    <w:p>
      <w:pPr>
        <w:pStyle w:val="Heading5"/>
      </w:pPr>
      <w:bookmarkStart w:id="433" w:name="_Toc192856547"/>
      <w:r>
        <w:rPr>
          <w:rStyle w:val="CharSectno"/>
        </w:rPr>
        <w:t>200A</w:t>
      </w:r>
      <w:r>
        <w:t>.</w:t>
      </w:r>
      <w:r>
        <w:tab/>
        <w:t>Display of fare schedules</w:t>
      </w:r>
      <w:bookmarkEnd w:id="433"/>
    </w:p>
    <w:p>
      <w:pPr>
        <w:pStyle w:val="Subsection"/>
      </w:pPr>
      <w:r>
        <w:tab/>
        <w:t>(1)</w:t>
      </w:r>
      <w:r>
        <w:tab/>
        <w:t>In this regulation —</w:t>
      </w:r>
    </w:p>
    <w:p>
      <w:pPr>
        <w:pStyle w:val="Defstart"/>
      </w:pPr>
      <w:r>
        <w:tab/>
      </w:r>
      <w:r>
        <w:rPr>
          <w:rStyle w:val="CharDefText"/>
        </w:rPr>
        <w:t>approved form</w:t>
      </w:r>
      <w:r>
        <w:t xml:space="preserve"> means a form approved for the purposes of regulation 118(2)(a);</w:t>
      </w:r>
    </w:p>
    <w:p>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pPr>
        <w:pStyle w:val="Defstart"/>
      </w:pPr>
      <w:r>
        <w:tab/>
      </w:r>
      <w:r>
        <w:rPr>
          <w:rStyle w:val="CharDefText"/>
        </w:rPr>
        <w:t>former Schedule 4</w:t>
      </w:r>
      <w:r>
        <w:t xml:space="preserve"> means Schedule 4 as in operation immediately before commencement day.</w:t>
      </w:r>
    </w:p>
    <w:p>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pPr>
        <w:pStyle w:val="Indenta"/>
      </w:pPr>
      <w:r>
        <w:tab/>
        <w:t>(a)</w:t>
      </w:r>
      <w:r>
        <w:tab/>
        <w:t>describes the booking fee as a call out fee; or</w:t>
      </w:r>
    </w:p>
    <w:p>
      <w:pPr>
        <w:pStyle w:val="Indenta"/>
      </w:pPr>
      <w:r>
        <w:tab/>
        <w:t>(b)</w:t>
      </w:r>
      <w:r>
        <w:tab/>
        <w:t>states a guaranteed booking fee under former Schedule 4.</w:t>
      </w:r>
    </w:p>
    <w:p>
      <w:pPr>
        <w:pStyle w:val="Subsection"/>
      </w:pPr>
      <w:r>
        <w:tab/>
        <w:t>(3)</w:t>
      </w:r>
      <w:r>
        <w:tab/>
        <w:t>This regulation ceases to have effect at the end of the period of 12 months beginning on commencement day.</w:t>
      </w:r>
    </w:p>
    <w:p>
      <w:pPr>
        <w:pStyle w:val="Footnotesection"/>
      </w:pPr>
      <w:r>
        <w:tab/>
        <w:t>[Regulation 200A inserted: SL 2024/286 r. 17.]</w:t>
      </w:r>
    </w:p>
    <w:p>
      <w:pPr>
        <w:pStyle w:val="Heading2"/>
        <w:rPr>
          <w:rStyle w:val="CharDivText"/>
        </w:rPr>
      </w:pPr>
      <w:bookmarkStart w:id="434" w:name="_Toc192852541"/>
      <w:bookmarkStart w:id="435" w:name="_Toc192853667"/>
      <w:bookmarkStart w:id="436" w:name="_Toc192856548"/>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34"/>
      <w:bookmarkEnd w:id="435"/>
      <w:bookmarkEnd w:id="436"/>
    </w:p>
    <w:p>
      <w:pPr>
        <w:pStyle w:val="Heading5"/>
      </w:pPr>
      <w:bookmarkStart w:id="437" w:name="_Toc192856549"/>
      <w:r>
        <w:rPr>
          <w:rStyle w:val="CharSectno"/>
        </w:rPr>
        <w:t>201</w:t>
      </w:r>
      <w:r>
        <w:t>.</w:t>
      </w:r>
      <w:r>
        <w:tab/>
      </w:r>
      <w:r>
        <w:rPr>
          <w:i/>
        </w:rPr>
        <w:t>Transport (Road Passenger Services) Regulations 2019</w:t>
      </w:r>
      <w:r>
        <w:t xml:space="preserve"> repealed</w:t>
      </w:r>
      <w:bookmarkEnd w:id="437"/>
    </w:p>
    <w:p>
      <w:pPr>
        <w:pStyle w:val="Subsection"/>
      </w:pPr>
      <w:r>
        <w:tab/>
      </w:r>
      <w:r>
        <w:tab/>
        <w:t xml:space="preserve">The </w:t>
      </w:r>
      <w:r>
        <w:rPr>
          <w:i/>
        </w:rPr>
        <w:t>Transport (Road Passenger Services) Regulations 2019</w:t>
      </w:r>
      <w:r>
        <w:t xml:space="preserve"> are repealed.</w:t>
      </w:r>
    </w:p>
    <w:p>
      <w:pPr>
        <w:pStyle w:val="Heading2"/>
      </w:pPr>
      <w:bookmarkStart w:id="438" w:name="_Toc192852543"/>
      <w:bookmarkStart w:id="439" w:name="_Toc192853669"/>
      <w:bookmarkStart w:id="440" w:name="_Toc192856550"/>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38"/>
      <w:bookmarkEnd w:id="439"/>
      <w:bookmarkEnd w:id="440"/>
    </w:p>
    <w:p>
      <w:pPr>
        <w:pStyle w:val="Heading5"/>
      </w:pPr>
      <w:bookmarkStart w:id="441" w:name="_Toc192856551"/>
      <w:r>
        <w:rPr>
          <w:rStyle w:val="CharSectno"/>
        </w:rPr>
        <w:t>202</w:t>
      </w:r>
      <w:r>
        <w:t>.</w:t>
      </w:r>
      <w:r>
        <w:tab/>
        <w:t>Regulations amended</w:t>
      </w:r>
      <w:bookmarkEnd w:id="441"/>
    </w:p>
    <w:p>
      <w:pPr>
        <w:pStyle w:val="Subsection"/>
      </w:pPr>
      <w:r>
        <w:tab/>
      </w:r>
      <w:r>
        <w:tab/>
        <w:t xml:space="preserve">This Part amends the </w:t>
      </w:r>
      <w:r>
        <w:rPr>
          <w:i/>
        </w:rPr>
        <w:t>Transport Regulations Amendment (Road Passenger Services) Regulations (No. 2) 2019</w:t>
      </w:r>
      <w:r>
        <w:t>.</w:t>
      </w:r>
    </w:p>
    <w:p>
      <w:pPr>
        <w:pStyle w:val="Heading5"/>
      </w:pPr>
      <w:bookmarkStart w:id="442" w:name="_Toc192856552"/>
      <w:r>
        <w:rPr>
          <w:rStyle w:val="CharSectno"/>
        </w:rPr>
        <w:t>203</w:t>
      </w:r>
      <w:r>
        <w:t>.</w:t>
      </w:r>
      <w:r>
        <w:tab/>
        <w:t>Regulation 2 amended</w:t>
      </w:r>
      <w:bookmarkEnd w:id="442"/>
    </w:p>
    <w:p>
      <w:pPr>
        <w:pStyle w:val="Subsection"/>
      </w:pPr>
      <w:r>
        <w:tab/>
      </w:r>
      <w:r>
        <w:tab/>
        <w:t>Delete regulation 2(c).</w:t>
      </w:r>
    </w:p>
    <w:p>
      <w:pPr>
        <w:pStyle w:val="Heading5"/>
      </w:pPr>
      <w:bookmarkStart w:id="443" w:name="_Toc192856553"/>
      <w:r>
        <w:rPr>
          <w:rStyle w:val="CharSectno"/>
        </w:rPr>
        <w:t>204</w:t>
      </w:r>
      <w:r>
        <w:t>.</w:t>
      </w:r>
      <w:r>
        <w:tab/>
        <w:t>Part 5 Division 4 deleted</w:t>
      </w:r>
      <w:bookmarkEnd w:id="443"/>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44" w:name="_Toc192852547"/>
      <w:bookmarkStart w:id="445" w:name="_Toc192853673"/>
      <w:bookmarkStart w:id="446" w:name="_Toc192856554"/>
      <w:r>
        <w:rPr>
          <w:rStyle w:val="CharSchNo"/>
        </w:rPr>
        <w:lastRenderedPageBreak/>
        <w:t>Schedule 1</w:t>
      </w:r>
      <w:r>
        <w:t> — </w:t>
      </w:r>
      <w:r>
        <w:rPr>
          <w:rStyle w:val="CharSchText"/>
        </w:rPr>
        <w:t>Fees</w:t>
      </w:r>
      <w:bookmarkEnd w:id="444"/>
      <w:bookmarkEnd w:id="445"/>
      <w:bookmarkEnd w:id="446"/>
    </w:p>
    <w:p>
      <w:pPr>
        <w:pStyle w:val="yShoulderClause"/>
      </w:pPr>
      <w:r>
        <w:t>[r. 177]</w:t>
      </w:r>
    </w:p>
    <w:p>
      <w:pPr>
        <w:pStyle w:val="yFootnoteheading"/>
      </w:pPr>
      <w:r>
        <w:tab/>
        <w:t>[Heading inserted: SL 2023/45 r. 45.]</w:t>
      </w:r>
    </w:p>
    <w:p>
      <w:pPr>
        <w:pStyle w:val="yHeading3"/>
      </w:pPr>
      <w:bookmarkStart w:id="447" w:name="_Toc192852548"/>
      <w:bookmarkStart w:id="448" w:name="_Toc192853674"/>
      <w:bookmarkStart w:id="449" w:name="_Toc192856555"/>
      <w:r>
        <w:rPr>
          <w:rStyle w:val="CharSDivNo"/>
        </w:rPr>
        <w:t>Division 1</w:t>
      </w:r>
      <w:r>
        <w:t> — </w:t>
      </w:r>
      <w:r>
        <w:rPr>
          <w:rStyle w:val="CharSDivText"/>
        </w:rPr>
        <w:t>Fees: general</w:t>
      </w:r>
      <w:bookmarkEnd w:id="447"/>
      <w:bookmarkEnd w:id="448"/>
      <w:bookmarkEnd w:id="449"/>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t>$25.40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lastRenderedPageBreak/>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lastRenderedPageBreak/>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w:t>
      </w:r>
    </w:p>
    <w:p>
      <w:pPr>
        <w:pStyle w:val="yHeading3"/>
      </w:pPr>
      <w:bookmarkStart w:id="450" w:name="_Toc192852549"/>
      <w:bookmarkStart w:id="451" w:name="_Toc192853675"/>
      <w:bookmarkStart w:id="452" w:name="_Toc192856556"/>
      <w:r>
        <w:rPr>
          <w:rStyle w:val="CharSDivNo"/>
        </w:rPr>
        <w:t>Division 2</w:t>
      </w:r>
      <w:r>
        <w:t> — </w:t>
      </w:r>
      <w:r>
        <w:rPr>
          <w:rStyle w:val="CharSDivText"/>
        </w:rPr>
        <w:t>Authorisation fees for on</w:t>
      </w:r>
      <w:r>
        <w:rPr>
          <w:rStyle w:val="CharSDivText"/>
        </w:rPr>
        <w:noBreakHyphen/>
        <w:t>demand booking service authorisations</w:t>
      </w:r>
      <w:bookmarkEnd w:id="450"/>
      <w:bookmarkEnd w:id="451"/>
      <w:bookmarkEnd w:id="452"/>
    </w:p>
    <w:p>
      <w:pPr>
        <w:pStyle w:val="yFootnoteheading"/>
      </w:pPr>
      <w:r>
        <w:tab/>
        <w:t>[Heading inserted: SL 2024/58 r. 25.]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pPr>
            <w:r>
              <w:rPr>
                <w:b/>
              </w:rPr>
              <w:t>Number of vehicles to be covered by the authorisation</w:t>
            </w:r>
          </w:p>
        </w:tc>
        <w:tc>
          <w:tcPr>
            <w:tcW w:w="3402" w:type="dxa"/>
            <w:noWrap/>
          </w:tcPr>
          <w:p>
            <w:pPr>
              <w:pStyle w:val="yTableNAm"/>
            </w:pPr>
            <w:r>
              <w:rPr>
                <w:b/>
              </w:rPr>
              <w:t>Fee</w:t>
            </w:r>
          </w:p>
        </w:tc>
      </w:tr>
      <w:tr>
        <w:trPr>
          <w:cantSplit/>
        </w:trPr>
        <w:tc>
          <w:tcPr>
            <w:tcW w:w="3402" w:type="dxa"/>
            <w:noWrap/>
          </w:tcPr>
          <w:p>
            <w:pPr>
              <w:pStyle w:val="yTableNAm"/>
            </w:pPr>
            <w:r>
              <w:t>1</w:t>
            </w:r>
          </w:p>
        </w:tc>
        <w:tc>
          <w:tcPr>
            <w:tcW w:w="3402" w:type="dxa"/>
            <w:noWrap/>
            <w:vAlign w:val="bottom"/>
          </w:tcPr>
          <w:p>
            <w:pPr>
              <w:pStyle w:val="yTableNAm"/>
            </w:pPr>
            <w:r>
              <w:t>$275.40</w:t>
            </w:r>
          </w:p>
        </w:tc>
      </w:tr>
      <w:tr>
        <w:trPr>
          <w:cantSplit/>
        </w:trPr>
        <w:tc>
          <w:tcPr>
            <w:tcW w:w="3402" w:type="dxa"/>
            <w:noWrap/>
          </w:tcPr>
          <w:p>
            <w:pPr>
              <w:pStyle w:val="yTableNAm"/>
            </w:pPr>
            <w:r>
              <w:t>2 to 5</w:t>
            </w:r>
          </w:p>
        </w:tc>
        <w:tc>
          <w:tcPr>
            <w:tcW w:w="3402" w:type="dxa"/>
            <w:noWrap/>
            <w:vAlign w:val="bottom"/>
          </w:tcPr>
          <w:p>
            <w:pPr>
              <w:pStyle w:val="yTableNAm"/>
              <w:rPr>
                <w:rStyle w:val="DraftersNotes"/>
              </w:rPr>
            </w:pPr>
            <w:r>
              <w:t>$517.50</w:t>
            </w:r>
          </w:p>
        </w:tc>
      </w:tr>
      <w:tr>
        <w:trPr>
          <w:cantSplit/>
        </w:trPr>
        <w:tc>
          <w:tcPr>
            <w:tcW w:w="3402" w:type="dxa"/>
            <w:noWrap/>
          </w:tcPr>
          <w:p>
            <w:pPr>
              <w:pStyle w:val="yTableNAm"/>
            </w:pPr>
            <w:r>
              <w:t>6 to 15</w:t>
            </w:r>
          </w:p>
        </w:tc>
        <w:tc>
          <w:tcPr>
            <w:tcW w:w="3402" w:type="dxa"/>
            <w:noWrap/>
            <w:vAlign w:val="bottom"/>
          </w:tcPr>
          <w:p>
            <w:pPr>
              <w:pStyle w:val="yTableNAm"/>
            </w:pPr>
            <w:r>
              <w:t>$1 519.50</w:t>
            </w:r>
          </w:p>
        </w:tc>
      </w:tr>
      <w:tr>
        <w:trPr>
          <w:cantSplit/>
        </w:trPr>
        <w:tc>
          <w:tcPr>
            <w:tcW w:w="3402" w:type="dxa"/>
            <w:noWrap/>
          </w:tcPr>
          <w:p>
            <w:pPr>
              <w:pStyle w:val="yTableNAm"/>
            </w:pPr>
            <w:r>
              <w:t>16 to 30</w:t>
            </w:r>
          </w:p>
        </w:tc>
        <w:tc>
          <w:tcPr>
            <w:tcW w:w="3402" w:type="dxa"/>
            <w:noWrap/>
            <w:vAlign w:val="bottom"/>
          </w:tcPr>
          <w:p>
            <w:pPr>
              <w:pStyle w:val="yTableNAm"/>
            </w:pPr>
            <w:r>
              <w:t>$3 027.80</w:t>
            </w:r>
          </w:p>
        </w:tc>
      </w:tr>
      <w:tr>
        <w:trPr>
          <w:cantSplit/>
        </w:trPr>
        <w:tc>
          <w:tcPr>
            <w:tcW w:w="3402" w:type="dxa"/>
            <w:noWrap/>
          </w:tcPr>
          <w:p>
            <w:pPr>
              <w:pStyle w:val="yTableNAm"/>
            </w:pPr>
            <w:r>
              <w:t>31 to 50</w:t>
            </w:r>
          </w:p>
        </w:tc>
        <w:tc>
          <w:tcPr>
            <w:tcW w:w="3402" w:type="dxa"/>
            <w:noWrap/>
            <w:vAlign w:val="bottom"/>
          </w:tcPr>
          <w:p>
            <w:pPr>
              <w:pStyle w:val="yTableNAm"/>
            </w:pPr>
            <w:r>
              <w:t>$4 954.70</w:t>
            </w:r>
          </w:p>
        </w:tc>
      </w:tr>
      <w:tr>
        <w:trPr>
          <w:cantSplit/>
        </w:trPr>
        <w:tc>
          <w:tcPr>
            <w:tcW w:w="3402" w:type="dxa"/>
            <w:noWrap/>
          </w:tcPr>
          <w:p>
            <w:pPr>
              <w:pStyle w:val="yTableNAm"/>
            </w:pPr>
            <w:r>
              <w:t>51 to 90</w:t>
            </w:r>
          </w:p>
        </w:tc>
        <w:tc>
          <w:tcPr>
            <w:tcW w:w="3402" w:type="dxa"/>
            <w:noWrap/>
            <w:vAlign w:val="bottom"/>
          </w:tcPr>
          <w:p>
            <w:pPr>
              <w:pStyle w:val="yTableNAm"/>
            </w:pPr>
            <w:r>
              <w:t>$8 147.70</w:t>
            </w:r>
          </w:p>
        </w:tc>
      </w:tr>
      <w:tr>
        <w:trPr>
          <w:cantSplit/>
        </w:trPr>
        <w:tc>
          <w:tcPr>
            <w:tcW w:w="3402" w:type="dxa"/>
            <w:noWrap/>
          </w:tcPr>
          <w:p>
            <w:pPr>
              <w:pStyle w:val="yTableNAm"/>
            </w:pPr>
            <w:r>
              <w:t>91 to 150</w:t>
            </w:r>
          </w:p>
        </w:tc>
        <w:tc>
          <w:tcPr>
            <w:tcW w:w="3402" w:type="dxa"/>
            <w:noWrap/>
            <w:vAlign w:val="bottom"/>
          </w:tcPr>
          <w:p>
            <w:pPr>
              <w:pStyle w:val="yTableNAm"/>
            </w:pPr>
            <w:r>
              <w:t>$13 542.70</w:t>
            </w:r>
          </w:p>
        </w:tc>
      </w:tr>
      <w:tr>
        <w:trPr>
          <w:cantSplit/>
        </w:trPr>
        <w:tc>
          <w:tcPr>
            <w:tcW w:w="3402" w:type="dxa"/>
            <w:noWrap/>
          </w:tcPr>
          <w:p>
            <w:pPr>
              <w:pStyle w:val="yTableNAm"/>
            </w:pPr>
            <w:r>
              <w:t>151 to 250</w:t>
            </w:r>
          </w:p>
        </w:tc>
        <w:tc>
          <w:tcPr>
            <w:tcW w:w="3402" w:type="dxa"/>
            <w:noWrap/>
            <w:vAlign w:val="bottom"/>
          </w:tcPr>
          <w:p>
            <w:pPr>
              <w:pStyle w:val="yTableNAm"/>
            </w:pPr>
            <w:r>
              <w:t>$22 020.40</w:t>
            </w:r>
          </w:p>
        </w:tc>
      </w:tr>
      <w:tr>
        <w:trPr>
          <w:cantSplit/>
        </w:trPr>
        <w:tc>
          <w:tcPr>
            <w:tcW w:w="3402" w:type="dxa"/>
            <w:noWrap/>
          </w:tcPr>
          <w:p>
            <w:pPr>
              <w:pStyle w:val="yTableNAm"/>
            </w:pPr>
            <w:r>
              <w:t>251 to 500</w:t>
            </w:r>
          </w:p>
        </w:tc>
        <w:tc>
          <w:tcPr>
            <w:tcW w:w="3402" w:type="dxa"/>
            <w:noWrap/>
            <w:vAlign w:val="bottom"/>
          </w:tcPr>
          <w:p>
            <w:pPr>
              <w:pStyle w:val="yTableNAm"/>
            </w:pPr>
            <w:r>
              <w:t>$36 333.80</w:t>
            </w:r>
          </w:p>
        </w:tc>
      </w:tr>
      <w:tr>
        <w:trPr>
          <w:cantSplit/>
        </w:trPr>
        <w:tc>
          <w:tcPr>
            <w:tcW w:w="3402" w:type="dxa"/>
            <w:noWrap/>
          </w:tcPr>
          <w:p>
            <w:pPr>
              <w:pStyle w:val="yTableNAm"/>
            </w:pPr>
            <w:r>
              <w:lastRenderedPageBreak/>
              <w:t>More than 500</w:t>
            </w:r>
          </w:p>
        </w:tc>
        <w:tc>
          <w:tcPr>
            <w:tcW w:w="3402" w:type="dxa"/>
            <w:noWrap/>
            <w:vAlign w:val="bottom"/>
          </w:tcPr>
          <w:p>
            <w:pPr>
              <w:pStyle w:val="yTableNAm"/>
            </w:pPr>
            <w:r>
              <w:t>$71 564.40</w:t>
            </w:r>
          </w:p>
        </w:tc>
      </w:tr>
    </w:tbl>
    <w:p>
      <w:pPr>
        <w:pStyle w:val="yFootnotesection"/>
      </w:pPr>
      <w:r>
        <w:tab/>
        <w:t>[Division 2 inserted: SL 2024/58 r. 25.]</w:t>
      </w:r>
    </w:p>
    <w:p>
      <w:pPr>
        <w:pStyle w:val="yHeading3"/>
      </w:pPr>
      <w:bookmarkStart w:id="453" w:name="_Toc192852550"/>
      <w:bookmarkStart w:id="454" w:name="_Toc192853676"/>
      <w:bookmarkStart w:id="455" w:name="_Toc192856557"/>
      <w:r>
        <w:rPr>
          <w:rStyle w:val="CharSDivNo"/>
        </w:rPr>
        <w:t>Division 3</w:t>
      </w:r>
      <w:r>
        <w:t> — </w:t>
      </w:r>
      <w:r>
        <w:rPr>
          <w:rStyle w:val="CharSDivText"/>
        </w:rPr>
        <w:t>Authorisation fee for passenger transport driver authorisation</w:t>
      </w:r>
      <w:bookmarkEnd w:id="453"/>
      <w:bookmarkEnd w:id="454"/>
      <w:bookmarkEnd w:id="455"/>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456" w:name="_Toc192852551"/>
      <w:bookmarkStart w:id="457" w:name="_Toc192853677"/>
      <w:bookmarkStart w:id="458" w:name="_Toc192856558"/>
      <w:r>
        <w:rPr>
          <w:rStyle w:val="CharSDivNo"/>
        </w:rPr>
        <w:t>Division 4</w:t>
      </w:r>
      <w:r>
        <w:t> — </w:t>
      </w:r>
      <w:r>
        <w:rPr>
          <w:rStyle w:val="CharSDivText"/>
        </w:rPr>
        <w:t>Authorisation fees for passenger transport vehicle authorisations</w:t>
      </w:r>
      <w:bookmarkEnd w:id="456"/>
      <w:bookmarkEnd w:id="457"/>
      <w:bookmarkEnd w:id="458"/>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59" w:name="_Toc192852552"/>
      <w:bookmarkStart w:id="460" w:name="_Toc192853678"/>
      <w:bookmarkStart w:id="461" w:name="_Toc192856559"/>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59"/>
      <w:bookmarkEnd w:id="460"/>
      <w:bookmarkEnd w:id="461"/>
    </w:p>
    <w:p>
      <w:pPr>
        <w:pStyle w:val="yShoulderClause"/>
      </w:pPr>
      <w:r>
        <w:t>[r. 52]</w:t>
      </w:r>
    </w:p>
    <w:p>
      <w:pPr>
        <w:pStyle w:val="yHeading5"/>
      </w:pPr>
      <w:bookmarkStart w:id="462" w:name="_Toc192856560"/>
      <w:r>
        <w:rPr>
          <w:rStyle w:val="CharSClsNo"/>
        </w:rPr>
        <w:t>1</w:t>
      </w:r>
      <w:r>
        <w:t>.</w:t>
      </w:r>
      <w:r>
        <w:tab/>
        <w:t>Disqualification offences and disqualification periods: on</w:t>
      </w:r>
      <w:r>
        <w:noBreakHyphen/>
        <w:t>demand booking services</w:t>
      </w:r>
      <w:bookmarkEnd w:id="462"/>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iCs/>
                <w:szCs w:val="22"/>
              </w:rPr>
              <w:lastRenderedPageBreak/>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iCs/>
              </w:rPr>
              <w:t>Firearms Act 2024</w:t>
            </w:r>
          </w:p>
        </w:tc>
      </w:tr>
      <w:tr>
        <w:tc>
          <w:tcPr>
            <w:tcW w:w="709" w:type="dxa"/>
            <w:noWrap/>
          </w:tcPr>
          <w:p>
            <w:pPr>
              <w:pStyle w:val="yTableNAm"/>
              <w:rPr>
                <w:szCs w:val="22"/>
              </w:rPr>
            </w:pPr>
            <w:r>
              <w:t>13A.</w:t>
            </w:r>
          </w:p>
        </w:tc>
        <w:tc>
          <w:tcPr>
            <w:tcW w:w="2551" w:type="dxa"/>
            <w:noWrap/>
          </w:tcPr>
          <w:p>
            <w:pPr>
              <w:pStyle w:val="yTableNAm"/>
              <w:rPr>
                <w:szCs w:val="22"/>
              </w:rPr>
            </w:pPr>
            <w:r>
              <w:t xml:space="preserve">Offence under the </w:t>
            </w:r>
            <w:r>
              <w:rPr>
                <w:i/>
                <w:iCs/>
              </w:rPr>
              <w:t>Firearms Act 2024</w:t>
            </w:r>
            <w: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t>10 years</w:t>
            </w:r>
          </w:p>
        </w:tc>
      </w:tr>
      <w:tr>
        <w:tc>
          <w:tcPr>
            <w:tcW w:w="709" w:type="dxa"/>
            <w:noWrap/>
          </w:tcPr>
          <w:p>
            <w:pPr>
              <w:pStyle w:val="yTableNAm"/>
              <w:keepNext/>
              <w:rPr>
                <w:szCs w:val="22"/>
              </w:rPr>
            </w:pPr>
            <w:r>
              <w:lastRenderedPageBreak/>
              <w:t>13B.</w:t>
            </w:r>
          </w:p>
        </w:tc>
        <w:tc>
          <w:tcPr>
            <w:tcW w:w="2551" w:type="dxa"/>
            <w:noWrap/>
          </w:tcPr>
          <w:p>
            <w:pPr>
              <w:pStyle w:val="yTableNAm"/>
              <w:keepNext/>
              <w:rPr>
                <w:szCs w:val="22"/>
              </w:rPr>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pPr>
              <w:pStyle w:val="yTableNAm"/>
              <w:keepNext/>
              <w:rPr>
                <w:szCs w:val="22"/>
              </w:rPr>
            </w:pPr>
          </w:p>
        </w:tc>
        <w:tc>
          <w:tcPr>
            <w:tcW w:w="1985" w:type="dxa"/>
            <w:noWrap/>
          </w:tcPr>
          <w:p>
            <w:pPr>
              <w:pStyle w:val="yTableNAm"/>
              <w:keepNext/>
              <w:rPr>
                <w:szCs w:val="22"/>
              </w:rPr>
            </w:pPr>
            <w: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 SL 2024/278 r. 4; SL 2024/291 r. 4.]</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63" w:name="_Toc192852554"/>
      <w:bookmarkStart w:id="464" w:name="_Toc192853680"/>
      <w:bookmarkStart w:id="465" w:name="_Toc192856561"/>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63"/>
      <w:bookmarkEnd w:id="464"/>
      <w:bookmarkEnd w:id="465"/>
    </w:p>
    <w:p>
      <w:pPr>
        <w:pStyle w:val="yShoulderClause"/>
      </w:pPr>
      <w:r>
        <w:t>[r. 88]</w:t>
      </w:r>
    </w:p>
    <w:p>
      <w:pPr>
        <w:pStyle w:val="yHeading5"/>
      </w:pPr>
      <w:bookmarkStart w:id="466" w:name="_Toc192856562"/>
      <w:r>
        <w:rPr>
          <w:rStyle w:val="CharSClsNo"/>
        </w:rPr>
        <w:t>1</w:t>
      </w:r>
      <w:r>
        <w:t>.</w:t>
      </w:r>
      <w:r>
        <w:tab/>
        <w:t>Disqualification offences and disqualification periods: passenger transport drivers</w:t>
      </w:r>
      <w:bookmarkEnd w:id="466"/>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w:t>
            </w:r>
            <w:r>
              <w:lastRenderedPageBreak/>
              <w:t>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iCs/>
                <w:szCs w:val="22"/>
              </w:rPr>
              <w:lastRenderedPageBreak/>
              <w:t xml:space="preserve">Firearms Act 1973, </w:t>
            </w:r>
            <w:r>
              <w:rPr>
                <w:szCs w:val="22"/>
              </w:rPr>
              <w:t xml:space="preserve">as in force immediately before the </w:t>
            </w:r>
            <w:r>
              <w:rPr>
                <w:i/>
                <w:iCs/>
                <w:szCs w:val="22"/>
              </w:rPr>
              <w:t>Firearms Act 2024</w:t>
            </w:r>
            <w:r>
              <w:rPr>
                <w:szCs w:val="22"/>
              </w:rPr>
              <w:t xml:space="preserve"> section 440 comes into operation</w:t>
            </w:r>
          </w:p>
        </w:tc>
      </w:tr>
      <w:tr>
        <w:tc>
          <w:tcPr>
            <w:tcW w:w="709" w:type="dxa"/>
            <w:noWrap/>
          </w:tcPr>
          <w:p>
            <w:pPr>
              <w:pStyle w:val="yTableNAm"/>
            </w:pPr>
            <w:r>
              <w:t>15.</w:t>
            </w:r>
          </w:p>
        </w:tc>
        <w:tc>
          <w:tcPr>
            <w:tcW w:w="2551" w:type="dxa"/>
            <w:noWrap/>
          </w:tcPr>
          <w:p>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pPr>
            <w:r>
              <w:t>16.</w:t>
            </w:r>
          </w:p>
        </w:tc>
        <w:tc>
          <w:tcPr>
            <w:tcW w:w="2551" w:type="dxa"/>
            <w:noWrap/>
          </w:tcPr>
          <w:p>
            <w:pPr>
              <w:pStyle w:val="yTableNAm"/>
            </w:pPr>
            <w:r>
              <w:t xml:space="preserve">Offence under the </w:t>
            </w:r>
            <w:r>
              <w:rPr>
                <w:i/>
                <w:iCs/>
                <w:szCs w:val="22"/>
              </w:rPr>
              <w:t>Firearms Act 1973</w:t>
            </w:r>
            <w:r>
              <w:rPr>
                <w:szCs w:val="22"/>
              </w:rPr>
              <w:t xml:space="preserve">, as in force immediately before the </w:t>
            </w:r>
            <w:r>
              <w:rPr>
                <w:i/>
                <w:iCs/>
                <w:szCs w:val="22"/>
              </w:rPr>
              <w:t>Firearms Act 2024</w:t>
            </w:r>
            <w:r>
              <w:rPr>
                <w:szCs w:val="22"/>
              </w:rPr>
              <w:t xml:space="preserve"> section 440 comes into operation,</w:t>
            </w:r>
            <w:r>
              <w:t xml:space="preserve"> if an offender is liable to a penalty of imprisonment for at least 12 months but no more than 2 years</w:t>
            </w:r>
          </w:p>
        </w:tc>
        <w:tc>
          <w:tcPr>
            <w:tcW w:w="1843" w:type="dxa"/>
            <w:noWrap/>
          </w:tcPr>
          <w:p>
            <w:pPr>
              <w:pStyle w:val="yTableNAm"/>
            </w:pPr>
          </w:p>
        </w:tc>
        <w:tc>
          <w:tcPr>
            <w:tcW w:w="1985" w:type="dxa"/>
            <w:noWrap/>
          </w:tcPr>
          <w:p>
            <w:pPr>
              <w:pStyle w:val="yTableNAm"/>
            </w:pPr>
            <w:r>
              <w:t>12 months</w:t>
            </w:r>
          </w:p>
        </w:tc>
      </w:tr>
      <w:tr>
        <w:tc>
          <w:tcPr>
            <w:tcW w:w="7088" w:type="dxa"/>
            <w:gridSpan w:val="4"/>
            <w:noWrap/>
          </w:tcPr>
          <w:p>
            <w:pPr>
              <w:pStyle w:val="yTableNAm"/>
            </w:pPr>
            <w:r>
              <w:rPr>
                <w:i/>
                <w:iCs/>
              </w:rPr>
              <w:t>Firearms Act 2024</w:t>
            </w:r>
          </w:p>
        </w:tc>
      </w:tr>
      <w:tr>
        <w:tc>
          <w:tcPr>
            <w:tcW w:w="709" w:type="dxa"/>
            <w:noWrap/>
          </w:tcPr>
          <w:p>
            <w:pPr>
              <w:pStyle w:val="yTableNAm"/>
            </w:pPr>
            <w:r>
              <w:t>16A.</w:t>
            </w:r>
          </w:p>
        </w:tc>
        <w:tc>
          <w:tcPr>
            <w:tcW w:w="2551" w:type="dxa"/>
            <w:noWrap/>
          </w:tcPr>
          <w:p>
            <w:pPr>
              <w:pStyle w:val="yTableNAm"/>
            </w:pPr>
            <w:r>
              <w:t xml:space="preserve">Offence under the </w:t>
            </w:r>
            <w:r>
              <w:rPr>
                <w:i/>
                <w:iCs/>
              </w:rPr>
              <w:t>Firearms Act 2024</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lastRenderedPageBreak/>
              <w:t>16B.</w:t>
            </w:r>
          </w:p>
        </w:tc>
        <w:tc>
          <w:tcPr>
            <w:tcW w:w="2551" w:type="dxa"/>
            <w:noWrap/>
          </w:tcPr>
          <w:p>
            <w:pPr>
              <w:pStyle w:val="yTableNAm"/>
              <w:keepNext/>
            </w:pPr>
            <w:r>
              <w:t xml:space="preserve">Offence under the </w:t>
            </w:r>
            <w:r>
              <w:rPr>
                <w:i/>
                <w:iCs/>
              </w:rPr>
              <w:t>Firearms Act 2024</w:t>
            </w:r>
            <w:r>
              <w:t xml:space="preserve"> (other than an offence under section 39(7) of that Act)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lastRenderedPageBreak/>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28.</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 xml:space="preserve">Only if the offender has a prior conviction under the </w:t>
            </w:r>
            <w:r>
              <w:rPr>
                <w:i/>
              </w:rPr>
              <w:t xml:space="preserve">Road Traffic Act 1974 </w:t>
            </w:r>
            <w:r>
              <w:t>section 60A(1) or (2)</w:t>
            </w:r>
          </w:p>
        </w:tc>
        <w:tc>
          <w:tcPr>
            <w:tcW w:w="1985" w:type="dxa"/>
            <w:noWrap/>
          </w:tcPr>
          <w:p>
            <w:pPr>
              <w:pStyle w:val="yTableNAm"/>
              <w:rPr>
                <w:highlight w:val="yellow"/>
              </w:rPr>
            </w:pPr>
            <w:r>
              <w:t>5 years</w:t>
            </w:r>
          </w:p>
        </w:tc>
      </w:tr>
      <w:tr>
        <w:tc>
          <w:tcPr>
            <w:tcW w:w="709" w:type="dxa"/>
            <w:noWrap/>
          </w:tcPr>
          <w:p>
            <w:pPr>
              <w:pStyle w:val="yTableNAm"/>
            </w:pPr>
            <w:r>
              <w:lastRenderedPageBreak/>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Lines/>
            </w:pPr>
            <w:r>
              <w:t>34.</w:t>
            </w:r>
          </w:p>
        </w:tc>
        <w:tc>
          <w:tcPr>
            <w:tcW w:w="2551" w:type="dxa"/>
            <w:noWrap/>
          </w:tcPr>
          <w:p>
            <w:pPr>
              <w:pStyle w:val="yTableNAm"/>
              <w:keepLines/>
            </w:pPr>
            <w:r>
              <w:t xml:space="preserve">Offence under the </w:t>
            </w:r>
            <w:r>
              <w:rPr>
                <w:i/>
              </w:rPr>
              <w:t>Road Traffic Act 1974</w:t>
            </w:r>
            <w:r>
              <w:t xml:space="preserve"> section 61(1)</w:t>
            </w:r>
          </w:p>
        </w:tc>
        <w:tc>
          <w:tcPr>
            <w:tcW w:w="1843" w:type="dxa"/>
            <w:noWrap/>
          </w:tcPr>
          <w:p>
            <w:pPr>
              <w:pStyle w:val="yTableNAm"/>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Lines/>
              <w:rPr>
                <w:highlight w:val="yellow"/>
              </w:rPr>
            </w:pPr>
            <w:r>
              <w:t>5 years</w:t>
            </w:r>
          </w:p>
        </w:tc>
      </w:tr>
      <w:tr>
        <w:tc>
          <w:tcPr>
            <w:tcW w:w="7088" w:type="dxa"/>
            <w:gridSpan w:val="4"/>
            <w:noWrap/>
          </w:tcPr>
          <w:p>
            <w:pPr>
              <w:pStyle w:val="yTableNAm"/>
              <w:keepNext/>
            </w:pPr>
            <w:r>
              <w:rPr>
                <w:i/>
              </w:rPr>
              <w:lastRenderedPageBreak/>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pStyle w:val="yFootnotesection"/>
      </w:pPr>
      <w:r>
        <w:tab/>
        <w:t>[Schedule 3 amended: SL 2024/278 r. 5; SL 2024/291 r. 5.]</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67" w:name="_Toc192852556"/>
      <w:bookmarkStart w:id="468" w:name="_Toc192853682"/>
      <w:bookmarkStart w:id="469" w:name="_Toc192856563"/>
      <w:r>
        <w:rPr>
          <w:rStyle w:val="CharSchNo"/>
        </w:rPr>
        <w:lastRenderedPageBreak/>
        <w:t>Schedule 4</w:t>
      </w:r>
      <w:r>
        <w:rPr>
          <w:rStyle w:val="CharSDivNo"/>
        </w:rPr>
        <w:t> </w:t>
      </w:r>
      <w:r>
        <w:t>—</w:t>
      </w:r>
      <w:r>
        <w:rPr>
          <w:rStyle w:val="CharSDivText"/>
        </w:rPr>
        <w:t> </w:t>
      </w:r>
      <w:r>
        <w:rPr>
          <w:rStyle w:val="CharSchText"/>
        </w:rPr>
        <w:t>Fares: metropolitan region</w:t>
      </w:r>
      <w:bookmarkEnd w:id="467"/>
      <w:bookmarkEnd w:id="468"/>
      <w:bookmarkEnd w:id="469"/>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Booking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 amended: SL 2024/286 r. 18.]</w:t>
      </w:r>
    </w:p>
    <w:p>
      <w:pPr>
        <w:pStyle w:val="yScheduleHeading"/>
      </w:pPr>
      <w:bookmarkStart w:id="470" w:name="_Toc192852557"/>
      <w:bookmarkStart w:id="471" w:name="_Toc192853683"/>
      <w:bookmarkStart w:id="472" w:name="_Toc192856564"/>
      <w:r>
        <w:rPr>
          <w:rStyle w:val="CharSchNo"/>
        </w:rPr>
        <w:lastRenderedPageBreak/>
        <w:t>Schedule 5</w:t>
      </w:r>
      <w:r>
        <w:t> — </w:t>
      </w:r>
      <w:r>
        <w:rPr>
          <w:rStyle w:val="CharSchText"/>
        </w:rPr>
        <w:t>Fares: regions</w:t>
      </w:r>
      <w:bookmarkEnd w:id="470"/>
      <w:bookmarkEnd w:id="471"/>
      <w:bookmarkEnd w:id="472"/>
    </w:p>
    <w:p>
      <w:pPr>
        <w:pStyle w:val="yShoulderClause"/>
      </w:pPr>
      <w:r>
        <w:t>[r. 117]</w:t>
      </w:r>
    </w:p>
    <w:p>
      <w:pPr>
        <w:pStyle w:val="yFootnoteheading"/>
      </w:pPr>
      <w:r>
        <w:tab/>
        <w:t>[Heading inserted: SL 2024/40 r. 5.]</w:t>
      </w:r>
    </w:p>
    <w:p>
      <w:pPr>
        <w:pStyle w:val="yHeading3"/>
      </w:pPr>
      <w:bookmarkStart w:id="473" w:name="_Toc192852558"/>
      <w:bookmarkStart w:id="474" w:name="_Toc192853684"/>
      <w:bookmarkStart w:id="475" w:name="_Toc192856565"/>
      <w:r>
        <w:rPr>
          <w:rStyle w:val="CharSDivNo"/>
        </w:rPr>
        <w:t>Division 1</w:t>
      </w:r>
      <w:r>
        <w:t> — </w:t>
      </w:r>
      <w:r>
        <w:rPr>
          <w:rStyle w:val="CharSDivText"/>
        </w:rPr>
        <w:t>Gascoyne region</w:t>
      </w:r>
      <w:bookmarkEnd w:id="473"/>
      <w:bookmarkEnd w:id="474"/>
      <w:bookmarkEnd w:id="475"/>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bCs/>
                <w:szCs w:val="18"/>
              </w:rPr>
              <w:t>Booking</w:t>
            </w:r>
            <w:r>
              <w:rPr>
                <w:b/>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 amended: SL 2024/286 r. 19.]</w:t>
      </w:r>
    </w:p>
    <w:p>
      <w:pPr>
        <w:pStyle w:val="yHeading3"/>
      </w:pPr>
      <w:bookmarkStart w:id="476" w:name="_Toc192852559"/>
      <w:bookmarkStart w:id="477" w:name="_Toc192853685"/>
      <w:bookmarkStart w:id="478" w:name="_Toc192856566"/>
      <w:r>
        <w:rPr>
          <w:rStyle w:val="CharSDivNo"/>
        </w:rPr>
        <w:t>Division 2</w:t>
      </w:r>
      <w:r>
        <w:t> — </w:t>
      </w:r>
      <w:r>
        <w:rPr>
          <w:rStyle w:val="CharSDivText"/>
        </w:rPr>
        <w:t>Goldfields</w:t>
      </w:r>
      <w:r>
        <w:rPr>
          <w:rStyle w:val="CharSDivText"/>
        </w:rPr>
        <w:noBreakHyphen/>
        <w:t>Esperance region</w:t>
      </w:r>
      <w:bookmarkEnd w:id="476"/>
      <w:bookmarkEnd w:id="477"/>
      <w:bookmarkEnd w:id="47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 amended: SL 2024/286 r. 19.]</w:t>
      </w:r>
    </w:p>
    <w:p>
      <w:pPr>
        <w:pStyle w:val="yHeading3"/>
      </w:pPr>
      <w:bookmarkStart w:id="479" w:name="_Toc192852560"/>
      <w:bookmarkStart w:id="480" w:name="_Toc192853686"/>
      <w:bookmarkStart w:id="481" w:name="_Toc192856567"/>
      <w:r>
        <w:rPr>
          <w:rStyle w:val="CharSDivNo"/>
        </w:rPr>
        <w:lastRenderedPageBreak/>
        <w:t>Division 3 </w:t>
      </w:r>
      <w:r>
        <w:t>—</w:t>
      </w:r>
      <w:r>
        <w:rPr>
          <w:rStyle w:val="CharSDivNo"/>
        </w:rPr>
        <w:t> </w:t>
      </w:r>
      <w:r>
        <w:rPr>
          <w:rStyle w:val="CharSDivText"/>
        </w:rPr>
        <w:t>Great Southern region</w:t>
      </w:r>
      <w:bookmarkEnd w:id="479"/>
      <w:bookmarkEnd w:id="480"/>
      <w:bookmarkEnd w:id="481"/>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 amended: SL 2024/286 r. 19.]</w:t>
      </w:r>
    </w:p>
    <w:p>
      <w:pPr>
        <w:pStyle w:val="yHeading3"/>
      </w:pPr>
      <w:bookmarkStart w:id="482" w:name="_Toc192852561"/>
      <w:bookmarkStart w:id="483" w:name="_Toc192853687"/>
      <w:bookmarkStart w:id="484" w:name="_Toc192856568"/>
      <w:r>
        <w:rPr>
          <w:rStyle w:val="CharSDivNo"/>
        </w:rPr>
        <w:t>Division 4</w:t>
      </w:r>
      <w:r>
        <w:t> — </w:t>
      </w:r>
      <w:r>
        <w:rPr>
          <w:rStyle w:val="CharSDivText"/>
        </w:rPr>
        <w:t>Kimberley region</w:t>
      </w:r>
      <w:bookmarkEnd w:id="482"/>
      <w:bookmarkEnd w:id="483"/>
      <w:bookmarkEnd w:id="484"/>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 amended: SL 2024/286 r. 19.]</w:t>
      </w:r>
    </w:p>
    <w:p>
      <w:pPr>
        <w:pStyle w:val="yHeading3"/>
      </w:pPr>
      <w:bookmarkStart w:id="485" w:name="_Toc192852562"/>
      <w:bookmarkStart w:id="486" w:name="_Toc192853688"/>
      <w:bookmarkStart w:id="487" w:name="_Toc192856569"/>
      <w:r>
        <w:rPr>
          <w:rStyle w:val="CharSDivNo"/>
        </w:rPr>
        <w:lastRenderedPageBreak/>
        <w:t>Division 5</w:t>
      </w:r>
      <w:r>
        <w:t> — </w:t>
      </w:r>
      <w:r>
        <w:rPr>
          <w:rStyle w:val="CharSDivText"/>
        </w:rPr>
        <w:t>Mid West region</w:t>
      </w:r>
      <w:bookmarkEnd w:id="485"/>
      <w:bookmarkEnd w:id="486"/>
      <w:bookmarkEnd w:id="487"/>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 amended: SL 2024/286 r. 19.]</w:t>
      </w:r>
    </w:p>
    <w:p>
      <w:pPr>
        <w:pStyle w:val="yHeading3"/>
      </w:pPr>
      <w:bookmarkStart w:id="488" w:name="_Toc192852563"/>
      <w:bookmarkStart w:id="489" w:name="_Toc192853689"/>
      <w:bookmarkStart w:id="490" w:name="_Toc192856570"/>
      <w:r>
        <w:rPr>
          <w:rStyle w:val="CharSDivNo"/>
        </w:rPr>
        <w:t>Division 6</w:t>
      </w:r>
      <w:r>
        <w:t> — </w:t>
      </w:r>
      <w:r>
        <w:rPr>
          <w:rStyle w:val="CharSDivText"/>
        </w:rPr>
        <w:t>Peel region</w:t>
      </w:r>
      <w:bookmarkEnd w:id="488"/>
      <w:bookmarkEnd w:id="489"/>
      <w:bookmarkEnd w:id="490"/>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 amended: SL 2024/286 r. 19.]</w:t>
      </w:r>
    </w:p>
    <w:p>
      <w:pPr>
        <w:pStyle w:val="yHeading3"/>
      </w:pPr>
      <w:bookmarkStart w:id="491" w:name="_Toc192852564"/>
      <w:bookmarkStart w:id="492" w:name="_Toc192853690"/>
      <w:bookmarkStart w:id="493" w:name="_Toc192856571"/>
      <w:r>
        <w:rPr>
          <w:rStyle w:val="CharSDivNo"/>
        </w:rPr>
        <w:lastRenderedPageBreak/>
        <w:t>Division 7</w:t>
      </w:r>
      <w:r>
        <w:t> — </w:t>
      </w:r>
      <w:r>
        <w:rPr>
          <w:rStyle w:val="CharSDivText"/>
        </w:rPr>
        <w:t>Pilbara region</w:t>
      </w:r>
      <w:bookmarkEnd w:id="491"/>
      <w:bookmarkEnd w:id="492"/>
      <w:bookmarkEnd w:id="493"/>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szCs w:val="18"/>
              </w:rPr>
              <w:t>Booking</w:t>
            </w:r>
            <w:r>
              <w:rPr>
                <w:b/>
                <w:bCs/>
              </w:rPr>
              <w:t xml:space="preserve">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 amended: SL 2024/286 r. 19.]</w:t>
      </w:r>
    </w:p>
    <w:p>
      <w:pPr>
        <w:pStyle w:val="yHeading3"/>
      </w:pPr>
      <w:bookmarkStart w:id="494" w:name="_Toc192852565"/>
      <w:bookmarkStart w:id="495" w:name="_Toc192853691"/>
      <w:bookmarkStart w:id="496" w:name="_Toc192856572"/>
      <w:r>
        <w:rPr>
          <w:rStyle w:val="CharSDivNo"/>
        </w:rPr>
        <w:t>Division 8</w:t>
      </w:r>
      <w:r>
        <w:t> — </w:t>
      </w:r>
      <w:r>
        <w:rPr>
          <w:rStyle w:val="CharSDivText"/>
        </w:rPr>
        <w:t>South West region</w:t>
      </w:r>
      <w:bookmarkEnd w:id="494"/>
      <w:bookmarkEnd w:id="495"/>
      <w:bookmarkEnd w:id="496"/>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 amended: SL 2024/286 r. 19.]</w:t>
      </w:r>
    </w:p>
    <w:p>
      <w:pPr>
        <w:pStyle w:val="yHeading3"/>
      </w:pPr>
      <w:bookmarkStart w:id="497" w:name="_Toc192852566"/>
      <w:bookmarkStart w:id="498" w:name="_Toc192853692"/>
      <w:bookmarkStart w:id="499" w:name="_Toc192856573"/>
      <w:r>
        <w:rPr>
          <w:rStyle w:val="CharSDivNo"/>
        </w:rPr>
        <w:lastRenderedPageBreak/>
        <w:t>Division 9</w:t>
      </w:r>
      <w:r>
        <w:t> — </w:t>
      </w:r>
      <w:r>
        <w:rPr>
          <w:rStyle w:val="CharSDivText"/>
        </w:rPr>
        <w:t>Wheatbelt region</w:t>
      </w:r>
      <w:bookmarkEnd w:id="497"/>
      <w:bookmarkEnd w:id="498"/>
      <w:bookmarkEnd w:id="499"/>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 amended: SL 2024/286 r. 19.]</w:t>
      </w:r>
    </w:p>
    <w:p>
      <w:pPr>
        <w:pStyle w:val="yScheduleHeading"/>
      </w:pPr>
      <w:bookmarkStart w:id="500" w:name="_Toc192852567"/>
      <w:bookmarkStart w:id="501" w:name="_Toc192853693"/>
      <w:bookmarkStart w:id="502" w:name="_Toc192856574"/>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500"/>
      <w:bookmarkEnd w:id="501"/>
      <w:bookmarkEnd w:id="502"/>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2"/>
        <w:gridCol w:w="1134"/>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851" w:type="dxa"/>
            <w:gridSpan w:val="2"/>
            <w:noWrap/>
          </w:tcPr>
          <w:p>
            <w:pPr>
              <w:pStyle w:val="yTableNAm"/>
            </w:pPr>
            <w:r>
              <w:t>1.</w:t>
            </w:r>
          </w:p>
        </w:tc>
        <w:tc>
          <w:tcPr>
            <w:tcW w:w="1275"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2.</w:t>
            </w:r>
          </w:p>
        </w:tc>
        <w:tc>
          <w:tcPr>
            <w:tcW w:w="1275"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w:t>
            </w:r>
          </w:p>
        </w:tc>
        <w:tc>
          <w:tcPr>
            <w:tcW w:w="1275"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w:t>
            </w:r>
          </w:p>
        </w:tc>
        <w:tc>
          <w:tcPr>
            <w:tcW w:w="1275"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5.</w:t>
            </w:r>
          </w:p>
        </w:tc>
        <w:tc>
          <w:tcPr>
            <w:tcW w:w="1275"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w:t>
            </w:r>
          </w:p>
        </w:tc>
        <w:tc>
          <w:tcPr>
            <w:tcW w:w="1275"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851" w:type="dxa"/>
            <w:gridSpan w:val="2"/>
            <w:noWrap/>
          </w:tcPr>
          <w:p>
            <w:pPr>
              <w:pStyle w:val="yTableNAm"/>
            </w:pPr>
            <w:r>
              <w:lastRenderedPageBreak/>
              <w:t>7.</w:t>
            </w:r>
          </w:p>
        </w:tc>
        <w:tc>
          <w:tcPr>
            <w:tcW w:w="1275"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851" w:type="dxa"/>
            <w:gridSpan w:val="2"/>
            <w:noWrap/>
          </w:tcPr>
          <w:p>
            <w:pPr>
              <w:pStyle w:val="yTableNAm"/>
            </w:pPr>
            <w:r>
              <w:t>8.</w:t>
            </w:r>
          </w:p>
        </w:tc>
        <w:tc>
          <w:tcPr>
            <w:tcW w:w="1275"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9.</w:t>
            </w:r>
          </w:p>
        </w:tc>
        <w:tc>
          <w:tcPr>
            <w:tcW w:w="1275"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10.</w:t>
            </w:r>
          </w:p>
        </w:tc>
        <w:tc>
          <w:tcPr>
            <w:tcW w:w="1275"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11.</w:t>
            </w:r>
          </w:p>
        </w:tc>
        <w:tc>
          <w:tcPr>
            <w:tcW w:w="1275"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12.</w:t>
            </w:r>
          </w:p>
        </w:tc>
        <w:tc>
          <w:tcPr>
            <w:tcW w:w="1275"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13.</w:t>
            </w:r>
          </w:p>
        </w:tc>
        <w:tc>
          <w:tcPr>
            <w:tcW w:w="1275"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14.</w:t>
            </w:r>
          </w:p>
        </w:tc>
        <w:tc>
          <w:tcPr>
            <w:tcW w:w="1275"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pPr>
            <w:r>
              <w:t>15.</w:t>
            </w:r>
          </w:p>
        </w:tc>
        <w:tc>
          <w:tcPr>
            <w:tcW w:w="1275"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lastRenderedPageBreak/>
              <w:t>16.</w:t>
            </w:r>
          </w:p>
        </w:tc>
        <w:tc>
          <w:tcPr>
            <w:tcW w:w="1275"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17.</w:t>
            </w:r>
          </w:p>
        </w:tc>
        <w:tc>
          <w:tcPr>
            <w:tcW w:w="1275"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18.</w:t>
            </w:r>
          </w:p>
        </w:tc>
        <w:tc>
          <w:tcPr>
            <w:tcW w:w="1275"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19.</w:t>
            </w:r>
          </w:p>
        </w:tc>
        <w:tc>
          <w:tcPr>
            <w:tcW w:w="1275"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20.</w:t>
            </w:r>
          </w:p>
        </w:tc>
        <w:tc>
          <w:tcPr>
            <w:tcW w:w="1275"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21.</w:t>
            </w:r>
          </w:p>
        </w:tc>
        <w:tc>
          <w:tcPr>
            <w:tcW w:w="1275"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851" w:type="dxa"/>
            <w:gridSpan w:val="2"/>
            <w:noWrap/>
          </w:tcPr>
          <w:p>
            <w:pPr>
              <w:pStyle w:val="yTableNAm"/>
              <w:keepNext/>
            </w:pPr>
            <w:r>
              <w:lastRenderedPageBreak/>
              <w:t>22.</w:t>
            </w:r>
          </w:p>
        </w:tc>
        <w:tc>
          <w:tcPr>
            <w:tcW w:w="1275"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keepNext/>
            </w:pPr>
            <w:r>
              <w:t>23.</w:t>
            </w:r>
          </w:p>
        </w:tc>
        <w:tc>
          <w:tcPr>
            <w:tcW w:w="1275"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24.</w:t>
            </w:r>
          </w:p>
        </w:tc>
        <w:tc>
          <w:tcPr>
            <w:tcW w:w="1275"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25.</w:t>
            </w:r>
          </w:p>
        </w:tc>
        <w:tc>
          <w:tcPr>
            <w:tcW w:w="1275"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26.</w:t>
            </w:r>
          </w:p>
        </w:tc>
        <w:tc>
          <w:tcPr>
            <w:tcW w:w="1275"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27.</w:t>
            </w:r>
          </w:p>
        </w:tc>
        <w:tc>
          <w:tcPr>
            <w:tcW w:w="1275"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28.</w:t>
            </w:r>
          </w:p>
        </w:tc>
        <w:tc>
          <w:tcPr>
            <w:tcW w:w="1275"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851" w:type="dxa"/>
            <w:gridSpan w:val="2"/>
            <w:noWrap/>
          </w:tcPr>
          <w:p>
            <w:pPr>
              <w:pStyle w:val="yTableNAm"/>
              <w:keepNext/>
            </w:pPr>
            <w:r>
              <w:lastRenderedPageBreak/>
              <w:t>29.</w:t>
            </w:r>
          </w:p>
        </w:tc>
        <w:tc>
          <w:tcPr>
            <w:tcW w:w="1275"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851" w:type="dxa"/>
            <w:gridSpan w:val="2"/>
            <w:noWrap/>
          </w:tcPr>
          <w:p>
            <w:pPr>
              <w:pStyle w:val="yTableNAm"/>
            </w:pPr>
            <w:r>
              <w:t>30.</w:t>
            </w:r>
          </w:p>
        </w:tc>
        <w:tc>
          <w:tcPr>
            <w:tcW w:w="1275"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keepNext/>
              <w:keepLines/>
            </w:pPr>
            <w:r>
              <w:t>31.</w:t>
            </w:r>
          </w:p>
        </w:tc>
        <w:tc>
          <w:tcPr>
            <w:tcW w:w="1275"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851" w:type="dxa"/>
            <w:gridSpan w:val="2"/>
            <w:noWrap/>
          </w:tcPr>
          <w:p>
            <w:pPr>
              <w:pStyle w:val="yTableNAm"/>
            </w:pPr>
            <w:r>
              <w:t>32.</w:t>
            </w:r>
          </w:p>
        </w:tc>
        <w:tc>
          <w:tcPr>
            <w:tcW w:w="1275"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33.</w:t>
            </w:r>
          </w:p>
        </w:tc>
        <w:tc>
          <w:tcPr>
            <w:tcW w:w="1275"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34.</w:t>
            </w:r>
          </w:p>
        </w:tc>
        <w:tc>
          <w:tcPr>
            <w:tcW w:w="1275"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lastRenderedPageBreak/>
              <w:t>35.</w:t>
            </w:r>
          </w:p>
        </w:tc>
        <w:tc>
          <w:tcPr>
            <w:tcW w:w="1275"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36.</w:t>
            </w:r>
          </w:p>
        </w:tc>
        <w:tc>
          <w:tcPr>
            <w:tcW w:w="1275"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851" w:type="dxa"/>
            <w:gridSpan w:val="2"/>
            <w:noWrap/>
          </w:tcPr>
          <w:p>
            <w:pPr>
              <w:pStyle w:val="yTableNAm"/>
            </w:pPr>
            <w:r>
              <w:t>37.</w:t>
            </w:r>
          </w:p>
        </w:tc>
        <w:tc>
          <w:tcPr>
            <w:tcW w:w="1275"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38.</w:t>
            </w:r>
          </w:p>
        </w:tc>
        <w:tc>
          <w:tcPr>
            <w:tcW w:w="1275"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39.</w:t>
            </w:r>
          </w:p>
        </w:tc>
        <w:tc>
          <w:tcPr>
            <w:tcW w:w="1275"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40.</w:t>
            </w:r>
          </w:p>
        </w:tc>
        <w:tc>
          <w:tcPr>
            <w:tcW w:w="1275"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851" w:type="dxa"/>
            <w:gridSpan w:val="2"/>
            <w:noWrap/>
          </w:tcPr>
          <w:p>
            <w:pPr>
              <w:pStyle w:val="yTableNAm"/>
            </w:pPr>
            <w:r>
              <w:lastRenderedPageBreak/>
              <w:t>41.</w:t>
            </w:r>
          </w:p>
        </w:tc>
        <w:tc>
          <w:tcPr>
            <w:tcW w:w="1275"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851" w:type="dxa"/>
            <w:gridSpan w:val="2"/>
            <w:noWrap/>
          </w:tcPr>
          <w:p>
            <w:pPr>
              <w:pStyle w:val="yTableNAm"/>
            </w:pPr>
            <w:r>
              <w:t>42.</w:t>
            </w:r>
          </w:p>
        </w:tc>
        <w:tc>
          <w:tcPr>
            <w:tcW w:w="1275"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43.</w:t>
            </w:r>
          </w:p>
        </w:tc>
        <w:tc>
          <w:tcPr>
            <w:tcW w:w="1275"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44.</w:t>
            </w:r>
          </w:p>
        </w:tc>
        <w:tc>
          <w:tcPr>
            <w:tcW w:w="1275"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45.</w:t>
            </w:r>
          </w:p>
        </w:tc>
        <w:tc>
          <w:tcPr>
            <w:tcW w:w="1275"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46.</w:t>
            </w:r>
          </w:p>
        </w:tc>
        <w:tc>
          <w:tcPr>
            <w:tcW w:w="1275"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851" w:type="dxa"/>
            <w:gridSpan w:val="2"/>
            <w:noWrap/>
          </w:tcPr>
          <w:p>
            <w:pPr>
              <w:pStyle w:val="yTableNAm"/>
            </w:pPr>
            <w:r>
              <w:t>47.</w:t>
            </w:r>
          </w:p>
        </w:tc>
        <w:tc>
          <w:tcPr>
            <w:tcW w:w="1275"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48.</w:t>
            </w:r>
          </w:p>
        </w:tc>
        <w:tc>
          <w:tcPr>
            <w:tcW w:w="1275"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lastRenderedPageBreak/>
              <w:t>49.</w:t>
            </w:r>
          </w:p>
        </w:tc>
        <w:tc>
          <w:tcPr>
            <w:tcW w:w="1275"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keepNext/>
            </w:pPr>
            <w:r>
              <w:t>50.</w:t>
            </w:r>
          </w:p>
        </w:tc>
        <w:tc>
          <w:tcPr>
            <w:tcW w:w="1275"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851" w:type="dxa"/>
            <w:gridSpan w:val="2"/>
            <w:noWrap/>
          </w:tcPr>
          <w:p>
            <w:pPr>
              <w:pStyle w:val="yTableNAm"/>
            </w:pPr>
            <w:r>
              <w:t>51.</w:t>
            </w:r>
          </w:p>
        </w:tc>
        <w:tc>
          <w:tcPr>
            <w:tcW w:w="1275"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52.</w:t>
            </w:r>
          </w:p>
        </w:tc>
        <w:tc>
          <w:tcPr>
            <w:tcW w:w="1275"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keepNext/>
              <w:keepLines/>
            </w:pPr>
            <w:r>
              <w:t>53.</w:t>
            </w:r>
          </w:p>
        </w:tc>
        <w:tc>
          <w:tcPr>
            <w:tcW w:w="1275"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851" w:type="dxa"/>
            <w:gridSpan w:val="2"/>
            <w:noWrap/>
          </w:tcPr>
          <w:p>
            <w:pPr>
              <w:pStyle w:val="yTableNAm"/>
            </w:pPr>
            <w:r>
              <w:t>54.</w:t>
            </w:r>
          </w:p>
        </w:tc>
        <w:tc>
          <w:tcPr>
            <w:tcW w:w="1275"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55.</w:t>
            </w:r>
          </w:p>
        </w:tc>
        <w:tc>
          <w:tcPr>
            <w:tcW w:w="1275"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lastRenderedPageBreak/>
              <w:t>56.</w:t>
            </w:r>
          </w:p>
        </w:tc>
        <w:tc>
          <w:tcPr>
            <w:tcW w:w="1275"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851" w:type="dxa"/>
            <w:gridSpan w:val="2"/>
            <w:noWrap/>
          </w:tcPr>
          <w:p>
            <w:pPr>
              <w:pStyle w:val="yTableNAm"/>
            </w:pPr>
            <w:r>
              <w:t>57.</w:t>
            </w:r>
          </w:p>
        </w:tc>
        <w:tc>
          <w:tcPr>
            <w:tcW w:w="1275"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58.</w:t>
            </w:r>
          </w:p>
        </w:tc>
        <w:tc>
          <w:tcPr>
            <w:tcW w:w="1275"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59.</w:t>
            </w:r>
          </w:p>
        </w:tc>
        <w:tc>
          <w:tcPr>
            <w:tcW w:w="1275"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60.</w:t>
            </w:r>
          </w:p>
        </w:tc>
        <w:tc>
          <w:tcPr>
            <w:tcW w:w="1275"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851" w:type="dxa"/>
            <w:gridSpan w:val="2"/>
            <w:noWrap/>
          </w:tcPr>
          <w:p>
            <w:pPr>
              <w:pStyle w:val="yTableNAm"/>
            </w:pPr>
            <w:r>
              <w:t>61.</w:t>
            </w:r>
          </w:p>
        </w:tc>
        <w:tc>
          <w:tcPr>
            <w:tcW w:w="1275"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851" w:type="dxa"/>
            <w:gridSpan w:val="2"/>
            <w:noWrap/>
          </w:tcPr>
          <w:p>
            <w:pPr>
              <w:pStyle w:val="yTableNAm"/>
              <w:rPr>
                <w:highlight w:val="yellow"/>
              </w:rPr>
            </w:pPr>
            <w:r>
              <w:t>62.</w:t>
            </w:r>
          </w:p>
        </w:tc>
        <w:tc>
          <w:tcPr>
            <w:tcW w:w="1275"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w:t>
            </w:r>
          </w:p>
        </w:tc>
        <w:tc>
          <w:tcPr>
            <w:tcW w:w="1275"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63A.</w:t>
            </w:r>
          </w:p>
        </w:tc>
        <w:tc>
          <w:tcPr>
            <w:tcW w:w="1275"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lastRenderedPageBreak/>
              <w:t>63AA.</w:t>
            </w:r>
          </w:p>
        </w:tc>
        <w:tc>
          <w:tcPr>
            <w:tcW w:w="1275" w:type="dxa"/>
            <w:gridSpan w:val="2"/>
            <w:noWrap/>
          </w:tcPr>
          <w:p>
            <w:pPr>
              <w:pStyle w:val="yTableNAm"/>
            </w:pPr>
            <w:r>
              <w:t>r. 130DA</w:t>
            </w:r>
          </w:p>
        </w:tc>
        <w:tc>
          <w:tcPr>
            <w:tcW w:w="2410" w:type="dxa"/>
            <w:noWrap/>
          </w:tcPr>
          <w:p>
            <w:pPr>
              <w:pStyle w:val="yTableNAm"/>
            </w:pPr>
            <w:r>
              <w:t>Refusing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63AB.</w:t>
            </w:r>
          </w:p>
        </w:tc>
        <w:tc>
          <w:tcPr>
            <w:tcW w:w="1275" w:type="dxa"/>
            <w:gridSpan w:val="2"/>
            <w:noWrap/>
          </w:tcPr>
          <w:p>
            <w:pPr>
              <w:pStyle w:val="yTableNAm"/>
            </w:pPr>
            <w:r>
              <w:t>r. 130DB</w:t>
            </w:r>
          </w:p>
        </w:tc>
        <w:tc>
          <w:tcPr>
            <w:tcW w:w="2410" w:type="dxa"/>
            <w:noWrap/>
          </w:tcPr>
          <w:p>
            <w:pPr>
              <w:pStyle w:val="yTableNAm"/>
            </w:pPr>
            <w:r>
              <w:t>Directing driver to refuse PTSS smartcard</w:t>
            </w:r>
          </w:p>
        </w:tc>
        <w:tc>
          <w:tcPr>
            <w:tcW w:w="1276" w:type="dxa"/>
            <w:noWrap/>
            <w:vAlign w:val="bottom"/>
          </w:tcPr>
          <w:p>
            <w:pPr>
              <w:pStyle w:val="yTableNAm"/>
            </w:pPr>
            <w:r>
              <w:t>$900</w:t>
            </w:r>
          </w:p>
        </w:tc>
        <w:tc>
          <w:tcPr>
            <w:tcW w:w="1171" w:type="dxa"/>
            <w:noWrap/>
            <w:vAlign w:val="bottom"/>
          </w:tcPr>
          <w:p>
            <w:pPr>
              <w:pStyle w:val="yTableNAm"/>
            </w:pPr>
            <w:r>
              <w:t>$1 800</w:t>
            </w:r>
          </w:p>
        </w:tc>
      </w:tr>
      <w:tr>
        <w:tc>
          <w:tcPr>
            <w:tcW w:w="851" w:type="dxa"/>
            <w:gridSpan w:val="2"/>
            <w:noWrap/>
          </w:tcPr>
          <w:p>
            <w:pPr>
              <w:pStyle w:val="yTableNAm"/>
            </w:pPr>
            <w:r>
              <w:t>63B.</w:t>
            </w:r>
          </w:p>
        </w:tc>
        <w:tc>
          <w:tcPr>
            <w:tcW w:w="1275"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851" w:type="dxa"/>
            <w:gridSpan w:val="2"/>
            <w:noWrap/>
          </w:tcPr>
          <w:p>
            <w:pPr>
              <w:pStyle w:val="yTableNAm"/>
            </w:pPr>
            <w:r>
              <w:t>63C.</w:t>
            </w:r>
          </w:p>
        </w:tc>
        <w:tc>
          <w:tcPr>
            <w:tcW w:w="1275"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63D.</w:t>
            </w:r>
          </w:p>
        </w:tc>
        <w:tc>
          <w:tcPr>
            <w:tcW w:w="1275"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63E.</w:t>
            </w:r>
          </w:p>
        </w:tc>
        <w:tc>
          <w:tcPr>
            <w:tcW w:w="1275"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c>
          <w:tcPr>
            <w:tcW w:w="851" w:type="dxa"/>
            <w:gridSpan w:val="2"/>
            <w:noWrap/>
          </w:tcPr>
          <w:p>
            <w:pPr>
              <w:pStyle w:val="yTableNAm"/>
            </w:pPr>
            <w:r>
              <w:t>63EA.</w:t>
            </w:r>
          </w:p>
        </w:tc>
        <w:tc>
          <w:tcPr>
            <w:tcW w:w="1275" w:type="dxa"/>
            <w:gridSpan w:val="2"/>
            <w:noWrap/>
          </w:tcPr>
          <w:p>
            <w:pPr>
              <w:pStyle w:val="yTableNAm"/>
            </w:pPr>
            <w:r>
              <w:t>r. 130HA</w:t>
            </w:r>
          </w:p>
        </w:tc>
        <w:tc>
          <w:tcPr>
            <w:tcW w:w="2410" w:type="dxa"/>
            <w:noWrap/>
          </w:tcPr>
          <w:p>
            <w:pPr>
              <w:pStyle w:val="yTableNAm"/>
            </w:pPr>
            <w:r>
              <w:t>Failure to fit vehicle with PTSS electronic device that is not a mobile phone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lastRenderedPageBreak/>
              <w:t>63EB.</w:t>
            </w:r>
          </w:p>
        </w:tc>
        <w:tc>
          <w:tcPr>
            <w:tcW w:w="1275" w:type="dxa"/>
            <w:gridSpan w:val="2"/>
            <w:noWrap/>
          </w:tcPr>
          <w:p>
            <w:pPr>
              <w:pStyle w:val="yTableNAm"/>
            </w:pPr>
            <w:r>
              <w:t>r. 130HB</w:t>
            </w:r>
          </w:p>
        </w:tc>
        <w:tc>
          <w:tcPr>
            <w:tcW w:w="2410" w:type="dxa"/>
            <w:noWrap/>
          </w:tcPr>
          <w:p>
            <w:pPr>
              <w:pStyle w:val="yTableNAm"/>
            </w:pPr>
            <w:r>
              <w:t>Failure to ensure vehicle contains or is fitted with PTSS electronic device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63F.</w:t>
            </w:r>
          </w:p>
        </w:tc>
        <w:tc>
          <w:tcPr>
            <w:tcW w:w="1275"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63G.</w:t>
            </w:r>
          </w:p>
        </w:tc>
        <w:tc>
          <w:tcPr>
            <w:tcW w:w="1275"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63H.</w:t>
            </w:r>
          </w:p>
        </w:tc>
        <w:tc>
          <w:tcPr>
            <w:tcW w:w="1275"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851" w:type="dxa"/>
            <w:gridSpan w:val="2"/>
            <w:noWrap/>
          </w:tcPr>
          <w:p>
            <w:pPr>
              <w:pStyle w:val="yTableNAm"/>
            </w:pPr>
            <w:r>
              <w:t>64.</w:t>
            </w:r>
          </w:p>
        </w:tc>
        <w:tc>
          <w:tcPr>
            <w:tcW w:w="1275"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65.</w:t>
            </w:r>
          </w:p>
        </w:tc>
        <w:tc>
          <w:tcPr>
            <w:tcW w:w="1275"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pPr>
            <w:r>
              <w:t>66.</w:t>
            </w:r>
          </w:p>
        </w:tc>
        <w:tc>
          <w:tcPr>
            <w:tcW w:w="1275"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851" w:type="dxa"/>
            <w:gridSpan w:val="2"/>
            <w:noWrap/>
          </w:tcPr>
          <w:p>
            <w:pPr>
              <w:pStyle w:val="yTableNAm"/>
            </w:pPr>
            <w:r>
              <w:t>67.</w:t>
            </w:r>
          </w:p>
        </w:tc>
        <w:tc>
          <w:tcPr>
            <w:tcW w:w="1275"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t>68.</w:t>
            </w:r>
          </w:p>
        </w:tc>
        <w:tc>
          <w:tcPr>
            <w:tcW w:w="1275"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pPr>
            <w:r>
              <w:lastRenderedPageBreak/>
              <w:t>69.</w:t>
            </w:r>
          </w:p>
        </w:tc>
        <w:tc>
          <w:tcPr>
            <w:tcW w:w="1275"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851" w:type="dxa"/>
            <w:gridSpan w:val="2"/>
            <w:noWrap/>
          </w:tcPr>
          <w:p>
            <w:pPr>
              <w:pStyle w:val="yTableNAm"/>
              <w:keepNext/>
              <w:keepLines/>
            </w:pPr>
            <w:r>
              <w:t>70.</w:t>
            </w:r>
          </w:p>
        </w:tc>
        <w:tc>
          <w:tcPr>
            <w:tcW w:w="1275"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851" w:type="dxa"/>
            <w:gridSpan w:val="2"/>
            <w:noWrap/>
          </w:tcPr>
          <w:p>
            <w:pPr>
              <w:pStyle w:val="yTableNAm"/>
            </w:pPr>
            <w:r>
              <w:t>71.</w:t>
            </w:r>
          </w:p>
        </w:tc>
        <w:tc>
          <w:tcPr>
            <w:tcW w:w="1275"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851" w:type="dxa"/>
            <w:gridSpan w:val="2"/>
            <w:noWrap/>
          </w:tcPr>
          <w:p>
            <w:pPr>
              <w:pStyle w:val="yTableNAm"/>
            </w:pPr>
            <w:r>
              <w:t>72.</w:t>
            </w:r>
          </w:p>
        </w:tc>
        <w:tc>
          <w:tcPr>
            <w:tcW w:w="1275"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851" w:type="dxa"/>
            <w:gridSpan w:val="2"/>
            <w:noWrap/>
          </w:tcPr>
          <w:p>
            <w:pPr>
              <w:pStyle w:val="yTableNAm"/>
            </w:pPr>
            <w:r>
              <w:t>73.</w:t>
            </w:r>
          </w:p>
        </w:tc>
        <w:tc>
          <w:tcPr>
            <w:tcW w:w="1275"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keepNext/>
            </w:pPr>
            <w:r>
              <w:t>74.</w:t>
            </w:r>
          </w:p>
        </w:tc>
        <w:tc>
          <w:tcPr>
            <w:tcW w:w="1275"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851" w:type="dxa"/>
            <w:gridSpan w:val="2"/>
            <w:noWrap/>
          </w:tcPr>
          <w:p>
            <w:pPr>
              <w:pStyle w:val="yTableNAm"/>
            </w:pPr>
            <w:r>
              <w:t>75.</w:t>
            </w:r>
          </w:p>
        </w:tc>
        <w:tc>
          <w:tcPr>
            <w:tcW w:w="1275"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851" w:type="dxa"/>
            <w:gridSpan w:val="2"/>
            <w:noWrap/>
          </w:tcPr>
          <w:p>
            <w:pPr>
              <w:pStyle w:val="yTableNAm"/>
            </w:pPr>
            <w:r>
              <w:t>76.</w:t>
            </w:r>
          </w:p>
        </w:tc>
        <w:tc>
          <w:tcPr>
            <w:tcW w:w="1275" w:type="dxa"/>
            <w:gridSpan w:val="2"/>
            <w:noWrap/>
          </w:tcPr>
          <w:p>
            <w:pPr>
              <w:pStyle w:val="yTableNAm"/>
            </w:pPr>
            <w:r>
              <w:t>r. 140(1)</w:t>
            </w:r>
          </w:p>
        </w:tc>
        <w:tc>
          <w:tcPr>
            <w:tcW w:w="2410" w:type="dxa"/>
            <w:noWrap/>
          </w:tcPr>
          <w:p>
            <w:pPr>
              <w:pStyle w:val="yTableNAm"/>
            </w:pPr>
            <w:r>
              <w:t xml:space="preserve">Operation of unauthorised vehicle </w:t>
            </w:r>
            <w:r>
              <w:lastRenderedPageBreak/>
              <w:t>with number plates identifying it as passenger transport vehicle</w:t>
            </w:r>
          </w:p>
        </w:tc>
        <w:tc>
          <w:tcPr>
            <w:tcW w:w="1276" w:type="dxa"/>
            <w:noWrap/>
            <w:vAlign w:val="bottom"/>
          </w:tcPr>
          <w:p>
            <w:pPr>
              <w:pStyle w:val="yTableNAm"/>
            </w:pPr>
            <w:r>
              <w:lastRenderedPageBreak/>
              <w:t>$1800</w:t>
            </w:r>
          </w:p>
        </w:tc>
        <w:tc>
          <w:tcPr>
            <w:tcW w:w="1171" w:type="dxa"/>
            <w:noWrap/>
            <w:vAlign w:val="bottom"/>
          </w:tcPr>
          <w:p>
            <w:pPr>
              <w:pStyle w:val="yTableNAm"/>
            </w:pPr>
            <w:r>
              <w:t>$6 000</w:t>
            </w:r>
          </w:p>
        </w:tc>
      </w:tr>
      <w:tr>
        <w:tc>
          <w:tcPr>
            <w:tcW w:w="851" w:type="dxa"/>
            <w:gridSpan w:val="2"/>
            <w:noWrap/>
          </w:tcPr>
          <w:p>
            <w:pPr>
              <w:pStyle w:val="yTableNAm"/>
            </w:pPr>
            <w:r>
              <w:t>77.</w:t>
            </w:r>
          </w:p>
        </w:tc>
        <w:tc>
          <w:tcPr>
            <w:tcW w:w="1275"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851" w:type="dxa"/>
            <w:gridSpan w:val="2"/>
            <w:noWrap/>
          </w:tcPr>
          <w:p>
            <w:pPr>
              <w:pStyle w:val="yTableNAm"/>
            </w:pPr>
            <w:r>
              <w:t>78.</w:t>
            </w:r>
          </w:p>
        </w:tc>
        <w:tc>
          <w:tcPr>
            <w:tcW w:w="1275"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851" w:type="dxa"/>
            <w:gridSpan w:val="2"/>
            <w:noWrap/>
          </w:tcPr>
          <w:p>
            <w:pPr>
              <w:pStyle w:val="yTableNAm"/>
            </w:pPr>
            <w:r>
              <w:t>79.</w:t>
            </w:r>
          </w:p>
        </w:tc>
        <w:tc>
          <w:tcPr>
            <w:tcW w:w="1275" w:type="dxa"/>
            <w:gridSpan w:val="2"/>
            <w:noWrap/>
          </w:tcPr>
          <w:p>
            <w:pPr>
              <w:pStyle w:val="yTableNAm"/>
            </w:pPr>
            <w:r>
              <w:t>r. 180(5)</w:t>
            </w:r>
          </w:p>
        </w:tc>
        <w:tc>
          <w:tcPr>
            <w:tcW w:w="2410" w:type="dxa"/>
            <w:noWrap/>
          </w:tcPr>
          <w:p>
            <w:pPr>
              <w:pStyle w:val="yTableNAm"/>
            </w:pPr>
            <w:r>
              <w:t xml:space="preserve">Failure to comply with notice given by CEO or authorised officer under r. 180(1) — </w:t>
            </w:r>
          </w:p>
          <w:p>
            <w:pPr>
              <w:pStyle w:val="yTableNAm"/>
              <w:ind w:left="567" w:hanging="567"/>
            </w:pPr>
            <w:r>
              <w:t>(a)</w:t>
            </w:r>
            <w:r>
              <w:tab/>
              <w:t>if the notice is given under r. 180(1)(a)</w:t>
            </w:r>
          </w:p>
          <w:p>
            <w:pPr>
              <w:pStyle w:val="yTableNAm"/>
              <w:ind w:left="567" w:hanging="567"/>
            </w:pPr>
            <w:r>
              <w:t>(b)</w:t>
            </w:r>
            <w:r>
              <w:tab/>
              <w:t>if the notice is given under r. 180(1)(b), (c), (d) or (e)</w:t>
            </w:r>
          </w:p>
        </w:tc>
        <w:tc>
          <w:tcPr>
            <w:tcW w:w="1276" w:type="dxa"/>
            <w:noWrap/>
          </w:tcPr>
          <w:p>
            <w:pPr>
              <w:pStyle w:val="yTableNAm"/>
            </w:pPr>
            <w:r>
              <w:br/>
            </w:r>
            <w:r>
              <w:br/>
            </w:r>
            <w:r>
              <w:br/>
            </w:r>
            <w:r>
              <w:br/>
            </w:r>
          </w:p>
          <w:p>
            <w:pPr>
              <w:pStyle w:val="yTableNAm"/>
            </w:pPr>
            <w:r>
              <w:br/>
              <w:t>$1 800</w:t>
            </w:r>
          </w:p>
          <w:p>
            <w:pPr>
              <w:pStyle w:val="yTableNAm"/>
            </w:pPr>
            <w:r>
              <w:br/>
            </w:r>
            <w:r>
              <w:br/>
            </w:r>
            <w:r>
              <w:br/>
              <w:t>$1 200</w:t>
            </w:r>
          </w:p>
        </w:tc>
        <w:tc>
          <w:tcPr>
            <w:tcW w:w="1171" w:type="dxa"/>
            <w:noWrap/>
          </w:tcPr>
          <w:p>
            <w:pPr>
              <w:pStyle w:val="yTableNAm"/>
            </w:pPr>
            <w:r>
              <w:br/>
            </w:r>
            <w:r>
              <w:br/>
            </w:r>
            <w:r>
              <w:br/>
            </w:r>
            <w:r>
              <w:br/>
            </w:r>
          </w:p>
          <w:p>
            <w:pPr>
              <w:pStyle w:val="yTableNAm"/>
            </w:pPr>
            <w:r>
              <w:br/>
              <w:t>$6 000</w:t>
            </w:r>
          </w:p>
          <w:p>
            <w:pPr>
              <w:pStyle w:val="yTableNAm"/>
            </w:pPr>
            <w:r>
              <w:br/>
            </w:r>
            <w:r>
              <w:br/>
            </w:r>
            <w:r>
              <w:br/>
              <w:t>$4 000</w:t>
            </w:r>
          </w:p>
        </w:tc>
      </w:tr>
      <w:tr>
        <w:tc>
          <w:tcPr>
            <w:tcW w:w="6983" w:type="dxa"/>
            <w:gridSpan w:val="7"/>
            <w:noWrap/>
            <w:vAlign w:val="center"/>
          </w:tcPr>
          <w:p>
            <w:pPr>
              <w:pStyle w:val="yTableNAm"/>
              <w:keepNext/>
            </w:pPr>
            <w:r>
              <w:lastRenderedPageBreak/>
              <w:t xml:space="preserve">Offences under the </w:t>
            </w:r>
            <w:r>
              <w:rPr>
                <w:i/>
              </w:rPr>
              <w:t>Transport (Road Passenger Services) Act 2018</w:t>
            </w:r>
          </w:p>
        </w:tc>
      </w:tr>
      <w:tr>
        <w:tc>
          <w:tcPr>
            <w:tcW w:w="709" w:type="dxa"/>
            <w:noWrap/>
          </w:tcPr>
          <w:p>
            <w:pPr>
              <w:pStyle w:val="yTableNAm"/>
            </w:pPr>
            <w:r>
              <w:t>80.</w:t>
            </w:r>
          </w:p>
        </w:tc>
        <w:tc>
          <w:tcPr>
            <w:tcW w:w="1276"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81.</w:t>
            </w:r>
          </w:p>
        </w:tc>
        <w:tc>
          <w:tcPr>
            <w:tcW w:w="1276"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82.</w:t>
            </w:r>
          </w:p>
        </w:tc>
        <w:tc>
          <w:tcPr>
            <w:tcW w:w="1276"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709" w:type="dxa"/>
            <w:noWrap/>
          </w:tcPr>
          <w:p>
            <w:pPr>
              <w:pStyle w:val="yTableNAm"/>
            </w:pPr>
            <w:r>
              <w:t>83.</w:t>
            </w:r>
          </w:p>
        </w:tc>
        <w:tc>
          <w:tcPr>
            <w:tcW w:w="1276"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709" w:type="dxa"/>
            <w:noWrap/>
          </w:tcPr>
          <w:p>
            <w:pPr>
              <w:pStyle w:val="yTableNAm"/>
            </w:pPr>
            <w:r>
              <w:t>84.</w:t>
            </w:r>
          </w:p>
        </w:tc>
        <w:tc>
          <w:tcPr>
            <w:tcW w:w="1276"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709" w:type="dxa"/>
            <w:noWrap/>
          </w:tcPr>
          <w:p>
            <w:pPr>
              <w:pStyle w:val="yTableNAm"/>
            </w:pPr>
            <w:r>
              <w:t>85.</w:t>
            </w:r>
          </w:p>
        </w:tc>
        <w:tc>
          <w:tcPr>
            <w:tcW w:w="1276"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86.</w:t>
            </w:r>
          </w:p>
        </w:tc>
        <w:tc>
          <w:tcPr>
            <w:tcW w:w="1276"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lastRenderedPageBreak/>
              <w:t>87.</w:t>
            </w:r>
          </w:p>
        </w:tc>
        <w:tc>
          <w:tcPr>
            <w:tcW w:w="1276"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88.</w:t>
            </w:r>
          </w:p>
        </w:tc>
        <w:tc>
          <w:tcPr>
            <w:tcW w:w="1276"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709" w:type="dxa"/>
            <w:noWrap/>
          </w:tcPr>
          <w:p>
            <w:pPr>
              <w:pStyle w:val="yTableNAm"/>
            </w:pPr>
            <w:r>
              <w:t>89.</w:t>
            </w:r>
          </w:p>
        </w:tc>
        <w:tc>
          <w:tcPr>
            <w:tcW w:w="1276"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noWrap/>
          </w:tcPr>
          <w:p>
            <w:pPr>
              <w:pStyle w:val="yTableNAm"/>
            </w:pPr>
            <w:r>
              <w:t>90.</w:t>
            </w:r>
          </w:p>
        </w:tc>
        <w:tc>
          <w:tcPr>
            <w:tcW w:w="1276"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91.</w:t>
            </w:r>
          </w:p>
        </w:tc>
        <w:tc>
          <w:tcPr>
            <w:tcW w:w="1276"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709" w:type="dxa"/>
            <w:noWrap/>
          </w:tcPr>
          <w:p>
            <w:pPr>
              <w:pStyle w:val="yTableNAm"/>
            </w:pPr>
            <w:r>
              <w:t>92.</w:t>
            </w:r>
          </w:p>
        </w:tc>
        <w:tc>
          <w:tcPr>
            <w:tcW w:w="1276"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709" w:type="dxa"/>
            <w:noWrap/>
          </w:tcPr>
          <w:p>
            <w:pPr>
              <w:pStyle w:val="yTableNAm"/>
            </w:pPr>
            <w:r>
              <w:t>93.</w:t>
            </w:r>
          </w:p>
        </w:tc>
        <w:tc>
          <w:tcPr>
            <w:tcW w:w="1276"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709" w:type="dxa"/>
            <w:noWrap/>
          </w:tcPr>
          <w:p>
            <w:pPr>
              <w:pStyle w:val="yTableNAm"/>
            </w:pPr>
            <w:r>
              <w:t>94.</w:t>
            </w:r>
          </w:p>
        </w:tc>
        <w:tc>
          <w:tcPr>
            <w:tcW w:w="1276"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709" w:type="dxa"/>
            <w:noWrap/>
          </w:tcPr>
          <w:p>
            <w:pPr>
              <w:pStyle w:val="yTableNAm"/>
              <w:keepNext/>
            </w:pPr>
            <w:r>
              <w:lastRenderedPageBreak/>
              <w:t>95.</w:t>
            </w:r>
          </w:p>
        </w:tc>
        <w:tc>
          <w:tcPr>
            <w:tcW w:w="1276"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 and 9.]</w:t>
      </w:r>
    </w:p>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503" w:name="_Toc192852568"/>
      <w:bookmarkStart w:id="504" w:name="_Toc192853694"/>
      <w:bookmarkStart w:id="505" w:name="_Toc192856575"/>
      <w:r>
        <w:rPr>
          <w:rStyle w:val="CharSchNo"/>
        </w:rPr>
        <w:lastRenderedPageBreak/>
        <w:t>Schedule 7</w:t>
      </w:r>
      <w:r>
        <w:rPr>
          <w:rStyle w:val="CharSDivNo"/>
        </w:rPr>
        <w:t> </w:t>
      </w:r>
      <w:r>
        <w:t>—</w:t>
      </w:r>
      <w:r>
        <w:rPr>
          <w:rStyle w:val="CharSDivText"/>
        </w:rPr>
        <w:t> </w:t>
      </w:r>
      <w:r>
        <w:rPr>
          <w:rStyle w:val="CharSchText"/>
        </w:rPr>
        <w:t>Forms</w:t>
      </w:r>
      <w:bookmarkEnd w:id="503"/>
      <w:bookmarkEnd w:id="504"/>
      <w:bookmarkEnd w:id="505"/>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506" w:name="_Toc192852569"/>
      <w:bookmarkStart w:id="507" w:name="_Toc192853695"/>
      <w:bookmarkStart w:id="508" w:name="_Toc192856576"/>
      <w:r>
        <w:lastRenderedPageBreak/>
        <w:t>Notes</w:t>
      </w:r>
      <w:bookmarkEnd w:id="506"/>
      <w:bookmarkEnd w:id="507"/>
      <w:bookmarkEnd w:id="508"/>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09" w:name="_Toc192856577"/>
      <w:r>
        <w:t>Compilation table</w:t>
      </w:r>
      <w:bookmarkEnd w:id="50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nil"/>
            </w:tcBorders>
            <w:shd w:val="clear" w:color="auto" w:fill="auto"/>
          </w:tcPr>
          <w:p>
            <w:pPr>
              <w:pStyle w:val="nTable"/>
              <w:spacing w:after="40"/>
              <w:rPr>
                <w:iCs/>
                <w:noProof/>
              </w:rPr>
            </w:pPr>
            <w:r>
              <w:rPr>
                <w:i/>
              </w:rPr>
              <w:t>Transport (Road Passenger Services) Amendment Regulations (No. 3) 2024</w:t>
            </w:r>
            <w:r>
              <w:rPr>
                <w:iCs/>
              </w:rPr>
              <w:t xml:space="preserve"> (other than Pt. 4)</w:t>
            </w:r>
          </w:p>
        </w:tc>
        <w:tc>
          <w:tcPr>
            <w:tcW w:w="1276" w:type="dxa"/>
            <w:tcBorders>
              <w:top w:val="nil"/>
              <w:bottom w:val="nil"/>
            </w:tcBorders>
            <w:shd w:val="clear" w:color="auto" w:fill="auto"/>
          </w:tcPr>
          <w:p>
            <w:pPr>
              <w:pStyle w:val="nTable"/>
              <w:spacing w:after="40"/>
            </w:pPr>
            <w:r>
              <w:t>SL 2024/245 27 Nov 2024</w:t>
            </w:r>
          </w:p>
        </w:tc>
        <w:tc>
          <w:tcPr>
            <w:tcW w:w="2693" w:type="dxa"/>
            <w:tcBorders>
              <w:top w:val="nil"/>
              <w:bottom w:val="nil"/>
            </w:tcBorders>
            <w:shd w:val="clear" w:color="auto" w:fill="auto"/>
          </w:tcPr>
          <w:p>
            <w:pPr>
              <w:pStyle w:val="nTable"/>
              <w:spacing w:after="40"/>
            </w:pPr>
            <w:r>
              <w:t>Pt. 1: 27 Nov 2024 (see r. 2(a));</w:t>
            </w:r>
            <w:r>
              <w:br/>
              <w:t>Pt. 2: 2 Dec 2024 (see r. 2(b));</w:t>
            </w:r>
            <w:r>
              <w:br/>
              <w:t>Pt. 3: 1 Mar 2025 (see r. 2(c))</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pPr>
              <w:pStyle w:val="nTable"/>
              <w:spacing w:after="40"/>
            </w:pPr>
            <w:r>
              <w:t>SL 2024/278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20 Dec 2024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2024</w:t>
            </w:r>
          </w:p>
        </w:tc>
        <w:tc>
          <w:tcPr>
            <w:tcW w:w="1276" w:type="dxa"/>
            <w:tcBorders>
              <w:top w:val="nil"/>
              <w:bottom w:val="nil"/>
            </w:tcBorders>
            <w:shd w:val="clear" w:color="auto" w:fill="auto"/>
          </w:tcPr>
          <w:p>
            <w:pPr>
              <w:pStyle w:val="nTable"/>
              <w:spacing w:after="40"/>
            </w:pPr>
            <w:r>
              <w:t>SL 2024/286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19 Dec 2024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(Road Passenger Services) Amendment Regulations (No. 4) 2024</w:t>
            </w:r>
          </w:p>
        </w:tc>
        <w:tc>
          <w:tcPr>
            <w:tcW w:w="1276" w:type="dxa"/>
            <w:tcBorders>
              <w:top w:val="nil"/>
              <w:bottom w:val="single" w:sz="4" w:space="0" w:color="auto"/>
            </w:tcBorders>
            <w:shd w:val="clear" w:color="auto" w:fill="auto"/>
          </w:tcPr>
          <w:p>
            <w:pPr>
              <w:pStyle w:val="nTable"/>
              <w:spacing w:after="40"/>
            </w:pPr>
            <w:r>
              <w:t>SL 2024/291 21 Dec 2024</w:t>
            </w:r>
          </w:p>
        </w:tc>
        <w:tc>
          <w:tcPr>
            <w:tcW w:w="2693" w:type="dxa"/>
            <w:tcBorders>
              <w:top w:val="nil"/>
              <w:bottom w:val="single" w:sz="4" w:space="0" w:color="auto"/>
            </w:tcBorders>
            <w:shd w:val="clear" w:color="auto" w:fill="auto"/>
          </w:tcPr>
          <w:p>
            <w:pPr>
              <w:pStyle w:val="nTable"/>
              <w:spacing w:after="40"/>
            </w:pPr>
            <w:r>
              <w:t>r. 1 and 2: 21 Dec 2024 (see r. 2(a));</w:t>
            </w:r>
            <w:r>
              <w:br/>
              <w:t>Regulations other than r. 1 and 2: 31 Mar 2025 (see r. 2(b) and SL 2024/289 cl. 2)</w:t>
            </w:r>
          </w:p>
        </w:tc>
      </w:tr>
    </w:tbl>
    <w:p>
      <w:pPr>
        <w:pStyle w:val="nHeading3"/>
      </w:pPr>
      <w:bookmarkStart w:id="510" w:name="_Toc192856578"/>
      <w:r>
        <w:lastRenderedPageBreak/>
        <w:t>Uncommenced provisions table</w:t>
      </w:r>
      <w:bookmarkEnd w:id="51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rPr>
                <w:iCs/>
              </w:rPr>
            </w:pPr>
            <w:r>
              <w:rPr>
                <w:i/>
              </w:rPr>
              <w:t>Transport (Road Passenger Services) Amendment Regulations (No. 3) 2024</w:t>
            </w:r>
            <w:r>
              <w:rPr>
                <w:iCs/>
              </w:rPr>
              <w:t xml:space="preserve"> Pt. 4</w:t>
            </w:r>
          </w:p>
        </w:tc>
        <w:tc>
          <w:tcPr>
            <w:tcW w:w="1276" w:type="dxa"/>
            <w:tcBorders>
              <w:bottom w:val="single" w:sz="4" w:space="0" w:color="auto"/>
            </w:tcBorders>
          </w:tcPr>
          <w:p>
            <w:pPr>
              <w:pStyle w:val="nTable"/>
              <w:spacing w:after="40"/>
            </w:pPr>
            <w:r>
              <w:t>SL 2024/245 27 Nov 2024</w:t>
            </w:r>
          </w:p>
        </w:tc>
        <w:tc>
          <w:tcPr>
            <w:tcW w:w="2693" w:type="dxa"/>
            <w:tcBorders>
              <w:bottom w:val="single" w:sz="4" w:space="0" w:color="auto"/>
            </w:tcBorders>
          </w:tcPr>
          <w:p>
            <w:pPr>
              <w:pStyle w:val="nTable"/>
              <w:spacing w:after="40"/>
            </w:pPr>
            <w:r>
              <w:t>1 Oct 2025 (see r. 2(d))</w:t>
            </w:r>
          </w:p>
        </w:tc>
      </w:tr>
    </w:tbl>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512" w:name="_Toc192852572"/>
      <w:bookmarkStart w:id="513" w:name="_Toc192853698"/>
      <w:bookmarkStart w:id="514" w:name="_Toc192856579"/>
      <w:r>
        <w:rPr>
          <w:sz w:val="28"/>
        </w:rPr>
        <w:lastRenderedPageBreak/>
        <w:t>Defined terms</w:t>
      </w:r>
      <w:bookmarkEnd w:id="512"/>
      <w:bookmarkEnd w:id="513"/>
      <w:bookmarkEnd w:id="5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aggregated journey data</w:t>
      </w:r>
      <w:r>
        <w:tab/>
        <w:t>130J(1)</w:t>
      </w:r>
    </w:p>
    <w:p>
      <w:pPr>
        <w:pStyle w:val="DefinedTerms"/>
      </w:pPr>
      <w:r>
        <w:t>agreement period</w:t>
      </w:r>
      <w:r>
        <w:tab/>
        <w:t>156(2)</w:t>
      </w:r>
    </w:p>
    <w:p>
      <w:pPr>
        <w:pStyle w:val="DefinedTerms"/>
      </w:pPr>
      <w:r>
        <w:t>approved form</w:t>
      </w:r>
      <w:r>
        <w:tab/>
        <w:t>200A(1)</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w:t>
      </w:r>
      <w:r>
        <w:tab/>
        <w:t>3</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 200A(1)</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lastRenderedPageBreak/>
        <w:t>fare amount</w:t>
      </w:r>
      <w:r>
        <w:tab/>
        <w:t>127</w:t>
      </w:r>
    </w:p>
    <w:p>
      <w:pPr>
        <w:pStyle w:val="DefinedTerms"/>
      </w:pPr>
      <w:r>
        <w:t>first provider</w:t>
      </w:r>
      <w:r>
        <w:tab/>
        <w:t>58(3)</w:t>
      </w:r>
    </w:p>
    <w:p>
      <w:pPr>
        <w:pStyle w:val="DefinedTerms"/>
      </w:pPr>
      <w:r>
        <w:t>foreign driving authorisation</w:t>
      </w:r>
      <w:r>
        <w:tab/>
        <w:t>3</w:t>
      </w:r>
    </w:p>
    <w:p>
      <w:pPr>
        <w:pStyle w:val="DefinedTerms"/>
      </w:pPr>
      <w:r>
        <w:t>former Schedule 4</w:t>
      </w:r>
      <w:r>
        <w:tab/>
        <w:t>200A(1)</w:t>
      </w:r>
    </w:p>
    <w:p>
      <w:pPr>
        <w:pStyle w:val="DefinedTerms"/>
      </w:pPr>
      <w:r>
        <w:t>‘F’ or ‘T’ endorsed driver’s licence</w:t>
      </w:r>
      <w:r>
        <w:tab/>
        <w:t>3</w:t>
      </w:r>
    </w:p>
    <w:p>
      <w:pPr>
        <w:pStyle w:val="DefinedTerms"/>
      </w:pPr>
      <w:r>
        <w:t>GST</w:t>
      </w:r>
      <w:r>
        <w:tab/>
        <w:t>3</w:t>
      </w:r>
    </w:p>
    <w:p>
      <w:pPr>
        <w:pStyle w:val="DefinedTerms"/>
      </w:pPr>
      <w:r>
        <w:t>guidelines</w:t>
      </w:r>
      <w:r>
        <w:tab/>
        <w:t>130A</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large vehicle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PTSS electronic device</w:t>
      </w:r>
      <w:r>
        <w:tab/>
        <w:t>130A</w:t>
      </w:r>
    </w:p>
    <w:p>
      <w:pPr>
        <w:pStyle w:val="DefinedTerms"/>
      </w:pPr>
      <w:r>
        <w:t>PTSS electronic interface</w:t>
      </w:r>
      <w:r>
        <w:tab/>
        <w:t>130A</w:t>
      </w:r>
    </w:p>
    <w:p>
      <w:pPr>
        <w:pStyle w:val="DefinedTerms"/>
      </w:pPr>
      <w:r>
        <w:t>PTSS journey</w:t>
      </w:r>
      <w:r>
        <w:tab/>
        <w:t>130A</w:t>
      </w:r>
    </w:p>
    <w:p>
      <w:pPr>
        <w:pStyle w:val="DefinedTerms"/>
      </w:pPr>
      <w:r>
        <w:t>PTSS passenger</w:t>
      </w:r>
      <w:r>
        <w:tab/>
        <w:t>130A</w:t>
      </w:r>
    </w:p>
    <w:p>
      <w:pPr>
        <w:pStyle w:val="DefinedTerms"/>
      </w:pPr>
      <w:r>
        <w:t>PTSS smartcard</w:t>
      </w:r>
      <w:r>
        <w:tab/>
        <w:t>130A</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lastRenderedPageBreak/>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2</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20074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8D4C0D0" w14:textId="42399A4F" w:rsidR="00945734" w:rsidRDefault="0051072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52621">
                        <w:rPr>
                          <w:sz w:val="16"/>
                        </w:rPr>
                        <w:t>2025</w:t>
                      </w:r>
                      <w:r>
                        <w:rPr>
                          <w:sz w:val="16"/>
                        </w:rPr>
                        <w:fldChar w:fldCharType="end"/>
                      </w:r>
                      <w:r>
                        <w:rPr>
                          <w:sz w:val="16"/>
                        </w:rPr>
                        <w:t>.</w:t>
                      </w:r>
                    </w:p>
                    <w:p w14:paraId="14F5F043" w14:textId="77777777" w:rsidR="00945734" w:rsidRDefault="0051072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0F0831" w14:textId="07762D35" w:rsidR="00945734" w:rsidRDefault="0051072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52621">
                        <w:rPr>
                          <w:sz w:val="16"/>
                        </w:rPr>
                        <w:t>2025</w:t>
                      </w:r>
                      <w:r>
                        <w:rPr>
                          <w:sz w:val="16"/>
                        </w:rPr>
                        <w:fldChar w:fldCharType="end"/>
                      </w:r>
                      <w:r>
                        <w:rPr>
                          <w:sz w:val="16"/>
                        </w:rPr>
                        <w:t>.</w:t>
                      </w:r>
                    </w:p>
                    <w:p w14:paraId="6DBA0F13" w14:textId="77777777" w:rsidR="00945734" w:rsidRDefault="0051072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1" w:name="Compilation"/>
    <w:bookmarkEnd w:id="51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15" w:name="DefinedTerms"/>
    <w:bookmarkEnd w:id="515"/>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6" w:name="Coversheet"/>
    <w:bookmarkEnd w:id="5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129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334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 w:name="WAFER_20241218153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3428_GUID" w:val="b215e9d4-84ec-4d0e-8d4f-e9e207e954f3"/>
    <w:docVar w:name="WAFER_20241218153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53454_GUID" w:val="1a836b37-3762-4ecf-8155-7657c7117a10"/>
    <w:docVar w:name="WAFER_20250221095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1095342_GUID" w:val="ceabd2f6-e308-4e61-83e0-f6686638a6cf"/>
    <w:docVar w:name="WAFER_20250221095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1095405_GUID" w:val="c782a584-6aa8-44a1-bf40-c207bee2ab8d"/>
    <w:docVar w:name="WAFER_202503141334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33402_GUID" w:val="f7ce9cdb-7eef-4136-abb0-e6aebc9302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993"/>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50041</Words>
  <Characters>251707</Characters>
  <Application>Microsoft Office Word</Application>
  <DocSecurity>0</DocSecurity>
  <Lines>8679</Lines>
  <Paragraphs>5202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2020 - 00-aa0-00</dc:title>
  <dc:subject/>
  <dc:creator/>
  <cp:keywords/>
  <dc:description/>
  <cp:lastModifiedBy>Master Repository Process</cp:lastModifiedBy>
  <cp:revision>4</cp:revision>
  <cp:lastPrinted>2020-09-14T04:36:00Z</cp:lastPrinted>
  <dcterms:created xsi:type="dcterms:W3CDTF">2025-07-21T02:18:00Z</dcterms:created>
  <dcterms:modified xsi:type="dcterms:W3CDTF">2025-07-21T02:19:00Z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20250331</vt:lpwstr>
  </property>
  <property fmtid="{D5CDD505-2E9C-101B-9397-08002B2CF9AE}" pid="5" name="CommencementAsAt">
    <vt:filetime>2025-03-30T16:00:00Z</vt:filetime>
  </property>
  <property fmtid="{D5CDD505-2E9C-101B-9397-08002B2CF9AE}" pid="6" name="CommencementYear">
    <vt:lpwstr>2025</vt:lpwstr>
  </property>
  <property fmtid="{D5CDD505-2E9C-101B-9397-08002B2CF9AE}" pid="7" name="AsAtDate">
    <vt:lpwstr>31 Mar 2025</vt:lpwstr>
  </property>
  <property fmtid="{D5CDD505-2E9C-101B-9397-08002B2CF9AE}" pid="8" name="Suffix">
    <vt:lpwstr>00-aa0-00</vt:lpwstr>
  </property>
  <property fmtid="{D5CDD505-2E9C-101B-9397-08002B2CF9AE}" pid="9" name="Official">
    <vt:lpwstr/>
  </property>
</Properties>
</file>