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Weapons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Weapons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Weapons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_Toc192847167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_Toc192847168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_Toc192847169 \h </w:instrText>
      </w:r>
      <w:r>
        <w:fldChar w:fldCharType="separate"/>
      </w:r>
      <w:r>
        <w:t>1</w:t>
      </w:r>
      <w:r>
        <w:fldChar w:fldCharType="end"/>
      </w:r>
    </w:p>
    <w:p>
      <w:pPr>
        <w:pStyle w:val="TOC8"/>
        <w:rPr>
          <w:rFonts w:asciiTheme="minorHAnsi" w:eastAsiaTheme="minorEastAsia" w:hAnsiTheme="minorHAnsi" w:cstheme="minorBidi"/>
          <w:szCs w:val="22"/>
        </w:rPr>
      </w:pPr>
      <w:r>
        <w:t>4.</w:t>
      </w:r>
      <w:r>
        <w:tab/>
        <w:t>Prohibited weapons prescribed (Act s. 3) (Sch. 1)</w:t>
      </w:r>
      <w:r>
        <w:tab/>
      </w:r>
      <w:r>
        <w:fldChar w:fldCharType="begin"/>
      </w:r>
      <w:r>
        <w:instrText xml:space="preserve"> PAGEREF _Toc192847170 \h </w:instrText>
      </w:r>
      <w:r>
        <w:fldChar w:fldCharType="separate"/>
      </w:r>
      <w:r>
        <w:t>2</w:t>
      </w:r>
      <w:r>
        <w:fldChar w:fldCharType="end"/>
      </w:r>
    </w:p>
    <w:p>
      <w:pPr>
        <w:pStyle w:val="TOC8"/>
        <w:rPr>
          <w:rFonts w:asciiTheme="minorHAnsi" w:eastAsiaTheme="minorEastAsia" w:hAnsiTheme="minorHAnsi" w:cstheme="minorBidi"/>
          <w:szCs w:val="22"/>
        </w:rPr>
      </w:pPr>
      <w:r>
        <w:t>5.</w:t>
      </w:r>
      <w:r>
        <w:tab/>
        <w:t>Controlled weapons prescribed (Act s. 3) (Sch. 2)</w:t>
      </w:r>
      <w:r>
        <w:tab/>
      </w:r>
      <w:r>
        <w:fldChar w:fldCharType="begin"/>
      </w:r>
      <w:r>
        <w:instrText xml:space="preserve"> PAGEREF _Toc192847171 \h </w:instrText>
      </w:r>
      <w:r>
        <w:fldChar w:fldCharType="separate"/>
      </w:r>
      <w:r>
        <w:t>2</w:t>
      </w:r>
      <w:r>
        <w:fldChar w:fldCharType="end"/>
      </w:r>
    </w:p>
    <w:p>
      <w:pPr>
        <w:pStyle w:val="TOC8"/>
        <w:rPr>
          <w:rFonts w:asciiTheme="minorHAnsi" w:eastAsiaTheme="minorEastAsia" w:hAnsiTheme="minorHAnsi" w:cstheme="minorBidi"/>
          <w:szCs w:val="22"/>
        </w:rPr>
      </w:pPr>
      <w:r>
        <w:t>5A.</w:t>
      </w:r>
      <w:r>
        <w:tab/>
        <w:t>Edged weapons prescribed (Act s. 3A) (Sch. 3)</w:t>
      </w:r>
      <w:r>
        <w:tab/>
      </w:r>
      <w:r>
        <w:fldChar w:fldCharType="begin"/>
      </w:r>
      <w:r>
        <w:instrText xml:space="preserve"> PAGEREF _Toc192847172 \h </w:instrText>
      </w:r>
      <w:r>
        <w:fldChar w:fldCharType="separate"/>
      </w:r>
      <w:r>
        <w:t>2</w:t>
      </w:r>
      <w:r>
        <w:fldChar w:fldCharType="end"/>
      </w:r>
    </w:p>
    <w:p>
      <w:pPr>
        <w:pStyle w:val="TOC8"/>
        <w:rPr>
          <w:rFonts w:asciiTheme="minorHAnsi" w:eastAsiaTheme="minorEastAsia" w:hAnsiTheme="minorHAnsi" w:cstheme="minorBidi"/>
          <w:szCs w:val="22"/>
        </w:rPr>
      </w:pPr>
      <w:r>
        <w:t>6.</w:t>
      </w:r>
      <w:r>
        <w:tab/>
        <w:t>Approved electric shock cases may be used for defence (Act s. 5A(2))</w:t>
      </w:r>
      <w:r>
        <w:tab/>
      </w:r>
      <w:r>
        <w:fldChar w:fldCharType="begin"/>
      </w:r>
      <w:r>
        <w:instrText xml:space="preserve"> PAGEREF _Toc192847173 \h </w:instrText>
      </w:r>
      <w:r>
        <w:fldChar w:fldCharType="separate"/>
      </w:r>
      <w:r>
        <w:t>3</w:t>
      </w:r>
      <w:r>
        <w:fldChar w:fldCharType="end"/>
      </w:r>
    </w:p>
    <w:p>
      <w:pPr>
        <w:pStyle w:val="TOC8"/>
        <w:rPr>
          <w:rFonts w:asciiTheme="minorHAnsi" w:eastAsiaTheme="minorEastAsia" w:hAnsiTheme="minorHAnsi" w:cstheme="minorBidi"/>
          <w:szCs w:val="22"/>
        </w:rPr>
      </w:pPr>
      <w:r>
        <w:t>7.</w:t>
      </w:r>
      <w:r>
        <w:tab/>
        <w:t>Capsicum spray weapons may be used for defence (Act s. 5A(2))</w:t>
      </w:r>
      <w:r>
        <w:tab/>
      </w:r>
      <w:r>
        <w:fldChar w:fldCharType="begin"/>
      </w:r>
      <w:r>
        <w:instrText xml:space="preserve"> PAGEREF _Toc192847174 \h </w:instrText>
      </w:r>
      <w:r>
        <w:fldChar w:fldCharType="separate"/>
      </w:r>
      <w:r>
        <w:t>3</w:t>
      </w:r>
      <w:r>
        <w:fldChar w:fldCharType="end"/>
      </w:r>
    </w:p>
    <w:p>
      <w:pPr>
        <w:pStyle w:val="TOC8"/>
        <w:rPr>
          <w:rFonts w:asciiTheme="minorHAnsi" w:eastAsiaTheme="minorEastAsia" w:hAnsiTheme="minorHAnsi" w:cstheme="minorBidi"/>
          <w:szCs w:val="22"/>
        </w:rPr>
      </w:pPr>
      <w:r>
        <w:t>8.</w:t>
      </w:r>
      <w:r>
        <w:tab/>
        <w:t>Circumstances prescribed (Act s. 10(3))</w:t>
      </w:r>
      <w:r>
        <w:tab/>
      </w:r>
      <w:r>
        <w:fldChar w:fldCharType="begin"/>
      </w:r>
      <w:r>
        <w:instrText xml:space="preserve"> PAGEREF _Toc192847175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bCs/>
        </w:rPr>
        <w:t>Certain collectors and others excepted from Act s. 6(1)(a) to (c) in relation to specified prohibited weapons</w:t>
      </w:r>
      <w:r>
        <w:tab/>
      </w:r>
      <w:r>
        <w:fldChar w:fldCharType="begin"/>
      </w:r>
      <w:r>
        <w:instrText xml:space="preserve"> PAGEREF _Toc192847176 \h </w:instrText>
      </w:r>
      <w:r>
        <w:fldChar w:fldCharType="separate"/>
      </w:r>
      <w:r>
        <w:t>5</w:t>
      </w:r>
      <w:r>
        <w:fldChar w:fldCharType="end"/>
      </w:r>
    </w:p>
    <w:p>
      <w:pPr>
        <w:pStyle w:val="TOC8"/>
        <w:rPr>
          <w:rFonts w:asciiTheme="minorHAnsi" w:eastAsiaTheme="minorEastAsia" w:hAnsiTheme="minorHAnsi" w:cstheme="minorBidi"/>
          <w:szCs w:val="22"/>
        </w:rPr>
      </w:pPr>
      <w:r>
        <w:t>10.</w:t>
      </w:r>
      <w:r>
        <w:tab/>
        <w:t>Prison officers and other authorised persons excepted from Act s. 6, 6A, 7 and 8</w:t>
      </w:r>
      <w:r>
        <w:tab/>
      </w:r>
      <w:r>
        <w:fldChar w:fldCharType="begin"/>
      </w:r>
      <w:r>
        <w:instrText xml:space="preserve"> PAGEREF _Toc192847177 \h </w:instrText>
      </w:r>
      <w:r>
        <w:fldChar w:fldCharType="separate"/>
      </w:r>
      <w:r>
        <w:t>7</w:t>
      </w:r>
      <w:r>
        <w:fldChar w:fldCharType="end"/>
      </w:r>
    </w:p>
    <w:p>
      <w:pPr>
        <w:pStyle w:val="TOC8"/>
        <w:rPr>
          <w:rFonts w:asciiTheme="minorHAnsi" w:eastAsiaTheme="minorEastAsia" w:hAnsiTheme="minorHAnsi" w:cstheme="minorBidi"/>
          <w:szCs w:val="22"/>
        </w:rPr>
      </w:pPr>
      <w:r>
        <w:t>10A.</w:t>
      </w:r>
      <w:r>
        <w:tab/>
        <w:t>Custodial officers excepted from Act s. 7 in relation to capsicum spray weapons</w:t>
      </w:r>
      <w:r>
        <w:tab/>
      </w:r>
      <w:r>
        <w:fldChar w:fldCharType="begin"/>
      </w:r>
      <w:r>
        <w:instrText xml:space="preserve"> PAGEREF _Toc192847178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bCs/>
        </w:rPr>
        <w:t>Certain people excepted from Act s. 6 in relation to blow pipes</w:t>
      </w:r>
      <w:r>
        <w:tab/>
      </w:r>
      <w:r>
        <w:fldChar w:fldCharType="begin"/>
      </w:r>
      <w:r>
        <w:instrText xml:space="preserve"> PAGEREF _Toc192847179 \h </w:instrText>
      </w:r>
      <w:r>
        <w:fldChar w:fldCharType="separate"/>
      </w:r>
      <w:r>
        <w:t>8</w:t>
      </w:r>
      <w:r>
        <w:fldChar w:fldCharType="end"/>
      </w:r>
    </w:p>
    <w:p>
      <w:pPr>
        <w:pStyle w:val="TOC8"/>
        <w:rPr>
          <w:rFonts w:asciiTheme="minorHAnsi" w:eastAsiaTheme="minorEastAsia" w:hAnsiTheme="minorHAnsi" w:cstheme="minorBidi"/>
          <w:szCs w:val="22"/>
        </w:rPr>
      </w:pPr>
      <w:r>
        <w:t>12.</w:t>
      </w:r>
      <w:r>
        <w:tab/>
        <w:t>Federal and interstate police officers excepted from Act s. 6, 6A, 7 and 8</w:t>
      </w:r>
      <w:r>
        <w:tab/>
      </w:r>
      <w:r>
        <w:fldChar w:fldCharType="begin"/>
      </w:r>
      <w:r>
        <w:instrText xml:space="preserve"> PAGEREF _Toc192847180 \h </w:instrText>
      </w:r>
      <w:r>
        <w:fldChar w:fldCharType="separate"/>
      </w:r>
      <w:r>
        <w:t>9</w:t>
      </w:r>
      <w:r>
        <w:fldChar w:fldCharType="end"/>
      </w:r>
    </w:p>
    <w:p>
      <w:pPr>
        <w:pStyle w:val="TOC8"/>
        <w:rPr>
          <w:rFonts w:asciiTheme="minorHAnsi" w:eastAsiaTheme="minorEastAsia" w:hAnsiTheme="minorHAnsi" w:cstheme="minorBidi"/>
          <w:szCs w:val="22"/>
        </w:rPr>
      </w:pPr>
      <w:r>
        <w:t>12A.</w:t>
      </w:r>
      <w:r>
        <w:tab/>
        <w:t>Aviation and maritime security inspectors excepted from Act s. 6, 6A, 7 and 8</w:t>
      </w:r>
      <w:r>
        <w:tab/>
      </w:r>
      <w:r>
        <w:fldChar w:fldCharType="begin"/>
      </w:r>
      <w:r>
        <w:instrText xml:space="preserve"> PAGEREF _Toc192847181 \h </w:instrText>
      </w:r>
      <w:r>
        <w:fldChar w:fldCharType="separate"/>
      </w:r>
      <w:r>
        <w:t>9</w:t>
      </w:r>
      <w:r>
        <w:fldChar w:fldCharType="end"/>
      </w:r>
    </w:p>
    <w:p>
      <w:pPr>
        <w:pStyle w:val="TOC8"/>
        <w:rPr>
          <w:rFonts w:asciiTheme="minorHAnsi" w:eastAsiaTheme="minorEastAsia" w:hAnsiTheme="minorHAnsi" w:cstheme="minorBidi"/>
          <w:szCs w:val="22"/>
        </w:rPr>
      </w:pPr>
      <w:r>
        <w:t>13.</w:t>
      </w:r>
      <w:r>
        <w:tab/>
      </w:r>
      <w:r>
        <w:rPr>
          <w:bCs/>
        </w:rPr>
        <w:t>People connected with dramatic productions excepted from Act s. 6</w:t>
      </w:r>
      <w:r>
        <w:tab/>
      </w:r>
      <w:r>
        <w:fldChar w:fldCharType="begin"/>
      </w:r>
      <w:r>
        <w:instrText xml:space="preserve"> PAGEREF _Toc192847182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bCs/>
        </w:rPr>
        <w:t>Exempt arbalests and others excepted from Act s. 6 in relation to crossbows in certain circumstances</w:t>
      </w:r>
      <w:r>
        <w:tab/>
      </w:r>
      <w:r>
        <w:fldChar w:fldCharType="begin"/>
      </w:r>
      <w:r>
        <w:instrText xml:space="preserve"> PAGEREF _Toc192847183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Prohibited weapons</w:t>
      </w:r>
    </w:p>
    <w:p>
      <w:pPr>
        <w:pStyle w:val="TOC2"/>
        <w:tabs>
          <w:tab w:val="right" w:leader="dot" w:pos="7077"/>
        </w:tabs>
        <w:rPr>
          <w:rFonts w:asciiTheme="minorHAnsi" w:eastAsiaTheme="minorEastAsia" w:hAnsiTheme="minorHAnsi" w:cstheme="minorBidi"/>
          <w:b w:val="0"/>
          <w:sz w:val="22"/>
          <w:szCs w:val="22"/>
        </w:rPr>
      </w:pPr>
      <w:r>
        <w:t>Schedule 2 — Controlled weapons</w:t>
      </w:r>
    </w:p>
    <w:p>
      <w:pPr>
        <w:pStyle w:val="TOC2"/>
        <w:tabs>
          <w:tab w:val="right" w:leader="dot" w:pos="7077"/>
        </w:tabs>
        <w:rPr>
          <w:rFonts w:asciiTheme="minorHAnsi" w:eastAsiaTheme="minorEastAsia" w:hAnsiTheme="minorHAnsi" w:cstheme="minorBidi"/>
          <w:b w:val="0"/>
          <w:sz w:val="22"/>
          <w:szCs w:val="22"/>
        </w:rPr>
      </w:pPr>
      <w:r>
        <w:t>Schedule 3 — Edged weapons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_Toc192847188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2" w:name="_Toc192847167"/>
      <w:r>
        <w:rPr>
          <w:rStyle w:val="CharSectno"/>
        </w:rPr>
        <w:t>1</w:t>
      </w:r>
      <w:r>
        <w:t>.</w:t>
      </w:r>
      <w:r>
        <w:tab/>
        <w:t>Citation</w:t>
      </w:r>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92847168"/>
      <w:r>
        <w:rPr>
          <w:rStyle w:val="CharSectno"/>
        </w:rPr>
        <w:t>2</w:t>
      </w:r>
      <w:r>
        <w:t>.</w:t>
      </w:r>
      <w:r>
        <w:tab/>
        <w:t>Commencement</w:t>
      </w:r>
      <w:bookmarkEnd w:id="3"/>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4" w:name="_Toc192847169"/>
      <w:r>
        <w:rPr>
          <w:rStyle w:val="CharSectno"/>
        </w:rPr>
        <w:t>3</w:t>
      </w:r>
      <w:r>
        <w:t>.</w:t>
      </w:r>
      <w:r>
        <w:tab/>
        <w:t>Terms used</w:t>
      </w:r>
      <w:bookmarkEnd w:id="4"/>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of the kind described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 SL 2024/282 r. 6.]</w:t>
      </w:r>
    </w:p>
    <w:p>
      <w:pPr>
        <w:pStyle w:val="Heading5"/>
      </w:pPr>
      <w:bookmarkStart w:id="5" w:name="_Toc192847170"/>
      <w:r>
        <w:rPr>
          <w:rStyle w:val="CharSectno"/>
        </w:rPr>
        <w:t>4</w:t>
      </w:r>
      <w:r>
        <w:t>.</w:t>
      </w:r>
      <w:r>
        <w:tab/>
        <w:t>Prohibited weapons prescribed (Act s. 3) (Sch. 1)</w:t>
      </w:r>
      <w:bookmarkEnd w:id="5"/>
    </w:p>
    <w:p>
      <w:pPr>
        <w:pStyle w:val="Subsection"/>
      </w:pPr>
      <w:r>
        <w:tab/>
      </w:r>
      <w:r>
        <w:tab/>
        <w:t>An article described in the third column of Schedule 1 is prescribed to be a prohibited weapon.</w:t>
      </w:r>
    </w:p>
    <w:p>
      <w:pPr>
        <w:pStyle w:val="Heading5"/>
      </w:pPr>
      <w:bookmarkStart w:id="6" w:name="_Toc192847171"/>
      <w:r>
        <w:rPr>
          <w:rStyle w:val="CharSectno"/>
        </w:rPr>
        <w:t>5</w:t>
      </w:r>
      <w:r>
        <w:t>.</w:t>
      </w:r>
      <w:r>
        <w:tab/>
        <w:t>Controlled weapons prescribed (Act s. 3) (Sch. 2)</w:t>
      </w:r>
      <w:bookmarkEnd w:id="6"/>
    </w:p>
    <w:p>
      <w:pPr>
        <w:pStyle w:val="Subsection"/>
      </w:pPr>
      <w:r>
        <w:tab/>
      </w:r>
      <w:r>
        <w:tab/>
        <w:t>An article described in the third column of Schedule 2 is prescribed to be a controlled weapon.</w:t>
      </w:r>
    </w:p>
    <w:p>
      <w:pPr>
        <w:pStyle w:val="Heading5"/>
      </w:pPr>
      <w:bookmarkStart w:id="7" w:name="_Toc192847172"/>
      <w:r>
        <w:rPr>
          <w:rStyle w:val="CharSectno"/>
        </w:rPr>
        <w:t>5A</w:t>
      </w:r>
      <w:r>
        <w:t>.</w:t>
      </w:r>
      <w:r>
        <w:tab/>
        <w:t>Edged weapons prescribed (Act s. 3A) (Sch. 3)</w:t>
      </w:r>
      <w:bookmarkEnd w:id="7"/>
    </w:p>
    <w:p>
      <w:pPr>
        <w:pStyle w:val="Subsection"/>
      </w:pPr>
      <w:r>
        <w:tab/>
      </w:r>
      <w:r>
        <w:tab/>
        <w:t xml:space="preserve">For the purposes of the definition of </w:t>
      </w:r>
      <w:r>
        <w:rPr>
          <w:b/>
          <w:bCs/>
          <w:i/>
        </w:rPr>
        <w:t>edged weapon</w:t>
      </w:r>
      <w:r>
        <w:t xml:space="preserve"> in section 3A of the Act, an article described in Schedule 3 is an edged weapon. </w:t>
      </w:r>
    </w:p>
    <w:p>
      <w:pPr>
        <w:pStyle w:val="Footnotesection"/>
      </w:pPr>
      <w:r>
        <w:tab/>
        <w:t>[Regulation 5A inserted: SL 2024/282 r. 7.]</w:t>
      </w:r>
    </w:p>
    <w:p>
      <w:pPr>
        <w:pStyle w:val="Heading5"/>
      </w:pPr>
      <w:bookmarkStart w:id="8" w:name="_Toc192847173"/>
      <w:r>
        <w:rPr>
          <w:rStyle w:val="CharSectno"/>
        </w:rPr>
        <w:lastRenderedPageBreak/>
        <w:t>6</w:t>
      </w:r>
      <w:r>
        <w:t>.</w:t>
      </w:r>
      <w:r>
        <w:tab/>
        <w:t>Approved electric shock cases may be used for defence (Act s. 5A(2))</w:t>
      </w:r>
      <w:bookmarkEnd w:id="8"/>
    </w:p>
    <w:p>
      <w:pPr>
        <w:pStyle w:val="Subsection"/>
      </w:pPr>
      <w:r>
        <w:tab/>
        <w:t>(1A)</w:t>
      </w:r>
      <w:r>
        <w:tab/>
        <w:t>A briefcase or suitcase of the kind described in subregulation (1) is prescribed for the purposes of section 5A(2) of the Act.</w:t>
      </w:r>
    </w:p>
    <w:p>
      <w:pPr>
        <w:pStyle w:val="Subsection"/>
      </w:pPr>
      <w:r>
        <w:tab/>
        <w:t>(1)</w:t>
      </w:r>
      <w:r>
        <w:tab/>
        <w:t>A briefcase or suitcase that —</w:t>
      </w:r>
    </w:p>
    <w:p>
      <w:pPr>
        <w:pStyle w:val="Indenta"/>
      </w:pPr>
      <w:r>
        <w:tab/>
        <w:t>(a)</w:t>
      </w:r>
      <w:r>
        <w:tab/>
        <w:t>is made or modified to discharge an electric current so as to deter the theft of the case; and</w:t>
      </w:r>
    </w:p>
    <w:p>
      <w:pPr>
        <w:pStyle w:val="Indenta"/>
        <w:keepNext/>
      </w:pPr>
      <w:r>
        <w:tab/>
        <w:t>(b)</w:t>
      </w:r>
      <w:r>
        <w:tab/>
        <w:t xml:space="preserve">is, or is of a standard or type that is, approved by the Minister, for the purposes of this regulation, by notice in the </w:t>
      </w:r>
      <w:r>
        <w:rPr>
          <w:i/>
          <w:iCs/>
        </w:rPr>
        <w:t>Gazette</w:t>
      </w:r>
      <w:r>
        <w:t>.</w:t>
      </w:r>
    </w:p>
    <w:p>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Footnotesection"/>
      </w:pPr>
      <w:r>
        <w:tab/>
        <w:t>[Regulation 6 amended: SL 2024/282 r. 8.]</w:t>
      </w:r>
    </w:p>
    <w:p>
      <w:pPr>
        <w:pStyle w:val="Heading5"/>
      </w:pPr>
      <w:bookmarkStart w:id="9" w:name="_Toc192847174"/>
      <w:r>
        <w:rPr>
          <w:rStyle w:val="CharSectno"/>
        </w:rPr>
        <w:t>7</w:t>
      </w:r>
      <w:r>
        <w:t>.</w:t>
      </w:r>
      <w:r>
        <w:tab/>
        <w:t>Capsicum spray weapons may be used for defence (Act s. 5A(2))</w:t>
      </w:r>
      <w:bookmarkEnd w:id="9"/>
    </w:p>
    <w:p>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Footnotesection"/>
      </w:pPr>
      <w:r>
        <w:tab/>
        <w:t>[Regulation 7 inserted: SL 2024/282 r. 9.]</w:t>
      </w:r>
    </w:p>
    <w:p>
      <w:pPr>
        <w:pStyle w:val="Heading5"/>
      </w:pPr>
      <w:bookmarkStart w:id="10" w:name="_Toc192847175"/>
      <w:r>
        <w:rPr>
          <w:rStyle w:val="CharSectno"/>
        </w:rPr>
        <w:t>8</w:t>
      </w:r>
      <w:r>
        <w:t>.</w:t>
      </w:r>
      <w:r>
        <w:tab/>
        <w:t>Circumstances prescribed (Act s. 10(3))</w:t>
      </w:r>
      <w:bookmarkEnd w:id="10"/>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w:t>
      </w:r>
      <w:r>
        <w:lastRenderedPageBreak/>
        <w:t xml:space="preserve">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 xml:space="preserve">Security and Related Activities </w:t>
      </w:r>
      <w:r>
        <w:rPr>
          <w:i/>
          <w:iCs/>
        </w:rPr>
        <w:lastRenderedPageBreak/>
        <w:t>(Control)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11" w:name="_Toc192847176"/>
      <w:r>
        <w:rPr>
          <w:rStyle w:val="CharSectno"/>
        </w:rPr>
        <w:t>9</w:t>
      </w:r>
      <w:r>
        <w:t>.</w:t>
      </w:r>
      <w:r>
        <w:tab/>
      </w:r>
      <w:r>
        <w:rPr>
          <w:bCs/>
        </w:rPr>
        <w:t>Certain collectors and others excepted from Act s. 6(1)(a) to (c) in relation to specified prohibited weapons</w:t>
      </w:r>
      <w:bookmarkEnd w:id="11"/>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lastRenderedPageBreak/>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lastRenderedPageBreak/>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12" w:name="_Toc192847177"/>
      <w:r>
        <w:rPr>
          <w:rStyle w:val="CharSectno"/>
        </w:rPr>
        <w:t>10</w:t>
      </w:r>
      <w:r>
        <w:t>.</w:t>
      </w:r>
      <w:r>
        <w:tab/>
        <w:t>Prison officers and other authorised persons excepted from Act s. 6, 6A, 7 and 8</w:t>
      </w:r>
      <w:bookmarkEnd w:id="12"/>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 amended: SL 2024/282 r. 10.]</w:t>
      </w:r>
    </w:p>
    <w:p>
      <w:pPr>
        <w:pStyle w:val="Heading5"/>
      </w:pPr>
      <w:bookmarkStart w:id="13" w:name="_Toc192847178"/>
      <w:r>
        <w:rPr>
          <w:rStyle w:val="CharSectno"/>
        </w:rPr>
        <w:t>10A</w:t>
      </w:r>
      <w:r>
        <w:t>.</w:t>
      </w:r>
      <w:r>
        <w:tab/>
        <w:t>Custodial officers excepted from Act s. 7 in relation to capsicum spray weapons</w:t>
      </w:r>
      <w:bookmarkEnd w:id="13"/>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lastRenderedPageBreak/>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14" w:name="_Toc192847179"/>
      <w:r>
        <w:rPr>
          <w:rStyle w:val="CharSectno"/>
        </w:rPr>
        <w:t>11</w:t>
      </w:r>
      <w:r>
        <w:t>.</w:t>
      </w:r>
      <w:r>
        <w:tab/>
      </w:r>
      <w:r>
        <w:rPr>
          <w:bCs/>
        </w:rPr>
        <w:t>Certain people excepted from Act s. 6 in relation to blow pipes</w:t>
      </w:r>
      <w:bookmarkEnd w:id="14"/>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lastRenderedPageBreak/>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5" w:name="_Toc192847180"/>
      <w:r>
        <w:rPr>
          <w:rStyle w:val="CharSectno"/>
        </w:rPr>
        <w:t>12</w:t>
      </w:r>
      <w:r>
        <w:t>.</w:t>
      </w:r>
      <w:r>
        <w:tab/>
        <w:t>Federal and interstate police officers excepted from Act s. 6, 6A, 7 and 8</w:t>
      </w:r>
      <w:bookmarkEnd w:id="15"/>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 amended: SL 2024/282 r. 11.]</w:t>
      </w:r>
    </w:p>
    <w:p>
      <w:pPr>
        <w:pStyle w:val="Heading5"/>
      </w:pPr>
      <w:bookmarkStart w:id="16" w:name="_Toc192847181"/>
      <w:r>
        <w:rPr>
          <w:rStyle w:val="CharSectno"/>
        </w:rPr>
        <w:t>12A</w:t>
      </w:r>
      <w:r>
        <w:t>.</w:t>
      </w:r>
      <w:r>
        <w:tab/>
        <w:t>Aviation and maritime security inspectors excepted from Act s. 6, 6A, 7 and 8</w:t>
      </w:r>
      <w:bookmarkEnd w:id="16"/>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lastRenderedPageBreak/>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6A,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 amended: SL 2024/282 r. 12.]</w:t>
      </w:r>
    </w:p>
    <w:p>
      <w:pPr>
        <w:pStyle w:val="Heading5"/>
      </w:pPr>
      <w:bookmarkStart w:id="17" w:name="_Toc192847182"/>
      <w:r>
        <w:rPr>
          <w:rStyle w:val="CharSectno"/>
        </w:rPr>
        <w:t>13</w:t>
      </w:r>
      <w:r>
        <w:t>.</w:t>
      </w:r>
      <w:r>
        <w:tab/>
      </w:r>
      <w:r>
        <w:rPr>
          <w:bCs/>
        </w:rPr>
        <w:t>People connected with dramatic productions excepted from Act s. 6</w:t>
      </w:r>
      <w:bookmarkEnd w:id="17"/>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lastRenderedPageBreak/>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lastRenderedPageBreak/>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18" w:name="_Toc192847183"/>
      <w:r>
        <w:rPr>
          <w:rStyle w:val="CharSectno"/>
        </w:rPr>
        <w:t>14</w:t>
      </w:r>
      <w:r>
        <w:t>.</w:t>
      </w:r>
      <w:r>
        <w:tab/>
      </w:r>
      <w:r>
        <w:rPr>
          <w:bCs/>
        </w:rPr>
        <w:t>Exempt arbalests and others excepted from Act s. 6 in relation to crossbows in certain circumstances</w:t>
      </w:r>
      <w:bookmarkEnd w:id="18"/>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lastRenderedPageBreak/>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 xml:space="preserve">If, after giving a notice under subregulation (6), the Minister is no longer satisfied as to any of the circumstances described in that subregulation, the Minister may give to the exempt arbalest written notice that, on a day specified in the notice (being a day </w:t>
      </w:r>
      <w:r>
        <w:lastRenderedPageBreak/>
        <w:t>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9" w:name="_Toc192845420"/>
      <w:bookmarkStart w:id="20" w:name="_Toc192845899"/>
      <w:bookmarkStart w:id="21" w:name="_Toc192847184"/>
      <w:r>
        <w:rPr>
          <w:rStyle w:val="CharSchNo"/>
        </w:rPr>
        <w:lastRenderedPageBreak/>
        <w:t>Schedule 1</w:t>
      </w:r>
      <w:r>
        <w:t xml:space="preserve"> — </w:t>
      </w:r>
      <w:r>
        <w:rPr>
          <w:rStyle w:val="CharSchText"/>
        </w:rPr>
        <w:t>Prohibited weapons</w:t>
      </w:r>
      <w:bookmarkEnd w:id="19"/>
      <w:bookmarkEnd w:id="20"/>
      <w:bookmarkEnd w:id="21"/>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NAm"/>
            </w:pPr>
            <w:r>
              <w:t>1A.</w:t>
            </w:r>
          </w:p>
        </w:tc>
        <w:tc>
          <w:tcPr>
            <w:tcW w:w="1726" w:type="dxa"/>
          </w:tcPr>
          <w:p>
            <w:pPr>
              <w:pStyle w:val="yTableNAm"/>
            </w:pPr>
            <w:r>
              <w:t>Airsoft gun</w:t>
            </w:r>
          </w:p>
        </w:tc>
        <w:tc>
          <w:tcPr>
            <w:tcW w:w="4788" w:type="dxa"/>
          </w:tcPr>
          <w:p>
            <w:pPr>
              <w:pStyle w:val="yTableNAm"/>
              <w:spacing w:after="120"/>
            </w:pPr>
            <w:r>
              <w:t xml:space="preserve">An article that — </w:t>
            </w:r>
          </w:p>
          <w:p>
            <w:pPr>
              <w:pStyle w:val="yTableNAm"/>
              <w:spacing w:after="120"/>
              <w:ind w:left="1140" w:hanging="1140"/>
            </w:pPr>
            <w:r>
              <w:t>(a)</w:t>
            </w:r>
            <w:r>
              <w:tab/>
              <w:t xml:space="preserve">has the appearance of being a firearm; and </w:t>
            </w:r>
          </w:p>
          <w:p>
            <w:pPr>
              <w:pStyle w:val="yTableNAm"/>
              <w:spacing w:after="120"/>
              <w:ind w:left="565" w:hanging="565"/>
            </w:pPr>
            <w:r>
              <w:t>(b)</w:t>
            </w:r>
            <w:r>
              <w:tab/>
              <w:t>is made or modified to be used to discharge a spherical projectile made of ceramic, metal, plastic or biodegradable material (commonly known as a BB pellet) using a pneumatic, gas, electric or spring-loaded mechanism or a combination of those mechanisms.</w:t>
            </w:r>
            <w:r>
              <w:rPr>
                <w:rStyle w:val="DraftersNotes"/>
              </w:rPr>
              <w:t xml:space="preserve"> </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lastRenderedPageBreak/>
              <w:t>(b)</w:t>
            </w:r>
            <w:r>
              <w:tab/>
              <w:t>made for commercial distribution.</w:t>
            </w:r>
          </w:p>
        </w:tc>
      </w:tr>
      <w:tr>
        <w:tc>
          <w:tcPr>
            <w:tcW w:w="755" w:type="dxa"/>
            <w:gridSpan w:val="2"/>
          </w:tcPr>
          <w:p>
            <w:pPr>
              <w:pStyle w:val="yTable"/>
            </w:pPr>
            <w:r>
              <w:lastRenderedPageBreak/>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(for example,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NAm"/>
            </w:pPr>
            <w:r>
              <w:t>10A.</w:t>
            </w:r>
          </w:p>
        </w:tc>
        <w:tc>
          <w:tcPr>
            <w:tcW w:w="1726" w:type="dxa"/>
          </w:tcPr>
          <w:p>
            <w:pPr>
              <w:pStyle w:val="yTableNAm"/>
            </w:pPr>
            <w:r>
              <w:t>Flamethrower</w:t>
            </w:r>
          </w:p>
        </w:tc>
        <w:tc>
          <w:tcPr>
            <w:tcW w:w="4788" w:type="dxa"/>
          </w:tcPr>
          <w:p>
            <w:pPr>
              <w:pStyle w:val="yTableNAm"/>
            </w:pPr>
            <w:r>
              <w:t>An article made or modified to be used to spray ignited incendiary fuel over a distance.</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 xml:space="preserve">A device designed or adapted to kill or injure an animal by injecting a gas into the body of the animal </w:t>
            </w:r>
            <w:r>
              <w:lastRenderedPageBreak/>
              <w:t>(including a “Gas Dart”, “Farallon Shark Dart” or similar device).</w:t>
            </w:r>
          </w:p>
        </w:tc>
      </w:tr>
      <w:tr>
        <w:tc>
          <w:tcPr>
            <w:tcW w:w="755" w:type="dxa"/>
            <w:gridSpan w:val="2"/>
          </w:tcPr>
          <w:p>
            <w:pPr>
              <w:pStyle w:val="yTable"/>
            </w:pPr>
            <w:r>
              <w:lastRenderedPageBreak/>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(for example,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r>
        <w:trPr>
          <w:cantSplit/>
        </w:trPr>
        <w:tc>
          <w:tcPr>
            <w:tcW w:w="624" w:type="dxa"/>
          </w:tcPr>
          <w:p>
            <w:pPr>
              <w:pStyle w:val="yTableNAm"/>
            </w:pPr>
            <w:r>
              <w:t>16.</w:t>
            </w:r>
          </w:p>
        </w:tc>
        <w:tc>
          <w:tcPr>
            <w:tcW w:w="1857" w:type="dxa"/>
            <w:gridSpan w:val="2"/>
          </w:tcPr>
          <w:p>
            <w:pPr>
              <w:pStyle w:val="yTableNAm"/>
            </w:pPr>
            <w:r>
              <w:t>Spud gun</w:t>
            </w:r>
          </w:p>
        </w:tc>
        <w:tc>
          <w:tcPr>
            <w:tcW w:w="4788" w:type="dxa"/>
          </w:tcPr>
          <w:p>
            <w:pPr>
              <w:pStyle w:val="yTableNAm"/>
            </w:pPr>
            <w:r>
              <w:t>An article (commonly constructed of PVC or other type of piping) made or modified to be used to discharge organic material (for example, potato) using a pneumatic, gas or spring-loaded mechanism.</w:t>
            </w:r>
          </w:p>
        </w:tc>
      </w:tr>
    </w:tbl>
    <w:p>
      <w:pPr>
        <w:pStyle w:val="yFootnotesection"/>
      </w:pPr>
      <w:r>
        <w:tab/>
        <w:t>[Schedule 1 amended: Gazette 11 Sep 2007 p. 4613; 8 Apr 2011 p. 1286; SL 2021/120 r. 4; SL 2024/267 r. 7; SL 2024/282 r. 13; SL 2024/296 r. 17.]</w:t>
      </w:r>
    </w:p>
    <w:p>
      <w:pPr>
        <w:pStyle w:val="yScheduleHeading"/>
      </w:pPr>
      <w:bookmarkStart w:id="22" w:name="_Toc192845421"/>
      <w:bookmarkStart w:id="23" w:name="_Toc192845900"/>
      <w:bookmarkStart w:id="24" w:name="_Toc192847185"/>
      <w:r>
        <w:rPr>
          <w:rStyle w:val="CharSchNo"/>
        </w:rPr>
        <w:lastRenderedPageBreak/>
        <w:t>Schedule 2</w:t>
      </w:r>
      <w:r>
        <w:t xml:space="preserve"> — </w:t>
      </w:r>
      <w:r>
        <w:rPr>
          <w:rStyle w:val="CharSchText"/>
        </w:rPr>
        <w:t>Controlled weapons</w:t>
      </w:r>
      <w:bookmarkEnd w:id="22"/>
      <w:bookmarkEnd w:id="23"/>
      <w:bookmarkEnd w:id="24"/>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7241" w:type="dxa"/>
            <w:gridSpan w:val="3"/>
          </w:tcPr>
          <w:p>
            <w:pPr>
              <w:pStyle w:val="yTable"/>
              <w:ind w:left="918" w:hanging="918"/>
            </w:pPr>
            <w:r>
              <w:rPr>
                <w:i/>
              </w:rPr>
              <w:t>[5, 6.</w:t>
            </w:r>
            <w:r>
              <w:rPr>
                <w:i/>
              </w:rPr>
              <w:tab/>
              <w:t>deleted]</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241" w:type="dxa"/>
            <w:gridSpan w:val="3"/>
          </w:tcPr>
          <w:p>
            <w:pPr>
              <w:pStyle w:val="yTable"/>
              <w:ind w:left="918" w:hanging="918"/>
            </w:pPr>
            <w:r>
              <w:rPr>
                <w:i/>
              </w:rPr>
              <w:t>[8, 9.</w:t>
            </w:r>
            <w:r>
              <w:rPr>
                <w:i/>
              </w:rPr>
              <w:tab/>
              <w:t>deleted]</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241" w:type="dxa"/>
            <w:gridSpan w:val="3"/>
          </w:tcPr>
          <w:p>
            <w:pPr>
              <w:pStyle w:val="yTable"/>
              <w:ind w:left="918" w:hanging="918"/>
            </w:pPr>
            <w:r>
              <w:rPr>
                <w:i/>
              </w:rPr>
              <w:t>[10A.</w:t>
            </w:r>
            <w:r>
              <w:rPr>
                <w:i/>
              </w:rPr>
              <w:tab/>
              <w:t>deleted]</w:t>
            </w:r>
          </w:p>
        </w:tc>
      </w:tr>
      <w:tr>
        <w:trPr>
          <w:cantSplit/>
        </w:trPr>
        <w:tc>
          <w:tcPr>
            <w:tcW w:w="869" w:type="dxa"/>
          </w:tcPr>
          <w:p>
            <w:pPr>
              <w:pStyle w:val="yTable"/>
            </w:pPr>
            <w:r>
              <w:lastRenderedPageBreak/>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(for example,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with 2 or more prongs and no sharp edges, made or modified to be used to injure or disable a person or as a martial arts weapon (for example, the martial arts weapons known as the sai and jitte).</w:t>
            </w:r>
          </w:p>
        </w:tc>
      </w:tr>
      <w:tr>
        <w:trPr>
          <w:cantSplit/>
        </w:trPr>
        <w:tc>
          <w:tcPr>
            <w:tcW w:w="7241" w:type="dxa"/>
            <w:gridSpan w:val="3"/>
          </w:tcPr>
          <w:p>
            <w:pPr>
              <w:pStyle w:val="yTable"/>
              <w:ind w:left="918" w:hanging="918"/>
            </w:pPr>
            <w:r>
              <w:rPr>
                <w:i/>
              </w:rPr>
              <w:t>[14.</w:t>
            </w:r>
            <w:r>
              <w:rPr>
                <w:i/>
              </w:rPr>
              <w:tab/>
              <w:t>deleted]</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(for example,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(for example, a studded glove).</w:t>
            </w:r>
          </w:p>
        </w:tc>
      </w:tr>
      <w:tr>
        <w:trPr>
          <w:cantSplit/>
        </w:trPr>
        <w:tc>
          <w:tcPr>
            <w:tcW w:w="7241" w:type="dxa"/>
            <w:gridSpan w:val="3"/>
          </w:tcPr>
          <w:p>
            <w:pPr>
              <w:pStyle w:val="yTable"/>
              <w:ind w:left="918" w:hanging="918"/>
            </w:pPr>
            <w:r>
              <w:rPr>
                <w:i/>
              </w:rPr>
              <w:t>[19-21.</w:t>
            </w:r>
            <w:r>
              <w:rPr>
                <w:i/>
              </w:rPr>
              <w:tab/>
              <w:t>deleted]</w:t>
            </w:r>
          </w:p>
        </w:tc>
      </w:tr>
      <w:tr>
        <w:trPr>
          <w:cantSplit/>
        </w:trPr>
        <w:tc>
          <w:tcPr>
            <w:tcW w:w="869" w:type="dxa"/>
          </w:tcPr>
          <w:p>
            <w:pPr>
              <w:pStyle w:val="yTable"/>
            </w:pPr>
            <w:r>
              <w:lastRenderedPageBreak/>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(for example, the martial arts weapons known as the kusari fundo, manrikigusari and surujin).</w:t>
            </w:r>
          </w:p>
        </w:tc>
      </w:tr>
    </w:tbl>
    <w:p>
      <w:pPr>
        <w:pStyle w:val="yFootnotesection"/>
      </w:pPr>
      <w:r>
        <w:tab/>
        <w:t>[Schedule 2 amended: Gazette 1 Oct 2004 p. 4284; 11 Apr 2008 p. 1392; 8 Apr 2011 p. 1286; 29 Nov 2016 p. 5323; SL 2024/267 r. 8; SL 2024/282 r. 14.]</w:t>
      </w:r>
    </w:p>
    <w:p>
      <w:pPr>
        <w:pStyle w:val="yScheduleHeading"/>
      </w:pPr>
      <w:bookmarkStart w:id="25" w:name="_Toc192845422"/>
      <w:bookmarkStart w:id="26" w:name="_Toc192845901"/>
      <w:bookmarkStart w:id="27" w:name="_Toc192847186"/>
      <w:r>
        <w:rPr>
          <w:rStyle w:val="CharSchNo"/>
        </w:rPr>
        <w:lastRenderedPageBreak/>
        <w:t>Schedule 3</w:t>
      </w:r>
      <w:r>
        <w:t xml:space="preserve"> — </w:t>
      </w:r>
      <w:r>
        <w:rPr>
          <w:rStyle w:val="CharSchText"/>
        </w:rPr>
        <w:t>Edged weapons</w:t>
      </w:r>
      <w:bookmarkEnd w:id="25"/>
      <w:bookmarkEnd w:id="26"/>
      <w:bookmarkEnd w:id="27"/>
    </w:p>
    <w:p>
      <w:pPr>
        <w:pStyle w:val="yShoulderClause"/>
      </w:pPr>
      <w:r>
        <w:t>[r. 5A]</w:t>
      </w:r>
    </w:p>
    <w:p>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yTableNAm"/>
              <w:rPr>
                <w:b/>
                <w:bCs/>
              </w:rPr>
            </w:pPr>
            <w:r>
              <w:rPr>
                <w:b/>
                <w:bCs/>
              </w:rPr>
              <w:t>Item</w:t>
            </w:r>
          </w:p>
        </w:tc>
        <w:tc>
          <w:tcPr>
            <w:tcW w:w="1612" w:type="dxa"/>
          </w:tcPr>
          <w:p>
            <w:pPr>
              <w:pStyle w:val="yTableNAm"/>
              <w:rPr>
                <w:b/>
                <w:bCs/>
              </w:rPr>
            </w:pPr>
            <w:r>
              <w:rPr>
                <w:b/>
                <w:bCs/>
              </w:rPr>
              <w:t>Article</w:t>
            </w:r>
          </w:p>
        </w:tc>
        <w:tc>
          <w:tcPr>
            <w:tcW w:w="4607" w:type="dxa"/>
          </w:tcPr>
          <w:p>
            <w:pPr>
              <w:pStyle w:val="yTableNAm"/>
              <w:rPr>
                <w:b/>
                <w:bCs/>
              </w:rPr>
            </w:pPr>
            <w:r>
              <w:rPr>
                <w:b/>
                <w:bCs/>
              </w:rPr>
              <w:t>Description</w:t>
            </w:r>
          </w:p>
        </w:tc>
      </w:tr>
      <w:tr>
        <w:trPr>
          <w:cantSplit/>
          <w:trHeight w:val="189"/>
        </w:trPr>
        <w:tc>
          <w:tcPr>
            <w:tcW w:w="869" w:type="dxa"/>
          </w:tcPr>
          <w:p>
            <w:pPr>
              <w:pStyle w:val="yTableNAm"/>
            </w:pPr>
            <w:r>
              <w:t>1.</w:t>
            </w:r>
          </w:p>
        </w:tc>
        <w:tc>
          <w:tcPr>
            <w:tcW w:w="1612" w:type="dxa"/>
          </w:tcPr>
          <w:p>
            <w:pPr>
              <w:pStyle w:val="yTableNAm"/>
            </w:pPr>
            <w:r>
              <w:t>Dagger</w:t>
            </w:r>
          </w:p>
        </w:tc>
        <w:tc>
          <w:tcPr>
            <w:tcW w:w="4607" w:type="dxa"/>
          </w:tcPr>
          <w:p>
            <w:pPr>
              <w:pStyle w:val="yTableNAm"/>
            </w:pPr>
            <w:r>
              <w:t>Any dagger including a bayonet.</w:t>
            </w:r>
          </w:p>
        </w:tc>
      </w:tr>
      <w:tr>
        <w:trPr>
          <w:cantSplit/>
        </w:trPr>
        <w:tc>
          <w:tcPr>
            <w:tcW w:w="869" w:type="dxa"/>
          </w:tcPr>
          <w:p>
            <w:pPr>
              <w:pStyle w:val="yTableNAm"/>
            </w:pPr>
            <w:r>
              <w:t>2.</w:t>
            </w:r>
          </w:p>
        </w:tc>
        <w:tc>
          <w:tcPr>
            <w:tcW w:w="1612" w:type="dxa"/>
          </w:tcPr>
          <w:p>
            <w:pPr>
              <w:pStyle w:val="yTableNAm"/>
            </w:pPr>
            <w:r>
              <w:t>Halberd</w:t>
            </w:r>
          </w:p>
        </w:tc>
        <w:tc>
          <w:tcPr>
            <w:tcW w:w="4607" w:type="dxa"/>
          </w:tcPr>
          <w:p>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yTableNAm"/>
            </w:pPr>
            <w:r>
              <w:t>3.</w:t>
            </w:r>
          </w:p>
        </w:tc>
        <w:tc>
          <w:tcPr>
            <w:tcW w:w="1612" w:type="dxa"/>
          </w:tcPr>
          <w:p>
            <w:pPr>
              <w:pStyle w:val="yTableNAm"/>
            </w:pPr>
            <w:r>
              <w:t>Hand or foot claws</w:t>
            </w:r>
          </w:p>
        </w:tc>
        <w:tc>
          <w:tcPr>
            <w:tcW w:w="4607" w:type="dxa"/>
          </w:tcPr>
          <w:p>
            <w:pPr>
              <w:pStyle w:val="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yTableNAm"/>
            </w:pPr>
            <w:r>
              <w:t>4.</w:t>
            </w:r>
          </w:p>
        </w:tc>
        <w:tc>
          <w:tcPr>
            <w:tcW w:w="1612" w:type="dxa"/>
          </w:tcPr>
          <w:p>
            <w:pPr>
              <w:pStyle w:val="yTableNAm"/>
            </w:pPr>
            <w:r>
              <w:t>Sword</w:t>
            </w:r>
          </w:p>
        </w:tc>
        <w:tc>
          <w:tcPr>
            <w:tcW w:w="4607" w:type="dxa"/>
          </w:tcPr>
          <w:p>
            <w:pPr>
              <w:pStyle w:val="yTableNAm"/>
            </w:pPr>
            <w:r>
              <w:t>Any sword (for example, the martial arts weapons known as the butterfly sword, katana, wakizashi and tanto).</w:t>
            </w:r>
          </w:p>
        </w:tc>
      </w:tr>
      <w:tr>
        <w:trPr>
          <w:cantSplit/>
        </w:trPr>
        <w:tc>
          <w:tcPr>
            <w:tcW w:w="869" w:type="dxa"/>
          </w:tcPr>
          <w:p>
            <w:pPr>
              <w:pStyle w:val="yTableNAm"/>
            </w:pPr>
            <w:r>
              <w:t>5.</w:t>
            </w:r>
          </w:p>
        </w:tc>
        <w:tc>
          <w:tcPr>
            <w:tcW w:w="1612" w:type="dxa"/>
          </w:tcPr>
          <w:p>
            <w:pPr>
              <w:pStyle w:val="yTableNAm"/>
            </w:pPr>
            <w:r>
              <w:t>Throwing blade or knife</w:t>
            </w:r>
          </w:p>
        </w:tc>
        <w:tc>
          <w:tcPr>
            <w:tcW w:w="4607" w:type="dxa"/>
          </w:tcPr>
          <w:p>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yTableNAm"/>
            </w:pPr>
            <w:r>
              <w:t>6.</w:t>
            </w:r>
          </w:p>
        </w:tc>
        <w:tc>
          <w:tcPr>
            <w:tcW w:w="1612" w:type="dxa"/>
          </w:tcPr>
          <w:p>
            <w:pPr>
              <w:pStyle w:val="yTableNAm"/>
            </w:pPr>
            <w:r>
              <w:t>Throwing star</w:t>
            </w:r>
          </w:p>
        </w:tc>
        <w:tc>
          <w:tcPr>
            <w:tcW w:w="4607" w:type="dxa"/>
          </w:tcPr>
          <w:p>
            <w:pPr>
              <w:pStyle w:val="yTableNAm"/>
            </w:pPr>
            <w:r>
              <w:t>A sharpened, star</w:t>
            </w:r>
            <w:r>
              <w:noBreakHyphen/>
              <w:t>shaped article made or modified to be thrown (for example, the martial arts weapon known as the shuriken or shaken), including a throwing star attached to a belt buckle.</w:t>
            </w:r>
          </w:p>
        </w:tc>
      </w:tr>
    </w:tbl>
    <w:p>
      <w:pPr>
        <w:pStyle w:val="yFootnotesection"/>
      </w:pPr>
      <w:r>
        <w:tab/>
        <w:t>[Schedule 3 inserted: SL 2024/282 r.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9" w:name="_Toc192845423"/>
      <w:bookmarkStart w:id="30" w:name="_Toc192845902"/>
      <w:bookmarkStart w:id="31" w:name="_Toc192847187"/>
      <w:r>
        <w:lastRenderedPageBreak/>
        <w:t>Notes</w:t>
      </w:r>
      <w:bookmarkEnd w:id="29"/>
      <w:bookmarkEnd w:id="30"/>
      <w:bookmarkEnd w:id="31"/>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 </w:t>
      </w:r>
    </w:p>
    <w:p>
      <w:pPr>
        <w:pStyle w:val="nHeading3"/>
      </w:pPr>
      <w:bookmarkStart w:id="32" w:name="_Toc192847188"/>
      <w:r>
        <w:t>Compilation table</w:t>
      </w:r>
      <w:bookmarkEnd w:id="32"/>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lastRenderedPageBreak/>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rPr>
          <w:gridBefore w:val="1"/>
          <w:wBefore w:w="8" w:type="dxa"/>
          <w:cantSplit/>
        </w:trPr>
        <w:tc>
          <w:tcPr>
            <w:tcW w:w="3083" w:type="dxa"/>
            <w:tcBorders>
              <w:top w:val="nil"/>
              <w:bottom w:val="nil"/>
            </w:tcBorders>
          </w:tcPr>
          <w:p>
            <w:pPr>
              <w:pStyle w:val="nTable"/>
              <w:spacing w:after="40"/>
              <w:ind w:right="113"/>
              <w:rPr>
                <w:iCs/>
              </w:rPr>
            </w:pPr>
            <w:r>
              <w:rPr>
                <w:i/>
              </w:rPr>
              <w:t>Police Regulations Amendment (Edged Weapons and Move On Orders) Regulations 2024</w:t>
            </w:r>
            <w:r>
              <w:rPr>
                <w:iCs/>
              </w:rPr>
              <w:t xml:space="preserve"> Pt. 3</w:t>
            </w:r>
          </w:p>
        </w:tc>
        <w:tc>
          <w:tcPr>
            <w:tcW w:w="1276" w:type="dxa"/>
            <w:tcBorders>
              <w:top w:val="nil"/>
              <w:bottom w:val="nil"/>
            </w:tcBorders>
          </w:tcPr>
          <w:p>
            <w:pPr>
              <w:pStyle w:val="nTable"/>
              <w:spacing w:after="40"/>
              <w:ind w:left="51"/>
            </w:pPr>
            <w:r>
              <w:t>SL 2024/282 18 Dec 2024</w:t>
            </w:r>
          </w:p>
        </w:tc>
        <w:tc>
          <w:tcPr>
            <w:tcW w:w="2693" w:type="dxa"/>
            <w:tcBorders>
              <w:top w:val="nil"/>
              <w:bottom w:val="nil"/>
            </w:tcBorders>
          </w:tcPr>
          <w:p>
            <w:pPr>
              <w:pStyle w:val="nTable"/>
              <w:spacing w:after="40"/>
              <w:ind w:left="35"/>
            </w:pPr>
            <w:r>
              <w:t>20 Dec 2024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pPr>
              <w:pStyle w:val="nTable"/>
              <w:spacing w:after="40"/>
              <w:ind w:right="113"/>
              <w:rPr>
                <w:i/>
              </w:rPr>
            </w:pPr>
            <w:r>
              <w:rPr>
                <w:i/>
              </w:rPr>
              <w:t>Police Regulations Amendment (Firearms) Regulations 2024</w:t>
            </w:r>
            <w:r>
              <w:rPr>
                <w:iCs/>
              </w:rPr>
              <w:t xml:space="preserve"> Pt. 3</w:t>
            </w:r>
          </w:p>
        </w:tc>
        <w:tc>
          <w:tcPr>
            <w:tcW w:w="1276" w:type="dxa"/>
            <w:tcBorders>
              <w:bottom w:val="single" w:sz="4" w:space="0" w:color="auto"/>
            </w:tcBorders>
          </w:tcPr>
          <w:p>
            <w:pPr>
              <w:pStyle w:val="nTable"/>
              <w:spacing w:after="40"/>
              <w:ind w:left="51"/>
            </w:pPr>
            <w:r>
              <w:t>SL 2024/296 21 Dec 2024</w:t>
            </w:r>
          </w:p>
        </w:tc>
        <w:tc>
          <w:tcPr>
            <w:tcW w:w="2693" w:type="dxa"/>
            <w:tcBorders>
              <w:bottom w:val="single" w:sz="4" w:space="0" w:color="auto"/>
            </w:tcBorders>
          </w:tcPr>
          <w:p>
            <w:pPr>
              <w:pStyle w:val="nTable"/>
              <w:spacing w:after="40"/>
              <w:ind w:left="35"/>
            </w:pPr>
            <w:r>
              <w:rPr>
                <w:snapToGrid w:val="0"/>
              </w:rPr>
              <w:t>31 Mar 2025 (see r. 2(b) and SL 2024/289 cl. 2)</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4" w:name="_Toc192845426"/>
      <w:bookmarkStart w:id="35" w:name="_Toc192845904"/>
      <w:bookmarkStart w:id="36" w:name="_Toc192847189"/>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electric shock case</w:t>
      </w:r>
      <w:r>
        <w:tab/>
        <w:t>3</w:t>
      </w:r>
    </w:p>
    <w:p>
      <w:pPr>
        <w:pStyle w:val="DefinedTerms"/>
      </w:pPr>
      <w:r>
        <w:t>Archery Australia (Inc.) member</w:t>
      </w:r>
      <w:r>
        <w:tab/>
        <w:t>14(1)</w:t>
      </w:r>
    </w:p>
    <w:p>
      <w:pPr>
        <w:pStyle w:val="DefinedTerms"/>
      </w:pPr>
      <w:r>
        <w:t>aviation security inspector</w:t>
      </w:r>
      <w:r>
        <w:tab/>
        <w:t>12A(1)</w:t>
      </w:r>
    </w:p>
    <w:p>
      <w:pPr>
        <w:pStyle w:val="DefinedTerms"/>
      </w:pPr>
      <w:r>
        <w:t>baton</w:t>
      </w:r>
      <w:r>
        <w:tab/>
        <w:t>3</w:t>
      </w:r>
    </w:p>
    <w:p>
      <w:pPr>
        <w:pStyle w:val="DefinedTerms"/>
      </w:pPr>
      <w:r>
        <w:t>capsicum spray weapon</w:t>
      </w:r>
      <w:r>
        <w:tab/>
        <w:t>3</w:t>
      </w:r>
    </w:p>
    <w:p>
      <w:pPr>
        <w:pStyle w:val="DefinedTerms"/>
      </w:pPr>
      <w:r>
        <w:t>catapult</w:t>
      </w:r>
      <w:r>
        <w:tab/>
        <w:t>3</w:t>
      </w:r>
    </w:p>
    <w:p>
      <w:pPr>
        <w:pStyle w:val="DefinedTerms"/>
      </w:pPr>
      <w:r>
        <w:t>crossbow</w:t>
      </w:r>
      <w:r>
        <w:tab/>
        <w:t>14(1)</w:t>
      </w:r>
    </w:p>
    <w:p>
      <w:pPr>
        <w:pStyle w:val="DefinedTerms"/>
      </w:pPr>
      <w:r>
        <w:t>custodial officer</w:t>
      </w:r>
      <w:r>
        <w:tab/>
        <w:t>10A(1)</w:t>
      </w:r>
    </w:p>
    <w:p>
      <w:pPr>
        <w:pStyle w:val="DefinedTerms"/>
      </w:pPr>
      <w:r>
        <w:t>discharge</w:t>
      </w:r>
      <w:r>
        <w:tab/>
        <w:t>3</w:t>
      </w:r>
    </w:p>
    <w:p>
      <w:pPr>
        <w:pStyle w:val="DefinedTerms"/>
      </w:pPr>
      <w:r>
        <w:t>dramatic production</w:t>
      </w:r>
      <w:r>
        <w:tab/>
        <w:t>13(1)</w:t>
      </w:r>
    </w:p>
    <w:p>
      <w:pPr>
        <w:pStyle w:val="DefinedTerms"/>
      </w:pPr>
      <w:r>
        <w:t>exempt arbalest</w:t>
      </w:r>
      <w:r>
        <w:tab/>
        <w:t>14(1)</w:t>
      </w:r>
    </w:p>
    <w:p>
      <w:pPr>
        <w:pStyle w:val="DefinedTerms"/>
      </w:pPr>
      <w:r>
        <w:t>exempt collector</w:t>
      </w:r>
      <w:r>
        <w:tab/>
        <w:t>9(6)</w:t>
      </w:r>
    </w:p>
    <w:p>
      <w:pPr>
        <w:pStyle w:val="DefinedTerms"/>
      </w:pPr>
      <w:r>
        <w:t>exempt event</w:t>
      </w:r>
      <w:r>
        <w:tab/>
        <w:t>11(1)</w:t>
      </w:r>
    </w:p>
    <w:p>
      <w:pPr>
        <w:pStyle w:val="DefinedTerms"/>
      </w:pPr>
      <w:r>
        <w:t>exemption notice</w:t>
      </w:r>
      <w:r>
        <w:tab/>
        <w:t>13(1)</w:t>
      </w:r>
    </w:p>
    <w:p>
      <w:pPr>
        <w:pStyle w:val="DefinedTerms"/>
      </w:pPr>
      <w:r>
        <w:t>exempt production</w:t>
      </w:r>
      <w:r>
        <w:tab/>
        <w:t>13(1)</w:t>
      </w:r>
    </w:p>
    <w:p>
      <w:pPr>
        <w:pStyle w:val="DefinedTerms"/>
      </w:pPr>
      <w:r>
        <w:t>extendable baton</w:t>
      </w:r>
      <w:r>
        <w:tab/>
        <w:t>8(2)</w:t>
      </w:r>
    </w:p>
    <w:p>
      <w:pPr>
        <w:pStyle w:val="DefinedTerms"/>
      </w:pPr>
      <w:r>
        <w:t>injure or disable</w:t>
      </w:r>
      <w:r>
        <w:tab/>
        <w:t>3</w:t>
      </w:r>
    </w:p>
    <w:p>
      <w:pPr>
        <w:pStyle w:val="DefinedTerms"/>
      </w:pPr>
      <w:r>
        <w:t>maritime security inspector</w:t>
      </w:r>
      <w:r>
        <w:tab/>
        <w:t>12A(1)</w:t>
      </w:r>
    </w:p>
    <w:p>
      <w:pPr>
        <w:pStyle w:val="DefinedTerms"/>
      </w:pPr>
      <w:r>
        <w:t>martial arts weapon</w:t>
      </w:r>
      <w:r>
        <w:tab/>
        <w:t>3</w:t>
      </w:r>
    </w:p>
    <w:p>
      <w:pPr>
        <w:pStyle w:val="DefinedTerms"/>
      </w:pPr>
      <w:r>
        <w:t>missile</w:t>
      </w:r>
      <w:r>
        <w:tab/>
        <w:t>3</w:t>
      </w:r>
    </w:p>
    <w:p>
      <w:pPr>
        <w:pStyle w:val="DefinedTerms"/>
      </w:pPr>
      <w:r>
        <w:t>participant</w:t>
      </w:r>
      <w:r>
        <w:tab/>
        <w:t>11(1)</w:t>
      </w:r>
    </w:p>
    <w:p>
      <w:pPr>
        <w:pStyle w:val="DefinedTerms"/>
      </w:pPr>
      <w:r>
        <w:t>possess</w:t>
      </w:r>
      <w:r>
        <w:tab/>
        <w:t>11(1)</w:t>
      </w:r>
    </w:p>
    <w:p>
      <w:pPr>
        <w:pStyle w:val="DefinedTerms"/>
      </w:pPr>
      <w:r>
        <w:t>relevant date</w:t>
      </w:r>
      <w:r>
        <w:tab/>
        <w:t>9(6)</w:t>
      </w:r>
    </w:p>
    <w:p>
      <w:pPr>
        <w:pStyle w:val="DefinedTerms"/>
      </w:pPr>
      <w:r>
        <w:t>Secretary</w:t>
      </w:r>
      <w:r>
        <w:tab/>
        <w:t>12A(1)</w:t>
      </w:r>
    </w:p>
    <w:p>
      <w:pPr>
        <w:pStyle w:val="DefinedTerms"/>
      </w:pPr>
      <w:r>
        <w:t>specified prohibited weapon</w:t>
      </w:r>
      <w:r>
        <w:tab/>
        <w:t>9(6)</w:t>
      </w:r>
    </w:p>
    <w:p>
      <w:pPr>
        <w:pStyle w:val="DefinedTerms"/>
      </w:pPr>
      <w:r>
        <w:t>specified weapon</w:t>
      </w:r>
      <w:r>
        <w:tab/>
        <w:t>13(1)</w:t>
      </w:r>
    </w:p>
    <w:p>
      <w:pPr>
        <w:pStyle w:val="DefinedTerms"/>
      </w:pPr>
      <w:r>
        <w:t>spray weapon</w:t>
      </w:r>
      <w:r>
        <w:tab/>
        <w:t>3</w:t>
      </w:r>
    </w:p>
    <w:p>
      <w:pPr>
        <w:pStyle w:val="DefinedTerms"/>
      </w:pPr>
      <w:r>
        <w:t>WA Disabled Sports Association (Inc.) member</w:t>
      </w:r>
      <w:r>
        <w:tab/>
        <w:t>11(1)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2CB4F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0D0C7F" w14:textId="6F34B4D3" w:rsidR="00B62B6F" w:rsidRDefault="00BA21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6443">
                        <w:rPr>
                          <w:sz w:val="16"/>
                        </w:rPr>
                        <w:t>2025</w:t>
                      </w:r>
                      <w:r>
                        <w:rPr>
                          <w:sz w:val="16"/>
                        </w:rPr>
                        <w:fldChar w:fldCharType="end"/>
                      </w:r>
                      <w:r>
                        <w:rPr>
                          <w:sz w:val="16"/>
                        </w:rPr>
                        <w:t>.</w:t>
                      </w:r>
                    </w:p>
                    <w:p w14:paraId="04A55429" w14:textId="77777777" w:rsidR="00B62B6F" w:rsidRDefault="00BA21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9A4B49" w14:textId="060F5A92" w:rsidR="00B62B6F" w:rsidRDefault="00BA21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6443">
                        <w:rPr>
                          <w:sz w:val="16"/>
                        </w:rPr>
                        <w:t>2025</w:t>
                      </w:r>
                      <w:r>
                        <w:rPr>
                          <w:sz w:val="16"/>
                        </w:rPr>
                        <w:fldChar w:fldCharType="end"/>
                      </w:r>
                      <w:r>
                        <w:rPr>
                          <w:sz w:val="16"/>
                        </w:rPr>
                        <w:t>.</w:t>
                      </w:r>
                    </w:p>
                    <w:p w14:paraId="1B4717AC" w14:textId="77777777" w:rsidR="00B62B6F" w:rsidRDefault="00BA211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14802"/>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 w:name="WAFER_2025031411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14802_GUID" w:val="b467c591-dddf-4f5f-9615-b3ef969162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5875</Words>
  <Characters>27265</Characters>
  <Application>Microsoft Office Word</Application>
  <DocSecurity>0</DocSecurity>
  <Lines>973</Lines>
  <Paragraphs>591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1999 - 03-i0-00</dc:title>
  <dc:subject/>
  <dc:creator/>
  <cp:keywords/>
  <dc:description/>
  <cp:lastModifiedBy>Master Repository Process</cp:lastModifiedBy>
  <cp:revision>4</cp:revision>
  <cp:lastPrinted>2017-06-29T08:54:00Z</cp:lastPrinted>
  <dcterms:created xsi:type="dcterms:W3CDTF">2025-06-18T04:04:00Z</dcterms:created>
  <dcterms:modified xsi:type="dcterms:W3CDTF">2025-06-18T04:05:00Z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AsAtDate">
    <vt:lpwstr>31 Mar 2025</vt:lpwstr>
  </property>
  <property fmtid="{D5CDD505-2E9C-101B-9397-08002B2CF9AE}" pid="8" name="Suffix">
    <vt:lpwstr>03-i0-00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