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_Toc192493937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_Toc192493938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_Toc192493939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_Toc192493940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_Toc192493941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_Toc192493943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_Toc192493944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_Toc192493945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_Toc192493946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_Toc192493947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_Toc192493948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_Toc192493951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_Toc192493952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_Toc192493954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_Toc192493955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_Toc192493956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_Toc192493958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_Toc192493959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_Toc192493960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_Toc192493961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_Toc192493962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authorisations and qualifications, discrimination by</w:t>
      </w:r>
      <w:r>
        <w:tab/>
      </w:r>
      <w:r>
        <w:fldChar w:fldCharType="begin"/>
      </w:r>
      <w:r>
        <w:instrText xml:space="preserve"> PAGEREF _Toc192493963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_Toc192493964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_Toc192493965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_Toc192493967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_Toc192493968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_Toc192493969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_Toc192493970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_Toc192493972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_Toc192493973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_Toc192493974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_Toc192493975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_Toc192493976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_Toc192493978 \h </w:instrText>
      </w:r>
      <w:r>
        <w:fldChar w:fldCharType="separate"/>
      </w:r>
      <w:r>
        <w:t>20</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_Toc192493979 \h </w:instrText>
      </w:r>
      <w:r>
        <w:fldChar w:fldCharType="separate"/>
      </w:r>
      <w:r>
        <w:t>20</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_Toc192493980 \h </w:instrText>
      </w:r>
      <w:r>
        <w:fldChar w:fldCharType="separate"/>
      </w:r>
      <w:r>
        <w:t>21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_Toc192493981 \h </w:instrText>
      </w:r>
      <w:r>
        <w:fldChar w:fldCharType="separate"/>
      </w:r>
      <w:r>
        <w:t>21</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_Toc192493982 \h </w:instrText>
      </w:r>
      <w:r>
        <w:fldChar w:fldCharType="separate"/>
      </w:r>
      <w:r>
        <w:t>21</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_Toc192493983 \h </w:instrText>
      </w:r>
      <w:r>
        <w:fldChar w:fldCharType="separate"/>
      </w:r>
      <w:r>
        <w:t>21</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_Toc192493984 \h </w:instrText>
      </w:r>
      <w:r>
        <w:fldChar w:fldCharType="separate"/>
      </w:r>
      <w:r>
        <w:t>22</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_Toc192493985 \h </w:instrText>
      </w:r>
      <w:r>
        <w:fldChar w:fldCharType="separate"/>
      </w:r>
      <w:r>
        <w:t>22</w:t>
      </w:r>
      <w:r>
        <w:fldChar w:fldCharType="end"/>
      </w:r>
    </w:p>
    <w:p>
      <w:pPr>
        <w:pStyle w:val="TOC8"/>
        <w:rPr>
          <w:rFonts w:asciiTheme="minorHAnsi" w:eastAsiaTheme="minorEastAsia" w:hAnsiTheme="minorHAnsi" w:cstheme="minorBidi"/>
          <w:szCs w:val="22"/>
        </w:rPr>
      </w:pPr>
      <w:r>
        <w:lastRenderedPageBreak/>
        <w:t>9</w:t>
      </w:r>
      <w:r>
        <w:rPr>
          <w:snapToGrid w:val="0"/>
        </w:rPr>
        <w:t xml:space="preserve">. </w:t>
      </w:r>
      <w:r>
        <w:rPr>
          <w:snapToGrid w:val="0"/>
        </w:rPr>
        <w:tab/>
        <w:t>Court order to be sent to applicant and police</w:t>
      </w:r>
      <w:r>
        <w:tab/>
      </w:r>
      <w:r>
        <w:fldChar w:fldCharType="begin"/>
      </w:r>
      <w:r>
        <w:instrText xml:space="preserve"> PAGEREF _Toc192493986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_Toc192493988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_Toc192493989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_Toc192493990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_Toc192493992 \h </w:instrText>
      </w:r>
      <w:r>
        <w:fldChar w:fldCharType="separate"/>
      </w:r>
      <w:r>
        <w:t>24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_Toc192493993 \h </w:instrText>
      </w:r>
      <w:r>
        <w:fldChar w:fldCharType="separate"/>
      </w:r>
      <w:r>
        <w:t>40</w:t>
      </w:r>
      <w:r>
        <w:fldChar w:fldCharType="end"/>
      </w:r>
    </w:p>
    <w:p>
      <w:pPr>
        <w:pStyle w:val="TOC8"/>
        <w:rPr>
          <w:rFonts w:asciiTheme="minorHAnsi" w:eastAsiaTheme="minorEastAsia" w:hAnsiTheme="minorHAnsi" w:cstheme="minorBidi"/>
          <w:szCs w:val="22"/>
        </w:rPr>
      </w:pPr>
      <w:r>
        <w:t>3.</w:t>
      </w:r>
      <w:r>
        <w:tab/>
        <w:t xml:space="preserve">Exceptions as to spent convictions relating to the </w:t>
      </w:r>
      <w:r>
        <w:rPr>
          <w:iCs/>
        </w:rPr>
        <w:t>protection of people with disability</w:t>
      </w:r>
      <w:r>
        <w:tab/>
      </w:r>
      <w:r>
        <w:fldChar w:fldCharType="begin"/>
      </w:r>
      <w:r>
        <w:instrText xml:space="preserve"> PAGEREF _Toc192493994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_Toc192493996 \h </w:instrText>
      </w:r>
      <w:r>
        <w:fldChar w:fldCharType="separate"/>
      </w:r>
      <w:r>
        <w:t>45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_Toc192493997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680" w:after="800"/>
      </w:pPr>
      <w:r>
        <w:lastRenderedPageBreak/>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2" w:name="_Toc192231505"/>
      <w:bookmarkStart w:id="3" w:name="_Toc192243221"/>
      <w:bookmarkStart w:id="4" w:name="_Toc192243304"/>
      <w:bookmarkStart w:id="5" w:name="_Toc192493552"/>
      <w:bookmarkStart w:id="6" w:name="_Toc19249393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192493937"/>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8" w:name="_Toc192493938"/>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9" w:name="_Toc192493939"/>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10" w:name="_Toc192493940"/>
      <w:r>
        <w:rPr>
          <w:rStyle w:val="CharSectno"/>
        </w:rPr>
        <w:t>4</w:t>
      </w:r>
      <w:r>
        <w:rPr>
          <w:snapToGrid w:val="0"/>
        </w:rPr>
        <w:t>.</w:t>
      </w:r>
      <w:r>
        <w:rPr>
          <w:snapToGrid w:val="0"/>
        </w:rPr>
        <w:tab/>
        <w:t>Convictions to which Act does not apply</w:t>
      </w:r>
      <w:bookmarkEnd w:id="10"/>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11" w:name="_Toc192493941"/>
      <w:r>
        <w:rPr>
          <w:rStyle w:val="CharSectno"/>
        </w:rPr>
        <w:t>5</w:t>
      </w:r>
      <w:r>
        <w:rPr>
          <w:snapToGrid w:val="0"/>
        </w:rPr>
        <w:t>.</w:t>
      </w:r>
      <w:r>
        <w:rPr>
          <w:snapToGrid w:val="0"/>
        </w:rPr>
        <w:tab/>
        <w:t>Act binds Crown</w:t>
      </w:r>
      <w:bookmarkEnd w:id="11"/>
    </w:p>
    <w:p>
      <w:pPr>
        <w:pStyle w:val="Subsection"/>
        <w:spacing w:before="100"/>
        <w:rPr>
          <w:snapToGrid w:val="0"/>
        </w:rPr>
      </w:pPr>
      <w:r>
        <w:rPr>
          <w:snapToGrid w:val="0"/>
        </w:rPr>
        <w:tab/>
      </w:r>
      <w:r>
        <w:rPr>
          <w:snapToGrid w:val="0"/>
        </w:rPr>
        <w:tab/>
        <w:t>This Act binds the Crown.</w:t>
      </w:r>
    </w:p>
    <w:p>
      <w:pPr>
        <w:pStyle w:val="Heading2"/>
      </w:pPr>
      <w:bookmarkStart w:id="12" w:name="_Toc192231511"/>
      <w:bookmarkStart w:id="13" w:name="_Toc192243227"/>
      <w:bookmarkStart w:id="14" w:name="_Toc192243310"/>
      <w:bookmarkStart w:id="15" w:name="_Toc192493558"/>
      <w:bookmarkStart w:id="16" w:name="_Toc192493942"/>
      <w:r>
        <w:rPr>
          <w:rStyle w:val="CharPartNo"/>
        </w:rPr>
        <w:lastRenderedPageBreak/>
        <w:t>Part 2</w:t>
      </w:r>
      <w:r>
        <w:rPr>
          <w:rStyle w:val="CharDivNo"/>
        </w:rPr>
        <w:t> </w:t>
      </w:r>
      <w:r>
        <w:t>—</w:t>
      </w:r>
      <w:r>
        <w:rPr>
          <w:rStyle w:val="CharDivText"/>
        </w:rPr>
        <w:t> </w:t>
      </w:r>
      <w:r>
        <w:rPr>
          <w:rStyle w:val="CharPartText"/>
        </w:rPr>
        <w:t>Requirements for convictions to become spent</w:t>
      </w:r>
      <w:bookmarkEnd w:id="12"/>
      <w:bookmarkEnd w:id="13"/>
      <w:bookmarkEnd w:id="14"/>
      <w:bookmarkEnd w:id="15"/>
      <w:bookmarkEnd w:id="16"/>
    </w:p>
    <w:p>
      <w:pPr>
        <w:pStyle w:val="Heading5"/>
        <w:rPr>
          <w:snapToGrid w:val="0"/>
        </w:rPr>
      </w:pPr>
      <w:bookmarkStart w:id="17" w:name="_Toc192493943"/>
      <w:r>
        <w:rPr>
          <w:rStyle w:val="CharSectno"/>
        </w:rPr>
        <w:t>6</w:t>
      </w:r>
      <w:r>
        <w:rPr>
          <w:snapToGrid w:val="0"/>
        </w:rPr>
        <w:t>.</w:t>
      </w:r>
      <w:r>
        <w:rPr>
          <w:snapToGrid w:val="0"/>
        </w:rPr>
        <w:tab/>
        <w:t>Serious convictions</w:t>
      </w:r>
      <w:bookmarkEnd w:id="17"/>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lastRenderedPageBreak/>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18" w:name="_Toc192493944"/>
      <w:r>
        <w:rPr>
          <w:rStyle w:val="CharSectno"/>
        </w:rPr>
        <w:t>7</w:t>
      </w:r>
      <w:r>
        <w:rPr>
          <w:snapToGrid w:val="0"/>
        </w:rPr>
        <w:t>.</w:t>
      </w:r>
      <w:r>
        <w:rPr>
          <w:snapToGrid w:val="0"/>
        </w:rPr>
        <w:tab/>
        <w:t>Lesser convictions</w:t>
      </w:r>
      <w:bookmarkEnd w:id="18"/>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9" w:name="_Toc192493945"/>
      <w:r>
        <w:rPr>
          <w:rStyle w:val="CharSectno"/>
        </w:rPr>
        <w:t>8</w:t>
      </w:r>
      <w:r>
        <w:rPr>
          <w:snapToGrid w:val="0"/>
        </w:rPr>
        <w:t>.</w:t>
      </w:r>
      <w:r>
        <w:rPr>
          <w:snapToGrid w:val="0"/>
        </w:rPr>
        <w:tab/>
        <w:t>Convictions in other jurisdictions (Sch. 2)</w:t>
      </w:r>
      <w:bookmarkEnd w:id="19"/>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20" w:name="_Toc192493946"/>
      <w:r>
        <w:rPr>
          <w:rStyle w:val="CharSectno"/>
        </w:rPr>
        <w:t>9</w:t>
      </w:r>
      <w:r>
        <w:rPr>
          <w:snapToGrid w:val="0"/>
        </w:rPr>
        <w:t>.</w:t>
      </w:r>
      <w:r>
        <w:rPr>
          <w:snapToGrid w:val="0"/>
        </w:rPr>
        <w:tab/>
        <w:t>Term used: serious conviction</w:t>
      </w:r>
      <w:bookmarkEnd w:id="20"/>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lastRenderedPageBreak/>
        <w:tab/>
        <w:t>(b)</w:t>
      </w:r>
      <w:r>
        <w:rPr>
          <w:snapToGrid w:val="0"/>
        </w:rPr>
        <w:tab/>
        <w:t>a fine of $15 000 or more.</w:t>
      </w:r>
    </w:p>
    <w:p>
      <w:pPr>
        <w:pStyle w:val="Heading5"/>
        <w:rPr>
          <w:snapToGrid w:val="0"/>
        </w:rPr>
      </w:pPr>
      <w:bookmarkStart w:id="21" w:name="_Toc192493947"/>
      <w:r>
        <w:rPr>
          <w:rStyle w:val="CharSectno"/>
        </w:rPr>
        <w:t>10</w:t>
      </w:r>
      <w:r>
        <w:rPr>
          <w:snapToGrid w:val="0"/>
        </w:rPr>
        <w:t>.</w:t>
      </w:r>
      <w:r>
        <w:rPr>
          <w:snapToGrid w:val="0"/>
        </w:rPr>
        <w:tab/>
        <w:t>Term used: lesser conviction</w:t>
      </w:r>
      <w:bookmarkEnd w:id="21"/>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22" w:name="_Toc192493948"/>
      <w:r>
        <w:rPr>
          <w:rStyle w:val="CharSectno"/>
        </w:rPr>
        <w:t>11</w:t>
      </w:r>
      <w:r>
        <w:rPr>
          <w:snapToGrid w:val="0"/>
        </w:rPr>
        <w:t>.</w:t>
      </w:r>
      <w:r>
        <w:rPr>
          <w:snapToGrid w:val="0"/>
        </w:rPr>
        <w:tab/>
        <w:t>P</w:t>
      </w:r>
      <w:r>
        <w:t>rescribed period, defined</w:t>
      </w:r>
      <w:bookmarkEnd w:id="22"/>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lastRenderedPageBreak/>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lastRenderedPageBreak/>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23" w:name="_Toc192231518"/>
      <w:bookmarkStart w:id="24" w:name="_Toc192243234"/>
      <w:bookmarkStart w:id="25" w:name="_Toc192243317"/>
      <w:bookmarkStart w:id="26" w:name="_Toc192493565"/>
      <w:bookmarkStart w:id="27" w:name="_Toc192493949"/>
      <w:r>
        <w:rPr>
          <w:rStyle w:val="CharPartNo"/>
        </w:rPr>
        <w:lastRenderedPageBreak/>
        <w:t>Part 3</w:t>
      </w:r>
      <w:r>
        <w:t> — </w:t>
      </w:r>
      <w:r>
        <w:rPr>
          <w:rStyle w:val="CharPartText"/>
        </w:rPr>
        <w:t>Effect of a conviction becoming spent</w:t>
      </w:r>
      <w:bookmarkEnd w:id="23"/>
      <w:bookmarkEnd w:id="24"/>
      <w:bookmarkEnd w:id="25"/>
      <w:bookmarkEnd w:id="26"/>
      <w:bookmarkEnd w:id="27"/>
    </w:p>
    <w:p>
      <w:pPr>
        <w:pStyle w:val="Heading3"/>
        <w:spacing w:before="260"/>
      </w:pPr>
      <w:bookmarkStart w:id="28" w:name="_Toc192231519"/>
      <w:bookmarkStart w:id="29" w:name="_Toc192243235"/>
      <w:bookmarkStart w:id="30" w:name="_Toc192243318"/>
      <w:bookmarkStart w:id="31" w:name="_Toc192493566"/>
      <w:bookmarkStart w:id="32" w:name="_Toc192493950"/>
      <w:r>
        <w:rPr>
          <w:rStyle w:val="CharDivNo"/>
        </w:rPr>
        <w:t>Division 1</w:t>
      </w:r>
      <w:r>
        <w:rPr>
          <w:snapToGrid w:val="0"/>
        </w:rPr>
        <w:t> — </w:t>
      </w:r>
      <w:r>
        <w:rPr>
          <w:rStyle w:val="CharDivText"/>
        </w:rPr>
        <w:t>Application</w:t>
      </w:r>
      <w:bookmarkEnd w:id="28"/>
      <w:bookmarkEnd w:id="29"/>
      <w:bookmarkEnd w:id="30"/>
      <w:bookmarkEnd w:id="31"/>
      <w:bookmarkEnd w:id="32"/>
    </w:p>
    <w:p>
      <w:pPr>
        <w:pStyle w:val="Heading5"/>
        <w:spacing w:before="240"/>
        <w:rPr>
          <w:snapToGrid w:val="0"/>
        </w:rPr>
      </w:pPr>
      <w:bookmarkStart w:id="33" w:name="_Toc192493951"/>
      <w:r>
        <w:rPr>
          <w:rStyle w:val="CharSectno"/>
        </w:rPr>
        <w:t>12</w:t>
      </w:r>
      <w:r>
        <w:rPr>
          <w:snapToGrid w:val="0"/>
        </w:rPr>
        <w:t>.</w:t>
      </w:r>
      <w:r>
        <w:rPr>
          <w:snapToGrid w:val="0"/>
        </w:rPr>
        <w:tab/>
        <w:t>Application of Part 3</w:t>
      </w:r>
      <w:bookmarkEnd w:id="33"/>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34" w:name="_Toc192493952"/>
      <w:r>
        <w:rPr>
          <w:rStyle w:val="CharSectno"/>
        </w:rPr>
        <w:t>13</w:t>
      </w:r>
      <w:r>
        <w:rPr>
          <w:snapToGrid w:val="0"/>
        </w:rPr>
        <w:t>.</w:t>
      </w:r>
      <w:r>
        <w:rPr>
          <w:snapToGrid w:val="0"/>
        </w:rPr>
        <w:tab/>
        <w:t>Effect of Part 3 on other laws</w:t>
      </w:r>
      <w:bookmarkEnd w:id="34"/>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35" w:name="_Toc192231522"/>
      <w:bookmarkStart w:id="36" w:name="_Toc192243238"/>
      <w:bookmarkStart w:id="37" w:name="_Toc192243321"/>
      <w:bookmarkStart w:id="38" w:name="_Toc192493569"/>
      <w:bookmarkStart w:id="39" w:name="_Toc192493953"/>
      <w:r>
        <w:rPr>
          <w:rStyle w:val="CharDivNo"/>
        </w:rPr>
        <w:lastRenderedPageBreak/>
        <w:t>Division 2</w:t>
      </w:r>
      <w:r>
        <w:rPr>
          <w:snapToGrid w:val="0"/>
        </w:rPr>
        <w:t> — </w:t>
      </w:r>
      <w:r>
        <w:rPr>
          <w:rStyle w:val="CharDivText"/>
        </w:rPr>
        <w:t>Exceptions</w:t>
      </w:r>
      <w:bookmarkEnd w:id="35"/>
      <w:bookmarkEnd w:id="36"/>
      <w:bookmarkEnd w:id="37"/>
      <w:bookmarkEnd w:id="38"/>
      <w:bookmarkEnd w:id="39"/>
    </w:p>
    <w:p>
      <w:pPr>
        <w:pStyle w:val="Heading5"/>
        <w:spacing w:before="160"/>
        <w:rPr>
          <w:snapToGrid w:val="0"/>
        </w:rPr>
      </w:pPr>
      <w:bookmarkStart w:id="40" w:name="_Toc192493954"/>
      <w:r>
        <w:rPr>
          <w:rStyle w:val="CharSectno"/>
        </w:rPr>
        <w:t>14</w:t>
      </w:r>
      <w:r>
        <w:t>.</w:t>
      </w:r>
      <w:r>
        <w:rPr>
          <w:snapToGrid w:val="0"/>
        </w:rPr>
        <w:tab/>
        <w:t>Div. 4 does not affect certain matters</w:t>
      </w:r>
      <w:bookmarkEnd w:id="40"/>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41" w:name="_Toc192493955"/>
      <w:r>
        <w:rPr>
          <w:rStyle w:val="CharSectno"/>
        </w:rPr>
        <w:t>15</w:t>
      </w:r>
      <w:r>
        <w:rPr>
          <w:snapToGrid w:val="0"/>
        </w:rPr>
        <w:t>.</w:t>
      </w:r>
      <w:r>
        <w:rPr>
          <w:snapToGrid w:val="0"/>
        </w:rPr>
        <w:tab/>
        <w:t>Bail decisions not affected by s. 25, 26 or 27</w:t>
      </w:r>
      <w:bookmarkEnd w:id="41"/>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Lines w:val="0"/>
        <w:spacing w:before="180"/>
        <w:rPr>
          <w:snapToGrid w:val="0"/>
        </w:rPr>
      </w:pPr>
      <w:bookmarkStart w:id="42" w:name="_Toc192493956"/>
      <w:r>
        <w:rPr>
          <w:rStyle w:val="CharSectno"/>
        </w:rPr>
        <w:lastRenderedPageBreak/>
        <w:t>16</w:t>
      </w:r>
      <w:r>
        <w:rPr>
          <w:snapToGrid w:val="0"/>
        </w:rPr>
        <w:t>.</w:t>
      </w:r>
      <w:r>
        <w:rPr>
          <w:snapToGrid w:val="0"/>
        </w:rPr>
        <w:tab/>
        <w:t>Further exceptions to Part 3</w:t>
      </w:r>
      <w:bookmarkEnd w:id="42"/>
    </w:p>
    <w:p>
      <w:pPr>
        <w:pStyle w:val="Subsection"/>
        <w:keepNext/>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43" w:name="_Toc192231526"/>
      <w:bookmarkStart w:id="44" w:name="_Toc192243242"/>
      <w:bookmarkStart w:id="45" w:name="_Toc192243325"/>
      <w:bookmarkStart w:id="46" w:name="_Toc192493573"/>
      <w:bookmarkStart w:id="47" w:name="_Toc192493957"/>
      <w:r>
        <w:rPr>
          <w:rStyle w:val="CharDivNo"/>
        </w:rPr>
        <w:t>Division 3</w:t>
      </w:r>
      <w:r>
        <w:rPr>
          <w:snapToGrid w:val="0"/>
        </w:rPr>
        <w:t> — </w:t>
      </w:r>
      <w:r>
        <w:rPr>
          <w:rStyle w:val="CharDivText"/>
        </w:rPr>
        <w:t>Discrimination on ground of spent conviction</w:t>
      </w:r>
      <w:bookmarkEnd w:id="43"/>
      <w:bookmarkEnd w:id="44"/>
      <w:bookmarkEnd w:id="45"/>
      <w:bookmarkEnd w:id="46"/>
      <w:bookmarkEnd w:id="47"/>
    </w:p>
    <w:p>
      <w:pPr>
        <w:pStyle w:val="Heading5"/>
        <w:spacing w:before="180"/>
        <w:rPr>
          <w:snapToGrid w:val="0"/>
        </w:rPr>
      </w:pPr>
      <w:bookmarkStart w:id="48" w:name="_Toc192493958"/>
      <w:r>
        <w:rPr>
          <w:rStyle w:val="CharSectno"/>
        </w:rPr>
        <w:t>17</w:t>
      </w:r>
      <w:r>
        <w:rPr>
          <w:snapToGrid w:val="0"/>
        </w:rPr>
        <w:t>.</w:t>
      </w:r>
      <w:r>
        <w:rPr>
          <w:snapToGrid w:val="0"/>
        </w:rPr>
        <w:tab/>
        <w:t>Terms used</w:t>
      </w:r>
      <w:bookmarkEnd w:id="48"/>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lastRenderedPageBreak/>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49" w:name="_Toc192493959"/>
      <w:r>
        <w:rPr>
          <w:rStyle w:val="CharSectno"/>
        </w:rPr>
        <w:t>18</w:t>
      </w:r>
      <w:r>
        <w:rPr>
          <w:snapToGrid w:val="0"/>
        </w:rPr>
        <w:t>.</w:t>
      </w:r>
      <w:r>
        <w:rPr>
          <w:snapToGrid w:val="0"/>
        </w:rPr>
        <w:tab/>
        <w:t>Job applicants and employees, discrimination against</w:t>
      </w:r>
      <w:bookmarkEnd w:id="49"/>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50" w:name="_Toc192493960"/>
      <w:r>
        <w:rPr>
          <w:rStyle w:val="CharSectno"/>
        </w:rPr>
        <w:lastRenderedPageBreak/>
        <w:t>19</w:t>
      </w:r>
      <w:r>
        <w:rPr>
          <w:snapToGrid w:val="0"/>
        </w:rPr>
        <w:t>.</w:t>
      </w:r>
      <w:r>
        <w:rPr>
          <w:snapToGrid w:val="0"/>
        </w:rPr>
        <w:tab/>
        <w:t>Commission agents, discrimination against</w:t>
      </w:r>
      <w:bookmarkEnd w:id="50"/>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51" w:name="_Toc192493961"/>
      <w:r>
        <w:rPr>
          <w:rStyle w:val="CharSectno"/>
        </w:rPr>
        <w:t>20</w:t>
      </w:r>
      <w:r>
        <w:rPr>
          <w:snapToGrid w:val="0"/>
        </w:rPr>
        <w:t>.</w:t>
      </w:r>
      <w:r>
        <w:rPr>
          <w:snapToGrid w:val="0"/>
        </w:rPr>
        <w:tab/>
        <w:t>Contract workers, discrimination against</w:t>
      </w:r>
      <w:bookmarkEnd w:id="51"/>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 xml:space="preserve">by denying the contract worker access, or limiting the contract worker’s access, to any benefit associated with </w:t>
      </w:r>
      <w:r>
        <w:rPr>
          <w:snapToGrid w:val="0"/>
        </w:rPr>
        <w:lastRenderedPageBreak/>
        <w:t>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52" w:name="_Toc192493962"/>
      <w:r>
        <w:rPr>
          <w:rStyle w:val="CharSectno"/>
        </w:rPr>
        <w:t>21</w:t>
      </w:r>
      <w:r>
        <w:rPr>
          <w:snapToGrid w:val="0"/>
        </w:rPr>
        <w:t>.</w:t>
      </w:r>
      <w:r>
        <w:rPr>
          <w:snapToGrid w:val="0"/>
        </w:rPr>
        <w:tab/>
        <w:t>Organisations of workers and employers, discrimination by</w:t>
      </w:r>
      <w:bookmarkEnd w:id="52"/>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53" w:name="_Toc192493963"/>
      <w:r>
        <w:rPr>
          <w:rStyle w:val="CharSectno"/>
        </w:rPr>
        <w:t>22</w:t>
      </w:r>
      <w:r>
        <w:rPr>
          <w:snapToGrid w:val="0"/>
        </w:rPr>
        <w:t>.</w:t>
      </w:r>
      <w:r>
        <w:rPr>
          <w:snapToGrid w:val="0"/>
        </w:rPr>
        <w:tab/>
        <w:t>Authorities that confer authorisations and qualifications, discrimination by</w:t>
      </w:r>
      <w:bookmarkEnd w:id="53"/>
    </w:p>
    <w:p>
      <w:pPr>
        <w:pStyle w:val="Subsection"/>
        <w:spacing w:before="120"/>
        <w:rPr>
          <w:snapToGrid w:val="0"/>
        </w:rPr>
      </w:pPr>
      <w:r>
        <w:rPr>
          <w:snapToGrid w:val="0"/>
        </w:rPr>
        <w:tab/>
      </w:r>
      <w:r>
        <w:rPr>
          <w:snapToGrid w:val="0"/>
        </w:rPr>
        <w:tab/>
        <w:t xml:space="preserve">It is unlawful for an authority that is empowered to confer, renew, extend, revoke or withdraw an authorisation or qualification that is needed for or facilitates the practice of a profession, the carrying on of a trade or the engaging in of an </w:t>
      </w:r>
      <w:r>
        <w:rPr>
          <w:snapToGrid w:val="0"/>
        </w:rPr>
        <w:lastRenderedPageBreak/>
        <w:t>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54" w:name="_Toc192493964"/>
      <w:r>
        <w:rPr>
          <w:rStyle w:val="CharSectno"/>
        </w:rPr>
        <w:t>23</w:t>
      </w:r>
      <w:r>
        <w:rPr>
          <w:snapToGrid w:val="0"/>
        </w:rPr>
        <w:t>.</w:t>
      </w:r>
      <w:r>
        <w:rPr>
          <w:snapToGrid w:val="0"/>
        </w:rPr>
        <w:tab/>
        <w:t>Employment agencies, discrimination by</w:t>
      </w:r>
      <w:bookmarkEnd w:id="54"/>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55" w:name="_Toc192493965"/>
      <w:r>
        <w:rPr>
          <w:rStyle w:val="CharSectno"/>
        </w:rPr>
        <w:t>24</w:t>
      </w:r>
      <w:r>
        <w:rPr>
          <w:snapToGrid w:val="0"/>
        </w:rPr>
        <w:t>.</w:t>
      </w:r>
      <w:r>
        <w:rPr>
          <w:snapToGrid w:val="0"/>
        </w:rPr>
        <w:tab/>
        <w:t>Enforcement of this Division</w:t>
      </w:r>
      <w:bookmarkEnd w:id="55"/>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56" w:name="_Toc192231535"/>
      <w:bookmarkStart w:id="57" w:name="_Toc192243251"/>
      <w:bookmarkStart w:id="58" w:name="_Toc192243334"/>
      <w:bookmarkStart w:id="59" w:name="_Toc192493582"/>
      <w:bookmarkStart w:id="60" w:name="_Toc192493966"/>
      <w:r>
        <w:rPr>
          <w:rStyle w:val="CharDivNo"/>
        </w:rPr>
        <w:lastRenderedPageBreak/>
        <w:t>Division 4</w:t>
      </w:r>
      <w:r>
        <w:rPr>
          <w:snapToGrid w:val="0"/>
        </w:rPr>
        <w:t> — </w:t>
      </w:r>
      <w:r>
        <w:rPr>
          <w:rStyle w:val="CharDivText"/>
        </w:rPr>
        <w:t>Other effects</w:t>
      </w:r>
      <w:bookmarkEnd w:id="56"/>
      <w:bookmarkEnd w:id="57"/>
      <w:bookmarkEnd w:id="58"/>
      <w:bookmarkEnd w:id="59"/>
      <w:bookmarkEnd w:id="60"/>
    </w:p>
    <w:p>
      <w:pPr>
        <w:pStyle w:val="Heading5"/>
        <w:rPr>
          <w:snapToGrid w:val="0"/>
        </w:rPr>
      </w:pPr>
      <w:bookmarkStart w:id="61" w:name="_Toc192493967"/>
      <w:r>
        <w:rPr>
          <w:rStyle w:val="CharSectno"/>
        </w:rPr>
        <w:t>25</w:t>
      </w:r>
      <w:r>
        <w:rPr>
          <w:snapToGrid w:val="0"/>
        </w:rPr>
        <w:t>.</w:t>
      </w:r>
      <w:r>
        <w:rPr>
          <w:snapToGrid w:val="0"/>
        </w:rPr>
        <w:tab/>
        <w:t>Interpretation of written laws</w:t>
      </w:r>
      <w:bookmarkEnd w:id="61"/>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62" w:name="_Toc192493968"/>
      <w:r>
        <w:rPr>
          <w:rStyle w:val="CharSectno"/>
        </w:rPr>
        <w:t>26</w:t>
      </w:r>
      <w:r>
        <w:rPr>
          <w:snapToGrid w:val="0"/>
        </w:rPr>
        <w:t>.</w:t>
      </w:r>
      <w:r>
        <w:rPr>
          <w:snapToGrid w:val="0"/>
        </w:rPr>
        <w:tab/>
        <w:t>Assessment of character under written law</w:t>
      </w:r>
      <w:bookmarkEnd w:id="62"/>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63" w:name="_Toc192493969"/>
      <w:r>
        <w:rPr>
          <w:rStyle w:val="CharSectno"/>
        </w:rPr>
        <w:t>27</w:t>
      </w:r>
      <w:r>
        <w:rPr>
          <w:snapToGrid w:val="0"/>
        </w:rPr>
        <w:t>.</w:t>
      </w:r>
      <w:r>
        <w:rPr>
          <w:snapToGrid w:val="0"/>
        </w:rPr>
        <w:tab/>
        <w:t>Disclosure or acknowledgment of spent convictions</w:t>
      </w:r>
      <w:bookmarkEnd w:id="63"/>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64" w:name="_Toc192493970"/>
      <w:r>
        <w:rPr>
          <w:rStyle w:val="CharSectno"/>
        </w:rPr>
        <w:lastRenderedPageBreak/>
        <w:t>28</w:t>
      </w:r>
      <w:r>
        <w:rPr>
          <w:snapToGrid w:val="0"/>
        </w:rPr>
        <w:t>.</w:t>
      </w:r>
      <w:r>
        <w:rPr>
          <w:snapToGrid w:val="0"/>
        </w:rPr>
        <w:tab/>
        <w:t>Unlawful access to criminal records</w:t>
      </w:r>
      <w:bookmarkEnd w:id="64"/>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65" w:name="_Toc192231540"/>
      <w:bookmarkStart w:id="66" w:name="_Toc192243256"/>
      <w:bookmarkStart w:id="67" w:name="_Toc192243339"/>
      <w:bookmarkStart w:id="68" w:name="_Toc192493587"/>
      <w:bookmarkStart w:id="69" w:name="_Toc192493971"/>
      <w:r>
        <w:rPr>
          <w:rStyle w:val="CharPartNo"/>
        </w:rPr>
        <w:lastRenderedPageBreak/>
        <w:t>Part 4</w:t>
      </w:r>
      <w:r>
        <w:rPr>
          <w:rStyle w:val="CharDivNo"/>
        </w:rPr>
        <w:t> </w:t>
      </w:r>
      <w:r>
        <w:t>—</w:t>
      </w:r>
      <w:r>
        <w:rPr>
          <w:rStyle w:val="CharDivText"/>
        </w:rPr>
        <w:t> </w:t>
      </w:r>
      <w:r>
        <w:rPr>
          <w:rStyle w:val="CharPartText"/>
        </w:rPr>
        <w:t>Miscellaneous</w:t>
      </w:r>
      <w:bookmarkEnd w:id="65"/>
      <w:bookmarkEnd w:id="66"/>
      <w:bookmarkEnd w:id="67"/>
      <w:bookmarkEnd w:id="68"/>
      <w:bookmarkEnd w:id="69"/>
    </w:p>
    <w:p>
      <w:pPr>
        <w:pStyle w:val="Heading5"/>
        <w:rPr>
          <w:snapToGrid w:val="0"/>
        </w:rPr>
      </w:pPr>
      <w:bookmarkStart w:id="70" w:name="_Toc192493972"/>
      <w:r>
        <w:rPr>
          <w:rStyle w:val="CharSectno"/>
        </w:rPr>
        <w:t>29</w:t>
      </w:r>
      <w:r>
        <w:rPr>
          <w:snapToGrid w:val="0"/>
        </w:rPr>
        <w:t>.</w:t>
      </w:r>
      <w:r>
        <w:rPr>
          <w:snapToGrid w:val="0"/>
        </w:rPr>
        <w:tab/>
      </w:r>
      <w:r>
        <w:rPr>
          <w:i/>
          <w:snapToGrid w:val="0"/>
        </w:rPr>
        <w:t>Equal Opportunity Act 1984</w:t>
      </w:r>
      <w:r>
        <w:rPr>
          <w:snapToGrid w:val="0"/>
        </w:rPr>
        <w:t>, application of</w:t>
      </w:r>
      <w:bookmarkEnd w:id="70"/>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71" w:name="_Toc192493973"/>
      <w:r>
        <w:rPr>
          <w:rStyle w:val="CharSectno"/>
        </w:rPr>
        <w:t>30</w:t>
      </w:r>
      <w:r>
        <w:rPr>
          <w:snapToGrid w:val="0"/>
        </w:rPr>
        <w:t>.</w:t>
      </w:r>
      <w:r>
        <w:rPr>
          <w:snapToGrid w:val="0"/>
        </w:rPr>
        <w:tab/>
        <w:t>Spent conviction not revived after parole or early release cancelled</w:t>
      </w:r>
      <w:bookmarkEnd w:id="71"/>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72" w:name="_Toc192493974"/>
      <w:r>
        <w:rPr>
          <w:rStyle w:val="CharSectno"/>
        </w:rPr>
        <w:lastRenderedPageBreak/>
        <w:t>31</w:t>
      </w:r>
      <w:r>
        <w:rPr>
          <w:snapToGrid w:val="0"/>
        </w:rPr>
        <w:t>.</w:t>
      </w:r>
      <w:r>
        <w:rPr>
          <w:snapToGrid w:val="0"/>
        </w:rPr>
        <w:tab/>
        <w:t>Prerogative of mercy not affected</w:t>
      </w:r>
      <w:bookmarkEnd w:id="72"/>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73" w:name="_Toc192493975"/>
      <w:r>
        <w:rPr>
          <w:rStyle w:val="CharSectno"/>
        </w:rPr>
        <w:t>32</w:t>
      </w:r>
      <w:r>
        <w:rPr>
          <w:snapToGrid w:val="0"/>
        </w:rPr>
        <w:t>.</w:t>
      </w:r>
      <w:r>
        <w:rPr>
          <w:snapToGrid w:val="0"/>
        </w:rPr>
        <w:tab/>
        <w:t>Act applies to convictions incurred before commencement</w:t>
      </w:r>
      <w:bookmarkEnd w:id="73"/>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74" w:name="_Toc192493976"/>
      <w:r>
        <w:rPr>
          <w:rStyle w:val="CharSectno"/>
        </w:rPr>
        <w:t>33</w:t>
      </w:r>
      <w:r>
        <w:rPr>
          <w:snapToGrid w:val="0"/>
        </w:rPr>
        <w:t>.</w:t>
      </w:r>
      <w:r>
        <w:rPr>
          <w:snapToGrid w:val="0"/>
        </w:rPr>
        <w:tab/>
        <w:t>Regulations</w:t>
      </w:r>
      <w:bookmarkEnd w:id="7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75" w:name="_Toc192231546"/>
      <w:bookmarkStart w:id="76" w:name="_Toc192243262"/>
      <w:bookmarkStart w:id="77" w:name="_Toc192243345"/>
      <w:bookmarkStart w:id="78" w:name="_Toc192493593"/>
      <w:bookmarkStart w:id="79" w:name="_Toc192493977"/>
      <w:r>
        <w:rPr>
          <w:rStyle w:val="CharSchNo"/>
        </w:rPr>
        <w:lastRenderedPageBreak/>
        <w:t>Schedule 1</w:t>
      </w:r>
      <w:r>
        <w:t> — </w:t>
      </w:r>
      <w:r>
        <w:rPr>
          <w:rStyle w:val="CharSchText"/>
        </w:rPr>
        <w:t>Provisions relating to application under section 6(1)</w:t>
      </w:r>
      <w:bookmarkEnd w:id="75"/>
      <w:bookmarkEnd w:id="76"/>
      <w:bookmarkEnd w:id="77"/>
      <w:bookmarkEnd w:id="78"/>
      <w:bookmarkEnd w:id="79"/>
    </w:p>
    <w:p>
      <w:pPr>
        <w:pStyle w:val="yShoulderClause"/>
        <w:rPr>
          <w:snapToGrid w:val="0"/>
        </w:rPr>
      </w:pPr>
      <w:r>
        <w:rPr>
          <w:snapToGrid w:val="0"/>
        </w:rPr>
        <w:t>[s. 6(3)]</w:t>
      </w:r>
    </w:p>
    <w:p>
      <w:pPr>
        <w:pStyle w:val="yFootnoteheading"/>
      </w:pPr>
      <w:r>
        <w:tab/>
        <w:t>[Heading amended: No. 19 of 2010 s. 4.]</w:t>
      </w:r>
    </w:p>
    <w:p>
      <w:pPr>
        <w:pStyle w:val="yHeading5"/>
      </w:pPr>
      <w:bookmarkStart w:id="80" w:name="_Toc192493978"/>
      <w:r>
        <w:rPr>
          <w:rStyle w:val="CharSClsNo"/>
        </w:rPr>
        <w:t>1</w:t>
      </w:r>
      <w:r>
        <w:t>.</w:t>
      </w:r>
      <w:r>
        <w:tab/>
        <w:t>Application under s. 6(1)</w:t>
      </w:r>
      <w:bookmarkEnd w:id="80"/>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81" w:name="_Toc192493979"/>
      <w:r>
        <w:rPr>
          <w:rStyle w:val="CharSClsNo"/>
        </w:rPr>
        <w:t>2</w:t>
      </w:r>
      <w:r>
        <w:rPr>
          <w:snapToGrid w:val="0"/>
        </w:rPr>
        <w:t xml:space="preserve">. </w:t>
      </w:r>
      <w:r>
        <w:rPr>
          <w:snapToGrid w:val="0"/>
        </w:rPr>
        <w:tab/>
        <w:t>Parties to application</w:t>
      </w:r>
      <w:bookmarkEnd w:id="81"/>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82" w:name="_Toc192493980"/>
      <w:r>
        <w:rPr>
          <w:rStyle w:val="CharSClsNo"/>
        </w:rPr>
        <w:lastRenderedPageBreak/>
        <w:t>3</w:t>
      </w:r>
      <w:r>
        <w:rPr>
          <w:snapToGrid w:val="0"/>
        </w:rPr>
        <w:t xml:space="preserve">. </w:t>
      </w:r>
      <w:r>
        <w:rPr>
          <w:snapToGrid w:val="0"/>
        </w:rPr>
        <w:tab/>
        <w:t>Hearing of application</w:t>
      </w:r>
      <w:bookmarkEnd w:id="82"/>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83" w:name="_Toc192493981"/>
      <w:r>
        <w:rPr>
          <w:rStyle w:val="CharSClsNo"/>
        </w:rPr>
        <w:t>4</w:t>
      </w:r>
      <w:r>
        <w:rPr>
          <w:snapToGrid w:val="0"/>
        </w:rPr>
        <w:t xml:space="preserve">. </w:t>
      </w:r>
      <w:r>
        <w:rPr>
          <w:snapToGrid w:val="0"/>
        </w:rPr>
        <w:tab/>
        <w:t>Rules of evidence not to apply</w:t>
      </w:r>
      <w:bookmarkEnd w:id="83"/>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84" w:name="_Toc192493982"/>
      <w:r>
        <w:rPr>
          <w:rStyle w:val="CharSClsNo"/>
        </w:rPr>
        <w:t>5</w:t>
      </w:r>
      <w:r>
        <w:rPr>
          <w:snapToGrid w:val="0"/>
        </w:rPr>
        <w:t xml:space="preserve">. </w:t>
      </w:r>
      <w:r>
        <w:rPr>
          <w:snapToGrid w:val="0"/>
        </w:rPr>
        <w:tab/>
        <w:t>Powers of judge and officers</w:t>
      </w:r>
      <w:bookmarkEnd w:id="84"/>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85" w:name="_Toc192493983"/>
      <w:r>
        <w:rPr>
          <w:rStyle w:val="CharSClsNo"/>
        </w:rPr>
        <w:t>6</w:t>
      </w:r>
      <w:r>
        <w:rPr>
          <w:snapToGrid w:val="0"/>
        </w:rPr>
        <w:t xml:space="preserve">. </w:t>
      </w:r>
      <w:r>
        <w:rPr>
          <w:snapToGrid w:val="0"/>
        </w:rPr>
        <w:tab/>
        <w:t>Witnesses</w:t>
      </w:r>
      <w:bookmarkEnd w:id="85"/>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86" w:name="_Toc192493984"/>
      <w:r>
        <w:rPr>
          <w:rStyle w:val="CharSClsNo"/>
        </w:rPr>
        <w:lastRenderedPageBreak/>
        <w:t>7</w:t>
      </w:r>
      <w:r>
        <w:rPr>
          <w:snapToGrid w:val="0"/>
        </w:rPr>
        <w:t xml:space="preserve">. </w:t>
      </w:r>
      <w:r>
        <w:rPr>
          <w:snapToGrid w:val="0"/>
        </w:rPr>
        <w:tab/>
        <w:t>Alternatives to holding hearing</w:t>
      </w:r>
      <w:bookmarkEnd w:id="86"/>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87" w:name="_Toc192493985"/>
      <w:r>
        <w:rPr>
          <w:rStyle w:val="CharSClsNo"/>
        </w:rPr>
        <w:t>8</w:t>
      </w:r>
      <w:r>
        <w:rPr>
          <w:snapToGrid w:val="0"/>
        </w:rPr>
        <w:t xml:space="preserve">. </w:t>
      </w:r>
      <w:r>
        <w:rPr>
          <w:snapToGrid w:val="0"/>
        </w:rPr>
        <w:tab/>
        <w:t>Costs</w:t>
      </w:r>
      <w:bookmarkEnd w:id="87"/>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88" w:name="_Toc192493986"/>
      <w:r>
        <w:rPr>
          <w:rStyle w:val="CharSClsNo"/>
        </w:rPr>
        <w:t>9</w:t>
      </w:r>
      <w:r>
        <w:rPr>
          <w:snapToGrid w:val="0"/>
        </w:rPr>
        <w:t xml:space="preserve">. </w:t>
      </w:r>
      <w:r>
        <w:rPr>
          <w:snapToGrid w:val="0"/>
        </w:rPr>
        <w:tab/>
        <w:t>Court order to be sent to applicant and police</w:t>
      </w:r>
      <w:bookmarkEnd w:id="88"/>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89" w:name="_Toc192231556"/>
      <w:bookmarkStart w:id="90" w:name="_Toc192243272"/>
      <w:bookmarkStart w:id="91" w:name="_Toc192243355"/>
      <w:bookmarkStart w:id="92" w:name="_Toc192493603"/>
      <w:bookmarkStart w:id="93" w:name="_Toc192493987"/>
      <w:r>
        <w:rPr>
          <w:rStyle w:val="CharSchNo"/>
        </w:rPr>
        <w:lastRenderedPageBreak/>
        <w:t>Schedule 2</w:t>
      </w:r>
      <w:r>
        <w:t> — </w:t>
      </w:r>
      <w:r>
        <w:rPr>
          <w:rStyle w:val="CharSchText"/>
        </w:rPr>
        <w:t>Convictions in other jurisdictions</w:t>
      </w:r>
      <w:bookmarkEnd w:id="89"/>
      <w:bookmarkEnd w:id="90"/>
      <w:bookmarkEnd w:id="91"/>
      <w:bookmarkEnd w:id="92"/>
      <w:bookmarkEnd w:id="93"/>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94" w:name="_Toc192493988"/>
      <w:r>
        <w:rPr>
          <w:rStyle w:val="CharSClsNo"/>
        </w:rPr>
        <w:t>1</w:t>
      </w:r>
      <w:r>
        <w:rPr>
          <w:snapToGrid w:val="0"/>
        </w:rPr>
        <w:t xml:space="preserve">. </w:t>
      </w:r>
      <w:r>
        <w:rPr>
          <w:snapToGrid w:val="0"/>
        </w:rPr>
        <w:tab/>
        <w:t>Queensland</w:t>
      </w:r>
      <w:bookmarkEnd w:id="94"/>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95" w:name="_Toc192493989"/>
      <w:r>
        <w:rPr>
          <w:rStyle w:val="CharSClsNo"/>
        </w:rPr>
        <w:t>2</w:t>
      </w:r>
      <w:r>
        <w:rPr>
          <w:snapToGrid w:val="0"/>
        </w:rPr>
        <w:t xml:space="preserve">. </w:t>
      </w:r>
      <w:r>
        <w:rPr>
          <w:snapToGrid w:val="0"/>
        </w:rPr>
        <w:tab/>
        <w:t>Commonwealth and Norfolk Island</w:t>
      </w:r>
      <w:bookmarkEnd w:id="95"/>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96" w:name="_Toc192493990"/>
      <w:r>
        <w:rPr>
          <w:rStyle w:val="CharSClsNo"/>
        </w:rPr>
        <w:t>3</w:t>
      </w:r>
      <w:r>
        <w:rPr>
          <w:snapToGrid w:val="0"/>
        </w:rPr>
        <w:t xml:space="preserve">. </w:t>
      </w:r>
      <w:r>
        <w:rPr>
          <w:snapToGrid w:val="0"/>
        </w:rPr>
        <w:tab/>
      </w:r>
      <w:r>
        <w:rPr>
          <w:rStyle w:val="CharSClsNo"/>
        </w:rPr>
        <w:t>New</w:t>
      </w:r>
      <w:r>
        <w:rPr>
          <w:snapToGrid w:val="0"/>
        </w:rPr>
        <w:t xml:space="preserve"> South Wales</w:t>
      </w:r>
      <w:bookmarkEnd w:id="96"/>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97" w:name="_Toc192231560"/>
      <w:bookmarkStart w:id="98" w:name="_Toc192243276"/>
      <w:bookmarkStart w:id="99" w:name="_Toc192243359"/>
      <w:bookmarkStart w:id="100" w:name="_Toc192493607"/>
      <w:bookmarkStart w:id="101" w:name="_Toc192493991"/>
      <w:r>
        <w:rPr>
          <w:rStyle w:val="CharSchNo"/>
        </w:rPr>
        <w:lastRenderedPageBreak/>
        <w:t>Schedule 3</w:t>
      </w:r>
      <w:r>
        <w:t> — </w:t>
      </w:r>
      <w:r>
        <w:rPr>
          <w:rStyle w:val="CharSchText"/>
        </w:rPr>
        <w:t>Exceptions to Part 3</w:t>
      </w:r>
      <w:bookmarkEnd w:id="97"/>
      <w:bookmarkEnd w:id="98"/>
      <w:bookmarkEnd w:id="99"/>
      <w:bookmarkEnd w:id="100"/>
      <w:bookmarkEnd w:id="101"/>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102" w:name="_Toc192493992"/>
      <w:r>
        <w:rPr>
          <w:rStyle w:val="CharSClsNo"/>
        </w:rPr>
        <w:t>1</w:t>
      </w:r>
      <w:r>
        <w:rPr>
          <w:snapToGrid w:val="0"/>
        </w:rPr>
        <w:t>.</w:t>
      </w:r>
      <w:r>
        <w:rPr>
          <w:snapToGrid w:val="0"/>
        </w:rPr>
        <w:tab/>
      </w:r>
      <w:r>
        <w:t>Exceptions as to all spent convictions</w:t>
      </w:r>
      <w:bookmarkEnd w:id="102"/>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55" w:type="dxa"/>
        <w:tblInd w:w="851" w:type="dxa"/>
        <w:tblLayout w:type="fixed"/>
        <w:tblCellMar>
          <w:left w:w="85" w:type="dxa"/>
          <w:right w:w="85" w:type="dxa"/>
        </w:tblCellMar>
        <w:tblLook w:val="0000" w:firstRow="0" w:lastRow="0" w:firstColumn="0" w:lastColumn="0" w:noHBand="0" w:noVBand="0"/>
      </w:tblPr>
      <w:tblGrid>
        <w:gridCol w:w="4706"/>
        <w:gridCol w:w="1542"/>
        <w:gridCol w:w="7"/>
      </w:tblGrid>
      <w:tr>
        <w:trPr>
          <w:gridAfter w:val="1"/>
          <w:wAfter w:w="7" w:type="dxa"/>
          <w:tblHeader/>
        </w:trPr>
        <w:tc>
          <w:tcPr>
            <w:tcW w:w="4706" w:type="dxa"/>
            <w:tcBorders>
              <w:top w:val="single" w:sz="4" w:space="0" w:color="auto"/>
              <w:bottom w:val="single" w:sz="4" w:space="0" w:color="auto"/>
            </w:tcBorders>
          </w:tcPr>
          <w:p>
            <w:pPr>
              <w:pStyle w:val="yTableNAm"/>
              <w:rPr>
                <w:b/>
                <w:bCs/>
              </w:rPr>
            </w:pPr>
            <w:r>
              <w:rPr>
                <w:b/>
                <w:bCs/>
              </w:rPr>
              <w:t>Person excepted</w:t>
            </w:r>
          </w:p>
        </w:tc>
        <w:tc>
          <w:tcPr>
            <w:tcW w:w="1542"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rPr>
          <w:gridAfter w:val="1"/>
          <w:wAfter w:w="7" w:type="dxa"/>
        </w:trPr>
        <w:tc>
          <w:tcPr>
            <w:tcW w:w="4706" w:type="dxa"/>
          </w:tcPr>
          <w:p>
            <w:pPr>
              <w:pStyle w:val="yTableNAm"/>
              <w:ind w:left="567" w:hanging="567"/>
            </w:pPr>
            <w:r>
              <w:t>1.</w:t>
            </w:r>
            <w:r>
              <w:tab/>
              <w:t>The Prisoners Review Board established by the</w:t>
            </w:r>
            <w:r>
              <w:rPr>
                <w:i/>
              </w:rPr>
              <w:t xml:space="preserve"> Sentence Administration Act 2003</w:t>
            </w:r>
            <w:r>
              <w:t>.</w:t>
            </w:r>
          </w:p>
        </w:tc>
        <w:tc>
          <w:tcPr>
            <w:tcW w:w="1542" w:type="dxa"/>
          </w:tcPr>
          <w:p>
            <w:pPr>
              <w:pStyle w:val="yTableNAm"/>
            </w:pPr>
            <w:r>
              <w:t>Division 4</w:t>
            </w:r>
          </w:p>
        </w:tc>
      </w:tr>
      <w:tr>
        <w:trPr>
          <w:gridAfter w:val="1"/>
          <w:wAfter w:w="7" w:type="dxa"/>
        </w:trPr>
        <w:tc>
          <w:tcPr>
            <w:tcW w:w="4706" w:type="dxa"/>
          </w:tcPr>
          <w:p>
            <w:pPr>
              <w:pStyle w:val="yTableNAm"/>
              <w:ind w:left="568" w:hanging="568"/>
            </w:pPr>
            <w:r>
              <w:t>1A.</w:t>
            </w:r>
            <w:r>
              <w:tab/>
              <w:t xml:space="preserve">The Supervised Release Review Board established under the </w:t>
            </w:r>
            <w:r>
              <w:rPr>
                <w:i/>
              </w:rPr>
              <w:t>Young Offenders Act 1994</w:t>
            </w:r>
            <w:r>
              <w:t>.</w:t>
            </w:r>
          </w:p>
        </w:tc>
        <w:tc>
          <w:tcPr>
            <w:tcW w:w="1542" w:type="dxa"/>
          </w:tcPr>
          <w:p>
            <w:pPr>
              <w:pStyle w:val="yTableNAm"/>
            </w:pPr>
            <w:r>
              <w:t>Division 4</w:t>
            </w:r>
          </w:p>
        </w:tc>
      </w:tr>
      <w:tr>
        <w:trPr>
          <w:gridAfter w:val="1"/>
          <w:wAfter w:w="7" w:type="dxa"/>
        </w:trPr>
        <w:tc>
          <w:tcPr>
            <w:tcW w:w="4706" w:type="dxa"/>
          </w:tcPr>
          <w:p>
            <w:pPr>
              <w:pStyle w:val="yTableNAm"/>
              <w:ind w:left="568" w:hanging="568"/>
            </w:pPr>
            <w:r>
              <w:t>1B.</w:t>
            </w:r>
            <w:r>
              <w:tab/>
              <w:t xml:space="preserve">The Mental Impairment Review Tribunal established by the </w:t>
            </w:r>
            <w:r>
              <w:rPr>
                <w:i/>
              </w:rPr>
              <w:t>Criminal Law (Mental Impairment) Act 2023</w:t>
            </w:r>
            <w:r>
              <w:t>.</w:t>
            </w:r>
          </w:p>
        </w:tc>
        <w:tc>
          <w:tcPr>
            <w:tcW w:w="1542" w:type="dxa"/>
          </w:tcPr>
          <w:p>
            <w:pPr>
              <w:pStyle w:val="yTableNAm"/>
            </w:pPr>
            <w:r>
              <w:t>Division 4</w:t>
            </w:r>
          </w:p>
        </w:tc>
      </w:tr>
      <w:tr>
        <w:trPr>
          <w:gridAfter w:val="1"/>
          <w:wAfter w:w="7" w:type="dxa"/>
        </w:trPr>
        <w:tc>
          <w:tcPr>
            <w:tcW w:w="4706"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2" w:type="dxa"/>
          </w:tcPr>
          <w:p>
            <w:pPr>
              <w:pStyle w:val="yTableNAm"/>
            </w:pPr>
            <w:r>
              <w:t>Division 4</w:t>
            </w:r>
          </w:p>
        </w:tc>
      </w:tr>
      <w:tr>
        <w:trPr>
          <w:gridAfter w:val="1"/>
          <w:wAfter w:w="7" w:type="dxa"/>
        </w:trPr>
        <w:tc>
          <w:tcPr>
            <w:tcW w:w="4706"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2" w:type="dxa"/>
          </w:tcPr>
          <w:p>
            <w:pPr>
              <w:pStyle w:val="yTableNAm"/>
            </w:pPr>
            <w:r>
              <w:t>Section 18 and Division 4</w:t>
            </w:r>
          </w:p>
        </w:tc>
      </w:tr>
      <w:tr>
        <w:trPr>
          <w:gridAfter w:val="1"/>
          <w:wAfter w:w="7" w:type="dxa"/>
        </w:trPr>
        <w:tc>
          <w:tcPr>
            <w:tcW w:w="4706"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2" w:type="dxa"/>
          </w:tcPr>
          <w:p>
            <w:pPr>
              <w:pStyle w:val="yTableNAm"/>
            </w:pPr>
            <w:r>
              <w:t>Division 4</w:t>
            </w:r>
          </w:p>
        </w:tc>
      </w:tr>
      <w:tr>
        <w:trPr>
          <w:gridAfter w:val="1"/>
          <w:wAfter w:w="7" w:type="dxa"/>
          <w:cantSplit/>
        </w:trPr>
        <w:tc>
          <w:tcPr>
            <w:tcW w:w="4706" w:type="dxa"/>
          </w:tcPr>
          <w:p>
            <w:pPr>
              <w:pStyle w:val="yTableNAm"/>
              <w:ind w:left="567" w:hanging="567"/>
            </w:pPr>
            <w:r>
              <w:lastRenderedPageBreak/>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2" w:type="dxa"/>
          </w:tcPr>
          <w:p>
            <w:pPr>
              <w:pStyle w:val="yTableNAm"/>
            </w:pPr>
            <w:r>
              <w:t>Section 18 and Division 4</w:t>
            </w:r>
          </w:p>
        </w:tc>
      </w:tr>
      <w:tr>
        <w:trPr>
          <w:gridAfter w:val="1"/>
          <w:wAfter w:w="7" w:type="dxa"/>
        </w:trPr>
        <w:tc>
          <w:tcPr>
            <w:tcW w:w="4706"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2" w:type="dxa"/>
          </w:tcPr>
          <w:p>
            <w:pPr>
              <w:pStyle w:val="yTableNAm"/>
            </w:pPr>
            <w:r>
              <w:t>Sections 18, 19, 20 and 22 and Division 4</w:t>
            </w:r>
          </w:p>
        </w:tc>
      </w:tr>
      <w:tr>
        <w:tblPrEx>
          <w:tblLook w:val="04A0" w:firstRow="1" w:lastRow="0" w:firstColumn="1" w:lastColumn="0" w:noHBand="0" w:noVBand="1"/>
        </w:tblPrEx>
        <w:tc>
          <w:tcPr>
            <w:tcW w:w="4706" w:type="dxa"/>
            <w:hideMark/>
          </w:tcPr>
          <w:p>
            <w:pPr>
              <w:pStyle w:val="yTableNAm"/>
              <w:ind w:left="567" w:hanging="567"/>
            </w:pPr>
            <w:r>
              <w:t xml:space="preserve">5A. </w:t>
            </w:r>
            <w:r>
              <w:tab/>
              <w:t xml:space="preserve">A person who is employed, or who is being considered for employment, as a custodial officer under the </w:t>
            </w:r>
            <w:r>
              <w:rPr>
                <w:i/>
              </w:rPr>
              <w:t>Young Offenders Act 1994</w:t>
            </w:r>
            <w:r>
              <w:t xml:space="preserve"> section 11(1) or (1a)(a).</w:t>
            </w:r>
          </w:p>
        </w:tc>
        <w:tc>
          <w:tcPr>
            <w:tcW w:w="1549" w:type="dxa"/>
            <w:gridSpan w:val="2"/>
            <w:hideMark/>
          </w:tcPr>
          <w:p>
            <w:pPr>
              <w:pStyle w:val="yTableNAm"/>
            </w:pPr>
            <w:r>
              <w:t>Sections 18, 19, 20 and 22 and Division 4</w:t>
            </w:r>
          </w:p>
        </w:tc>
      </w:tr>
      <w:tr>
        <w:tblPrEx>
          <w:tblLook w:val="04A0" w:firstRow="1" w:lastRow="0" w:firstColumn="1" w:lastColumn="0" w:noHBand="0" w:noVBand="1"/>
        </w:tblPrEx>
        <w:tc>
          <w:tcPr>
            <w:tcW w:w="4706" w:type="dxa"/>
            <w:hideMark/>
          </w:tcPr>
          <w:p>
            <w:pPr>
              <w:pStyle w:val="yTableNAm"/>
              <w:ind w:left="567" w:hanging="567"/>
            </w:pPr>
            <w:r>
              <w:t xml:space="preserve">5B. </w:t>
            </w:r>
            <w:r>
              <w:tab/>
              <w:t xml:space="preserve">A person who is employed, or who is being considered for employment, as an officer or employee under the </w:t>
            </w:r>
            <w:r>
              <w:rPr>
                <w:i/>
              </w:rPr>
              <w:t>Young Offenders Act 1994</w:t>
            </w:r>
            <w:r>
              <w:t xml:space="preserve"> section 11(1a)(b).</w:t>
            </w:r>
          </w:p>
        </w:tc>
        <w:tc>
          <w:tcPr>
            <w:tcW w:w="1549" w:type="dxa"/>
            <w:gridSpan w:val="2"/>
            <w:hideMark/>
          </w:tcPr>
          <w:p>
            <w:pPr>
              <w:pStyle w:val="yTableNAm"/>
            </w:pPr>
            <w:r>
              <w:t>Sections 18, 19, 20 and 22 and Division 4</w:t>
            </w:r>
          </w:p>
        </w:tc>
      </w:tr>
      <w:tr>
        <w:tblPrEx>
          <w:tblLook w:val="04A0" w:firstRow="1" w:lastRow="0" w:firstColumn="1" w:lastColumn="0" w:noHBand="0" w:noVBand="1"/>
        </w:tblPrEx>
        <w:tc>
          <w:tcPr>
            <w:tcW w:w="4706" w:type="dxa"/>
            <w:hideMark/>
          </w:tcPr>
          <w:p>
            <w:pPr>
              <w:pStyle w:val="yTableNAm"/>
              <w:ind w:left="567" w:hanging="567"/>
            </w:pPr>
            <w:r>
              <w:t xml:space="preserve">5C. </w:t>
            </w:r>
            <w:r>
              <w:tab/>
              <w:t xml:space="preserve">A person employed in the Department of Justice who is appointed, or is being considered for appointment, as a Juvenile Justice Team Coordinator under the </w:t>
            </w:r>
            <w:r>
              <w:rPr>
                <w:i/>
              </w:rPr>
              <w:t>Young Offenders Act 1994</w:t>
            </w:r>
            <w:r>
              <w:t xml:space="preserve"> section 36(1).</w:t>
            </w:r>
          </w:p>
        </w:tc>
        <w:tc>
          <w:tcPr>
            <w:tcW w:w="1549" w:type="dxa"/>
            <w:gridSpan w:val="2"/>
            <w:hideMark/>
          </w:tcPr>
          <w:p>
            <w:pPr>
              <w:pStyle w:val="yTableNAm"/>
            </w:pPr>
            <w:r>
              <w:t>Sections 18, 19, 20 and 22 and Division 4</w:t>
            </w:r>
          </w:p>
        </w:tc>
      </w:tr>
      <w:tr>
        <w:tblPrEx>
          <w:tblLook w:val="04A0" w:firstRow="1" w:lastRow="0" w:firstColumn="1" w:lastColumn="0" w:noHBand="0" w:noVBand="1"/>
        </w:tblPrEx>
        <w:trPr>
          <w:cantSplit/>
        </w:trPr>
        <w:tc>
          <w:tcPr>
            <w:tcW w:w="4706" w:type="dxa"/>
            <w:hideMark/>
          </w:tcPr>
          <w:p>
            <w:pPr>
              <w:pStyle w:val="yTableNAm"/>
              <w:ind w:left="567" w:hanging="567"/>
            </w:pPr>
            <w:r>
              <w:lastRenderedPageBreak/>
              <w:t xml:space="preserve">5D. </w:t>
            </w:r>
            <w:r>
              <w:tab/>
              <w:t xml:space="preserve">A person employed in the Department of Justice who is assigned, or is being considered for assignment, as a supervising officer under the </w:t>
            </w:r>
            <w:r>
              <w:rPr>
                <w:i/>
              </w:rPr>
              <w:t>Young Offenders Act 1994</w:t>
            </w:r>
            <w:r>
              <w:t xml:space="preserve"> section 77, 108 or 139.</w:t>
            </w:r>
          </w:p>
        </w:tc>
        <w:tc>
          <w:tcPr>
            <w:tcW w:w="1549" w:type="dxa"/>
            <w:gridSpan w:val="2"/>
            <w:hideMark/>
          </w:tcPr>
          <w:p>
            <w:pPr>
              <w:pStyle w:val="yTableNAm"/>
            </w:pPr>
            <w:r>
              <w:t>Sections 18, 19, 20 and 22 and Division 4</w:t>
            </w:r>
          </w:p>
        </w:tc>
      </w:tr>
      <w:tr>
        <w:tblPrEx>
          <w:tblLook w:val="04A0" w:firstRow="1" w:lastRow="0" w:firstColumn="1" w:lastColumn="0" w:noHBand="0" w:noVBand="1"/>
        </w:tblPrEx>
        <w:tc>
          <w:tcPr>
            <w:tcW w:w="4706" w:type="dxa"/>
            <w:hideMark/>
          </w:tcPr>
          <w:p>
            <w:pPr>
              <w:pStyle w:val="yTableNAm"/>
              <w:ind w:left="567" w:hanging="567"/>
            </w:pPr>
            <w:r>
              <w:t xml:space="preserve">5E. </w:t>
            </w:r>
            <w:r>
              <w:tab/>
              <w:t xml:space="preserve">A person who is a member of the council of an Aboriginal community if the council has entered into, or proposes to enter into, a community supervision agreement under the </w:t>
            </w:r>
            <w:r>
              <w:rPr>
                <w:i/>
              </w:rPr>
              <w:t>Young Offenders Act 1994</w:t>
            </w:r>
            <w:r>
              <w:t xml:space="preserve"> section 17B.</w:t>
            </w:r>
          </w:p>
        </w:tc>
        <w:tc>
          <w:tcPr>
            <w:tcW w:w="1549" w:type="dxa"/>
            <w:gridSpan w:val="2"/>
            <w:hideMark/>
          </w:tcPr>
          <w:p>
            <w:pPr>
              <w:pStyle w:val="yTableNAm"/>
            </w:pPr>
            <w:r>
              <w:t>Division 4</w:t>
            </w:r>
          </w:p>
        </w:tc>
      </w:tr>
      <w:tr>
        <w:tblPrEx>
          <w:tblLook w:val="04A0" w:firstRow="1" w:lastRow="0" w:firstColumn="1" w:lastColumn="0" w:noHBand="0" w:noVBand="1"/>
        </w:tblPrEx>
        <w:tc>
          <w:tcPr>
            <w:tcW w:w="4706" w:type="dxa"/>
            <w:hideMark/>
          </w:tcPr>
          <w:p>
            <w:pPr>
              <w:pStyle w:val="yTableNAm"/>
              <w:ind w:left="567" w:hanging="567"/>
            </w:pPr>
            <w:r>
              <w:t xml:space="preserve">5F. </w:t>
            </w:r>
            <w:r>
              <w:tab/>
              <w:t xml:space="preserve">A person appointed as, or nominated as suitable for appointment as, a monitor of a young person who has an Aboriginal background under the </w:t>
            </w:r>
            <w:r>
              <w:rPr>
                <w:i/>
              </w:rPr>
              <w:t>Young Offenders Act 1994</w:t>
            </w:r>
            <w:r>
              <w:t xml:space="preserve"> section 17C.</w:t>
            </w:r>
          </w:p>
        </w:tc>
        <w:tc>
          <w:tcPr>
            <w:tcW w:w="1549" w:type="dxa"/>
            <w:gridSpan w:val="2"/>
            <w:hideMark/>
          </w:tcPr>
          <w:p>
            <w:pPr>
              <w:pStyle w:val="yTableNAm"/>
            </w:pPr>
            <w:r>
              <w:t>Section 18 and Division 4</w:t>
            </w:r>
          </w:p>
        </w:tc>
      </w:tr>
      <w:tr>
        <w:trPr>
          <w:gridAfter w:val="1"/>
          <w:wAfter w:w="7" w:type="dxa"/>
        </w:trPr>
        <w:tc>
          <w:tcPr>
            <w:tcW w:w="4706" w:type="dxa"/>
          </w:tcPr>
          <w:p>
            <w:pPr>
              <w:pStyle w:val="yTableNAm"/>
              <w:ind w:left="568" w:hanging="568"/>
            </w:pPr>
            <w:r>
              <w:t>6.</w:t>
            </w:r>
            <w:r>
              <w:tab/>
              <w:t xml:space="preserve">A person employed or being considered for employment under the </w:t>
            </w:r>
            <w:r>
              <w:rPr>
                <w:i/>
              </w:rPr>
              <w:t>Gold Corporation Act 1987</w:t>
            </w:r>
            <w:r>
              <w:t>.</w:t>
            </w:r>
          </w:p>
        </w:tc>
        <w:tc>
          <w:tcPr>
            <w:tcW w:w="1542" w:type="dxa"/>
          </w:tcPr>
          <w:p>
            <w:pPr>
              <w:pStyle w:val="yTableNAm"/>
            </w:pPr>
            <w:r>
              <w:t>Section 18 and Division 4</w:t>
            </w:r>
          </w:p>
        </w:tc>
      </w:tr>
      <w:tr>
        <w:trPr>
          <w:gridAfter w:val="1"/>
          <w:wAfter w:w="7" w:type="dxa"/>
        </w:trPr>
        <w:tc>
          <w:tcPr>
            <w:tcW w:w="4706"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2" w:type="dxa"/>
          </w:tcPr>
          <w:p>
            <w:pPr>
              <w:pStyle w:val="yTableNAm"/>
            </w:pPr>
            <w:r>
              <w:t>Section 22 and Division 4</w:t>
            </w:r>
          </w:p>
        </w:tc>
      </w:tr>
      <w:tr>
        <w:trPr>
          <w:gridAfter w:val="1"/>
          <w:wAfter w:w="7" w:type="dxa"/>
        </w:trPr>
        <w:tc>
          <w:tcPr>
            <w:tcW w:w="4706"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2" w:type="dxa"/>
          </w:tcPr>
          <w:p>
            <w:pPr>
              <w:pStyle w:val="yTableNAm"/>
            </w:pPr>
            <w:r>
              <w:t>Section 22 and Division 4</w:t>
            </w:r>
          </w:p>
        </w:tc>
      </w:tr>
      <w:tr>
        <w:trPr>
          <w:gridAfter w:val="1"/>
          <w:wAfter w:w="7" w:type="dxa"/>
        </w:trPr>
        <w:tc>
          <w:tcPr>
            <w:tcW w:w="4706" w:type="dxa"/>
          </w:tcPr>
          <w:p>
            <w:pPr>
              <w:pStyle w:val="yTableNAm"/>
              <w:ind w:left="568" w:hanging="568"/>
            </w:pPr>
            <w:r>
              <w:t>9.</w:t>
            </w:r>
            <w:r>
              <w:tab/>
              <w:t xml:space="preserve">A person applying for the </w:t>
            </w:r>
            <w:r>
              <w:rPr>
                <w:szCs w:val="22"/>
              </w:rPr>
              <w:t xml:space="preserve">grant of a licence, permit or approval under the </w:t>
            </w:r>
            <w:r>
              <w:rPr>
                <w:i/>
                <w:szCs w:val="22"/>
              </w:rPr>
              <w:t>Firearms Act 2024</w:t>
            </w:r>
            <w:r>
              <w:rPr>
                <w:iCs/>
                <w:szCs w:val="22"/>
              </w:rPr>
              <w:t>.</w:t>
            </w:r>
          </w:p>
        </w:tc>
        <w:tc>
          <w:tcPr>
            <w:tcW w:w="1542" w:type="dxa"/>
          </w:tcPr>
          <w:p>
            <w:pPr>
              <w:pStyle w:val="yTableNAm"/>
            </w:pPr>
            <w:r>
              <w:t>Division 4</w:t>
            </w:r>
          </w:p>
        </w:tc>
      </w:tr>
      <w:tr>
        <w:trPr>
          <w:gridAfter w:val="1"/>
          <w:wAfter w:w="7" w:type="dxa"/>
        </w:trPr>
        <w:tc>
          <w:tcPr>
            <w:tcW w:w="4706" w:type="dxa"/>
          </w:tcPr>
          <w:p>
            <w:pPr>
              <w:pStyle w:val="yTableNAm"/>
              <w:ind w:left="568" w:hanging="568"/>
            </w:pPr>
            <w:r>
              <w:t>9A.</w:t>
            </w:r>
            <w:r>
              <w:tab/>
              <w:t xml:space="preserve">A person against whom the Commissioner of Police is considering making a firearms prohibition order under the </w:t>
            </w:r>
            <w:r>
              <w:rPr>
                <w:i/>
                <w:iCs/>
                <w:szCs w:val="18"/>
              </w:rPr>
              <w:t>Firearms Act 2024</w:t>
            </w:r>
            <w:r>
              <w:rPr>
                <w:i/>
                <w:iCs/>
              </w:rPr>
              <w:t xml:space="preserve"> </w:t>
            </w:r>
            <w:r>
              <w:t>Part 8.</w:t>
            </w:r>
          </w:p>
        </w:tc>
        <w:tc>
          <w:tcPr>
            <w:tcW w:w="1542" w:type="dxa"/>
          </w:tcPr>
          <w:p>
            <w:pPr>
              <w:pStyle w:val="yTableNAm"/>
            </w:pPr>
            <w:r>
              <w:t>Division 4</w:t>
            </w:r>
          </w:p>
        </w:tc>
      </w:tr>
      <w:tr>
        <w:trPr>
          <w:gridAfter w:val="1"/>
          <w:wAfter w:w="7" w:type="dxa"/>
          <w:cantSplit/>
        </w:trPr>
        <w:tc>
          <w:tcPr>
            <w:tcW w:w="4706" w:type="dxa"/>
          </w:tcPr>
          <w:p>
            <w:pPr>
              <w:pStyle w:val="yTableNAm"/>
              <w:ind w:left="567" w:hanging="567"/>
            </w:pPr>
            <w:r>
              <w:lastRenderedPageBreak/>
              <w:t>10.</w:t>
            </w:r>
            <w:r>
              <w:tab/>
              <w:t xml:space="preserve">A person employed in the Department of </w:t>
            </w:r>
            <w:r>
              <w:rPr>
                <w:szCs w:val="22"/>
              </w:rPr>
              <w:t>Justice</w:t>
            </w:r>
            <w:r>
              <w:t xml:space="preserve"> when (in the course of the person’s duties) assessing, reporting about or classifying persons charged with or convicted of offences.</w:t>
            </w:r>
          </w:p>
        </w:tc>
        <w:tc>
          <w:tcPr>
            <w:tcW w:w="1542" w:type="dxa"/>
          </w:tcPr>
          <w:p>
            <w:pPr>
              <w:pStyle w:val="yTableNAm"/>
            </w:pPr>
            <w:r>
              <w:t>Division 4</w:t>
            </w:r>
          </w:p>
        </w:tc>
      </w:tr>
      <w:tr>
        <w:trPr>
          <w:gridAfter w:val="1"/>
          <w:wAfter w:w="7" w:type="dxa"/>
          <w:cantSplit/>
        </w:trPr>
        <w:tc>
          <w:tcPr>
            <w:tcW w:w="4706"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2" w:type="dxa"/>
          </w:tcPr>
          <w:p>
            <w:pPr>
              <w:pStyle w:val="yTableNAm"/>
            </w:pPr>
            <w:r>
              <w:t>Division 4</w:t>
            </w:r>
          </w:p>
        </w:tc>
      </w:tr>
      <w:tr>
        <w:trPr>
          <w:gridAfter w:val="1"/>
          <w:wAfter w:w="7" w:type="dxa"/>
          <w:cantSplit/>
        </w:trPr>
        <w:tc>
          <w:tcPr>
            <w:tcW w:w="4706"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w:t>
            </w:r>
            <w:r>
              <w:rPr>
                <w:szCs w:val="22"/>
              </w:rPr>
              <w:t>or Deputy Commissioner</w:t>
            </w:r>
            <w:r>
              <w:t xml:space="preserve"> under the </w:t>
            </w:r>
            <w:r>
              <w:rPr>
                <w:i/>
                <w:szCs w:val="22"/>
              </w:rPr>
              <w:t>Corruption, Crime and Misconduct Act 2003</w:t>
            </w:r>
            <w:r>
              <w:t>;</w:t>
            </w:r>
          </w:p>
        </w:tc>
        <w:tc>
          <w:tcPr>
            <w:tcW w:w="1542" w:type="dxa"/>
          </w:tcPr>
          <w:p>
            <w:pPr>
              <w:pStyle w:val="yTableNAm"/>
              <w:rPr>
                <w:spacing w:val="-8"/>
              </w:rPr>
            </w:pPr>
            <w:r>
              <w:rPr>
                <w:spacing w:val="-8"/>
              </w:rPr>
              <w:t>Section 18 and Division 4</w:t>
            </w:r>
          </w:p>
        </w:tc>
      </w:tr>
      <w:tr>
        <w:trPr>
          <w:gridAfter w:val="1"/>
          <w:wAfter w:w="7" w:type="dxa"/>
          <w:cantSplit/>
        </w:trPr>
        <w:tc>
          <w:tcPr>
            <w:tcW w:w="4706"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2" w:type="dxa"/>
          </w:tcPr>
          <w:p>
            <w:pPr>
              <w:pStyle w:val="yTableNAm"/>
              <w:rPr>
                <w:spacing w:val="-8"/>
              </w:rPr>
            </w:pPr>
          </w:p>
        </w:tc>
      </w:tr>
      <w:tr>
        <w:trPr>
          <w:gridAfter w:val="1"/>
          <w:wAfter w:w="7" w:type="dxa"/>
          <w:cantSplit/>
        </w:trPr>
        <w:tc>
          <w:tcPr>
            <w:tcW w:w="4706"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2" w:type="dxa"/>
          </w:tcPr>
          <w:p>
            <w:pPr>
              <w:pStyle w:val="yTableNAm"/>
              <w:rPr>
                <w:spacing w:val="-8"/>
              </w:rPr>
            </w:pPr>
          </w:p>
        </w:tc>
      </w:tr>
      <w:tr>
        <w:trPr>
          <w:gridAfter w:val="1"/>
          <w:wAfter w:w="7" w:type="dxa"/>
          <w:cantSplit/>
        </w:trPr>
        <w:tc>
          <w:tcPr>
            <w:tcW w:w="4706"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tabs>
                <w:tab w:val="left" w:pos="1048"/>
              </w:tabs>
              <w:ind w:left="1048" w:hanging="1048"/>
            </w:pPr>
            <w:r>
              <w:lastRenderedPageBreak/>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2" w:type="dxa"/>
          </w:tcPr>
          <w:p>
            <w:pPr>
              <w:pStyle w:val="yTableNAm"/>
              <w:rPr>
                <w:iCs/>
              </w:rPr>
            </w:pPr>
            <w:r>
              <w:t>Sections 18, 20 and 22 and Division 4</w:t>
            </w:r>
          </w:p>
        </w:tc>
      </w:tr>
      <w:tr>
        <w:trPr>
          <w:gridAfter w:val="1"/>
          <w:wAfter w:w="7" w:type="dxa"/>
        </w:trPr>
        <w:tc>
          <w:tcPr>
            <w:tcW w:w="4706"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lastRenderedPageBreak/>
              <w:tab/>
              <w:t>(b)</w:t>
            </w:r>
            <w:r>
              <w:tab/>
              <w:t>who holds, or who is applying to be issued with, a permit to do high</w:t>
            </w:r>
            <w:r>
              <w:noBreakHyphen/>
              <w:t>level security work as defined in that Act.</w:t>
            </w:r>
          </w:p>
        </w:tc>
        <w:tc>
          <w:tcPr>
            <w:tcW w:w="1542" w:type="dxa"/>
          </w:tcPr>
          <w:p>
            <w:pPr>
              <w:pStyle w:val="yTableNAm"/>
            </w:pPr>
            <w:r>
              <w:lastRenderedPageBreak/>
              <w:t>Sections 18, 19, 20 and 22 and Division 4</w:t>
            </w:r>
          </w:p>
        </w:tc>
      </w:tr>
      <w:tr>
        <w:trPr>
          <w:gridAfter w:val="1"/>
          <w:wAfter w:w="7" w:type="dxa"/>
          <w:cantSplit/>
        </w:trPr>
        <w:tc>
          <w:tcPr>
            <w:tcW w:w="4706"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2" w:type="dxa"/>
          </w:tcPr>
          <w:p>
            <w:pPr>
              <w:pStyle w:val="yTableNAm"/>
            </w:pPr>
            <w:r>
              <w:t>Division 4</w:t>
            </w:r>
          </w:p>
        </w:tc>
      </w:tr>
      <w:tr>
        <w:trPr>
          <w:gridAfter w:val="1"/>
          <w:wAfter w:w="7" w:type="dxa"/>
        </w:trPr>
        <w:tc>
          <w:tcPr>
            <w:tcW w:w="4706"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lastRenderedPageBreak/>
              <w:tab/>
              <w:t>(e)</w:t>
            </w:r>
            <w:r>
              <w:tab/>
              <w:t>who provides, or has offered to provide, services on a voluntary basis for the purposes referred to in paragraph (b).</w:t>
            </w:r>
          </w:p>
        </w:tc>
        <w:tc>
          <w:tcPr>
            <w:tcW w:w="1542" w:type="dxa"/>
          </w:tcPr>
          <w:p>
            <w:pPr>
              <w:pStyle w:val="yTableNAm"/>
            </w:pPr>
            <w:r>
              <w:lastRenderedPageBreak/>
              <w:t>Sections 18 and 20 and Division 4</w:t>
            </w:r>
          </w:p>
        </w:tc>
      </w:tr>
      <w:tr>
        <w:trPr>
          <w:gridAfter w:val="1"/>
          <w:wAfter w:w="7" w:type="dxa"/>
        </w:trPr>
        <w:tc>
          <w:tcPr>
            <w:tcW w:w="4706"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2" w:type="dxa"/>
            <w:tcBorders>
              <w:bottom w:val="single" w:sz="4" w:space="0" w:color="auto"/>
            </w:tcBorders>
          </w:tcPr>
          <w:p>
            <w:pPr>
              <w:pStyle w:val="yTableNAm"/>
              <w:spacing w:before="100"/>
            </w:pPr>
            <w:r>
              <w:t>Sections 18 and 20 and Division 4</w:t>
            </w:r>
          </w:p>
        </w:tc>
      </w:tr>
    </w:tbl>
    <w:p>
      <w:pPr>
        <w:pStyle w:val="ySubsection"/>
        <w:keepNext/>
        <w:spacing w:before="120"/>
      </w:pPr>
      <w:r>
        <w:lastRenderedPageBreak/>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w:t>
            </w:r>
            <w:r>
              <w:lastRenderedPageBreak/>
              <w:t>the governing body in an application for registration made under section 193 of that Act.</w:t>
            </w:r>
          </w:p>
        </w:tc>
      </w:tr>
      <w:tr>
        <w:tc>
          <w:tcPr>
            <w:tcW w:w="6237" w:type="dxa"/>
          </w:tcPr>
          <w:p>
            <w:pPr>
              <w:pStyle w:val="yTableNAm"/>
              <w:spacing w:before="100"/>
              <w:ind w:left="568" w:hanging="568"/>
            </w:pPr>
            <w:r>
              <w:lastRenderedPageBreak/>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lastRenderedPageBreak/>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lastRenderedPageBreak/>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 xml:space="preserve">A person who is a member, or who is being considered for membership, of a committee or other body advising the Minister for Community Development or the Director General of the Department for Community </w:t>
            </w:r>
            <w:r>
              <w:lastRenderedPageBreak/>
              <w:t>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lastRenderedPageBreak/>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lastRenderedPageBreak/>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lastRenderedPageBreak/>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w:t>
            </w:r>
            <w:r>
              <w:lastRenderedPageBreak/>
              <w:t xml:space="preserve">Commission under Part 4 or 4A of the </w:t>
            </w:r>
            <w:r>
              <w:rPr>
                <w:i/>
              </w:rPr>
              <w:t>Disability Services Act 1993</w:t>
            </w:r>
            <w:r>
              <w:t>.</w:t>
            </w:r>
          </w:p>
        </w:tc>
      </w:tr>
      <w:tr>
        <w:tc>
          <w:tcPr>
            <w:tcW w:w="6237" w:type="dxa"/>
          </w:tcPr>
          <w:p>
            <w:pPr>
              <w:pStyle w:val="yTableNAm"/>
              <w:ind w:left="568" w:hanging="568"/>
            </w:pPr>
            <w:r>
              <w:lastRenderedPageBreak/>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lastRenderedPageBreak/>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 No. 10 of 2023 s. 409 and 411; SL 2023/121 r. 4; No. 5 of 2024 s. 32; SL 2024/153 r. 4; No. 23 of 2024 s. 493; SL 2024/290 r. 4.]</w:t>
      </w:r>
    </w:p>
    <w:p>
      <w:pPr>
        <w:pStyle w:val="yHeading5"/>
        <w:rPr>
          <w:snapToGrid w:val="0"/>
        </w:rPr>
      </w:pPr>
      <w:bookmarkStart w:id="103" w:name="_Toc192493993"/>
      <w:r>
        <w:rPr>
          <w:rStyle w:val="CharSClsNo"/>
        </w:rPr>
        <w:lastRenderedPageBreak/>
        <w:t>2</w:t>
      </w:r>
      <w:r>
        <w:rPr>
          <w:snapToGrid w:val="0"/>
        </w:rPr>
        <w:t xml:space="preserve">. </w:t>
      </w:r>
      <w:r>
        <w:rPr>
          <w:snapToGrid w:val="0"/>
        </w:rPr>
        <w:tab/>
        <w:t>Exceptions as to spent convictions for certain offences in order to protect children</w:t>
      </w:r>
      <w:bookmarkEnd w:id="103"/>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851"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lastRenderedPageBreak/>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lastRenderedPageBreak/>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 xml:space="preserve">Working with Children </w:t>
            </w:r>
            <w:r>
              <w:rPr>
                <w:i/>
                <w:szCs w:val="22"/>
              </w:rPr>
              <w:t xml:space="preserve">(Screening) </w:t>
            </w:r>
            <w:r>
              <w:rPr>
                <w:i/>
              </w:rPr>
              <w:t>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 xml:space="preserve">Working with Children </w:t>
            </w:r>
            <w:r>
              <w:rPr>
                <w:i/>
                <w:szCs w:val="22"/>
              </w:rPr>
              <w:t xml:space="preserve">(Screening) </w:t>
            </w:r>
            <w:r>
              <w:rPr>
                <w:i/>
              </w:rPr>
              <w:t>Act 2004</w:t>
            </w:r>
            <w:r>
              <w:t>.</w:t>
            </w:r>
          </w:p>
        </w:tc>
      </w:tr>
      <w:tr>
        <w:trPr>
          <w:cantSplit/>
        </w:trPr>
        <w:tc>
          <w:tcPr>
            <w:tcW w:w="6237" w:type="dxa"/>
          </w:tcPr>
          <w:p>
            <w:pPr>
              <w:pStyle w:val="yTableNAm"/>
              <w:ind w:left="568" w:hanging="568"/>
            </w:pPr>
            <w:r>
              <w:t>2A.</w:t>
            </w:r>
            <w:r>
              <w:tab/>
              <w:t xml:space="preserve">A person making, or giving effect to, a request for a report, documents or information under the </w:t>
            </w:r>
            <w:r>
              <w:rPr>
                <w:i/>
              </w:rPr>
              <w:t>Working with Children (Screening) Act 2004</w:t>
            </w:r>
            <w:r>
              <w:t xml:space="preserve"> section 9, 10, 13, 33A, 34A, 34C, 34E or 34I.</w:t>
            </w:r>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w:t>
            </w:r>
            <w:r>
              <w:rPr>
                <w:i/>
                <w:szCs w:val="22"/>
              </w:rPr>
              <w:t xml:space="preserve">(Screening) </w:t>
            </w:r>
            <w:r>
              <w:rPr>
                <w:i/>
                <w:iCs/>
                <w:szCs w:val="22"/>
              </w:rPr>
              <w:t xml:space="preserve">Act 2004 </w:t>
            </w:r>
            <w:r>
              <w:rPr>
                <w:iCs/>
                <w:szCs w:val="22"/>
              </w:rPr>
              <w:t>section </w:t>
            </w:r>
            <w:r>
              <w:t>33A</w:t>
            </w:r>
            <w:r>
              <w:rPr>
                <w:szCs w:val="22"/>
              </w:rPr>
              <w:t>, 34I or</w:t>
            </w:r>
            <w:r>
              <w:rPr>
                <w:iCs/>
                <w:szCs w:val="22"/>
              </w:rPr>
              <w:t xml:space="preserve"> 39A </w:t>
            </w:r>
            <w:r>
              <w:rPr>
                <w:szCs w:val="22"/>
              </w:rPr>
              <w:t>applies.</w:t>
            </w:r>
          </w:p>
        </w:tc>
      </w:tr>
    </w:tbl>
    <w:p>
      <w:pPr>
        <w:pStyle w:val="ySubsection"/>
        <w:spacing w:before="200"/>
      </w:pPr>
      <w:r>
        <w:tab/>
        <w:t>(7)</w:t>
      </w:r>
      <w:r>
        <w:tab/>
        <w:t xml:space="preserve">The CEO as defined in the </w:t>
      </w:r>
      <w:r>
        <w:rPr>
          <w:i/>
          <w:iCs/>
        </w:rPr>
        <w:t xml:space="preserve">Working with Children </w:t>
      </w:r>
      <w:r>
        <w:rPr>
          <w:i/>
          <w:szCs w:val="22"/>
        </w:rPr>
        <w:t xml:space="preserve">(Screening) </w:t>
      </w:r>
      <w:r>
        <w:rPr>
          <w:i/>
          <w:iCs/>
        </w:rPr>
        <w:t>Act 2004</w:t>
      </w:r>
      <w:r>
        <w:t xml:space="preserve"> section 4 is excepted from the provisions of section 28(1) in respect of all spent convictions in disclosing information under </w:t>
      </w:r>
      <w:r>
        <w:rPr>
          <w:szCs w:val="22"/>
        </w:rPr>
        <w:t>section 34D of that Act if the person or body to whom or to which the information is disclosed is</w:t>
      </w:r>
      <w:r>
        <w:t xml:space="preserve">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 xml:space="preserve">Working with Children </w:t>
      </w:r>
      <w:r>
        <w:rPr>
          <w:i/>
          <w:szCs w:val="22"/>
        </w:rPr>
        <w:t xml:space="preserve">(Screening) </w:t>
      </w:r>
      <w:r>
        <w:rPr>
          <w:i/>
        </w:rPr>
        <w:t>Act 2004</w:t>
      </w:r>
      <w:r>
        <w:t xml:space="preserve"> section 4; or</w:t>
      </w:r>
    </w:p>
    <w:p>
      <w:pPr>
        <w:pStyle w:val="yIndenta"/>
      </w:pPr>
      <w:r>
        <w:tab/>
        <w:t>(b)</w:t>
      </w:r>
      <w:r>
        <w:tab/>
        <w:t xml:space="preserve">a corresponding authority as defined in the </w:t>
      </w:r>
      <w:r>
        <w:rPr>
          <w:i/>
        </w:rPr>
        <w:t xml:space="preserve">Working with Children </w:t>
      </w:r>
      <w:r>
        <w:rPr>
          <w:i/>
          <w:szCs w:val="22"/>
        </w:rPr>
        <w:t xml:space="preserve">(Screening) </w:t>
      </w:r>
      <w:r>
        <w:rPr>
          <w:i/>
        </w:rPr>
        <w:t>Act 2004</w:t>
      </w:r>
      <w:r>
        <w:t xml:space="preserve"> </w:t>
      </w:r>
      <w:r>
        <w:rPr>
          <w:szCs w:val="22"/>
        </w:rPr>
        <w:t>section 4 and that corresponding authority</w:t>
      </w:r>
      <w:r>
        <w:t xml:space="preserve">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 No. 47 of 2022 s. 52(1)</w:t>
      </w:r>
      <w:r>
        <w:noBreakHyphen/>
        <w:t>(3) and (5).]</w:t>
      </w:r>
    </w:p>
    <w:p>
      <w:pPr>
        <w:pStyle w:val="yHeading5"/>
      </w:pPr>
      <w:bookmarkStart w:id="104" w:name="_Toc192493994"/>
      <w:r>
        <w:rPr>
          <w:rStyle w:val="CharSClsNo"/>
        </w:rPr>
        <w:lastRenderedPageBreak/>
        <w:t>3</w:t>
      </w:r>
      <w:r>
        <w:t>.</w:t>
      </w:r>
      <w:r>
        <w:tab/>
        <w:t xml:space="preserve">Exceptions as to spent convictions relating to the </w:t>
      </w:r>
      <w:r>
        <w:rPr>
          <w:iCs/>
        </w:rPr>
        <w:t>protection of people with disability</w:t>
      </w:r>
      <w:bookmarkEnd w:id="104"/>
    </w:p>
    <w:p>
      <w:pPr>
        <w:pStyle w:val="ySubsection"/>
        <w:keepNext/>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keepNext/>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 xml:space="preserve">National Disability Insurance Scheme (Worker Screening) </w:t>
      </w:r>
      <w:r>
        <w:rPr>
          <w:i/>
        </w:rPr>
        <w:lastRenderedPageBreak/>
        <w:t>Act 2020</w:t>
      </w:r>
      <w:r>
        <w:t xml:space="preserve"> and that person or body is a person prescribed under section 28(2).</w:t>
      </w:r>
    </w:p>
    <w:p>
      <w:pPr>
        <w:pStyle w:val="ySubsection"/>
        <w:keepNext/>
      </w:pPr>
      <w:r>
        <w:tab/>
        <w:t>(3)</w:t>
      </w:r>
      <w:r>
        <w:tab/>
        <w:t xml:space="preserve">The CEO as defined in the </w:t>
      </w:r>
      <w:r>
        <w:rPr>
          <w:i/>
        </w:rPr>
        <w:t xml:space="preserve">Working with Children </w:t>
      </w:r>
      <w:r>
        <w:rPr>
          <w:i/>
          <w:szCs w:val="22"/>
        </w:rPr>
        <w:t xml:space="preserve">(Screening) </w:t>
      </w:r>
      <w:r>
        <w:rPr>
          <w:i/>
        </w:rPr>
        <w:t xml:space="preserve">Act 2004 </w:t>
      </w:r>
      <w:r>
        <w:t xml:space="preserve">section 4 is excepted from the provisions of section 28(1) in respect of all spent convictions in disclosing information under </w:t>
      </w:r>
      <w:r>
        <w:rPr>
          <w:szCs w:val="22"/>
        </w:rPr>
        <w:t>section 34E</w:t>
      </w:r>
      <w:r>
        <w:t xml:space="preserve">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keepNext/>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86(3); amended: No. 47 of 2022 s. 52(4) and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06" w:name="_Toc192231564"/>
      <w:bookmarkStart w:id="107" w:name="_Toc192243280"/>
      <w:bookmarkStart w:id="108" w:name="_Toc192243363"/>
      <w:bookmarkStart w:id="109" w:name="_Toc192493611"/>
      <w:bookmarkStart w:id="110" w:name="_Toc192493995"/>
      <w:r>
        <w:lastRenderedPageBreak/>
        <w:t>Notes</w:t>
      </w:r>
      <w:bookmarkEnd w:id="106"/>
      <w:bookmarkEnd w:id="107"/>
      <w:bookmarkEnd w:id="108"/>
      <w:bookmarkEnd w:id="109"/>
      <w:bookmarkEnd w:id="110"/>
    </w:p>
    <w:p>
      <w:pPr>
        <w:pStyle w:val="nStatement"/>
      </w:pPr>
      <w:r>
        <w:t xml:space="preserve">This is a compilation of the </w:t>
      </w:r>
      <w:r>
        <w:rPr>
          <w:i/>
          <w:noProof/>
        </w:rPr>
        <w:t>Spent Convictions Act 1988</w:t>
      </w:r>
      <w:r>
        <w:t xml:space="preserve"> and includes amendments made by other written laws</w:t>
      </w:r>
      <w:r>
        <w:rPr>
          <w:vertAlign w:val="superscript"/>
        </w:rPr>
        <w:t> 6, 7</w:t>
      </w:r>
      <w:r>
        <w:t xml:space="preserve">. For provisions that have come into operation, and for information about any reprints, see the compilation table. </w:t>
      </w:r>
    </w:p>
    <w:p>
      <w:pPr>
        <w:pStyle w:val="nHeading3"/>
      </w:pPr>
      <w:bookmarkStart w:id="111" w:name="_Toc192493996"/>
      <w:r>
        <w:t>Compilation table</w:t>
      </w:r>
      <w:bookmarkEnd w:id="111"/>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7"/>
        <w:gridCol w:w="2240"/>
        <w:gridCol w:w="26"/>
        <w:gridCol w:w="1108"/>
        <w:gridCol w:w="25"/>
        <w:gridCol w:w="43"/>
        <w:gridCol w:w="8"/>
        <w:gridCol w:w="1058"/>
        <w:gridCol w:w="25"/>
        <w:gridCol w:w="57"/>
        <w:gridCol w:w="2470"/>
        <w:gridCol w:w="24"/>
      </w:tblGrid>
      <w:tr>
        <w:trPr>
          <w:gridAfter w:val="1"/>
          <w:wAfter w:w="24" w:type="dxa"/>
          <w:tblHeader/>
        </w:trPr>
        <w:tc>
          <w:tcPr>
            <w:tcW w:w="2267"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1"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1"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1"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1"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1"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1"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1"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1"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1"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1"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lastRenderedPageBreak/>
              <w:t xml:space="preserve">Spent Convictions (Act Amendment) Regulations (No. 2) 1998 </w:t>
            </w:r>
            <w:r>
              <w:t>published:</w:t>
            </w:r>
            <w:r>
              <w:rPr>
                <w:i/>
              </w:rPr>
              <w:t xml:space="preserve"> Gazette </w:t>
            </w:r>
            <w:r>
              <w:t>5 May 1998 p. 2331</w:t>
            </w:r>
          </w:p>
        </w:tc>
        <w:tc>
          <w:tcPr>
            <w:tcW w:w="2551"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1"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1"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1"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1"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1"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1"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1"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1"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1"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1"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1"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2003 </w:t>
            </w:r>
            <w:r>
              <w:t>published:</w:t>
            </w:r>
            <w:r>
              <w:rPr>
                <w:i/>
              </w:rPr>
              <w:t xml:space="preserve"> Gazette</w:t>
            </w:r>
            <w:r>
              <w:t xml:space="preserve"> 30 Dec 2003 p. 5726</w:t>
            </w:r>
            <w:r>
              <w:noBreakHyphen/>
              <w:t>7</w:t>
            </w:r>
          </w:p>
        </w:tc>
        <w:tc>
          <w:tcPr>
            <w:tcW w:w="2551"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snapToGrid w:val="0"/>
              </w:rPr>
              <w:lastRenderedPageBreak/>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1"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1"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1"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1"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1"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1"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1"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7"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1"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7" w:type="dxa"/>
          <w:cantSplit/>
        </w:trPr>
        <w:tc>
          <w:tcPr>
            <w:tcW w:w="7084"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1"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1"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1"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70"/>
              <w:rPr>
                <w:iCs/>
              </w:rPr>
            </w:pPr>
            <w:r>
              <w:rPr>
                <w:i/>
                <w:iCs/>
                <w:snapToGrid w:val="0"/>
              </w:rPr>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1"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iCs/>
              </w:rPr>
              <w:lastRenderedPageBreak/>
              <w:t>Spent Convictions (Act Amendment) Regulations (No. 2) 2009</w:t>
            </w:r>
            <w:r>
              <w:t xml:space="preserve"> published:</w:t>
            </w:r>
            <w:r>
              <w:rPr>
                <w:i/>
              </w:rPr>
              <w:t xml:space="preserve"> Gazette</w:t>
            </w:r>
            <w:r>
              <w:t xml:space="preserve"> 29 Jan 2010 p. 197-9</w:t>
            </w:r>
          </w:p>
        </w:tc>
        <w:tc>
          <w:tcPr>
            <w:tcW w:w="2551"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1"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1"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1"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1"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1"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1"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1"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7"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40"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8"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7" w:type="dxa"/>
          <w:cantSplit/>
        </w:trPr>
        <w:tc>
          <w:tcPr>
            <w:tcW w:w="4590"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snapToGrid w:val="0"/>
              </w:rPr>
              <w:lastRenderedPageBreak/>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1"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1"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1"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1"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1"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1"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top w:val="nil"/>
              <w:bottom w:val="nil"/>
            </w:tcBorders>
            <w:shd w:val="clear" w:color="auto" w:fill="auto"/>
          </w:tcPr>
          <w:p>
            <w:pPr>
              <w:pStyle w:val="nTable"/>
              <w:spacing w:after="40"/>
            </w:pPr>
            <w:r>
              <w:t>9 of 2022</w:t>
            </w:r>
          </w:p>
        </w:tc>
        <w:tc>
          <w:tcPr>
            <w:tcW w:w="1191" w:type="dxa"/>
            <w:gridSpan w:val="5"/>
            <w:tcBorders>
              <w:top w:val="nil"/>
              <w:bottom w:val="nil"/>
            </w:tcBorders>
            <w:shd w:val="clear" w:color="auto" w:fill="auto"/>
          </w:tcPr>
          <w:p>
            <w:pPr>
              <w:pStyle w:val="nTable"/>
              <w:spacing w:after="40"/>
            </w:pPr>
            <w:r>
              <w:t>14 Apr 2022</w:t>
            </w:r>
          </w:p>
        </w:tc>
        <w:tc>
          <w:tcPr>
            <w:tcW w:w="2494" w:type="dxa"/>
            <w:gridSpan w:val="2"/>
            <w:tcBorders>
              <w:top w:val="nil"/>
              <w:bottom w:val="nil"/>
            </w:tcBorders>
            <w:shd w:val="clear" w:color="auto" w:fill="auto"/>
          </w:tcPr>
          <w:p>
            <w:pPr>
              <w:pStyle w:val="nTable"/>
              <w:spacing w:after="40"/>
            </w:pPr>
            <w:r>
              <w:rPr>
                <w:snapToGrid w:val="0"/>
              </w:rPr>
              <w:t>1 Jul 2022 (see s. 2(c) and SL 2022/113 cl. 2)</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rPr>
            </w:pPr>
            <w:r>
              <w:rPr>
                <w:i/>
              </w:rPr>
              <w:t xml:space="preserve">Working with Children (Criminal Record Checking) Amendment Act 2022 </w:t>
            </w:r>
            <w:r>
              <w:t>Pt. 3 Div. 2</w:t>
            </w:r>
          </w:p>
        </w:tc>
        <w:tc>
          <w:tcPr>
            <w:tcW w:w="1133" w:type="dxa"/>
            <w:gridSpan w:val="2"/>
            <w:tcBorders>
              <w:top w:val="nil"/>
              <w:bottom w:val="nil"/>
            </w:tcBorders>
            <w:shd w:val="clear" w:color="auto" w:fill="auto"/>
          </w:tcPr>
          <w:p>
            <w:pPr>
              <w:pStyle w:val="nTable"/>
              <w:spacing w:after="40"/>
            </w:pPr>
            <w:r>
              <w:t>47 of 2022</w:t>
            </w:r>
          </w:p>
        </w:tc>
        <w:tc>
          <w:tcPr>
            <w:tcW w:w="1191" w:type="dxa"/>
            <w:gridSpan w:val="5"/>
            <w:tcBorders>
              <w:top w:val="nil"/>
              <w:bottom w:val="nil"/>
            </w:tcBorders>
            <w:shd w:val="clear" w:color="auto" w:fill="auto"/>
          </w:tcPr>
          <w:p>
            <w:pPr>
              <w:pStyle w:val="nTable"/>
              <w:spacing w:after="40"/>
            </w:pPr>
            <w:r>
              <w:t>7 Dec 2022</w:t>
            </w:r>
          </w:p>
        </w:tc>
        <w:tc>
          <w:tcPr>
            <w:tcW w:w="2494" w:type="dxa"/>
            <w:gridSpan w:val="2"/>
            <w:tcBorders>
              <w:top w:val="nil"/>
              <w:bottom w:val="nil"/>
            </w:tcBorders>
            <w:shd w:val="clear" w:color="auto" w:fill="auto"/>
          </w:tcPr>
          <w:p>
            <w:pPr>
              <w:pStyle w:val="nTable"/>
              <w:spacing w:after="40"/>
              <w:rPr>
                <w:snapToGrid w:val="0"/>
              </w:rPr>
            </w:pPr>
            <w:r>
              <w:t>1 Jul 2023 (see s. 2(b) and SL 2023/90 cl. 2)</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rPr>
            </w:pPr>
            <w:r>
              <w:rPr>
                <w:i/>
              </w:rPr>
              <w:t>Criminal Law (Mental Impairment) Act 2023</w:t>
            </w:r>
            <w:r>
              <w:t xml:space="preserve"> s. 409 and 411</w:t>
            </w:r>
          </w:p>
        </w:tc>
        <w:tc>
          <w:tcPr>
            <w:tcW w:w="1133" w:type="dxa"/>
            <w:gridSpan w:val="2"/>
            <w:tcBorders>
              <w:top w:val="nil"/>
              <w:bottom w:val="nil"/>
            </w:tcBorders>
            <w:shd w:val="clear" w:color="auto" w:fill="auto"/>
          </w:tcPr>
          <w:p>
            <w:pPr>
              <w:pStyle w:val="nTable"/>
              <w:spacing w:after="40"/>
            </w:pPr>
            <w:r>
              <w:t>10 of 2023</w:t>
            </w:r>
          </w:p>
        </w:tc>
        <w:tc>
          <w:tcPr>
            <w:tcW w:w="1191" w:type="dxa"/>
            <w:gridSpan w:val="5"/>
            <w:tcBorders>
              <w:top w:val="nil"/>
              <w:bottom w:val="nil"/>
            </w:tcBorders>
            <w:shd w:val="clear" w:color="auto" w:fill="auto"/>
          </w:tcPr>
          <w:p>
            <w:pPr>
              <w:pStyle w:val="nTable"/>
              <w:spacing w:after="40"/>
            </w:pPr>
            <w:r>
              <w:t>13 Apr 2023</w:t>
            </w:r>
          </w:p>
        </w:tc>
        <w:tc>
          <w:tcPr>
            <w:tcW w:w="2494" w:type="dxa"/>
            <w:gridSpan w:val="2"/>
            <w:tcBorders>
              <w:top w:val="nil"/>
              <w:bottom w:val="nil"/>
            </w:tcBorders>
            <w:shd w:val="clear" w:color="auto" w:fill="auto"/>
          </w:tcPr>
          <w:p>
            <w:pPr>
              <w:pStyle w:val="nTable"/>
              <w:spacing w:after="40"/>
            </w:pPr>
            <w:r>
              <w:t>1 Sep 2024 (see s. 2(b) and SL 2024/175 cl. 2)</w:t>
            </w:r>
          </w:p>
        </w:tc>
      </w:tr>
      <w:tr>
        <w:trPr>
          <w:gridBefore w:val="1"/>
          <w:wBefore w:w="27" w:type="dxa"/>
          <w:cantSplit/>
        </w:trPr>
        <w:tc>
          <w:tcPr>
            <w:tcW w:w="4590" w:type="dxa"/>
            <w:gridSpan w:val="9"/>
            <w:tcBorders>
              <w:top w:val="nil"/>
              <w:bottom w:val="nil"/>
            </w:tcBorders>
            <w:shd w:val="clear" w:color="auto" w:fill="auto"/>
          </w:tcPr>
          <w:p>
            <w:pPr>
              <w:pStyle w:val="nTable"/>
              <w:spacing w:after="40"/>
            </w:pPr>
            <w:r>
              <w:rPr>
                <w:i/>
              </w:rPr>
              <w:t xml:space="preserve">Spent Convictions (Act Amendment) Regulations 2023 </w:t>
            </w:r>
            <w:r>
              <w:t>(SL 2023/121)</w:t>
            </w:r>
          </w:p>
        </w:tc>
        <w:tc>
          <w:tcPr>
            <w:tcW w:w="2494" w:type="dxa"/>
            <w:gridSpan w:val="2"/>
            <w:tcBorders>
              <w:top w:val="nil"/>
              <w:bottom w:val="nil"/>
            </w:tcBorders>
            <w:shd w:val="clear" w:color="auto" w:fill="auto"/>
          </w:tcPr>
          <w:p>
            <w:pPr>
              <w:pStyle w:val="nTable"/>
              <w:spacing w:after="40"/>
            </w:pPr>
            <w:r>
              <w:rPr>
                <w:snapToGrid w:val="0"/>
                <w:spacing w:val="-2"/>
              </w:rPr>
              <w:t>r. 1 and 2: 2 Aug 2023 (see r. 2(a));</w:t>
            </w:r>
            <w:r>
              <w:rPr>
                <w:snapToGrid w:val="0"/>
                <w:spacing w:val="-2"/>
              </w:rPr>
              <w:br/>
              <w:t>Regulations other than r. 1 and 2: 3 Aug 2023 (see r. 2(b))</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Cs/>
              </w:rPr>
            </w:pPr>
            <w:r>
              <w:rPr>
                <w:i/>
              </w:rPr>
              <w:t xml:space="preserve">Corruption, Crime and Misconduct Amendment Act 2024 </w:t>
            </w:r>
            <w:r>
              <w:rPr>
                <w:iCs/>
              </w:rPr>
              <w:t>Pt. 3 Div. 3</w:t>
            </w:r>
          </w:p>
        </w:tc>
        <w:tc>
          <w:tcPr>
            <w:tcW w:w="1133" w:type="dxa"/>
            <w:gridSpan w:val="2"/>
            <w:tcBorders>
              <w:top w:val="nil"/>
              <w:bottom w:val="nil"/>
            </w:tcBorders>
            <w:shd w:val="clear" w:color="auto" w:fill="auto"/>
          </w:tcPr>
          <w:p>
            <w:pPr>
              <w:pStyle w:val="nTable"/>
              <w:spacing w:after="40"/>
            </w:pPr>
            <w:r>
              <w:t>5 of 2024</w:t>
            </w:r>
          </w:p>
        </w:tc>
        <w:tc>
          <w:tcPr>
            <w:tcW w:w="1191" w:type="dxa"/>
            <w:gridSpan w:val="5"/>
            <w:tcBorders>
              <w:top w:val="nil"/>
              <w:bottom w:val="nil"/>
            </w:tcBorders>
            <w:shd w:val="clear" w:color="auto" w:fill="auto"/>
          </w:tcPr>
          <w:p>
            <w:pPr>
              <w:pStyle w:val="nTable"/>
              <w:spacing w:after="40"/>
            </w:pPr>
            <w:r>
              <w:t>14 Mar 2024</w:t>
            </w:r>
          </w:p>
        </w:tc>
        <w:tc>
          <w:tcPr>
            <w:tcW w:w="2494" w:type="dxa"/>
            <w:gridSpan w:val="2"/>
            <w:tcBorders>
              <w:top w:val="nil"/>
              <w:bottom w:val="nil"/>
            </w:tcBorders>
            <w:shd w:val="clear" w:color="auto" w:fill="auto"/>
          </w:tcPr>
          <w:p>
            <w:pPr>
              <w:pStyle w:val="nTable"/>
              <w:spacing w:after="40"/>
            </w:pPr>
            <w:r>
              <w:t>15 Mar 2024 (see s. 2(b))</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rPr>
            </w:pPr>
            <w:r>
              <w:rPr>
                <w:i/>
              </w:rPr>
              <w:lastRenderedPageBreak/>
              <w:t xml:space="preserve">Firearms Act 2024 </w:t>
            </w:r>
            <w:r>
              <w:rPr>
                <w:iCs/>
              </w:rPr>
              <w:t>Pt. 17 Div. 3 Subdiv. 19</w:t>
            </w:r>
          </w:p>
        </w:tc>
        <w:tc>
          <w:tcPr>
            <w:tcW w:w="1133" w:type="dxa"/>
            <w:gridSpan w:val="2"/>
            <w:tcBorders>
              <w:top w:val="nil"/>
              <w:bottom w:val="nil"/>
            </w:tcBorders>
            <w:shd w:val="clear" w:color="auto" w:fill="auto"/>
          </w:tcPr>
          <w:p>
            <w:pPr>
              <w:pStyle w:val="nTable"/>
              <w:spacing w:after="40"/>
            </w:pPr>
            <w:r>
              <w:t>23 of 2024</w:t>
            </w:r>
          </w:p>
        </w:tc>
        <w:tc>
          <w:tcPr>
            <w:tcW w:w="1191" w:type="dxa"/>
            <w:gridSpan w:val="5"/>
            <w:tcBorders>
              <w:top w:val="nil"/>
              <w:bottom w:val="nil"/>
            </w:tcBorders>
            <w:shd w:val="clear" w:color="auto" w:fill="auto"/>
          </w:tcPr>
          <w:p>
            <w:pPr>
              <w:pStyle w:val="nTable"/>
              <w:spacing w:after="40"/>
            </w:pPr>
            <w:r>
              <w:t>27 Jun 2024</w:t>
            </w:r>
          </w:p>
        </w:tc>
        <w:tc>
          <w:tcPr>
            <w:tcW w:w="2494" w:type="dxa"/>
            <w:gridSpan w:val="2"/>
            <w:tcBorders>
              <w:top w:val="nil"/>
              <w:bottom w:val="nil"/>
            </w:tcBorders>
            <w:shd w:val="clear" w:color="auto" w:fill="auto"/>
          </w:tcPr>
          <w:p>
            <w:pPr>
              <w:pStyle w:val="nTable"/>
              <w:spacing w:after="40"/>
            </w:pPr>
            <w:r>
              <w:t>31 Mar 2025 (see s. 2(d) and SL 2024/289 cl. 2)</w:t>
            </w:r>
          </w:p>
        </w:tc>
      </w:tr>
      <w:tr>
        <w:trPr>
          <w:gridBefore w:val="1"/>
          <w:wBefore w:w="27" w:type="dxa"/>
          <w:cantSplit/>
        </w:trPr>
        <w:tc>
          <w:tcPr>
            <w:tcW w:w="4590" w:type="dxa"/>
            <w:gridSpan w:val="9"/>
            <w:tcBorders>
              <w:top w:val="nil"/>
              <w:bottom w:val="nil"/>
            </w:tcBorders>
            <w:shd w:val="clear" w:color="auto" w:fill="auto"/>
          </w:tcPr>
          <w:p>
            <w:pPr>
              <w:pStyle w:val="nTable"/>
              <w:spacing w:after="40"/>
              <w:rPr>
                <w:iCs/>
              </w:rPr>
            </w:pPr>
            <w:r>
              <w:rPr>
                <w:i/>
              </w:rPr>
              <w:t xml:space="preserve">Spent Convictions (Act Amendment) Regulations 2024 </w:t>
            </w:r>
            <w:r>
              <w:rPr>
                <w:iCs/>
              </w:rPr>
              <w:t>(SL 2024/153)</w:t>
            </w:r>
          </w:p>
        </w:tc>
        <w:tc>
          <w:tcPr>
            <w:tcW w:w="2494" w:type="dxa"/>
            <w:gridSpan w:val="2"/>
            <w:tcBorders>
              <w:top w:val="nil"/>
              <w:bottom w:val="nil"/>
            </w:tcBorders>
            <w:shd w:val="clear" w:color="auto" w:fill="auto"/>
          </w:tcPr>
          <w:p>
            <w:pPr>
              <w:pStyle w:val="nTable"/>
              <w:spacing w:after="40"/>
            </w:pPr>
            <w:r>
              <w:t>r. 1 and 2: 24 Jul 2024 (see r. 2(a));</w:t>
            </w:r>
            <w:r>
              <w:br/>
              <w:t>Regulations other than r. 1 and 2: 25 Jul 2024 (see r. 2(b))</w:t>
            </w:r>
          </w:p>
        </w:tc>
      </w:tr>
      <w:tr>
        <w:trPr>
          <w:gridBefore w:val="1"/>
          <w:wBefore w:w="27" w:type="dxa"/>
          <w:cantSplit/>
        </w:trPr>
        <w:tc>
          <w:tcPr>
            <w:tcW w:w="4590" w:type="dxa"/>
            <w:gridSpan w:val="9"/>
            <w:tcBorders>
              <w:top w:val="nil"/>
              <w:bottom w:val="single" w:sz="4" w:space="0" w:color="auto"/>
            </w:tcBorders>
            <w:shd w:val="clear" w:color="auto" w:fill="auto"/>
          </w:tcPr>
          <w:p>
            <w:pPr>
              <w:pStyle w:val="nTable"/>
              <w:spacing w:after="40"/>
              <w:rPr>
                <w:i/>
              </w:rPr>
            </w:pPr>
            <w:r>
              <w:rPr>
                <w:i/>
              </w:rPr>
              <w:t xml:space="preserve">Spent Convictions (Act Amendment) Regulations (No. 2) 2024 </w:t>
            </w:r>
            <w:r>
              <w:rPr>
                <w:iCs/>
              </w:rPr>
              <w:t>(SL 2024/290)</w:t>
            </w:r>
          </w:p>
        </w:tc>
        <w:tc>
          <w:tcPr>
            <w:tcW w:w="2494" w:type="dxa"/>
            <w:gridSpan w:val="2"/>
            <w:tcBorders>
              <w:top w:val="nil"/>
              <w:bottom w:val="single" w:sz="4" w:space="0" w:color="auto"/>
            </w:tcBorders>
            <w:shd w:val="clear" w:color="auto" w:fill="auto"/>
          </w:tcPr>
          <w:p>
            <w:pPr>
              <w:pStyle w:val="nTable"/>
              <w:spacing w:after="40"/>
            </w:pPr>
            <w:r>
              <w:t>r. 1 and 2: 21 Dec 2024 (see r. 2(a));</w:t>
            </w:r>
            <w:r>
              <w:br/>
              <w:t>Regulations other than r. 1 and 2: 31 Mar 2025 (see r. 2(b) and SL 2024/289 cl. 2)</w:t>
            </w:r>
          </w:p>
        </w:tc>
      </w:tr>
    </w:tbl>
    <w:p>
      <w:pPr>
        <w:pStyle w:val="nHeading3"/>
      </w:pPr>
      <w:bookmarkStart w:id="112" w:name="_Toc192493997"/>
      <w:r>
        <w:t>Other notes</w:t>
      </w:r>
      <w:bookmarkEnd w:id="112"/>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14" w:name="_Toc192231568"/>
      <w:bookmarkStart w:id="115" w:name="_Toc192243283"/>
      <w:bookmarkStart w:id="116" w:name="_Toc192243366"/>
      <w:bookmarkStart w:id="117" w:name="_Toc192493614"/>
      <w:bookmarkStart w:id="118" w:name="_Toc192493998"/>
      <w:r>
        <w:rPr>
          <w:sz w:val="28"/>
        </w:rPr>
        <w:lastRenderedPageBreak/>
        <w:t>Defined terms</w:t>
      </w:r>
      <w:bookmarkEnd w:id="114"/>
      <w:bookmarkEnd w:id="115"/>
      <w:bookmarkEnd w:id="116"/>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005B74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A2118E6" w14:textId="2DB19C4F" w:rsidR="00245DAF" w:rsidRDefault="00627F4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E71EF">
                        <w:rPr>
                          <w:sz w:val="16"/>
                        </w:rPr>
                        <w:t>2025</w:t>
                      </w:r>
                      <w:r>
                        <w:rPr>
                          <w:sz w:val="16"/>
                        </w:rPr>
                        <w:fldChar w:fldCharType="end"/>
                      </w:r>
                      <w:r>
                        <w:rPr>
                          <w:sz w:val="16"/>
                        </w:rPr>
                        <w:t>.</w:t>
                      </w:r>
                    </w:p>
                    <w:p w14:paraId="22C5142F" w14:textId="77777777" w:rsidR="00245DAF" w:rsidRDefault="00627F4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A426BD" w14:textId="7BF719E2" w:rsidR="00245DAF" w:rsidRDefault="00627F4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E71EF">
                        <w:rPr>
                          <w:sz w:val="16"/>
                        </w:rPr>
                        <w:t>2025</w:t>
                      </w:r>
                      <w:r>
                        <w:rPr>
                          <w:sz w:val="16"/>
                        </w:rPr>
                        <w:fldChar w:fldCharType="end"/>
                      </w:r>
                      <w:r>
                        <w:rPr>
                          <w:sz w:val="16"/>
                        </w:rPr>
                        <w:t>.</w:t>
                      </w:r>
                    </w:p>
                    <w:p w14:paraId="1D6F0E6F" w14:textId="77777777" w:rsidR="00245DAF" w:rsidRDefault="00627F4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07-x0-00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07-x0-00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07-x0-00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07-x0-00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07-x0-00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07-x0-00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5" w:name="Schedule"/>
    <w:bookmarkEnd w:id="1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8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07090740"/>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 w:name="WAFER_2023041213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19_GUID" w:val="47a571ed-f2cf-45e7-acc3-a56b7bd3e414"/>
    <w:docVar w:name="WAFER_20230614142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2141_GUID" w:val="c2643a5c-d7ec-4b9c-82c2-5e1ef1fce468"/>
    <w:docVar w:name="WAFER_20230802084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84503_GUID" w:val="fe28f241-2478-4f0a-829a-34629b231396"/>
    <w:docVar w:name="WAFER_20231227142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35_GUID" w:val="0bb35d30-73b2-4f3a-93a5-81dc33c32a84"/>
    <w:docVar w:name="WAFER_20240314143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43121_GUID" w:val="6353c876-1e4b-443f-81c2-7efc069838a4"/>
    <w:docVar w:name="WAFER_20240627095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5527_GUID" w:val="74bf5fed-cf65-4d4b-bc8c-eb7dc09dde71"/>
    <w:docVar w:name="WAFER_20240718131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626_GUID" w:val="10103282-b363-4b27-bc9c-5cae45ee0e56"/>
    <w:docVar w:name="WAFER_2024082214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40727_GUID" w:val="46a8d4f0-f757-4c07-ab75-407369744261"/>
    <w:docVar w:name="WAFER_202412181527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2717_GUID" w:val="c3e41cf5-8ab8-48cb-a76b-586210beba4c"/>
    <w:docVar w:name="WAFER_202503070907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07090740_GUID" w:val="620c7fcf-0f90-479e-9a0d-4caf9742e8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8417"/>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902354">
      <w:bodyDiv w:val="1"/>
      <w:marLeft w:val="0"/>
      <w:marRight w:val="0"/>
      <w:marTop w:val="0"/>
      <w:marBottom w:val="0"/>
      <w:divBdr>
        <w:top w:val="none" w:sz="0" w:space="0" w:color="auto"/>
        <w:left w:val="none" w:sz="0" w:space="0" w:color="auto"/>
        <w:bottom w:val="none" w:sz="0" w:space="0" w:color="auto"/>
        <w:right w:val="none" w:sz="0" w:space="0" w:color="auto"/>
      </w:divBdr>
    </w:div>
    <w:div w:id="190286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13031</Words>
  <Characters>61118</Characters>
  <Application>Microsoft Office Word</Application>
  <DocSecurity>0</DocSecurity>
  <Lines>1971</Lines>
  <Paragraphs>1074</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73075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1988 - 07-x0-00</dc:title>
  <dc:subject/>
  <dc:creator/>
  <cp:keywords/>
  <dc:description/>
  <cp:lastModifiedBy>Master Repository Process</cp:lastModifiedBy>
  <cp:revision>4</cp:revision>
  <cp:lastPrinted>2015-10-23T03:11:00Z</cp:lastPrinted>
  <dcterms:created xsi:type="dcterms:W3CDTF">2025-07-21T02:37:00Z</dcterms:created>
  <dcterms:modified xsi:type="dcterms:W3CDTF">2025-07-21T02:37:00Z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31 Mar 2025</vt:lpwstr>
  </property>
  <property fmtid="{D5CDD505-2E9C-101B-9397-08002B2CF9AE}" pid="8" name="Suffix">
    <vt:lpwstr>07-x0-00</vt:lpwstr>
  </property>
  <property fmtid="{D5CDD505-2E9C-101B-9397-08002B2CF9AE}" pid="9" name="Official">
    <vt:lpwstr/>
  </property>
  <property fmtid="{D5CDD505-2E9C-101B-9397-08002B2CF9AE}" pid="10" name="CommencementDate">
    <vt:lpwstr>20250331</vt:lpwstr>
  </property>
  <property fmtid="{D5CDD505-2E9C-101B-9397-08002B2CF9AE}" pid="11" name="CommencementAsAt">
    <vt:filetime>2025-03-30T16:00:00Z</vt:filetime>
  </property>
  <property fmtid="{D5CDD505-2E9C-101B-9397-08002B2CF9AE}" pid="12" name="CommencementYear">
    <vt:lpwstr>2025</vt:lpwstr>
  </property>
</Properties>
</file>