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567" w:right="283"/>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_Toc194565522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_Toc194565523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_Toc194565524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_Toc194565525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State Witness Protection Program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_Toc194565528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_Toc194565529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_Toc194565530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_Toc194565532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_Toc194565533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_Toc194565534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_Toc194565535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_Toc194565536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_Toc194565538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_Toc194565539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_Toc194565541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_Toc194565542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_Toc194565543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_Toc194565544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_Toc194565546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_Toc194565547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_Toc194565548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_Toc194565549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_Toc194565550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_Toc194565551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_Toc194565552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_Toc194565554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_Toc194565555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Secrecy and disclosure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_Toc194565558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_Toc194565559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_Toc194565560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_Toc194565561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Evidence by participants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_Toc194565564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_Toc194565566 \h </w:instrText>
      </w:r>
      <w:r>
        <w:fldChar w:fldCharType="separate"/>
      </w:r>
      <w:r>
        <w:t>30</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_Toc194565567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_Toc194565569 \h </w:instrText>
      </w:r>
      <w:r>
        <w:fldChar w:fldCharType="separate"/>
      </w:r>
      <w:r>
        <w:t>32</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_Toc194565570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34D.</w:t>
      </w:r>
      <w:r>
        <w:tab/>
        <w:t>Disclosure of protected person’s identity despite certificate</w:t>
      </w:r>
      <w:r>
        <w:tab/>
      </w:r>
      <w:r>
        <w:fldChar w:fldCharType="begin"/>
      </w:r>
      <w:r>
        <w:instrText xml:space="preserve"> PAGEREF _Toc194565571 \h </w:instrText>
      </w:r>
      <w:r>
        <w:fldChar w:fldCharType="separate"/>
      </w:r>
      <w:r>
        <w:t>33</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_Toc194565572 \h </w:instrText>
      </w:r>
      <w:r>
        <w:fldChar w:fldCharType="separate"/>
      </w:r>
      <w:r>
        <w:t>36</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_Toc194565573 \h </w:instrText>
      </w:r>
      <w:r>
        <w:fldChar w:fldCharType="separate"/>
      </w:r>
      <w:r>
        <w:t>36</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_Toc194565574 \h </w:instrText>
      </w:r>
      <w:r>
        <w:fldChar w:fldCharType="separate"/>
      </w:r>
      <w:r>
        <w:t>37</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_Toc194565575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_Toc194565577 \h </w:instrText>
      </w:r>
      <w:r>
        <w:fldChar w:fldCharType="separate"/>
      </w:r>
      <w:r>
        <w:t>37</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_Toc194565578 \h </w:instrText>
      </w:r>
      <w:r>
        <w:fldChar w:fldCharType="separate"/>
      </w:r>
      <w:r>
        <w:t>38</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_Toc194565579 \h </w:instrText>
      </w:r>
      <w:r>
        <w:fldChar w:fldCharType="separate"/>
      </w:r>
      <w:r>
        <w:t>39</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_Toc194565580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_Toc194565582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_Toc194565584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_Toc194565585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_Toc194565586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_Toc194565587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_Toc194565588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_Toc194565590 \h </w:instrText>
      </w:r>
      <w:r>
        <w:fldChar w:fldCharType="separate"/>
      </w:r>
      <w:r>
        <w:t>45</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_Toc194565591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_Toc194565593 \h </w:instrText>
      </w:r>
      <w:r>
        <w:fldChar w:fldCharType="separate"/>
      </w:r>
      <w:r>
        <w:t>46</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_Toc194565594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_Toc194565595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2" w:name="_Toc100239443"/>
      <w:bookmarkStart w:id="3" w:name="_Toc100240051"/>
      <w:bookmarkStart w:id="4" w:name="_Toc100561730"/>
      <w:bookmarkStart w:id="5" w:name="_Toc107310433"/>
      <w:bookmarkStart w:id="6" w:name="_Toc107480455"/>
      <w:bookmarkStart w:id="7" w:name="_Toc193118937"/>
      <w:bookmarkStart w:id="8" w:name="_Toc193120088"/>
      <w:bookmarkStart w:id="9" w:name="_Toc193710863"/>
      <w:bookmarkStart w:id="10" w:name="_Toc193717773"/>
      <w:bookmarkStart w:id="11" w:name="_Toc193790772"/>
      <w:bookmarkStart w:id="12" w:name="_Toc193790848"/>
      <w:bookmarkStart w:id="13" w:name="_Toc194051828"/>
      <w:bookmarkStart w:id="14" w:name="_Toc194332395"/>
      <w:bookmarkStart w:id="15" w:name="_Toc194508609"/>
      <w:bookmarkStart w:id="16" w:name="_Toc194564989"/>
      <w:bookmarkStart w:id="17" w:name="_Toc194565137"/>
      <w:bookmarkStart w:id="18" w:name="_Toc1945655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194565522"/>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rPr>
        <w:t>.</w:t>
      </w:r>
    </w:p>
    <w:p>
      <w:pPr>
        <w:pStyle w:val="Heading5"/>
        <w:rPr>
          <w:snapToGrid w:val="0"/>
        </w:rPr>
      </w:pPr>
      <w:bookmarkStart w:id="20" w:name="_Toc194565523"/>
      <w:r>
        <w:rPr>
          <w:rStyle w:val="CharSectno"/>
        </w:rPr>
        <w:t>2</w:t>
      </w:r>
      <w:r>
        <w:rPr>
          <w:snapToGrid w:val="0"/>
        </w:rPr>
        <w:t>.</w:t>
      </w:r>
      <w:r>
        <w:rPr>
          <w:snapToGrid w:val="0"/>
        </w:rPr>
        <w:tab/>
        <w:t>Commencement</w:t>
      </w:r>
      <w:bookmarkEnd w:id="20"/>
    </w:p>
    <w:p>
      <w:pPr>
        <w:pStyle w:val="Subsection"/>
        <w:rPr>
          <w:snapToGrid w:val="0"/>
        </w:rPr>
      </w:pPr>
      <w:r>
        <w:rPr>
          <w:snapToGrid w:val="0"/>
        </w:rPr>
        <w:tab/>
        <w:t>(1)</w:t>
      </w:r>
      <w:r>
        <w:rPr>
          <w:snapToGrid w:val="0"/>
        </w:rPr>
        <w:tab/>
        <w:t>Subject to subsection (2), this Act comes into operation on such day as is fixed by proclamation.</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1</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1" w:name="_Toc194565524"/>
      <w:r>
        <w:rPr>
          <w:rStyle w:val="CharSectno"/>
        </w:rPr>
        <w:t>3</w:t>
      </w:r>
      <w:r>
        <w:rPr>
          <w:snapToGrid w:val="0"/>
        </w:rPr>
        <w:t>.</w:t>
      </w:r>
      <w:r>
        <w:rPr>
          <w:snapToGrid w:val="0"/>
        </w:rPr>
        <w:tab/>
        <w:t>Terms used</w:t>
      </w:r>
      <w:bookmarkEnd w:id="21"/>
      <w:r>
        <w:rPr>
          <w:snapToGrid w:val="0"/>
        </w:rPr>
        <w:t xml:space="preserve"> </w:t>
      </w:r>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lastRenderedPageBreak/>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2</w:t>
      </w:r>
      <w:r>
        <w:t xml:space="preserve"> cl. 11; No. 4 of 2004 s. 58; No. 74 of 2004 s. 75; No. 8 of 2008 s. 22 and 23(9); No. 35 of 2014 s. 39.]</w:t>
      </w:r>
    </w:p>
    <w:p>
      <w:pPr>
        <w:pStyle w:val="Heading5"/>
        <w:rPr>
          <w:snapToGrid w:val="0"/>
        </w:rPr>
      </w:pPr>
      <w:bookmarkStart w:id="22" w:name="_Toc194565525"/>
      <w:r>
        <w:rPr>
          <w:rStyle w:val="CharSectno"/>
        </w:rPr>
        <w:lastRenderedPageBreak/>
        <w:t>4</w:t>
      </w:r>
      <w:r>
        <w:rPr>
          <w:snapToGrid w:val="0"/>
        </w:rPr>
        <w:t>.</w:t>
      </w:r>
      <w:r>
        <w:rPr>
          <w:snapToGrid w:val="0"/>
        </w:rPr>
        <w:tab/>
        <w:t>Meaning of “witness”</w:t>
      </w:r>
      <w:bookmarkEnd w:id="22"/>
    </w:p>
    <w:p>
      <w:pPr>
        <w:pStyle w:val="Subsection"/>
        <w:keepNext/>
        <w:rPr>
          <w:snapToGrid w:val="0"/>
        </w:rPr>
      </w:pPr>
      <w:r>
        <w:rPr>
          <w:snapToGrid w:val="0"/>
        </w:rPr>
        <w:tab/>
        <w:t>(1)</w:t>
      </w:r>
      <w:r>
        <w:rPr>
          <w:snapToGrid w:val="0"/>
        </w:rPr>
        <w:tab/>
        <w:t>For the purposes of this Act, unless the contrary intention appears, a person is a witness if the person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the person is related to or associated with a person referred to in subsection (1) or (2) and, in the opinion of the Commissioner, may require protection or assistance under the SWPP because of that relationship or association.</w:t>
      </w:r>
    </w:p>
    <w:p>
      <w:pPr>
        <w:pStyle w:val="Heading2"/>
      </w:pPr>
      <w:bookmarkStart w:id="23" w:name="_Toc100239448"/>
      <w:bookmarkStart w:id="24" w:name="_Toc100240056"/>
      <w:bookmarkStart w:id="25" w:name="_Toc100561735"/>
      <w:bookmarkStart w:id="26" w:name="_Toc107310438"/>
      <w:bookmarkStart w:id="27" w:name="_Toc107480460"/>
      <w:bookmarkStart w:id="28" w:name="_Toc193118942"/>
      <w:bookmarkStart w:id="29" w:name="_Toc193120093"/>
      <w:bookmarkStart w:id="30" w:name="_Toc193710868"/>
      <w:bookmarkStart w:id="31" w:name="_Toc193717778"/>
      <w:bookmarkStart w:id="32" w:name="_Toc193790777"/>
      <w:bookmarkStart w:id="33" w:name="_Toc193790853"/>
      <w:bookmarkStart w:id="34" w:name="_Toc194051833"/>
      <w:bookmarkStart w:id="35" w:name="_Toc194332400"/>
      <w:bookmarkStart w:id="36" w:name="_Toc194508614"/>
      <w:bookmarkStart w:id="37" w:name="_Toc194564994"/>
      <w:bookmarkStart w:id="38" w:name="_Toc194565142"/>
      <w:bookmarkStart w:id="39" w:name="_Toc194565526"/>
      <w:r>
        <w:rPr>
          <w:rStyle w:val="CharPartNo"/>
        </w:rPr>
        <w:lastRenderedPageBreak/>
        <w:t>Part 2</w:t>
      </w:r>
      <w:r>
        <w:t> — </w:t>
      </w:r>
      <w:r>
        <w:rPr>
          <w:rStyle w:val="CharPartText"/>
        </w:rPr>
        <w:t>State Witness Protection Program</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00239449"/>
      <w:bookmarkStart w:id="41" w:name="_Toc100240057"/>
      <w:bookmarkStart w:id="42" w:name="_Toc100561736"/>
      <w:bookmarkStart w:id="43" w:name="_Toc107310439"/>
      <w:bookmarkStart w:id="44" w:name="_Toc107480461"/>
      <w:bookmarkStart w:id="45" w:name="_Toc193118943"/>
      <w:bookmarkStart w:id="46" w:name="_Toc193120094"/>
      <w:bookmarkStart w:id="47" w:name="_Toc193710869"/>
      <w:bookmarkStart w:id="48" w:name="_Toc193717779"/>
      <w:bookmarkStart w:id="49" w:name="_Toc193790778"/>
      <w:bookmarkStart w:id="50" w:name="_Toc193790854"/>
      <w:bookmarkStart w:id="51" w:name="_Toc194051834"/>
      <w:bookmarkStart w:id="52" w:name="_Toc194332401"/>
      <w:bookmarkStart w:id="53" w:name="_Toc194508615"/>
      <w:bookmarkStart w:id="54" w:name="_Toc194564995"/>
      <w:bookmarkStart w:id="55" w:name="_Toc194565143"/>
      <w:bookmarkStart w:id="56" w:name="_Toc194565527"/>
      <w:r>
        <w:rPr>
          <w:rStyle w:val="CharDivNo"/>
        </w:rPr>
        <w:t>Division 1</w:t>
      </w:r>
      <w:r>
        <w:rPr>
          <w:snapToGrid w:val="0"/>
        </w:rPr>
        <w:t> — </w:t>
      </w:r>
      <w:r>
        <w:rPr>
          <w:rStyle w:val="CharDivText"/>
        </w:rPr>
        <w:t>Establishment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194565528"/>
      <w:r>
        <w:rPr>
          <w:rStyle w:val="CharSectno"/>
        </w:rPr>
        <w:t>5</w:t>
      </w:r>
      <w:r>
        <w:rPr>
          <w:snapToGrid w:val="0"/>
        </w:rPr>
        <w:t>.</w:t>
      </w:r>
      <w:r>
        <w:rPr>
          <w:snapToGrid w:val="0"/>
        </w:rPr>
        <w:tab/>
        <w:t>Commissioner to establish SWPP</w:t>
      </w:r>
      <w:bookmarkEnd w:id="57"/>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58" w:name="_Toc194565529"/>
      <w:r>
        <w:rPr>
          <w:rStyle w:val="CharSectno"/>
        </w:rPr>
        <w:t>6</w:t>
      </w:r>
      <w:r>
        <w:rPr>
          <w:snapToGrid w:val="0"/>
        </w:rPr>
        <w:t>.</w:t>
      </w:r>
      <w:r>
        <w:rPr>
          <w:snapToGrid w:val="0"/>
        </w:rPr>
        <w:tab/>
        <w:t>Arrangements with approved authorities</w:t>
      </w:r>
      <w:bookmarkEnd w:id="58"/>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lastRenderedPageBreak/>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59" w:name="_Toc194565530"/>
      <w:r>
        <w:rPr>
          <w:rStyle w:val="CharSectno"/>
        </w:rPr>
        <w:t>7</w:t>
      </w:r>
      <w:r>
        <w:rPr>
          <w:snapToGrid w:val="0"/>
        </w:rPr>
        <w:t>.</w:t>
      </w:r>
      <w:r>
        <w:rPr>
          <w:snapToGrid w:val="0"/>
        </w:rPr>
        <w:tab/>
        <w:t>Authorisation of approved authorities</w:t>
      </w:r>
      <w:bookmarkEnd w:id="59"/>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60" w:name="_Toc100239453"/>
      <w:bookmarkStart w:id="61" w:name="_Toc100240061"/>
      <w:bookmarkStart w:id="62" w:name="_Toc100561740"/>
      <w:bookmarkStart w:id="63" w:name="_Toc107310443"/>
      <w:bookmarkStart w:id="64" w:name="_Toc107480465"/>
      <w:bookmarkStart w:id="65" w:name="_Toc193118947"/>
      <w:bookmarkStart w:id="66" w:name="_Toc193120098"/>
      <w:bookmarkStart w:id="67" w:name="_Toc193710873"/>
      <w:bookmarkStart w:id="68" w:name="_Toc193717783"/>
      <w:bookmarkStart w:id="69" w:name="_Toc193790782"/>
      <w:bookmarkStart w:id="70" w:name="_Toc193790858"/>
      <w:bookmarkStart w:id="71" w:name="_Toc194051838"/>
      <w:bookmarkStart w:id="72" w:name="_Toc194332405"/>
      <w:bookmarkStart w:id="73" w:name="_Toc194508619"/>
      <w:bookmarkStart w:id="74" w:name="_Toc194564999"/>
      <w:bookmarkStart w:id="75" w:name="_Toc194565147"/>
      <w:bookmarkStart w:id="76" w:name="_Toc194565531"/>
      <w:r>
        <w:rPr>
          <w:rStyle w:val="CharDivNo"/>
        </w:rPr>
        <w:t>Division 2</w:t>
      </w:r>
      <w:r>
        <w:rPr>
          <w:snapToGrid w:val="0"/>
        </w:rPr>
        <w:t> — </w:t>
      </w:r>
      <w:r>
        <w:rPr>
          <w:rStyle w:val="CharDivText"/>
        </w:rPr>
        <w:t>Including witnesses in the SWPP</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194565532"/>
      <w:r>
        <w:rPr>
          <w:rStyle w:val="CharSectno"/>
        </w:rPr>
        <w:t>8</w:t>
      </w:r>
      <w:r>
        <w:rPr>
          <w:snapToGrid w:val="0"/>
        </w:rPr>
        <w:t>.</w:t>
      </w:r>
      <w:r>
        <w:rPr>
          <w:snapToGrid w:val="0"/>
        </w:rPr>
        <w:tab/>
        <w:t>Commissioner to decide who is included</w:t>
      </w:r>
      <w:bookmarkEnd w:id="77"/>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lastRenderedPageBreak/>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78" w:name="_Toc194565533"/>
      <w:r>
        <w:rPr>
          <w:rStyle w:val="CharSectno"/>
        </w:rPr>
        <w:t>9</w:t>
      </w:r>
      <w:r>
        <w:rPr>
          <w:snapToGrid w:val="0"/>
        </w:rPr>
        <w:t>.</w:t>
      </w:r>
      <w:r>
        <w:rPr>
          <w:snapToGrid w:val="0"/>
        </w:rPr>
        <w:tab/>
        <w:t>Inclusion not to be a reward for giving evidence etc.</w:t>
      </w:r>
      <w:bookmarkEnd w:id="78"/>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79" w:name="_Toc194565534"/>
      <w:r>
        <w:rPr>
          <w:rStyle w:val="CharSectno"/>
        </w:rPr>
        <w:lastRenderedPageBreak/>
        <w:t>10</w:t>
      </w:r>
      <w:r>
        <w:rPr>
          <w:snapToGrid w:val="0"/>
        </w:rPr>
        <w:t>.</w:t>
      </w:r>
      <w:r>
        <w:rPr>
          <w:snapToGrid w:val="0"/>
        </w:rPr>
        <w:tab/>
        <w:t>Witness to provide Commissioner with information before inclusion</w:t>
      </w:r>
      <w:bookmarkEnd w:id="79"/>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80" w:name="_Toc194565535"/>
      <w:r>
        <w:rPr>
          <w:rStyle w:val="CharSectno"/>
        </w:rPr>
        <w:t>11</w:t>
      </w:r>
      <w:r>
        <w:rPr>
          <w:snapToGrid w:val="0"/>
        </w:rPr>
        <w:t>.</w:t>
      </w:r>
      <w:r>
        <w:rPr>
          <w:snapToGrid w:val="0"/>
        </w:rPr>
        <w:tab/>
        <w:t>Memorandum of understanding</w:t>
      </w:r>
      <w:bookmarkEnd w:id="80"/>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their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lastRenderedPageBreak/>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their fingers and palms to be taken; or</w:t>
      </w:r>
    </w:p>
    <w:p>
      <w:pPr>
        <w:pStyle w:val="Indenti"/>
        <w:rPr>
          <w:snapToGrid w:val="0"/>
        </w:rPr>
      </w:pPr>
      <w:r>
        <w:rPr>
          <w:snapToGrid w:val="0"/>
        </w:rPr>
        <w:tab/>
        <w:t>(iv)</w:t>
      </w:r>
      <w:r>
        <w:rPr>
          <w:snapToGrid w:val="0"/>
        </w:rPr>
        <w:tab/>
        <w:t>allow photographs to be taken of themself;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lastRenderedPageBreak/>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the witness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lastRenderedPageBreak/>
        <w:tab/>
        <w:t>[Section 11 amended: No. 48 of 2003 s. 62 and Sch. 3</w:t>
      </w:r>
      <w:r>
        <w:rPr>
          <w:vertAlign w:val="superscript"/>
        </w:rPr>
        <w:t> 2</w:t>
      </w:r>
      <w:r>
        <w:t xml:space="preserve"> cl. 11.]</w:t>
      </w:r>
    </w:p>
    <w:p>
      <w:pPr>
        <w:pStyle w:val="Heading5"/>
        <w:rPr>
          <w:snapToGrid w:val="0"/>
        </w:rPr>
      </w:pPr>
      <w:bookmarkStart w:id="81" w:name="_Toc194565536"/>
      <w:r>
        <w:rPr>
          <w:rStyle w:val="CharSectno"/>
        </w:rPr>
        <w:t>12</w:t>
      </w:r>
      <w:r>
        <w:rPr>
          <w:snapToGrid w:val="0"/>
        </w:rPr>
        <w:t>.</w:t>
      </w:r>
      <w:r>
        <w:rPr>
          <w:snapToGrid w:val="0"/>
        </w:rPr>
        <w:tab/>
        <w:t>Amending a memorandum of understanding</w:t>
      </w:r>
      <w:bookmarkEnd w:id="81"/>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82" w:name="_Toc100239459"/>
      <w:bookmarkStart w:id="83" w:name="_Toc100240067"/>
      <w:bookmarkStart w:id="84" w:name="_Toc100561746"/>
      <w:bookmarkStart w:id="85" w:name="_Toc107310449"/>
      <w:bookmarkStart w:id="86" w:name="_Toc107480471"/>
      <w:bookmarkStart w:id="87" w:name="_Toc193118953"/>
      <w:bookmarkStart w:id="88" w:name="_Toc193120104"/>
      <w:bookmarkStart w:id="89" w:name="_Toc193710879"/>
      <w:bookmarkStart w:id="90" w:name="_Toc193717789"/>
      <w:bookmarkStart w:id="91" w:name="_Toc193790788"/>
      <w:bookmarkStart w:id="92" w:name="_Toc193790864"/>
      <w:bookmarkStart w:id="93" w:name="_Toc194051844"/>
      <w:bookmarkStart w:id="94" w:name="_Toc194332411"/>
      <w:bookmarkStart w:id="95" w:name="_Toc194508625"/>
      <w:bookmarkStart w:id="96" w:name="_Toc194565005"/>
      <w:bookmarkStart w:id="97" w:name="_Toc194565153"/>
      <w:bookmarkStart w:id="98" w:name="_Toc194565537"/>
      <w:r>
        <w:rPr>
          <w:rStyle w:val="CharDivNo"/>
        </w:rPr>
        <w:t>Division 3</w:t>
      </w:r>
      <w:r>
        <w:rPr>
          <w:snapToGrid w:val="0"/>
        </w:rPr>
        <w:t> — </w:t>
      </w:r>
      <w:r>
        <w:rPr>
          <w:rStyle w:val="CharDivText"/>
        </w:rPr>
        <w:t>Register of participants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194565538"/>
      <w:r>
        <w:rPr>
          <w:rStyle w:val="CharSectno"/>
        </w:rPr>
        <w:t>13</w:t>
      </w:r>
      <w:r>
        <w:rPr>
          <w:snapToGrid w:val="0"/>
        </w:rPr>
        <w:t>.</w:t>
      </w:r>
      <w:r>
        <w:rPr>
          <w:snapToGrid w:val="0"/>
        </w:rPr>
        <w:tab/>
        <w:t>Commissioner to keep register</w:t>
      </w:r>
      <w:bookmarkEnd w:id="99"/>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lastRenderedPageBreak/>
        <w:tab/>
        <w:t>(d)</w:t>
      </w:r>
      <w:r>
        <w:rPr>
          <w:snapToGrid w:val="0"/>
        </w:rPr>
        <w:tab/>
        <w:t>any document returned to the Commissioner under section 18(5) or pursuant to an order made under section 22.</w:t>
      </w:r>
    </w:p>
    <w:p>
      <w:pPr>
        <w:pStyle w:val="Heading5"/>
        <w:rPr>
          <w:snapToGrid w:val="0"/>
        </w:rPr>
      </w:pPr>
      <w:bookmarkStart w:id="100" w:name="_Toc194565539"/>
      <w:r>
        <w:rPr>
          <w:rStyle w:val="CharSectno"/>
        </w:rPr>
        <w:t>14</w:t>
      </w:r>
      <w:r>
        <w:rPr>
          <w:snapToGrid w:val="0"/>
        </w:rPr>
        <w:t>.</w:t>
      </w:r>
      <w:r>
        <w:rPr>
          <w:snapToGrid w:val="0"/>
        </w:rPr>
        <w:tab/>
        <w:t>Access to the register</w:t>
      </w:r>
      <w:bookmarkEnd w:id="100"/>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keepNext/>
        <w:keepLines/>
        <w:rPr>
          <w:snapToGrid w:val="0"/>
        </w:rPr>
      </w:pPr>
      <w:r>
        <w:rPr>
          <w:snapToGrid w:val="0"/>
        </w:rPr>
        <w:lastRenderedPageBreak/>
        <w:tab/>
        <w:t>(5)</w:t>
      </w:r>
      <w:r>
        <w:rPr>
          <w:snapToGrid w:val="0"/>
        </w:rPr>
        <w:tab/>
        <w:t>If the Commissioner is of the opinion that it is in the interests of the administration of justice to do so, the Commissioner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2</w:t>
      </w:r>
      <w:r>
        <w:t xml:space="preserve"> cl. 11; No. 77 of 2006 s. 17; No. 35 of 2014 s. 39.]</w:t>
      </w:r>
    </w:p>
    <w:p>
      <w:pPr>
        <w:pStyle w:val="Heading3"/>
        <w:rPr>
          <w:snapToGrid w:val="0"/>
        </w:rPr>
      </w:pPr>
      <w:bookmarkStart w:id="101" w:name="_Toc100239462"/>
      <w:bookmarkStart w:id="102" w:name="_Toc100240070"/>
      <w:bookmarkStart w:id="103" w:name="_Toc100561749"/>
      <w:bookmarkStart w:id="104" w:name="_Toc107310452"/>
      <w:bookmarkStart w:id="105" w:name="_Toc107480474"/>
      <w:bookmarkStart w:id="106" w:name="_Toc193118956"/>
      <w:bookmarkStart w:id="107" w:name="_Toc193120107"/>
      <w:bookmarkStart w:id="108" w:name="_Toc193710882"/>
      <w:bookmarkStart w:id="109" w:name="_Toc193717792"/>
      <w:bookmarkStart w:id="110" w:name="_Toc193790791"/>
      <w:bookmarkStart w:id="111" w:name="_Toc193790867"/>
      <w:bookmarkStart w:id="112" w:name="_Toc194051847"/>
      <w:bookmarkStart w:id="113" w:name="_Toc194332414"/>
      <w:bookmarkStart w:id="114" w:name="_Toc194508628"/>
      <w:bookmarkStart w:id="115" w:name="_Toc194565008"/>
      <w:bookmarkStart w:id="116" w:name="_Toc194565156"/>
      <w:bookmarkStart w:id="117" w:name="_Toc194565540"/>
      <w:r>
        <w:rPr>
          <w:rStyle w:val="CharDivNo"/>
        </w:rPr>
        <w:t>Division 4</w:t>
      </w:r>
      <w:r>
        <w:rPr>
          <w:snapToGrid w:val="0"/>
        </w:rPr>
        <w:t> — </w:t>
      </w:r>
      <w:r>
        <w:rPr>
          <w:rStyle w:val="CharDivText"/>
        </w:rPr>
        <w:t>Protecting and assisting witnesses and participants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94565541"/>
      <w:r>
        <w:rPr>
          <w:rStyle w:val="CharSectno"/>
        </w:rPr>
        <w:t>15</w:t>
      </w:r>
      <w:r>
        <w:rPr>
          <w:snapToGrid w:val="0"/>
        </w:rPr>
        <w:t>.</w:t>
      </w:r>
      <w:r>
        <w:rPr>
          <w:snapToGrid w:val="0"/>
        </w:rPr>
        <w:tab/>
        <w:t>Commissioner must take action to protect etc.</w:t>
      </w:r>
      <w:bookmarkEnd w:id="118"/>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lastRenderedPageBreak/>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19" w:name="_Toc194565542"/>
      <w:r>
        <w:rPr>
          <w:rStyle w:val="CharSectno"/>
        </w:rPr>
        <w:t>16</w:t>
      </w:r>
      <w:r>
        <w:rPr>
          <w:snapToGrid w:val="0"/>
        </w:rPr>
        <w:t>.</w:t>
      </w:r>
      <w:r>
        <w:rPr>
          <w:snapToGrid w:val="0"/>
        </w:rPr>
        <w:tab/>
        <w:t>Action as to obligations etc. of a participant</w:t>
      </w:r>
      <w:bookmarkEnd w:id="119"/>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lastRenderedPageBreak/>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the Commissioner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the Commissioner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their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20" w:name="_Toc194565543"/>
      <w:r>
        <w:rPr>
          <w:rStyle w:val="CharSectno"/>
        </w:rPr>
        <w:t>17</w:t>
      </w:r>
      <w:r>
        <w:rPr>
          <w:snapToGrid w:val="0"/>
        </w:rPr>
        <w:t>.</w:t>
      </w:r>
      <w:r>
        <w:rPr>
          <w:snapToGrid w:val="0"/>
        </w:rPr>
        <w:tab/>
        <w:t>Commercial arrangements for benefit of participant</w:t>
      </w:r>
      <w:bookmarkEnd w:id="120"/>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their former identity.</w:t>
      </w:r>
    </w:p>
    <w:p>
      <w:pPr>
        <w:pStyle w:val="Heading5"/>
        <w:rPr>
          <w:snapToGrid w:val="0"/>
        </w:rPr>
      </w:pPr>
      <w:bookmarkStart w:id="121" w:name="_Toc194565544"/>
      <w:r>
        <w:rPr>
          <w:rStyle w:val="CharSectno"/>
        </w:rPr>
        <w:lastRenderedPageBreak/>
        <w:t>18</w:t>
      </w:r>
      <w:r>
        <w:rPr>
          <w:snapToGrid w:val="0"/>
        </w:rPr>
        <w:t>.</w:t>
      </w:r>
      <w:r>
        <w:rPr>
          <w:snapToGrid w:val="0"/>
        </w:rPr>
        <w:tab/>
        <w:t>Identity documents in urgent cases</w:t>
      </w:r>
      <w:bookmarkEnd w:id="121"/>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they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lastRenderedPageBreak/>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122" w:name="_Toc100239467"/>
      <w:bookmarkStart w:id="123" w:name="_Toc100240075"/>
      <w:bookmarkStart w:id="124" w:name="_Toc100561754"/>
      <w:bookmarkStart w:id="125" w:name="_Toc107310457"/>
      <w:bookmarkStart w:id="126" w:name="_Toc107480479"/>
      <w:bookmarkStart w:id="127" w:name="_Toc193118961"/>
      <w:bookmarkStart w:id="128" w:name="_Toc193120112"/>
      <w:bookmarkStart w:id="129" w:name="_Toc193710887"/>
      <w:bookmarkStart w:id="130" w:name="_Toc193717797"/>
      <w:bookmarkStart w:id="131" w:name="_Toc193790796"/>
      <w:bookmarkStart w:id="132" w:name="_Toc193790872"/>
      <w:bookmarkStart w:id="133" w:name="_Toc194051852"/>
      <w:bookmarkStart w:id="134" w:name="_Toc194332419"/>
      <w:bookmarkStart w:id="135" w:name="_Toc194508633"/>
      <w:bookmarkStart w:id="136" w:name="_Toc194565013"/>
      <w:bookmarkStart w:id="137" w:name="_Toc194565161"/>
      <w:bookmarkStart w:id="138" w:name="_Toc194565545"/>
      <w:r>
        <w:rPr>
          <w:rStyle w:val="CharDivNo"/>
        </w:rPr>
        <w:t>Division 5</w:t>
      </w:r>
      <w:r>
        <w:rPr>
          <w:snapToGrid w:val="0"/>
        </w:rPr>
        <w:t> — </w:t>
      </w:r>
      <w:r>
        <w:rPr>
          <w:rStyle w:val="CharDivText"/>
        </w:rPr>
        <w:t>New identity orders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194565546"/>
      <w:r>
        <w:rPr>
          <w:rStyle w:val="CharSectno"/>
        </w:rPr>
        <w:t>19</w:t>
      </w:r>
      <w:r>
        <w:rPr>
          <w:snapToGrid w:val="0"/>
        </w:rPr>
        <w:t>.</w:t>
      </w:r>
      <w:r>
        <w:rPr>
          <w:snapToGrid w:val="0"/>
        </w:rPr>
        <w:tab/>
        <w:t>Terms used in this Division</w:t>
      </w:r>
      <w:bookmarkEnd w:id="139"/>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lastRenderedPageBreak/>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140" w:name="_Toc194565547"/>
      <w:r>
        <w:rPr>
          <w:rStyle w:val="CharSectno"/>
        </w:rPr>
        <w:t>20</w:t>
      </w:r>
      <w:r>
        <w:rPr>
          <w:snapToGrid w:val="0"/>
        </w:rPr>
        <w:t>.</w:t>
      </w:r>
      <w:r>
        <w:rPr>
          <w:snapToGrid w:val="0"/>
        </w:rPr>
        <w:tab/>
        <w:t>Application to Supreme Court</w:t>
      </w:r>
      <w:bookmarkEnd w:id="140"/>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41" w:name="_Toc194565548"/>
      <w:r>
        <w:rPr>
          <w:rStyle w:val="CharSectno"/>
        </w:rPr>
        <w:t>21</w:t>
      </w:r>
      <w:r>
        <w:rPr>
          <w:snapToGrid w:val="0"/>
        </w:rPr>
        <w:t>.</w:t>
      </w:r>
      <w:r>
        <w:rPr>
          <w:snapToGrid w:val="0"/>
        </w:rPr>
        <w:tab/>
        <w:t>Supreme Court may make order</w:t>
      </w:r>
      <w:bookmarkEnd w:id="141"/>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lastRenderedPageBreak/>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they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142" w:name="_Toc194565549"/>
      <w:r>
        <w:rPr>
          <w:rStyle w:val="CharSectno"/>
        </w:rPr>
        <w:t>22A</w:t>
      </w:r>
      <w:r>
        <w:t>.</w:t>
      </w:r>
      <w:r>
        <w:tab/>
        <w:t>Effect of new identity order</w:t>
      </w:r>
      <w:bookmarkEnd w:id="142"/>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143" w:name="_Toc194565550"/>
      <w:r>
        <w:rPr>
          <w:rStyle w:val="CharSectno"/>
        </w:rPr>
        <w:lastRenderedPageBreak/>
        <w:t>22</w:t>
      </w:r>
      <w:r>
        <w:rPr>
          <w:snapToGrid w:val="0"/>
        </w:rPr>
        <w:t>.</w:t>
      </w:r>
      <w:r>
        <w:rPr>
          <w:snapToGrid w:val="0"/>
        </w:rPr>
        <w:tab/>
        <w:t>Supreme Court may order former identity to be restored</w:t>
      </w:r>
      <w:bookmarkEnd w:id="143"/>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44" w:name="_Toc194565551"/>
      <w:r>
        <w:rPr>
          <w:rStyle w:val="CharSectno"/>
        </w:rPr>
        <w:t>23</w:t>
      </w:r>
      <w:r>
        <w:rPr>
          <w:snapToGrid w:val="0"/>
        </w:rPr>
        <w:t>.</w:t>
      </w:r>
      <w:r>
        <w:rPr>
          <w:snapToGrid w:val="0"/>
        </w:rPr>
        <w:tab/>
        <w:t>Proceedings to be in private</w:t>
      </w:r>
      <w:bookmarkEnd w:id="144"/>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45" w:name="_Toc194565552"/>
      <w:r>
        <w:rPr>
          <w:rStyle w:val="CharSectno"/>
        </w:rPr>
        <w:t>24</w:t>
      </w:r>
      <w:r>
        <w:rPr>
          <w:snapToGrid w:val="0"/>
        </w:rPr>
        <w:t>.</w:t>
      </w:r>
      <w:r>
        <w:rPr>
          <w:snapToGrid w:val="0"/>
        </w:rPr>
        <w:tab/>
        <w:t>Effect of actions done under order</w:t>
      </w:r>
      <w:bookmarkEnd w:id="145"/>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146" w:name="_Toc100239475"/>
      <w:bookmarkStart w:id="147" w:name="_Toc100240083"/>
      <w:bookmarkStart w:id="148" w:name="_Toc100561762"/>
      <w:bookmarkStart w:id="149" w:name="_Toc107310465"/>
      <w:bookmarkStart w:id="150" w:name="_Toc107480487"/>
      <w:bookmarkStart w:id="151" w:name="_Toc193118969"/>
      <w:bookmarkStart w:id="152" w:name="_Toc193120120"/>
      <w:bookmarkStart w:id="153" w:name="_Toc193710895"/>
      <w:bookmarkStart w:id="154" w:name="_Toc193717805"/>
      <w:bookmarkStart w:id="155" w:name="_Toc193790804"/>
      <w:bookmarkStart w:id="156" w:name="_Toc193790880"/>
      <w:bookmarkStart w:id="157" w:name="_Toc194051860"/>
      <w:bookmarkStart w:id="158" w:name="_Toc194332427"/>
      <w:bookmarkStart w:id="159" w:name="_Toc194508641"/>
      <w:bookmarkStart w:id="160" w:name="_Toc194565021"/>
      <w:bookmarkStart w:id="161" w:name="_Toc194565169"/>
      <w:bookmarkStart w:id="162" w:name="_Toc194565553"/>
      <w:r>
        <w:rPr>
          <w:rStyle w:val="CharDivNo"/>
        </w:rPr>
        <w:lastRenderedPageBreak/>
        <w:t>Division 6</w:t>
      </w:r>
      <w:r>
        <w:rPr>
          <w:snapToGrid w:val="0"/>
        </w:rPr>
        <w:t> — </w:t>
      </w:r>
      <w:r>
        <w:rPr>
          <w:rStyle w:val="CharDivText"/>
        </w:rPr>
        <w:t>Terminating protection and assistance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00"/>
        <w:rPr>
          <w:snapToGrid w:val="0"/>
        </w:rPr>
      </w:pPr>
      <w:bookmarkStart w:id="163" w:name="_Toc194565554"/>
      <w:r>
        <w:rPr>
          <w:rStyle w:val="CharSectno"/>
        </w:rPr>
        <w:t>25</w:t>
      </w:r>
      <w:r>
        <w:rPr>
          <w:snapToGrid w:val="0"/>
        </w:rPr>
        <w:t>.</w:t>
      </w:r>
      <w:r>
        <w:rPr>
          <w:snapToGrid w:val="0"/>
        </w:rPr>
        <w:tab/>
        <w:t>Commissioner may terminate protection</w:t>
      </w:r>
      <w:bookmarkEnd w:id="163"/>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the Commissioner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keepNext/>
      </w:pPr>
      <w:r>
        <w:lastRenderedPageBreak/>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the Commissioner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the Commissioner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the participant ceases to be a participant.</w:t>
      </w:r>
    </w:p>
    <w:p>
      <w:pPr>
        <w:pStyle w:val="Footnotesection"/>
      </w:pPr>
      <w:r>
        <w:tab/>
        <w:t>[Section 25 amended: No. 55 of 2012 s. 128.]</w:t>
      </w:r>
    </w:p>
    <w:p>
      <w:pPr>
        <w:pStyle w:val="Heading5"/>
        <w:spacing w:before="200"/>
        <w:rPr>
          <w:snapToGrid w:val="0"/>
        </w:rPr>
      </w:pPr>
      <w:bookmarkStart w:id="164" w:name="_Toc194565555"/>
      <w:r>
        <w:rPr>
          <w:rStyle w:val="CharSectno"/>
        </w:rPr>
        <w:t>26</w:t>
      </w:r>
      <w:r>
        <w:rPr>
          <w:snapToGrid w:val="0"/>
        </w:rPr>
        <w:t>.</w:t>
      </w:r>
      <w:r>
        <w:rPr>
          <w:snapToGrid w:val="0"/>
        </w:rPr>
        <w:tab/>
        <w:t>Restoring a former identity</w:t>
      </w:r>
      <w:bookmarkEnd w:id="164"/>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the Commissioner considers it appropriate to do so, may apply under Division 5 for orders to restore the former participant’s former identity.</w:t>
      </w:r>
    </w:p>
    <w:p>
      <w:pPr>
        <w:pStyle w:val="Subsection"/>
        <w:rPr>
          <w:snapToGrid w:val="0"/>
        </w:rPr>
      </w:pPr>
      <w:r>
        <w:rPr>
          <w:snapToGrid w:val="0"/>
        </w:rPr>
        <w:lastRenderedPageBreak/>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65" w:name="_Toc100239478"/>
      <w:bookmarkStart w:id="166" w:name="_Toc100240086"/>
      <w:bookmarkStart w:id="167" w:name="_Toc100561765"/>
      <w:bookmarkStart w:id="168" w:name="_Toc107310468"/>
      <w:bookmarkStart w:id="169" w:name="_Toc107480490"/>
      <w:bookmarkStart w:id="170" w:name="_Toc193118972"/>
      <w:bookmarkStart w:id="171" w:name="_Toc193120123"/>
      <w:bookmarkStart w:id="172" w:name="_Toc193710898"/>
      <w:bookmarkStart w:id="173" w:name="_Toc193717808"/>
      <w:bookmarkStart w:id="174" w:name="_Toc193790807"/>
      <w:bookmarkStart w:id="175" w:name="_Toc193790883"/>
      <w:bookmarkStart w:id="176" w:name="_Toc194051863"/>
      <w:bookmarkStart w:id="177" w:name="_Toc194332430"/>
      <w:bookmarkStart w:id="178" w:name="_Toc194508644"/>
      <w:bookmarkStart w:id="179" w:name="_Toc194565024"/>
      <w:bookmarkStart w:id="180" w:name="_Toc194565172"/>
      <w:bookmarkStart w:id="181" w:name="_Toc194565556"/>
      <w:r>
        <w:rPr>
          <w:rStyle w:val="CharPartNo"/>
        </w:rPr>
        <w:lastRenderedPageBreak/>
        <w:t>Part 3</w:t>
      </w:r>
      <w:r>
        <w:t> — </w:t>
      </w:r>
      <w:r>
        <w:rPr>
          <w:rStyle w:val="CharPartText"/>
        </w:rPr>
        <w:t>Secrecy and disclosure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100239479"/>
      <w:bookmarkStart w:id="183" w:name="_Toc100240087"/>
      <w:bookmarkStart w:id="184" w:name="_Toc100561766"/>
      <w:bookmarkStart w:id="185" w:name="_Toc107310469"/>
      <w:bookmarkStart w:id="186" w:name="_Toc107480491"/>
      <w:bookmarkStart w:id="187" w:name="_Toc193118973"/>
      <w:bookmarkStart w:id="188" w:name="_Toc193120124"/>
      <w:bookmarkStart w:id="189" w:name="_Toc193710899"/>
      <w:bookmarkStart w:id="190" w:name="_Toc193717809"/>
      <w:bookmarkStart w:id="191" w:name="_Toc193790808"/>
      <w:bookmarkStart w:id="192" w:name="_Toc193790884"/>
      <w:bookmarkStart w:id="193" w:name="_Toc194051864"/>
      <w:bookmarkStart w:id="194" w:name="_Toc194332431"/>
      <w:bookmarkStart w:id="195" w:name="_Toc194508645"/>
      <w:bookmarkStart w:id="196" w:name="_Toc194565025"/>
      <w:bookmarkStart w:id="197" w:name="_Toc194565173"/>
      <w:bookmarkStart w:id="198" w:name="_Toc194565557"/>
      <w:r>
        <w:rPr>
          <w:rStyle w:val="CharDivNo"/>
        </w:rPr>
        <w:t>Division 1</w:t>
      </w:r>
      <w: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No. 55 of 2012 s. 129.]</w:t>
      </w:r>
    </w:p>
    <w:p>
      <w:pPr>
        <w:pStyle w:val="Heading5"/>
        <w:rPr>
          <w:snapToGrid w:val="0"/>
        </w:rPr>
      </w:pPr>
      <w:bookmarkStart w:id="199" w:name="_Toc194565558"/>
      <w:r>
        <w:rPr>
          <w:rStyle w:val="CharSectno"/>
        </w:rPr>
        <w:t>27</w:t>
      </w:r>
      <w:r>
        <w:rPr>
          <w:snapToGrid w:val="0"/>
        </w:rPr>
        <w:t>.</w:t>
      </w:r>
      <w:r>
        <w:rPr>
          <w:snapToGrid w:val="0"/>
        </w:rPr>
        <w:tab/>
        <w:t>Duty not to disclose</w:t>
      </w:r>
      <w:bookmarkEnd w:id="199"/>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200" w:name="_Toc194565559"/>
      <w:r>
        <w:rPr>
          <w:rStyle w:val="CharSectno"/>
        </w:rPr>
        <w:t>28</w:t>
      </w:r>
      <w:r>
        <w:rPr>
          <w:snapToGrid w:val="0"/>
        </w:rPr>
        <w:t>.</w:t>
      </w:r>
      <w:r>
        <w:rPr>
          <w:snapToGrid w:val="0"/>
        </w:rPr>
        <w:tab/>
        <w:t>Disclosure of information cannot be compelled</w:t>
      </w:r>
      <w:bookmarkEnd w:id="200"/>
    </w:p>
    <w:p>
      <w:pPr>
        <w:pStyle w:val="Subsection"/>
        <w:rPr>
          <w:snapToGrid w:val="0"/>
        </w:rPr>
      </w:pPr>
      <w:r>
        <w:rPr>
          <w:snapToGrid w:val="0"/>
        </w:rPr>
        <w:tab/>
        <w:t>(1)</w:t>
      </w:r>
      <w:r>
        <w:rPr>
          <w:snapToGrid w:val="0"/>
        </w:rPr>
        <w:tab/>
        <w:t>Subject to subsection (2),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 xml:space="preserve">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w:t>
      </w:r>
      <w:r>
        <w:rPr>
          <w:snapToGrid w:val="0"/>
        </w:rPr>
        <w:lastRenderedPageBreak/>
        <w:t>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201" w:name="_Toc194565560"/>
      <w:r>
        <w:rPr>
          <w:rStyle w:val="CharSectno"/>
        </w:rPr>
        <w:t>29</w:t>
      </w:r>
      <w:r>
        <w:rPr>
          <w:snapToGrid w:val="0"/>
        </w:rPr>
        <w:t>.</w:t>
      </w:r>
      <w:r>
        <w:rPr>
          <w:snapToGrid w:val="0"/>
        </w:rPr>
        <w:tab/>
        <w:t>Disclosing information to approved authorities</w:t>
      </w:r>
      <w:bookmarkEnd w:id="20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keepNext/>
        <w:keepLines/>
        <w:rPr>
          <w:snapToGrid w:val="0"/>
        </w:rPr>
      </w:pPr>
      <w:r>
        <w:rPr>
          <w:snapToGrid w:val="0"/>
        </w:rPr>
        <w:lastRenderedPageBreak/>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202" w:name="_Toc194565561"/>
      <w:r>
        <w:rPr>
          <w:rStyle w:val="CharSectno"/>
        </w:rPr>
        <w:t>32</w:t>
      </w:r>
      <w:r>
        <w:rPr>
          <w:snapToGrid w:val="0"/>
        </w:rPr>
        <w:t>.</w:t>
      </w:r>
      <w:r>
        <w:rPr>
          <w:snapToGrid w:val="0"/>
        </w:rPr>
        <w:tab/>
        <w:t>Certain disclosures to court to be in private</w:t>
      </w:r>
      <w:bookmarkEnd w:id="202"/>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the person is using their former identity in the court; or</w:t>
      </w:r>
    </w:p>
    <w:p>
      <w:pPr>
        <w:pStyle w:val="Indenta"/>
        <w:rPr>
          <w:snapToGrid w:val="0"/>
        </w:rPr>
      </w:pPr>
      <w:r>
        <w:rPr>
          <w:snapToGrid w:val="0"/>
        </w:rPr>
        <w:tab/>
        <w:t>(b)</w:t>
      </w:r>
      <w:r>
        <w:rPr>
          <w:snapToGrid w:val="0"/>
        </w:rPr>
        <w:tab/>
        <w:t>the person’s former identity may be disclosed when the person is using their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lastRenderedPageBreak/>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203" w:name="_Toc100239484"/>
      <w:bookmarkStart w:id="204" w:name="_Toc100240092"/>
      <w:bookmarkStart w:id="205" w:name="_Toc100561771"/>
      <w:bookmarkStart w:id="206" w:name="_Toc107310474"/>
      <w:bookmarkStart w:id="207" w:name="_Toc107480496"/>
      <w:bookmarkStart w:id="208" w:name="_Toc193118978"/>
      <w:bookmarkStart w:id="209" w:name="_Toc193120129"/>
      <w:bookmarkStart w:id="210" w:name="_Toc193710904"/>
      <w:bookmarkStart w:id="211" w:name="_Toc193717814"/>
      <w:bookmarkStart w:id="212" w:name="_Toc193790813"/>
      <w:bookmarkStart w:id="213" w:name="_Toc193790889"/>
      <w:bookmarkStart w:id="214" w:name="_Toc194051869"/>
      <w:bookmarkStart w:id="215" w:name="_Toc194332436"/>
      <w:bookmarkStart w:id="216" w:name="_Toc194508650"/>
      <w:bookmarkStart w:id="217" w:name="_Toc194565030"/>
      <w:bookmarkStart w:id="218" w:name="_Toc194565178"/>
      <w:bookmarkStart w:id="219" w:name="_Toc194565562"/>
      <w:r>
        <w:rPr>
          <w:rStyle w:val="CharDivNo"/>
        </w:rPr>
        <w:t>Division 2</w:t>
      </w:r>
      <w:r>
        <w:t> — </w:t>
      </w:r>
      <w:r>
        <w:rPr>
          <w:rStyle w:val="CharDivText"/>
        </w:rPr>
        <w:t>Evidence by participants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No. 55 of 2012 s. 132.]</w:t>
      </w:r>
    </w:p>
    <w:p>
      <w:pPr>
        <w:pStyle w:val="Heading4"/>
      </w:pPr>
      <w:bookmarkStart w:id="220" w:name="_Toc100239485"/>
      <w:bookmarkStart w:id="221" w:name="_Toc100240093"/>
      <w:bookmarkStart w:id="222" w:name="_Toc100561772"/>
      <w:bookmarkStart w:id="223" w:name="_Toc107310475"/>
      <w:bookmarkStart w:id="224" w:name="_Toc107480497"/>
      <w:bookmarkStart w:id="225" w:name="_Toc193118979"/>
      <w:bookmarkStart w:id="226" w:name="_Toc193120130"/>
      <w:bookmarkStart w:id="227" w:name="_Toc193710905"/>
      <w:bookmarkStart w:id="228" w:name="_Toc193717815"/>
      <w:bookmarkStart w:id="229" w:name="_Toc193790814"/>
      <w:bookmarkStart w:id="230" w:name="_Toc193790890"/>
      <w:bookmarkStart w:id="231" w:name="_Toc194051870"/>
      <w:bookmarkStart w:id="232" w:name="_Toc194332437"/>
      <w:bookmarkStart w:id="233" w:name="_Toc194508651"/>
      <w:bookmarkStart w:id="234" w:name="_Toc194565031"/>
      <w:bookmarkStart w:id="235" w:name="_Toc194565179"/>
      <w:bookmarkStart w:id="236" w:name="_Toc194565563"/>
      <w:r>
        <w:t>Subdivision 1 — Terms used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No. 55 of 2012 s. 132.]</w:t>
      </w:r>
    </w:p>
    <w:p>
      <w:pPr>
        <w:pStyle w:val="Heading5"/>
      </w:pPr>
      <w:bookmarkStart w:id="237" w:name="_Toc194565564"/>
      <w:r>
        <w:rPr>
          <w:rStyle w:val="CharSectno"/>
        </w:rPr>
        <w:t>33</w:t>
      </w:r>
      <w:r>
        <w:t>.</w:t>
      </w:r>
      <w:r>
        <w:tab/>
        <w:t>Terms used</w:t>
      </w:r>
      <w:bookmarkEnd w:id="237"/>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keepNext/>
        <w:keepLines/>
      </w:pPr>
      <w:r>
        <w:lastRenderedPageBreak/>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keepNext/>
      </w:pPr>
      <w:r>
        <w:tab/>
      </w:r>
      <w:r>
        <w:rPr>
          <w:rStyle w:val="CharDefText"/>
        </w:rPr>
        <w:t>court proceedings</w:t>
      </w:r>
      <w:r>
        <w:t xml:space="preserve"> means any proceedings in a court;</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lastRenderedPageBreak/>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 amended: No. 9 of 2022 s. 424.]</w:t>
      </w:r>
    </w:p>
    <w:p>
      <w:pPr>
        <w:pStyle w:val="Heading4"/>
      </w:pPr>
      <w:bookmarkStart w:id="238" w:name="_Toc100239487"/>
      <w:bookmarkStart w:id="239" w:name="_Toc100240095"/>
      <w:bookmarkStart w:id="240" w:name="_Toc100561774"/>
      <w:bookmarkStart w:id="241" w:name="_Toc107310477"/>
      <w:bookmarkStart w:id="242" w:name="_Toc107480499"/>
      <w:bookmarkStart w:id="243" w:name="_Toc193118981"/>
      <w:bookmarkStart w:id="244" w:name="_Toc193120132"/>
      <w:bookmarkStart w:id="245" w:name="_Toc193710907"/>
      <w:bookmarkStart w:id="246" w:name="_Toc193717817"/>
      <w:bookmarkStart w:id="247" w:name="_Toc193790816"/>
      <w:bookmarkStart w:id="248" w:name="_Toc193790892"/>
      <w:bookmarkStart w:id="249" w:name="_Toc194051872"/>
      <w:bookmarkStart w:id="250" w:name="_Toc194332439"/>
      <w:bookmarkStart w:id="251" w:name="_Toc194508653"/>
      <w:bookmarkStart w:id="252" w:name="_Toc194565033"/>
      <w:bookmarkStart w:id="253" w:name="_Toc194565181"/>
      <w:bookmarkStart w:id="254" w:name="_Toc194565565"/>
      <w:r>
        <w:t>Subdivision 2 — Non-disclosure certificates for protected persons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No. 55 of 2012 s. 133.]</w:t>
      </w:r>
    </w:p>
    <w:p>
      <w:pPr>
        <w:pStyle w:val="Heading5"/>
      </w:pPr>
      <w:bookmarkStart w:id="255" w:name="_Toc194565566"/>
      <w:r>
        <w:rPr>
          <w:rStyle w:val="CharSectno"/>
        </w:rPr>
        <w:t>34A</w:t>
      </w:r>
      <w:r>
        <w:t>.</w:t>
      </w:r>
      <w:r>
        <w:tab/>
        <w:t>Non</w:t>
      </w:r>
      <w:r>
        <w:noBreakHyphen/>
        <w:t>disclosure certificates</w:t>
      </w:r>
      <w:bookmarkEnd w:id="255"/>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lastRenderedPageBreak/>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256" w:name="_Toc194565567"/>
      <w:r>
        <w:rPr>
          <w:rStyle w:val="CharSectno"/>
        </w:rPr>
        <w:t>34B</w:t>
      </w:r>
      <w:r>
        <w:t>.</w:t>
      </w:r>
      <w:r>
        <w:tab/>
        <w:t>What non</w:t>
      </w:r>
      <w:r>
        <w:noBreakHyphen/>
        <w:t>disclosure certificate must state</w:t>
      </w:r>
      <w:bookmarkEnd w:id="256"/>
      <w:r>
        <w:t xml:space="preserve"> </w:t>
      </w:r>
    </w:p>
    <w:p>
      <w:pPr>
        <w:pStyle w:val="Subsection"/>
        <w:keepNext/>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keepLines/>
      </w:pPr>
      <w:bookmarkStart w:id="257" w:name="_Toc100239490"/>
      <w:bookmarkStart w:id="258" w:name="_Toc100240098"/>
      <w:bookmarkStart w:id="259" w:name="_Toc100561777"/>
      <w:bookmarkStart w:id="260" w:name="_Toc107310480"/>
      <w:bookmarkStart w:id="261" w:name="_Toc107480502"/>
      <w:bookmarkStart w:id="262" w:name="_Toc193118984"/>
      <w:bookmarkStart w:id="263" w:name="_Toc193120135"/>
      <w:bookmarkStart w:id="264" w:name="_Toc193710910"/>
      <w:bookmarkStart w:id="265" w:name="_Toc193717820"/>
      <w:bookmarkStart w:id="266" w:name="_Toc193790819"/>
      <w:bookmarkStart w:id="267" w:name="_Toc193790895"/>
      <w:bookmarkStart w:id="268" w:name="_Toc194051875"/>
      <w:bookmarkStart w:id="269" w:name="_Toc194332442"/>
      <w:bookmarkStart w:id="270" w:name="_Toc194508656"/>
      <w:bookmarkStart w:id="271" w:name="_Toc194565036"/>
      <w:bookmarkStart w:id="272" w:name="_Toc194565184"/>
      <w:bookmarkStart w:id="273" w:name="_Toc194565568"/>
      <w:r>
        <w:lastRenderedPageBreak/>
        <w:t>Subdivision 3 — Provisions applicable to court proceedings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keepNext/>
        <w:keepLines/>
      </w:pPr>
      <w:r>
        <w:tab/>
        <w:t>[Heading inserted: No. 55 of 2012 s. 133.]</w:t>
      </w:r>
    </w:p>
    <w:p>
      <w:pPr>
        <w:pStyle w:val="Heading5"/>
      </w:pPr>
      <w:bookmarkStart w:id="274" w:name="_Toc194565569"/>
      <w:r>
        <w:rPr>
          <w:rStyle w:val="CharSectno"/>
        </w:rPr>
        <w:t>34CA</w:t>
      </w:r>
      <w:r>
        <w:t>.</w:t>
      </w:r>
      <w:r>
        <w:tab/>
        <w:t>Application of Subdivision</w:t>
      </w:r>
      <w:bookmarkEnd w:id="274"/>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275" w:name="_Toc194565570"/>
      <w:r>
        <w:rPr>
          <w:rStyle w:val="CharSectno"/>
        </w:rPr>
        <w:t>34C</w:t>
      </w:r>
      <w:r>
        <w:t>.</w:t>
      </w:r>
      <w:r>
        <w:tab/>
        <w:t>Effect of non</w:t>
      </w:r>
      <w:r>
        <w:noBreakHyphen/>
        <w:t>disclosure certificate</w:t>
      </w:r>
      <w:bookmarkEnd w:id="275"/>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keepNext/>
      </w:pPr>
      <w:r>
        <w:tab/>
        <w:t>(a)</w:t>
      </w:r>
      <w:r>
        <w:tab/>
        <w:t xml:space="preserve">a question must not be asked of a witness, including the protected person, that may lead to the disclosure of the </w:t>
      </w:r>
      <w:r>
        <w:lastRenderedPageBreak/>
        <w:t>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276" w:name="_Toc194565571"/>
      <w:r>
        <w:rPr>
          <w:rStyle w:val="CharSectno"/>
        </w:rPr>
        <w:t>34D</w:t>
      </w:r>
      <w:r>
        <w:t>.</w:t>
      </w:r>
      <w:r>
        <w:tab/>
        <w:t>Disclosure of protected person’s identity despite certificate</w:t>
      </w:r>
      <w:bookmarkEnd w:id="276"/>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keepNext/>
      </w:pPr>
      <w:r>
        <w:lastRenderedPageBreak/>
        <w:tab/>
        <w:t>(2)</w:t>
      </w:r>
      <w:r>
        <w:tab/>
        <w:t>A party to the proceedings, or a lawyer assisting the court in the proceedings, may apply to the court —</w:t>
      </w:r>
    </w:p>
    <w:p>
      <w:pPr>
        <w:pStyle w:val="Indenta"/>
        <w:keepNext/>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lastRenderedPageBreak/>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277" w:name="_Toc194565572"/>
      <w:r>
        <w:rPr>
          <w:rStyle w:val="CharSectno"/>
        </w:rPr>
        <w:lastRenderedPageBreak/>
        <w:t>34E</w:t>
      </w:r>
      <w:r>
        <w:t>.</w:t>
      </w:r>
      <w:r>
        <w:tab/>
        <w:t>Directions to jury</w:t>
      </w:r>
      <w:bookmarkEnd w:id="277"/>
    </w:p>
    <w:p>
      <w:pPr>
        <w:pStyle w:val="Subsection"/>
        <w:keepNext/>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278" w:name="_Toc194565573"/>
      <w:r>
        <w:rPr>
          <w:rStyle w:val="CharSectno"/>
        </w:rPr>
        <w:t>34F</w:t>
      </w:r>
      <w:r>
        <w:t>.</w:t>
      </w:r>
      <w:r>
        <w:tab/>
        <w:t>Adjournment for appeal decision</w:t>
      </w:r>
      <w:bookmarkEnd w:id="278"/>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lastRenderedPageBreak/>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279" w:name="_Toc194565574"/>
      <w:r>
        <w:rPr>
          <w:rStyle w:val="CharSectno"/>
        </w:rPr>
        <w:t>34G</w:t>
      </w:r>
      <w:r>
        <w:t>.</w:t>
      </w:r>
      <w:r>
        <w:tab/>
        <w:t>Jurisdiction to hear and determine appeals</w:t>
      </w:r>
      <w:bookmarkEnd w:id="279"/>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280" w:name="_Toc194565575"/>
      <w:r>
        <w:rPr>
          <w:rStyle w:val="CharSectno"/>
        </w:rPr>
        <w:t>34H</w:t>
      </w:r>
      <w:r>
        <w:t>.</w:t>
      </w:r>
      <w:r>
        <w:tab/>
        <w:t>Recognition of non</w:t>
      </w:r>
      <w:r>
        <w:noBreakHyphen/>
        <w:t>disclosure certificates under corresponding laws</w:t>
      </w:r>
      <w:bookmarkEnd w:id="280"/>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281" w:name="_Toc100239498"/>
      <w:bookmarkStart w:id="282" w:name="_Toc100240106"/>
      <w:bookmarkStart w:id="283" w:name="_Toc100561785"/>
      <w:bookmarkStart w:id="284" w:name="_Toc107310488"/>
      <w:bookmarkStart w:id="285" w:name="_Toc107480510"/>
      <w:bookmarkStart w:id="286" w:name="_Toc193118992"/>
      <w:bookmarkStart w:id="287" w:name="_Toc193120143"/>
      <w:bookmarkStart w:id="288" w:name="_Toc193710918"/>
      <w:bookmarkStart w:id="289" w:name="_Toc193717828"/>
      <w:bookmarkStart w:id="290" w:name="_Toc193790827"/>
      <w:bookmarkStart w:id="291" w:name="_Toc193790903"/>
      <w:bookmarkStart w:id="292" w:name="_Toc194051883"/>
      <w:bookmarkStart w:id="293" w:name="_Toc194332450"/>
      <w:bookmarkStart w:id="294" w:name="_Toc194508664"/>
      <w:bookmarkStart w:id="295" w:name="_Toc194565044"/>
      <w:bookmarkStart w:id="296" w:name="_Toc194565192"/>
      <w:bookmarkStart w:id="297" w:name="_Toc194565576"/>
      <w:r>
        <w:t>Subdivision 4 — Provisions applicable to parliamentary proceedings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pPr>
      <w:r>
        <w:tab/>
        <w:t>[Heading inserted: No. 55 of 2012 s. 133.]</w:t>
      </w:r>
    </w:p>
    <w:p>
      <w:pPr>
        <w:pStyle w:val="Heading5"/>
      </w:pPr>
      <w:bookmarkStart w:id="298" w:name="_Toc194565577"/>
      <w:r>
        <w:rPr>
          <w:rStyle w:val="CharSectno"/>
        </w:rPr>
        <w:t>34I</w:t>
      </w:r>
      <w:r>
        <w:t>.</w:t>
      </w:r>
      <w:r>
        <w:tab/>
        <w:t>Application of Subdivision</w:t>
      </w:r>
      <w:bookmarkEnd w:id="298"/>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299" w:name="_Toc194565578"/>
      <w:r>
        <w:rPr>
          <w:rStyle w:val="CharSectno"/>
        </w:rPr>
        <w:lastRenderedPageBreak/>
        <w:t>34J</w:t>
      </w:r>
      <w:r>
        <w:t>.</w:t>
      </w:r>
      <w:r>
        <w:tab/>
        <w:t>Effect of non-disclosure certificate</w:t>
      </w:r>
      <w:bookmarkEnd w:id="299"/>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lastRenderedPageBreak/>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300" w:name="_Toc194565579"/>
      <w:r>
        <w:rPr>
          <w:rStyle w:val="CharSectno"/>
        </w:rPr>
        <w:t>34K</w:t>
      </w:r>
      <w:r>
        <w:t>.</w:t>
      </w:r>
      <w:r>
        <w:tab/>
        <w:t>Disclosure of protected person’s identity despite certificate</w:t>
      </w:r>
      <w:bookmarkEnd w:id="300"/>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lastRenderedPageBreak/>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301" w:name="_Toc194565580"/>
      <w:r>
        <w:rPr>
          <w:rStyle w:val="CharSectno"/>
        </w:rPr>
        <w:t>34L</w:t>
      </w:r>
      <w:r>
        <w:t>.</w:t>
      </w:r>
      <w:r>
        <w:tab/>
        <w:t>Restrictions on content of reports to Parliament</w:t>
      </w:r>
      <w:bookmarkEnd w:id="301"/>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302" w:name="_Toc100239503"/>
      <w:bookmarkStart w:id="303" w:name="_Toc100240111"/>
      <w:bookmarkStart w:id="304" w:name="_Toc100561790"/>
      <w:bookmarkStart w:id="305" w:name="_Toc107310493"/>
      <w:bookmarkStart w:id="306" w:name="_Toc107480515"/>
      <w:bookmarkStart w:id="307" w:name="_Toc193118997"/>
      <w:bookmarkStart w:id="308" w:name="_Toc193120148"/>
      <w:bookmarkStart w:id="309" w:name="_Toc193710923"/>
      <w:bookmarkStart w:id="310" w:name="_Toc193717833"/>
      <w:bookmarkStart w:id="311" w:name="_Toc193790832"/>
      <w:bookmarkStart w:id="312" w:name="_Toc193790908"/>
      <w:bookmarkStart w:id="313" w:name="_Toc194051888"/>
      <w:bookmarkStart w:id="314" w:name="_Toc194332455"/>
      <w:bookmarkStart w:id="315" w:name="_Toc194508669"/>
      <w:bookmarkStart w:id="316" w:name="_Toc194565049"/>
      <w:bookmarkStart w:id="317" w:name="_Toc194565197"/>
      <w:bookmarkStart w:id="318" w:name="_Toc194565581"/>
      <w:r>
        <w:rPr>
          <w:rStyle w:val="CharDivNo"/>
        </w:rPr>
        <w:lastRenderedPageBreak/>
        <w:t>Division 3</w:t>
      </w:r>
      <w:r>
        <w:t> — </w:t>
      </w:r>
      <w:r>
        <w:rPr>
          <w:rStyle w:val="CharDivText"/>
        </w:rPr>
        <w:t>Miscellaneous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keepNext/>
        <w:keepLines/>
      </w:pPr>
      <w:r>
        <w:tab/>
        <w:t>[Heading inserted: No. 55 of 2012 s. 134.]</w:t>
      </w:r>
    </w:p>
    <w:p>
      <w:pPr>
        <w:pStyle w:val="Heading5"/>
        <w:rPr>
          <w:snapToGrid w:val="0"/>
        </w:rPr>
      </w:pPr>
      <w:bookmarkStart w:id="319" w:name="_Toc194565582"/>
      <w:r>
        <w:rPr>
          <w:rStyle w:val="CharSectno"/>
        </w:rPr>
        <w:t>34</w:t>
      </w:r>
      <w:r>
        <w:rPr>
          <w:snapToGrid w:val="0"/>
        </w:rPr>
        <w:t>.</w:t>
      </w:r>
      <w:r>
        <w:rPr>
          <w:snapToGrid w:val="0"/>
        </w:rPr>
        <w:tab/>
        <w:t xml:space="preserve">Disclosure by Auditor General, Parliamentary Commissioner or </w:t>
      </w:r>
      <w:r>
        <w:t>Corruption and Crime Commission</w:t>
      </w:r>
      <w:bookmarkEnd w:id="319"/>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2</w:t>
      </w:r>
      <w:r>
        <w:t xml:space="preserve"> cl. 11; No. 77 of 2006 s. 17; No. 35 of 2014 s. 39.]</w:t>
      </w:r>
    </w:p>
    <w:p>
      <w:pPr>
        <w:pStyle w:val="Heading2"/>
      </w:pPr>
      <w:bookmarkStart w:id="320" w:name="_Toc100239505"/>
      <w:bookmarkStart w:id="321" w:name="_Toc100240113"/>
      <w:bookmarkStart w:id="322" w:name="_Toc100561792"/>
      <w:bookmarkStart w:id="323" w:name="_Toc107310495"/>
      <w:bookmarkStart w:id="324" w:name="_Toc107480517"/>
      <w:bookmarkStart w:id="325" w:name="_Toc193118999"/>
      <w:bookmarkStart w:id="326" w:name="_Toc193120150"/>
      <w:bookmarkStart w:id="327" w:name="_Toc193710925"/>
      <w:bookmarkStart w:id="328" w:name="_Toc193717835"/>
      <w:bookmarkStart w:id="329" w:name="_Toc193790834"/>
      <w:bookmarkStart w:id="330" w:name="_Toc193790910"/>
      <w:bookmarkStart w:id="331" w:name="_Toc194051890"/>
      <w:bookmarkStart w:id="332" w:name="_Toc194332457"/>
      <w:bookmarkStart w:id="333" w:name="_Toc194508671"/>
      <w:bookmarkStart w:id="334" w:name="_Toc194565051"/>
      <w:bookmarkStart w:id="335" w:name="_Toc194565199"/>
      <w:bookmarkStart w:id="336" w:name="_Toc194565583"/>
      <w:r>
        <w:rPr>
          <w:rStyle w:val="CharPartNo"/>
        </w:rPr>
        <w:lastRenderedPageBreak/>
        <w:t>Part 4</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260"/>
        <w:rPr>
          <w:snapToGrid w:val="0"/>
        </w:rPr>
      </w:pPr>
      <w:bookmarkStart w:id="337" w:name="_Toc194565584"/>
      <w:r>
        <w:rPr>
          <w:rStyle w:val="CharSectno"/>
        </w:rPr>
        <w:t>35</w:t>
      </w:r>
      <w:r>
        <w:rPr>
          <w:snapToGrid w:val="0"/>
        </w:rPr>
        <w:t>.</w:t>
      </w:r>
      <w:r>
        <w:rPr>
          <w:snapToGrid w:val="0"/>
        </w:rPr>
        <w:tab/>
        <w:t>Offences</w:t>
      </w:r>
      <w:bookmarkEnd w:id="337"/>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lastRenderedPageBreak/>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338" w:name="_Toc194565585"/>
      <w:r>
        <w:rPr>
          <w:rStyle w:val="CharSectno"/>
        </w:rPr>
        <w:t>36</w:t>
      </w:r>
      <w:r>
        <w:rPr>
          <w:snapToGrid w:val="0"/>
        </w:rPr>
        <w:t>.</w:t>
      </w:r>
      <w:r>
        <w:rPr>
          <w:snapToGrid w:val="0"/>
        </w:rPr>
        <w:tab/>
        <w:t>Delegation</w:t>
      </w:r>
      <w:bookmarkEnd w:id="338"/>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the police officer by the Commissioner under a complementary witness protection law.</w:t>
      </w:r>
    </w:p>
    <w:p>
      <w:pPr>
        <w:pStyle w:val="Heading5"/>
        <w:rPr>
          <w:snapToGrid w:val="0"/>
        </w:rPr>
      </w:pPr>
      <w:bookmarkStart w:id="339" w:name="_Toc194565586"/>
      <w:r>
        <w:rPr>
          <w:rStyle w:val="CharSectno"/>
        </w:rPr>
        <w:t>37</w:t>
      </w:r>
      <w:r>
        <w:rPr>
          <w:snapToGrid w:val="0"/>
        </w:rPr>
        <w:t>.</w:t>
      </w:r>
      <w:r>
        <w:rPr>
          <w:snapToGrid w:val="0"/>
        </w:rPr>
        <w:tab/>
        <w:t>Reporting on the SWPP</w:t>
      </w:r>
      <w:bookmarkEnd w:id="339"/>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lastRenderedPageBreak/>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340" w:name="_Toc194565587"/>
      <w:r>
        <w:rPr>
          <w:rStyle w:val="CharSectno"/>
        </w:rPr>
        <w:t>38</w:t>
      </w:r>
      <w:r>
        <w:rPr>
          <w:snapToGrid w:val="0"/>
        </w:rPr>
        <w:t>.</w:t>
      </w:r>
      <w:r>
        <w:rPr>
          <w:snapToGrid w:val="0"/>
        </w:rPr>
        <w:tab/>
        <w:t>Protection from liability for wrongdoing</w:t>
      </w:r>
      <w:bookmarkEnd w:id="34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41" w:name="_Toc194565588"/>
      <w:r>
        <w:rPr>
          <w:rStyle w:val="CharSectno"/>
        </w:rPr>
        <w:t>39</w:t>
      </w:r>
      <w:r>
        <w:rPr>
          <w:snapToGrid w:val="0"/>
        </w:rPr>
        <w:t>.</w:t>
      </w:r>
      <w:r>
        <w:rPr>
          <w:snapToGrid w:val="0"/>
        </w:rPr>
        <w:tab/>
        <w:t>Regulations</w:t>
      </w:r>
      <w:bookmarkEnd w:id="34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342" w:name="_Toc100239511"/>
      <w:bookmarkStart w:id="343" w:name="_Toc100240119"/>
      <w:bookmarkStart w:id="344" w:name="_Toc100561798"/>
      <w:bookmarkStart w:id="345" w:name="_Toc107310501"/>
      <w:bookmarkStart w:id="346" w:name="_Toc107480523"/>
      <w:bookmarkStart w:id="347" w:name="_Toc193119005"/>
      <w:bookmarkStart w:id="348" w:name="_Toc193120156"/>
      <w:bookmarkStart w:id="349" w:name="_Toc193710931"/>
      <w:bookmarkStart w:id="350" w:name="_Toc193717841"/>
      <w:bookmarkStart w:id="351" w:name="_Toc193790840"/>
      <w:bookmarkStart w:id="352" w:name="_Toc193790916"/>
      <w:bookmarkStart w:id="353" w:name="_Toc194051896"/>
      <w:bookmarkStart w:id="354" w:name="_Toc194332463"/>
      <w:bookmarkStart w:id="355" w:name="_Toc194508677"/>
      <w:bookmarkStart w:id="356" w:name="_Toc194565057"/>
      <w:bookmarkStart w:id="357" w:name="_Toc194565205"/>
      <w:bookmarkStart w:id="358" w:name="_Toc194565589"/>
      <w:r>
        <w:rPr>
          <w:rStyle w:val="CharPartNo"/>
        </w:rPr>
        <w:lastRenderedPageBreak/>
        <w:t>Part 5</w:t>
      </w:r>
      <w:r>
        <w:rPr>
          <w:rStyle w:val="CharDivNo"/>
        </w:rPr>
        <w:t> </w:t>
      </w:r>
      <w:r>
        <w:t>—</w:t>
      </w:r>
      <w:r>
        <w:rPr>
          <w:rStyle w:val="CharDivText"/>
        </w:rPr>
        <w:t> </w:t>
      </w:r>
      <w:r>
        <w:rPr>
          <w:rStyle w:val="CharPartText"/>
        </w:rPr>
        <w:t>Transitional and savings provisions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No. 55 of 2012 s. 135.]</w:t>
      </w:r>
    </w:p>
    <w:p>
      <w:pPr>
        <w:pStyle w:val="Heading5"/>
        <w:spacing w:before="180"/>
        <w:rPr>
          <w:snapToGrid w:val="0"/>
        </w:rPr>
      </w:pPr>
      <w:bookmarkStart w:id="359" w:name="_Toc194565590"/>
      <w:r>
        <w:rPr>
          <w:rStyle w:val="CharSectno"/>
        </w:rPr>
        <w:t>40</w:t>
      </w:r>
      <w:r>
        <w:rPr>
          <w:snapToGrid w:val="0"/>
        </w:rPr>
        <w:t>.</w:t>
      </w:r>
      <w:r>
        <w:rPr>
          <w:snapToGrid w:val="0"/>
        </w:rPr>
        <w:tab/>
        <w:t>Transitional</w:t>
      </w:r>
      <w:bookmarkEnd w:id="359"/>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360" w:name="_Toc194565591"/>
      <w:r>
        <w:rPr>
          <w:rStyle w:val="CharSectno"/>
        </w:rPr>
        <w:t>41</w:t>
      </w:r>
      <w:r>
        <w:t>.</w:t>
      </w:r>
      <w:r>
        <w:tab/>
        <w:t xml:space="preserve">Savings provision relating to </w:t>
      </w:r>
      <w:r>
        <w:rPr>
          <w:i/>
        </w:rPr>
        <w:t>Criminal Investigation (Covert Powers) Act 2012</w:t>
      </w:r>
      <w:bookmarkEnd w:id="3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361" w:name="_Toc100240122"/>
      <w:bookmarkStart w:id="362" w:name="_Toc100561801"/>
      <w:bookmarkStart w:id="363" w:name="_Toc107310504"/>
      <w:bookmarkStart w:id="364" w:name="_Toc107480526"/>
      <w:bookmarkStart w:id="365" w:name="_Toc193119008"/>
      <w:bookmarkStart w:id="366" w:name="_Toc193120159"/>
      <w:bookmarkStart w:id="367" w:name="_Toc193710934"/>
      <w:bookmarkStart w:id="368" w:name="_Toc193717844"/>
      <w:bookmarkStart w:id="369" w:name="_Toc193790843"/>
      <w:bookmarkStart w:id="370" w:name="_Toc193790919"/>
      <w:bookmarkStart w:id="371" w:name="_Toc194051899"/>
      <w:bookmarkStart w:id="372" w:name="_Toc194332466"/>
      <w:bookmarkStart w:id="373" w:name="_Toc194508680"/>
      <w:bookmarkStart w:id="374" w:name="_Toc194565060"/>
      <w:bookmarkStart w:id="375" w:name="_Toc194565208"/>
      <w:bookmarkStart w:id="376" w:name="_Toc194565592"/>
      <w:bookmarkStart w:id="377" w:name="_Toc100239516"/>
      <w:r>
        <w:lastRenderedPageBreak/>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tatement"/>
      </w:pPr>
      <w:r>
        <w:t xml:space="preserve">This is a compilation of the </w:t>
      </w:r>
      <w:r>
        <w:rPr>
          <w:i/>
          <w:noProof/>
        </w:rPr>
        <w:t>Witness Protection (Western Australia) Act 1996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Statement"/>
      </w:pPr>
    </w:p>
    <w:p>
      <w:pPr>
        <w:pStyle w:val="nHeading3"/>
      </w:pPr>
      <w:bookmarkStart w:id="378" w:name="_Toc194565593"/>
      <w:r>
        <w:t>Compilation table</w:t>
      </w:r>
      <w:bookmarkEnd w:id="378"/>
    </w:p>
    <w:tbl>
      <w:tblPr>
        <w:tblW w:w="723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992"/>
        <w:gridCol w:w="1134"/>
        <w:gridCol w:w="2694"/>
      </w:tblGrid>
      <w:tr>
        <w:trPr>
          <w:tblHeader/>
        </w:trPr>
        <w:tc>
          <w:tcPr>
            <w:tcW w:w="2410" w:type="dxa"/>
          </w:tcPr>
          <w:p>
            <w:pPr>
              <w:pStyle w:val="nTable"/>
              <w:spacing w:after="40"/>
              <w:rPr>
                <w:b/>
              </w:rPr>
            </w:pPr>
            <w:r>
              <w:rPr>
                <w:b/>
              </w:rPr>
              <w:t>Short title</w:t>
            </w:r>
          </w:p>
        </w:tc>
        <w:tc>
          <w:tcPr>
            <w:tcW w:w="992"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Witness Protection (Western Australia) Act 1996</w:t>
            </w:r>
          </w:p>
        </w:tc>
        <w:tc>
          <w:tcPr>
            <w:tcW w:w="992" w:type="dxa"/>
            <w:tcBorders>
              <w:top w:val="nil"/>
              <w:bottom w:val="nil"/>
            </w:tcBorders>
          </w:tcPr>
          <w:p>
            <w:pPr>
              <w:pStyle w:val="nTable"/>
              <w:spacing w:after="40"/>
            </w:pPr>
            <w:r>
              <w:t>11 of 1996</w:t>
            </w:r>
          </w:p>
        </w:tc>
        <w:tc>
          <w:tcPr>
            <w:tcW w:w="1134" w:type="dxa"/>
            <w:tcBorders>
              <w:top w:val="nil"/>
              <w:bottom w:val="nil"/>
            </w:tcBorders>
          </w:tcPr>
          <w:p>
            <w:pPr>
              <w:pStyle w:val="nTable"/>
              <w:spacing w:after="40"/>
            </w:pPr>
            <w:r>
              <w:t>28 Jun 1996</w:t>
            </w:r>
          </w:p>
        </w:tc>
        <w:tc>
          <w:tcPr>
            <w:tcW w:w="2694"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Statutes (Repeals and Minor Amendments) Act 1997</w:t>
            </w:r>
            <w:r>
              <w:t xml:space="preserve"> s. 133</w:t>
            </w:r>
          </w:p>
        </w:tc>
        <w:tc>
          <w:tcPr>
            <w:tcW w:w="992"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694" w:type="dxa"/>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 xml:space="preserve">Acts Repeal and Amendment (Births, Deaths and Marriages Registration) Act 1998 </w:t>
            </w:r>
            <w:r>
              <w:t>s. 18</w:t>
            </w:r>
          </w:p>
        </w:tc>
        <w:tc>
          <w:tcPr>
            <w:tcW w:w="992" w:type="dxa"/>
            <w:tcBorders>
              <w:top w:val="nil"/>
              <w:bottom w:val="nil"/>
            </w:tcBorders>
          </w:tcPr>
          <w:p>
            <w:pPr>
              <w:pStyle w:val="nTable"/>
              <w:spacing w:after="40"/>
            </w:pPr>
            <w:r>
              <w:t>40 of 1998</w:t>
            </w:r>
          </w:p>
        </w:tc>
        <w:tc>
          <w:tcPr>
            <w:tcW w:w="1134" w:type="dxa"/>
            <w:tcBorders>
              <w:top w:val="nil"/>
              <w:bottom w:val="nil"/>
            </w:tcBorders>
          </w:tcPr>
          <w:p>
            <w:pPr>
              <w:pStyle w:val="nTable"/>
              <w:spacing w:after="40"/>
            </w:pPr>
            <w:r>
              <w:t>30 Oct 1998</w:t>
            </w:r>
          </w:p>
        </w:tc>
        <w:tc>
          <w:tcPr>
            <w:tcW w:w="2694" w:type="dxa"/>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Corruption and Crime Commission Act 2003</w:t>
            </w:r>
            <w:r>
              <w:t xml:space="preserve"> s. 62 and Sch. 3</w:t>
            </w:r>
            <w:r>
              <w:rPr>
                <w:vertAlign w:val="superscript"/>
              </w:rPr>
              <w:t> 2</w:t>
            </w:r>
            <w:r>
              <w:t xml:space="preserve"> cl. 11</w:t>
            </w:r>
          </w:p>
        </w:tc>
        <w:tc>
          <w:tcPr>
            <w:tcW w:w="992"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694"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7230" w:type="dxa"/>
            <w:gridSpan w:val="4"/>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pPr>
            <w:r>
              <w:rPr>
                <w:i/>
              </w:rPr>
              <w:t>Criminal Code Amendment Act 2004</w:t>
            </w:r>
            <w:r>
              <w:t xml:space="preserve"> s. 58</w:t>
            </w:r>
          </w:p>
        </w:tc>
        <w:tc>
          <w:tcPr>
            <w:tcW w:w="992"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694"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992" w:type="dxa"/>
            <w:tcBorders>
              <w:top w:val="nil"/>
              <w:bottom w:val="nil"/>
            </w:tcBorders>
          </w:tcPr>
          <w:p>
            <w:pPr>
              <w:pStyle w:val="nTable"/>
              <w:spacing w:after="40"/>
              <w:rPr>
                <w:snapToGrid w:val="0"/>
              </w:rPr>
            </w:pPr>
            <w:r>
              <w:rPr>
                <w:snapToGrid w:val="0"/>
              </w:rPr>
              <w:t>74 of 2004</w:t>
            </w:r>
          </w:p>
        </w:tc>
        <w:tc>
          <w:tcPr>
            <w:tcW w:w="1134" w:type="dxa"/>
            <w:tcBorders>
              <w:top w:val="nil"/>
              <w:bottom w:val="nil"/>
            </w:tcBorders>
          </w:tcPr>
          <w:p>
            <w:pPr>
              <w:pStyle w:val="nTable"/>
              <w:spacing w:after="40"/>
              <w:rPr>
                <w:snapToGrid w:val="0"/>
              </w:rPr>
            </w:pPr>
            <w:r>
              <w:rPr>
                <w:snapToGrid w:val="0"/>
              </w:rPr>
              <w:t>8 Dec 2004</w:t>
            </w:r>
          </w:p>
        </w:tc>
        <w:tc>
          <w:tcPr>
            <w:tcW w:w="2694"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992"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rPr>
                <w:snapToGrid w:val="0"/>
              </w:rPr>
            </w:pPr>
            <w:r>
              <w:rPr>
                <w:snapToGrid w:val="0"/>
              </w:rPr>
              <w:t>21 Dec 2006</w:t>
            </w:r>
          </w:p>
        </w:tc>
        <w:tc>
          <w:tcPr>
            <w:tcW w:w="269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410" w:type="dxa"/>
            <w:tcBorders>
              <w:top w:val="nil"/>
              <w:bottom w:val="nil"/>
            </w:tcBorders>
          </w:tcPr>
          <w:p>
            <w:pPr>
              <w:pStyle w:val="nTable"/>
              <w:spacing w:after="40"/>
              <w:rPr>
                <w:i/>
                <w:snapToGrid w:val="0"/>
              </w:rPr>
            </w:pPr>
            <w:r>
              <w:rPr>
                <w:i/>
              </w:rPr>
              <w:t xml:space="preserve">Police Amendment Act 2008 </w:t>
            </w:r>
            <w:r>
              <w:rPr>
                <w:iCs/>
              </w:rPr>
              <w:t>s. 22 and 23(9)</w:t>
            </w:r>
          </w:p>
        </w:tc>
        <w:tc>
          <w:tcPr>
            <w:tcW w:w="992" w:type="dxa"/>
            <w:tcBorders>
              <w:top w:val="nil"/>
              <w:bottom w:val="nil"/>
            </w:tcBorders>
          </w:tcPr>
          <w:p>
            <w:pPr>
              <w:pStyle w:val="nTable"/>
              <w:spacing w:after="40"/>
              <w:rPr>
                <w:snapToGrid w:val="0"/>
              </w:rPr>
            </w:pPr>
            <w:r>
              <w:t>8 of 2008</w:t>
            </w:r>
          </w:p>
        </w:tc>
        <w:tc>
          <w:tcPr>
            <w:tcW w:w="1134" w:type="dxa"/>
            <w:tcBorders>
              <w:top w:val="nil"/>
              <w:bottom w:val="nil"/>
            </w:tcBorders>
          </w:tcPr>
          <w:p>
            <w:pPr>
              <w:pStyle w:val="nTable"/>
              <w:spacing w:after="40"/>
              <w:rPr>
                <w:snapToGrid w:val="0"/>
              </w:rPr>
            </w:pPr>
            <w:r>
              <w:t>31 Mar 2008</w:t>
            </w:r>
          </w:p>
        </w:tc>
        <w:tc>
          <w:tcPr>
            <w:tcW w:w="2694"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cantSplit/>
        </w:trPr>
        <w:tc>
          <w:tcPr>
            <w:tcW w:w="7230" w:type="dxa"/>
            <w:gridSpan w:val="4"/>
            <w:tcBorders>
              <w:top w:val="nil"/>
              <w:bottom w:val="nil"/>
            </w:tcBorders>
          </w:tcPr>
          <w:p>
            <w:pPr>
              <w:pStyle w:val="nTable"/>
              <w:keepLines/>
              <w:spacing w:after="40"/>
            </w:pPr>
            <w:r>
              <w:rPr>
                <w:b/>
              </w:rPr>
              <w:lastRenderedPageBreak/>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992"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694" w:type="dxa"/>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992"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694"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rPr>
                <w:i/>
                <w:snapToGrid w:val="0"/>
              </w:rPr>
            </w:pPr>
            <w:r>
              <w:rPr>
                <w:i/>
              </w:rPr>
              <w:t>Legal Profession Uniform Law Application Act 2022</w:t>
            </w:r>
            <w:r>
              <w:t xml:space="preserve"> s. 424</w:t>
            </w:r>
          </w:p>
        </w:tc>
        <w:tc>
          <w:tcPr>
            <w:tcW w:w="992" w:type="dxa"/>
            <w:tcBorders>
              <w:top w:val="nil"/>
              <w:bottom w:val="nil"/>
            </w:tcBorders>
          </w:tcPr>
          <w:p>
            <w:pPr>
              <w:pStyle w:val="nTable"/>
              <w:spacing w:after="40"/>
              <w:rPr>
                <w:snapToGrid w:val="0"/>
              </w:rPr>
            </w:pPr>
            <w:r>
              <w:t>9 of 2022</w:t>
            </w:r>
          </w:p>
        </w:tc>
        <w:tc>
          <w:tcPr>
            <w:tcW w:w="1134" w:type="dxa"/>
            <w:tcBorders>
              <w:top w:val="nil"/>
              <w:bottom w:val="nil"/>
            </w:tcBorders>
          </w:tcPr>
          <w:p>
            <w:pPr>
              <w:pStyle w:val="nTable"/>
              <w:spacing w:after="40"/>
            </w:pPr>
            <w:r>
              <w:t>14 Apr 2022</w:t>
            </w:r>
          </w:p>
        </w:tc>
        <w:tc>
          <w:tcPr>
            <w:tcW w:w="2694" w:type="dxa"/>
            <w:tcBorders>
              <w:top w:val="nil"/>
              <w:bottom w:val="nil"/>
            </w:tcBorders>
          </w:tcPr>
          <w:p>
            <w:pPr>
              <w:pStyle w:val="nTable"/>
              <w:spacing w:after="40"/>
              <w:rPr>
                <w:snapToGrid w:val="0"/>
              </w:rPr>
            </w:pPr>
            <w:r>
              <w:rPr>
                <w:snapToGrid w:val="0"/>
              </w:rPr>
              <w:t>1 Jul 2022 (see s. 2(c) and SL 2022/113 cl. 2)</w:t>
            </w:r>
          </w:p>
        </w:tc>
      </w:tr>
      <w:tr>
        <w:tblPrEx>
          <w:tblBorders>
            <w:top w:val="single" w:sz="4" w:space="0" w:color="auto"/>
            <w:bottom w:val="single" w:sz="4" w:space="0" w:color="auto"/>
            <w:insideH w:val="single" w:sz="4" w:space="0" w:color="auto"/>
          </w:tblBorders>
        </w:tblPrEx>
        <w:trPr>
          <w:cantSplit/>
        </w:trPr>
        <w:tc>
          <w:tcPr>
            <w:tcW w:w="7230" w:type="dxa"/>
            <w:gridSpan w:val="4"/>
            <w:tcBorders>
              <w:top w:val="nil"/>
              <w:bottom w:val="single" w:sz="4" w:space="0" w:color="auto"/>
            </w:tcBorders>
          </w:tcPr>
          <w:p>
            <w:pPr>
              <w:pStyle w:val="nTable"/>
              <w:spacing w:after="40"/>
              <w:rPr>
                <w:snapToGrid w:val="0"/>
              </w:rPr>
            </w:pPr>
            <w:r>
              <w:rPr>
                <w:b/>
                <w:i/>
                <w:noProof/>
                <w:snapToGrid w:val="0"/>
              </w:rPr>
              <w:t>Witness Protection (Western Australia) Act 1996</w:t>
            </w:r>
            <w:r>
              <w:rPr>
                <w:b/>
                <w:snapToGrid w:val="0"/>
              </w:rPr>
              <w:t xml:space="preserve"> with editorial changes as at 4 Apr 2025</w:t>
            </w:r>
          </w:p>
        </w:tc>
      </w:tr>
    </w:tbl>
    <w:p>
      <w:pPr>
        <w:pStyle w:val="nHeading3"/>
      </w:pPr>
      <w:bookmarkStart w:id="379" w:name="_Toc194565594"/>
      <w:r>
        <w:t>Editorial changes table</w:t>
      </w:r>
      <w:bookmarkEnd w:id="379"/>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30</w:t>
            </w:r>
          </w:p>
        </w:tc>
        <w:tc>
          <w:tcPr>
            <w:tcW w:w="1559" w:type="dxa"/>
            <w:tcBorders>
              <w:bottom w:val="nil"/>
            </w:tcBorders>
          </w:tcPr>
          <w:p>
            <w:pPr>
              <w:pStyle w:val="nTable"/>
              <w:spacing w:after="40"/>
            </w:pPr>
            <w:r>
              <w:t>4 Apr 2025</w:t>
            </w:r>
          </w:p>
        </w:tc>
      </w:tr>
      <w:tr>
        <w:tc>
          <w:tcPr>
            <w:tcW w:w="2807" w:type="dxa"/>
            <w:tcBorders>
              <w:top w:val="nil"/>
            </w:tcBorders>
          </w:tcPr>
          <w:p>
            <w:pPr>
              <w:pStyle w:val="nTable"/>
              <w:spacing w:after="40"/>
            </w:pPr>
            <w:r>
              <w:t>s. 28(1)</w:t>
            </w:r>
          </w:p>
        </w:tc>
        <w:tc>
          <w:tcPr>
            <w:tcW w:w="2694" w:type="dxa"/>
            <w:tcBorders>
              <w:top w:val="nil"/>
            </w:tcBorders>
          </w:tcPr>
          <w:p>
            <w:pPr>
              <w:pStyle w:val="nTable"/>
              <w:spacing w:after="40"/>
            </w:pPr>
            <w:r>
              <w:t>s. 34(2)</w:t>
            </w:r>
          </w:p>
          <w:p>
            <w:pPr>
              <w:pStyle w:val="nTable"/>
              <w:spacing w:after="40"/>
            </w:pPr>
            <w:r>
              <w:t>[s. 34(1) def. (h)]</w:t>
            </w:r>
          </w:p>
        </w:tc>
        <w:tc>
          <w:tcPr>
            <w:tcW w:w="1559" w:type="dxa"/>
            <w:tcBorders>
              <w:top w:val="nil"/>
            </w:tcBorders>
          </w:tcPr>
          <w:p>
            <w:pPr>
              <w:pStyle w:val="nTable"/>
              <w:spacing w:after="40"/>
            </w:pPr>
          </w:p>
        </w:tc>
      </w:tr>
    </w:tbl>
    <w:p>
      <w:pPr>
        <w:pStyle w:val="nHeading3"/>
      </w:pPr>
      <w:bookmarkStart w:id="380" w:name="_Toc194565595"/>
      <w:r>
        <w:t>Other notes</w:t>
      </w:r>
      <w:bookmarkEnd w:id="380"/>
    </w:p>
    <w:p>
      <w:pPr>
        <w:pStyle w:val="nNote"/>
        <w:rPr>
          <w:snapToGrid w:val="0"/>
        </w:rPr>
      </w:pPr>
      <w:r>
        <w:rPr>
          <w:snapToGrid w:val="0"/>
          <w:vertAlign w:val="superscript"/>
        </w:rPr>
        <w:t>1</w:t>
      </w:r>
      <w:r>
        <w:rPr>
          <w:snapToGrid w:val="0"/>
        </w:rPr>
        <w:tab/>
        <w:t xml:space="preserve">Repealed by the </w:t>
      </w:r>
      <w:r>
        <w:rPr>
          <w:i/>
          <w:iCs/>
          <w:snapToGrid w:val="0"/>
        </w:rPr>
        <w:t>Sentencing Legislation Amendment and Repeal Act 2003</w:t>
      </w:r>
      <w:r>
        <w:rPr>
          <w:snapToGrid w:val="0"/>
        </w:rPr>
        <w:t>.</w:t>
      </w:r>
    </w:p>
    <w:p>
      <w:pPr>
        <w:pStyle w:val="nNote"/>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82" w:name="_Toc194051903"/>
      <w:bookmarkStart w:id="383" w:name="_Toc194332470"/>
      <w:bookmarkStart w:id="384" w:name="_Toc194508684"/>
      <w:bookmarkStart w:id="385" w:name="_Toc194565064"/>
      <w:bookmarkStart w:id="386" w:name="_Toc194565212"/>
      <w:bookmarkStart w:id="387" w:name="_Toc194565596"/>
      <w:bookmarkEnd w:id="377"/>
      <w:r>
        <w:rPr>
          <w:sz w:val="28"/>
        </w:rPr>
        <w:lastRenderedPageBreak/>
        <w:t>Defined terms</w:t>
      </w:r>
      <w:bookmarkEnd w:id="382"/>
      <w:bookmarkEnd w:id="383"/>
      <w:bookmarkEnd w:id="384"/>
      <w:bookmarkEnd w:id="385"/>
      <w:bookmarkEnd w:id="386"/>
      <w:bookmarkEnd w:id="3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37(2)</w:t>
      </w:r>
    </w:p>
    <w:p>
      <w:pPr>
        <w:pStyle w:val="DefinedTerms"/>
      </w:pPr>
      <w:r>
        <w:t>another jurisdiction</w:t>
      </w:r>
      <w:r>
        <w:tab/>
        <w:t>33</w:t>
      </w:r>
    </w:p>
    <w:p>
      <w:pPr>
        <w:pStyle w:val="DefinedTerms"/>
      </w:pPr>
      <w:r>
        <w:t>approved authority</w:t>
      </w:r>
      <w:r>
        <w:tab/>
        <w:t>3(1)</w:t>
      </w:r>
    </w:p>
    <w:p>
      <w:pPr>
        <w:pStyle w:val="DefinedTerms"/>
      </w:pPr>
      <w:r>
        <w:t>commencement day</w:t>
      </w:r>
      <w:r>
        <w:tab/>
        <w:t>41(1)</w:t>
      </w:r>
    </w:p>
    <w:p>
      <w:pPr>
        <w:pStyle w:val="DefinedTerms"/>
      </w:pPr>
      <w:r>
        <w:t>Commissioner</w:t>
      </w:r>
      <w:r>
        <w:tab/>
        <w:t>3(1)</w:t>
      </w:r>
    </w:p>
    <w:p>
      <w:pPr>
        <w:pStyle w:val="DefinedTerms"/>
      </w:pPr>
      <w:r>
        <w:t>Commonwealth Act</w:t>
      </w:r>
      <w:r>
        <w:tab/>
        <w:t>3(1)</w:t>
      </w:r>
    </w:p>
    <w:p>
      <w:pPr>
        <w:pStyle w:val="DefinedTerms"/>
      </w:pPr>
      <w:r>
        <w:t>complementary witness protection law</w:t>
      </w:r>
      <w:r>
        <w:tab/>
        <w:t>3(1)</w:t>
      </w:r>
    </w:p>
    <w:p>
      <w:pPr>
        <w:pStyle w:val="DefinedTerms"/>
      </w:pPr>
      <w:r>
        <w:t>corresponding law</w:t>
      </w:r>
      <w:r>
        <w:tab/>
        <w:t>33</w:t>
      </w:r>
    </w:p>
    <w:p>
      <w:pPr>
        <w:pStyle w:val="DefinedTerms"/>
      </w:pPr>
      <w:r>
        <w:t>corresponding non-disclosure certificate</w:t>
      </w:r>
      <w:r>
        <w:tab/>
        <w:t>33</w:t>
      </w:r>
    </w:p>
    <w:p>
      <w:pPr>
        <w:pStyle w:val="DefinedTerms"/>
      </w:pPr>
      <w:r>
        <w:t>Corruption and Crime Commission</w:t>
      </w:r>
      <w:r>
        <w:tab/>
        <w:t>3(1)</w:t>
      </w:r>
    </w:p>
    <w:p>
      <w:pPr>
        <w:pStyle w:val="DefinedTerms"/>
      </w:pPr>
      <w:r>
        <w:t>court</w:t>
      </w:r>
      <w:r>
        <w:tab/>
        <w:t>3(1), 33, 34A(1)</w:t>
      </w:r>
    </w:p>
    <w:p>
      <w:pPr>
        <w:pStyle w:val="DefinedTerms"/>
      </w:pPr>
      <w:r>
        <w:t>court proceedings</w:t>
      </w:r>
      <w:r>
        <w:tab/>
        <w:t>33</w:t>
      </w:r>
    </w:p>
    <w:p>
      <w:pPr>
        <w:pStyle w:val="DefinedTerms"/>
      </w:pPr>
      <w:r>
        <w:t>designated position</w:t>
      </w:r>
      <w:r>
        <w:tab/>
        <w:t>3(1)</w:t>
      </w:r>
    </w:p>
    <w:p>
      <w:pPr>
        <w:pStyle w:val="DefinedTerms"/>
      </w:pPr>
      <w:r>
        <w:t>new identity order</w:t>
      </w:r>
      <w:r>
        <w:tab/>
        <w:t>19</w:t>
      </w:r>
    </w:p>
    <w:p>
      <w:pPr>
        <w:pStyle w:val="DefinedTerms"/>
      </w:pPr>
      <w:r>
        <w:t>non-disclosure certificate</w:t>
      </w:r>
      <w:r>
        <w:tab/>
        <w:t>33</w:t>
      </w:r>
    </w:p>
    <w:p>
      <w:pPr>
        <w:pStyle w:val="DefinedTerms"/>
      </w:pPr>
      <w:r>
        <w:t>officer of the Corruption and Crime Commission</w:t>
      </w:r>
      <w:r>
        <w:tab/>
        <w:t>3(1)</w:t>
      </w:r>
    </w:p>
    <w:p>
      <w:pPr>
        <w:pStyle w:val="DefinedTerms"/>
      </w:pPr>
      <w:r>
        <w:t>original court</w:t>
      </w:r>
      <w:r>
        <w:tab/>
        <w:t>34F(1)</w:t>
      </w:r>
    </w:p>
    <w:p>
      <w:pPr>
        <w:pStyle w:val="DefinedTerms"/>
      </w:pPr>
      <w:r>
        <w:t>Parliamentary Commissioner</w:t>
      </w:r>
      <w:r>
        <w:tab/>
        <w:t>3(1)</w:t>
      </w:r>
    </w:p>
    <w:p>
      <w:pPr>
        <w:pStyle w:val="DefinedTerms"/>
      </w:pPr>
      <w:r>
        <w:t>parliamentary committee</w:t>
      </w:r>
      <w:r>
        <w:tab/>
        <w:t>33</w:t>
      </w:r>
    </w:p>
    <w:p>
      <w:pPr>
        <w:pStyle w:val="DefinedTerms"/>
      </w:pPr>
      <w:r>
        <w:t>parliamentary proceedings</w:t>
      </w:r>
      <w:r>
        <w:tab/>
        <w:t>33</w:t>
      </w:r>
    </w:p>
    <w:p>
      <w:pPr>
        <w:pStyle w:val="DefinedTerms"/>
      </w:pPr>
      <w:r>
        <w:t>participant</w:t>
      </w:r>
      <w:r>
        <w:tab/>
        <w:t>3(1)</w:t>
      </w:r>
    </w:p>
    <w:p>
      <w:pPr>
        <w:pStyle w:val="DefinedTerms"/>
      </w:pPr>
      <w:r>
        <w:t>party</w:t>
      </w:r>
      <w:r>
        <w:tab/>
        <w:t>33</w:t>
      </w:r>
    </w:p>
    <w:p>
      <w:pPr>
        <w:pStyle w:val="DefinedTerms"/>
      </w:pPr>
      <w:r>
        <w:t>permission</w:t>
      </w:r>
      <w:r>
        <w:tab/>
        <w:t>41(1)</w:t>
      </w:r>
    </w:p>
    <w:p>
      <w:pPr>
        <w:pStyle w:val="DefinedTerms"/>
      </w:pPr>
      <w:r>
        <w:t>person involved</w:t>
      </w:r>
      <w:r>
        <w:tab/>
        <w:t>34C(1)</w:t>
      </w:r>
    </w:p>
    <w:p>
      <w:pPr>
        <w:pStyle w:val="DefinedTerms"/>
      </w:pPr>
      <w:r>
        <w:t>person involved,</w:t>
      </w:r>
      <w:r>
        <w:tab/>
        <w:t>34J(1)</w:t>
      </w:r>
    </w:p>
    <w:p>
      <w:pPr>
        <w:pStyle w:val="DefinedTerms"/>
      </w:pPr>
      <w:r>
        <w:t>prescribed authority</w:t>
      </w:r>
      <w:r>
        <w:tab/>
        <w:t>3(1)</w:t>
      </w:r>
    </w:p>
    <w:p>
      <w:pPr>
        <w:pStyle w:val="DefinedTerms"/>
      </w:pPr>
      <w:r>
        <w:t>prescribed register</w:t>
      </w:r>
      <w:r>
        <w:tab/>
        <w:t>3(1)</w:t>
      </w:r>
    </w:p>
    <w:p>
      <w:pPr>
        <w:pStyle w:val="DefinedTerms"/>
      </w:pPr>
      <w:r>
        <w:t>proceedings</w:t>
      </w:r>
      <w:r>
        <w:tab/>
        <w:t>33</w:t>
      </w:r>
    </w:p>
    <w:p>
      <w:pPr>
        <w:pStyle w:val="DefinedTerms"/>
      </w:pPr>
      <w:r>
        <w:t>protected address</w:t>
      </w:r>
      <w:r>
        <w:tab/>
        <w:t>33</w:t>
      </w:r>
    </w:p>
    <w:p>
      <w:pPr>
        <w:pStyle w:val="DefinedTerms"/>
      </w:pPr>
      <w:r>
        <w:t>protected identity</w:t>
      </w:r>
      <w:r>
        <w:tab/>
        <w:t>33</w:t>
      </w:r>
    </w:p>
    <w:p>
      <w:pPr>
        <w:pStyle w:val="DefinedTerms"/>
      </w:pPr>
      <w:r>
        <w:t>protected person</w:t>
      </w:r>
      <w:r>
        <w:tab/>
        <w:t>33</w:t>
      </w:r>
    </w:p>
    <w:p>
      <w:pPr>
        <w:pStyle w:val="DefinedTerms"/>
      </w:pPr>
      <w:r>
        <w:t>relevant House,</w:t>
      </w:r>
      <w:r>
        <w:tab/>
        <w:t>34K(1)</w:t>
      </w:r>
    </w:p>
    <w:p>
      <w:pPr>
        <w:pStyle w:val="DefinedTerms"/>
      </w:pPr>
      <w:r>
        <w:t>sensitive information</w:t>
      </w:r>
      <w:r>
        <w:tab/>
        <w:t>32(2)</w:t>
      </w:r>
    </w:p>
    <w:p>
      <w:pPr>
        <w:pStyle w:val="DefinedTerms"/>
      </w:pPr>
      <w:r>
        <w:t>State Witness Protection Program</w:t>
      </w:r>
      <w:r>
        <w:tab/>
        <w:t>3(1)</w:t>
      </w:r>
    </w:p>
    <w:p>
      <w:pPr>
        <w:pStyle w:val="DefinedTerms"/>
      </w:pPr>
      <w:r>
        <w:t>SWPP</w:t>
      </w:r>
      <w:r>
        <w:tab/>
        <w:t>3(2)</w:t>
      </w:r>
    </w:p>
    <w:p>
      <w:pPr>
        <w:pStyle w:val="DefinedTerms"/>
        <w:keepNext/>
        <w:keepLines/>
        <w:pageBreakBefore/>
      </w:pPr>
      <w:r>
        <w:lastRenderedPageBreak/>
        <w:t>witness</w:t>
      </w:r>
      <w:r>
        <w:tab/>
        <w:t>3(1)</w:t>
      </w:r>
    </w:p>
    <w:p>
      <w:pPr>
        <w:pStyle w:val="DefinedTerms"/>
        <w:keepNext/>
        <w:keepLines/>
      </w:pPr>
      <w:r>
        <w:t>witness protection program</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8" w:name="DefinedTerms"/>
    <w:bookmarkEnd w:id="3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7150304"/>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 w:name="WAFER_2025031715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317150304_GUID" w:val="29855221-fc45-4a3e-b703-e44d1abde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11637</Words>
  <Characters>58538</Characters>
  <Application>Microsoft Office Word</Application>
  <DocSecurity>0</DocSecurity>
  <Lines>1582</Lines>
  <Paragraphs>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1996 - 03-a0-00</dc:title>
  <dc:subject/>
  <dc:creator/>
  <cp:keywords/>
  <dc:description/>
  <cp:lastModifiedBy>Master Repository Process</cp:lastModifiedBy>
  <cp:revision>4</cp:revision>
  <cp:lastPrinted>2008-08-12T06:35:00Z</cp:lastPrinted>
  <dcterms:created xsi:type="dcterms:W3CDTF">2025-07-21T02:46:00Z</dcterms:created>
  <dcterms:modified xsi:type="dcterms:W3CDTF">2025-07-21T02:46:00Z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AsAtDate">
    <vt:lpwstr>04 Apr 2025</vt:lpwstr>
  </property>
  <property fmtid="{D5CDD505-2E9C-101B-9397-08002B2CF9AE}" pid="6" name="Suffix">
    <vt:lpwstr>03-a0-00</vt:lpwstr>
  </property>
  <property fmtid="{D5CDD505-2E9C-101B-9397-08002B2CF9AE}" pid="7" name="Official">
    <vt:lpwstr/>
  </property>
  <property fmtid="{D5CDD505-2E9C-101B-9397-08002B2CF9AE}" pid="8" name="ReprintNo">
    <vt:lpwstr>3</vt:lpwstr>
  </property>
  <property fmtid="{D5CDD505-2E9C-101B-9397-08002B2CF9AE}" pid="9" name="ReprintedAsAt">
    <vt:filetime>2025-04-03T16:00:00Z</vt:filetime>
  </property>
  <property fmtid="{D5CDD505-2E9C-101B-9397-08002B2CF9AE}" pid="10" name="CommencementDate">
    <vt:lpwstr>20250404</vt:lpwstr>
  </property>
  <property fmtid="{D5CDD505-2E9C-101B-9397-08002B2CF9AE}" pid="11" name="CommencementAsAt">
    <vt:filetime>2025-04-03T16:00:00Z</vt:filetime>
  </property>
  <property fmtid="{D5CDD505-2E9C-101B-9397-08002B2CF9AE}" pid="12" name="CommencementYear">
    <vt:lpwstr>2025</vt:lpwstr>
  </property>
</Properties>
</file>