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_Toc195606184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_Toc195606185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Liquor Control (Kunawarritji Restricted Area) Regulations 2011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_Toc195606187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_Toc195606188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Liquor Control (Pandanus Park Restricted Area) Regulations 2011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_Toc195606190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_Toc195606191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Liquor Control (Wangkatjungka Restricted Area) Regulations 2008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_Toc195606193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_Toc195606194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Racing and Gaming Regulations Amendment (Liquor Control) Regulations 2025</w:t>
      </w:r>
    </w:p>
    <w:p>
      <w:pPr>
        <w:pStyle w:val="MadeBy"/>
        <w:rPr>
          <w:rStyle w:val="DraftersNotes"/>
          <w:b w:val="0"/>
          <w:i w:val="0"/>
          <w:sz w:val="24"/>
        </w:rPr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195183659"/>
      <w:bookmarkStart w:id="3" w:name="_Toc195183727"/>
      <w:bookmarkStart w:id="4" w:name="_Toc195183799"/>
      <w:bookmarkStart w:id="5" w:name="_Toc19560618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95183660"/>
      <w:bookmarkStart w:id="7" w:name="_Toc195606184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Racing and Gaming Regulations Amendment (Liquor Control) Regulations 2025</w:t>
      </w:r>
      <w:r>
        <w:t>.</w:t>
      </w:r>
    </w:p>
    <w:p>
      <w:pPr>
        <w:pStyle w:val="Heading5"/>
        <w:rPr>
          <w:spacing w:val="-2"/>
        </w:rPr>
      </w:pPr>
      <w:bookmarkStart w:id="9" w:name="_Toc195183661"/>
      <w:bookmarkStart w:id="10" w:name="_Toc19560618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</w:r>
      <w:r>
        <w:rPr>
          <w:spacing w:val="-2"/>
        </w:rPr>
        <w:t>Part 1 </w:t>
      </w:r>
      <w:r>
        <w:t xml:space="preserve">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11" w:name="_Toc195183662"/>
      <w:bookmarkStart w:id="12" w:name="_Toc195183730"/>
      <w:bookmarkStart w:id="13" w:name="_Toc195183802"/>
      <w:bookmarkStart w:id="14" w:name="_Toc195606186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(Kunawarritji Restricted Area) Regulations 2011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95183663"/>
      <w:bookmarkStart w:id="16" w:name="_Toc19560618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(Kunawarritji Restricted Area) Regulations 2011</w:t>
      </w:r>
      <w:r>
        <w:t>.</w:t>
      </w:r>
    </w:p>
    <w:p>
      <w:pPr>
        <w:pStyle w:val="Heading5"/>
      </w:pPr>
      <w:bookmarkStart w:id="17" w:name="_Toc195183664"/>
      <w:bookmarkStart w:id="18" w:name="_Toc195606188"/>
      <w:r>
        <w:rPr>
          <w:rStyle w:val="CharSectno"/>
        </w:rPr>
        <w:t>4</w:t>
      </w:r>
      <w:r>
        <w:t>.</w:t>
      </w:r>
      <w:r>
        <w:tab/>
        <w:t>Regulation 10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10 delete “3 May 2025.”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3 May 2028.</w:t>
      </w:r>
    </w:p>
    <w:p>
      <w:pPr>
        <w:pStyle w:val="BlankClose"/>
      </w:pPr>
    </w:p>
    <w:p>
      <w:pPr>
        <w:pStyle w:val="Heading2"/>
      </w:pPr>
      <w:bookmarkStart w:id="19" w:name="_Toc195183665"/>
      <w:bookmarkStart w:id="20" w:name="_Toc195183733"/>
      <w:bookmarkStart w:id="21" w:name="_Toc195183805"/>
      <w:bookmarkStart w:id="22" w:name="_Toc195606189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(Pandanus Park Restricted Area) Regulations 2011</w:t>
      </w:r>
      <w:r>
        <w:rPr>
          <w:rStyle w:val="CharPartText"/>
        </w:rPr>
        <w:t xml:space="preserve"> amended</w:t>
      </w:r>
      <w:bookmarkEnd w:id="19"/>
      <w:bookmarkEnd w:id="20"/>
      <w:bookmarkEnd w:id="21"/>
      <w:bookmarkEnd w:id="22"/>
    </w:p>
    <w:p>
      <w:pPr>
        <w:pStyle w:val="Heading5"/>
      </w:pPr>
      <w:bookmarkStart w:id="23" w:name="_Toc195183666"/>
      <w:bookmarkStart w:id="24" w:name="_Toc195606190"/>
      <w:r>
        <w:rPr>
          <w:rStyle w:val="CharSectno"/>
        </w:rPr>
        <w:t>5</w:t>
      </w:r>
      <w:r>
        <w:t>.</w:t>
      </w:r>
      <w:r>
        <w:tab/>
        <w:t>Regulations amended</w:t>
      </w:r>
      <w:bookmarkEnd w:id="23"/>
      <w:bookmarkEnd w:id="2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(Pandanus Park Restricted Area) Regulations 2011</w:t>
      </w:r>
      <w:r>
        <w:t>.</w:t>
      </w:r>
    </w:p>
    <w:p>
      <w:pPr>
        <w:pStyle w:val="Heading5"/>
      </w:pPr>
      <w:bookmarkStart w:id="25" w:name="_Toc195183667"/>
      <w:bookmarkStart w:id="26" w:name="_Toc195606191"/>
      <w:r>
        <w:rPr>
          <w:rStyle w:val="CharSectno"/>
        </w:rPr>
        <w:t>6</w:t>
      </w:r>
      <w:r>
        <w:t>.</w:t>
      </w:r>
      <w:r>
        <w:tab/>
        <w:t>Regulation 9 amended</w:t>
      </w:r>
      <w:bookmarkEnd w:id="25"/>
      <w:bookmarkEnd w:id="26"/>
    </w:p>
    <w:p>
      <w:pPr>
        <w:pStyle w:val="Subsection"/>
      </w:pPr>
      <w:r>
        <w:tab/>
      </w:r>
      <w:r>
        <w:tab/>
        <w:t>In regulation 9 delete “28 May 2025.”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28 May 2026.</w:t>
      </w:r>
    </w:p>
    <w:p>
      <w:pPr>
        <w:pStyle w:val="BlankClose"/>
      </w:pPr>
    </w:p>
    <w:p>
      <w:pPr>
        <w:pStyle w:val="Heading2"/>
      </w:pPr>
      <w:bookmarkStart w:id="27" w:name="_Toc195183668"/>
      <w:bookmarkStart w:id="28" w:name="_Toc195183736"/>
      <w:bookmarkStart w:id="29" w:name="_Toc195183808"/>
      <w:bookmarkStart w:id="30" w:name="_Toc195606192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Liquor Control (Wangkatjungka Restricted Area) Regulations 2008</w:t>
      </w:r>
      <w:r>
        <w:rPr>
          <w:rStyle w:val="CharPartText"/>
        </w:rPr>
        <w:t xml:space="preserve"> amended</w:t>
      </w:r>
      <w:bookmarkEnd w:id="27"/>
      <w:bookmarkEnd w:id="28"/>
      <w:bookmarkEnd w:id="29"/>
      <w:bookmarkEnd w:id="30"/>
    </w:p>
    <w:p>
      <w:pPr>
        <w:pStyle w:val="Heading5"/>
      </w:pPr>
      <w:bookmarkStart w:id="31" w:name="_Toc195183669"/>
      <w:bookmarkStart w:id="32" w:name="_Toc195606193"/>
      <w:r>
        <w:rPr>
          <w:rStyle w:val="CharSectno"/>
        </w:rPr>
        <w:t>7</w:t>
      </w:r>
      <w:r>
        <w:t>.</w:t>
      </w:r>
      <w:r>
        <w:tab/>
        <w:t>Regulations amended</w:t>
      </w:r>
      <w:bookmarkEnd w:id="31"/>
      <w:bookmarkEnd w:id="3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(Wangkatjungka Restricted Area) Regulations 2008</w:t>
      </w:r>
      <w:r>
        <w:t>.</w:t>
      </w:r>
    </w:p>
    <w:p>
      <w:pPr>
        <w:pStyle w:val="Heading5"/>
      </w:pPr>
      <w:bookmarkStart w:id="33" w:name="_Toc195183670"/>
      <w:bookmarkStart w:id="34" w:name="_Toc195606194"/>
      <w:r>
        <w:rPr>
          <w:rStyle w:val="CharSectno"/>
        </w:rPr>
        <w:t>8</w:t>
      </w:r>
      <w:r>
        <w:t>.</w:t>
      </w:r>
      <w:r>
        <w:tab/>
        <w:t>Regulation 9 amended</w:t>
      </w:r>
      <w:bookmarkEnd w:id="33"/>
      <w:bookmarkEnd w:id="34"/>
    </w:p>
    <w:p>
      <w:pPr>
        <w:pStyle w:val="Subsection"/>
      </w:pPr>
      <w:r>
        <w:tab/>
      </w:r>
      <w:r>
        <w:tab/>
        <w:t>In regulation 9 delete “22 April 2025.”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22 April 2026.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pPr>
        <w:rPr>
          <w:rStyle w:val="DraftersNotes"/>
          <w:i w:val="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B2FE06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660833C5" w14:textId="39861D8E" w:rsidR="002727A9" w:rsidRDefault="002727A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F70C2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B6FE88" w14:textId="77777777" w:rsidR="002727A9" w:rsidRDefault="002727A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E4F8BCF" w14:textId="38AB6189" w:rsidR="002727A9" w:rsidRDefault="002727A9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F70C2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B36D53" w14:textId="77777777" w:rsidR="002727A9" w:rsidRDefault="002727A9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2025/54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16 Apr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4973"/>
      <w:gridCol w:w="567"/>
      <w:gridCol w:w="175"/>
    </w:tblGrid>
    <w:tr>
      <w:trPr>
        <w:gridAfter w:val="1"/>
        <w:wAfter w:w="175" w:type="dxa"/>
        <w:cantSplit/>
        <w:jc w:val="center"/>
      </w:trPr>
      <w:tc>
        <w:tcPr>
          <w:tcW w:w="7088" w:type="dxa"/>
          <w:gridSpan w:val="3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gridAfter w:val="2"/>
        <w:wAfter w:w="742" w:type="dxa"/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4973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3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4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2"/>
      <w:gridCol w:w="142"/>
      <w:gridCol w:w="5431"/>
      <w:gridCol w:w="1548"/>
    </w:tblGrid>
    <w:tr>
      <w:trPr>
        <w:gridBefore w:val="1"/>
        <w:wBefore w:w="142" w:type="dxa"/>
        <w:cantSplit/>
        <w:jc w:val="center"/>
      </w:trPr>
      <w:tc>
        <w:tcPr>
          <w:tcW w:w="7121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gridBefore w:val="2"/>
        <w:wBefore w:w="284" w:type="dxa"/>
        <w:jc w:val="center"/>
      </w:trPr>
      <w:tc>
        <w:tcPr>
          <w:tcW w:w="5431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3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4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41013085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200918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20091827_GUID" w:val="db8701c0-879c-44f1-bd73-37719ee4518b"/>
    <w:docVar w:name="WAFER_202504011518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01151854_GUID" w:val="61a6d26b-4604-4278-a239-434b0ff32eb2"/>
    <w:docVar w:name="WAFER_2025041013085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410130851_GUID" w:val="1f32c35d-dab5-4112-8830-09088258cea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010FE0E4-63DD-4EC8-A4B7-7BEAD1BCB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2332</Characters>
  <Application>Microsoft Office Word</Application>
  <DocSecurity>0</DocSecurity>
  <Lines>106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Gaming Regulations Amendment (Liquor Control)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2025-06-17T04:12:00Z</dcterms:created>
  <dcterms:modified xsi:type="dcterms:W3CDTF">2025-06-17T04:12:00Z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55362</vt:lpwstr>
  </property>
  <property fmtid="{D5CDD505-2E9C-101B-9397-08002B2CF9AE}" pid="3" name="DocumentType">
    <vt:lpwstr>Reg</vt:lpwstr>
  </property>
  <property fmtid="{D5CDD505-2E9C-101B-9397-08002B2CF9AE}" pid="4" name="AsAtDate">
    <vt:lpwstr>16 Apr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2025/54</vt:lpwstr>
  </property>
  <property fmtid="{D5CDD505-2E9C-101B-9397-08002B2CF9AE}" pid="8" name="PublishDate">
    <vt:lpwstr>16 Apr 2025</vt:lpwstr>
  </property>
  <property fmtid="{D5CDD505-2E9C-101B-9397-08002B2CF9AE}" pid="9" name="CommencementDate">
    <vt:lpwstr>20250416</vt:lpwstr>
  </property>
  <property fmtid="{D5CDD505-2E9C-101B-9397-08002B2CF9AE}" pid="10" name="CommencementAsAt">
    <vt:filetime>2025-04-15T16:00:00Z</vt:filetime>
  </property>
  <property fmtid="{D5CDD505-2E9C-101B-9397-08002B2CF9AE}" pid="11" name="CommencementYear">
    <vt:lpwstr>2025</vt:lpwstr>
  </property>
</Properties>
</file>