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Superannuation Act 2000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Superannuation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_Toc195608506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_Toc195608507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_Toc195608508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_Toc195608509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50 amended</w:t>
      </w:r>
      <w:r>
        <w:tab/>
      </w:r>
      <w:r>
        <w:fldChar w:fldCharType="begin"/>
      </w:r>
      <w:r>
        <w:instrText xml:space="preserve"> PAGEREF _Toc195608510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3 Division 3 Subdivision 1A deleted</w:t>
      </w:r>
      <w:r>
        <w:tab/>
      </w:r>
      <w:r>
        <w:fldChar w:fldCharType="begin"/>
      </w:r>
      <w:r>
        <w:instrText xml:space="preserve"> PAGEREF _Toc195608511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65BB amended</w:t>
      </w:r>
      <w:r>
        <w:tab/>
      </w:r>
      <w:r>
        <w:fldChar w:fldCharType="begin"/>
      </w:r>
      <w:r>
        <w:instrText xml:space="preserve"> PAGEREF _Toc195608512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67 amended</w:t>
      </w:r>
      <w:r>
        <w:tab/>
      </w:r>
      <w:r>
        <w:fldChar w:fldCharType="begin"/>
      </w:r>
      <w:r>
        <w:instrText xml:space="preserve"> PAGEREF _Toc195608513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68 amended</w:t>
      </w:r>
      <w:r>
        <w:tab/>
      </w:r>
      <w:r>
        <w:fldChar w:fldCharType="begin"/>
      </w:r>
      <w:r>
        <w:instrText xml:space="preserve"> PAGEREF _Toc195608514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69AA amended</w:t>
      </w:r>
      <w:r>
        <w:tab/>
      </w:r>
      <w:r>
        <w:fldChar w:fldCharType="begin"/>
      </w:r>
      <w:r>
        <w:instrText xml:space="preserve"> PAGEREF _Toc195608515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69AB amended</w:t>
      </w:r>
      <w:r>
        <w:tab/>
      </w:r>
      <w:r>
        <w:fldChar w:fldCharType="begin"/>
      </w:r>
      <w:r>
        <w:instrText xml:space="preserve"> PAGEREF _Toc195608516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69AC amended</w:t>
      </w:r>
      <w:r>
        <w:tab/>
      </w:r>
      <w:r>
        <w:fldChar w:fldCharType="begin"/>
      </w:r>
      <w:r>
        <w:instrText xml:space="preserve"> PAGEREF _Toc195608517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79AAA amended</w:t>
      </w:r>
      <w:r>
        <w:tab/>
      </w:r>
      <w:r>
        <w:fldChar w:fldCharType="begin"/>
      </w:r>
      <w:r>
        <w:instrText xml:space="preserve"> PAGEREF _Toc195608518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83 amended</w:t>
      </w:r>
      <w:r>
        <w:tab/>
      </w:r>
      <w:r>
        <w:fldChar w:fldCharType="begin"/>
      </w:r>
      <w:r>
        <w:instrText xml:space="preserve"> PAGEREF _Toc195608519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84 amended</w:t>
      </w:r>
      <w:r>
        <w:tab/>
      </w:r>
      <w:r>
        <w:fldChar w:fldCharType="begin"/>
      </w:r>
      <w:r>
        <w:instrText xml:space="preserve"> PAGEREF _Toc195608520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85 amended</w:t>
      </w:r>
      <w:r>
        <w:tab/>
      </w:r>
      <w:r>
        <w:fldChar w:fldCharType="begin"/>
      </w:r>
      <w:r>
        <w:instrText xml:space="preserve"> PAGEREF _Toc195608521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93 amended</w:t>
      </w:r>
      <w:r>
        <w:tab/>
      </w:r>
      <w:r>
        <w:fldChar w:fldCharType="begin"/>
      </w:r>
      <w:r>
        <w:instrText xml:space="preserve"> PAGEREF _Toc195608522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94 amended</w:t>
      </w:r>
      <w:r>
        <w:tab/>
      </w:r>
      <w:r>
        <w:fldChar w:fldCharType="begin"/>
      </w:r>
      <w:r>
        <w:instrText xml:space="preserve"> PAGEREF _Toc195608523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95 amended</w:t>
      </w:r>
      <w:r>
        <w:tab/>
      </w:r>
      <w:r>
        <w:fldChar w:fldCharType="begin"/>
      </w:r>
      <w:r>
        <w:instrText xml:space="preserve"> PAGEREF _Toc195608524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96 amended</w:t>
      </w:r>
      <w:r>
        <w:tab/>
      </w:r>
      <w:r>
        <w:fldChar w:fldCharType="begin"/>
      </w:r>
      <w:r>
        <w:instrText xml:space="preserve"> PAGEREF _Toc195608525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98 amended</w:t>
      </w:r>
      <w:r>
        <w:tab/>
      </w:r>
      <w:r>
        <w:fldChar w:fldCharType="begin"/>
      </w:r>
      <w:r>
        <w:instrText xml:space="preserve"> PAGEREF _Toc195608526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99 amended</w:t>
      </w:r>
      <w:r>
        <w:tab/>
      </w:r>
      <w:r>
        <w:fldChar w:fldCharType="begin"/>
      </w:r>
      <w:r>
        <w:instrText xml:space="preserve"> PAGEREF _Toc195608527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102 amended</w:t>
      </w:r>
      <w:r>
        <w:tab/>
      </w:r>
      <w:r>
        <w:fldChar w:fldCharType="begin"/>
      </w:r>
      <w:r>
        <w:instrText xml:space="preserve"> PAGEREF _Toc195608528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Regulation 103 amended</w:t>
      </w:r>
      <w:r>
        <w:tab/>
      </w:r>
      <w:r>
        <w:fldChar w:fldCharType="begin"/>
      </w:r>
      <w:r>
        <w:instrText xml:space="preserve"> PAGEREF _Toc195608529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Regulation 105C amended</w:t>
      </w:r>
      <w:r>
        <w:tab/>
      </w:r>
      <w:r>
        <w:fldChar w:fldCharType="begin"/>
      </w:r>
      <w:r>
        <w:instrText xml:space="preserve"> PAGEREF _Toc195608530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Regulation 113A inserted</w:t>
      </w:r>
      <w:r>
        <w:tab/>
      </w:r>
      <w:r>
        <w:fldChar w:fldCharType="begin"/>
      </w:r>
      <w:r>
        <w:instrText xml:space="preserve"> PAGEREF _Toc195608531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113A.</w:t>
      </w:r>
      <w:r>
        <w:rPr>
          <w:noProof/>
        </w:rPr>
        <w:tab/>
        <w:t>Insurance for dual members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_Toc195608532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27.</w:t>
      </w:r>
      <w:r>
        <w:tab/>
        <w:t>Regulation 248B amended</w:t>
      </w:r>
      <w:r>
        <w:tab/>
      </w:r>
      <w:r>
        <w:fldChar w:fldCharType="begin"/>
      </w:r>
      <w:r>
        <w:instrText xml:space="preserve"> PAGEREF _Toc195608533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Schedule 1 Division 2 amended</w:t>
      </w:r>
      <w:r>
        <w:tab/>
      </w:r>
      <w:r>
        <w:fldChar w:fldCharType="begin"/>
      </w:r>
      <w:r>
        <w:instrText xml:space="preserve"> PAGEREF _Toc195608534 \h </w:instrText>
      </w:r>
      <w:r>
        <w:fldChar w:fldCharType="separate"/>
      </w:r>
      <w:r>
        <w:t>14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Superannuation Act 2000</w:t>
      </w:r>
    </w:p>
    <w:p>
      <w:pPr>
        <w:pStyle w:val="NameofActReg"/>
      </w:pPr>
      <w:r>
        <w:t>State Superannuation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5187323"/>
      <w:bookmarkStart w:id="3" w:name="_Toc19560850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State Superannuation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195187324"/>
      <w:bookmarkStart w:id="6" w:name="_Toc19560850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95187325"/>
      <w:bookmarkStart w:id="8" w:name="_Toc1956085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State Superannuation Regulations 2001</w:t>
      </w:r>
      <w:r>
        <w:t>.</w:t>
      </w:r>
    </w:p>
    <w:p>
      <w:pPr>
        <w:pStyle w:val="Heading5"/>
      </w:pPr>
      <w:bookmarkStart w:id="9" w:name="_Toc195187326"/>
      <w:bookmarkStart w:id="10" w:name="_Toc19560850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3(1) insert in alphabetical order:</w:t>
      </w:r>
    </w:p>
    <w:p>
      <w:pPr>
        <w:pStyle w:val="BlankOpen"/>
      </w:pPr>
    </w:p>
    <w:p>
      <w:pPr>
        <w:pStyle w:val="zDefstart"/>
        <w:keepNext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government contribution</w:t>
      </w:r>
      <w:r>
        <w:t xml:space="preserve"> means a superannuation contribution received from a non</w:t>
      </w:r>
      <w:r>
        <w:noBreakHyphen/>
        <w:t>government contributor;</w:t>
      </w:r>
    </w:p>
    <w:p>
      <w:pPr>
        <w:pStyle w:val="BlankClose"/>
      </w:pPr>
    </w:p>
    <w:p>
      <w:pPr>
        <w:pStyle w:val="Heading5"/>
      </w:pPr>
      <w:bookmarkStart w:id="11" w:name="_Toc195187327"/>
      <w:bookmarkStart w:id="12" w:name="_Toc195608510"/>
      <w:r>
        <w:rPr>
          <w:rStyle w:val="CharSectno"/>
        </w:rPr>
        <w:lastRenderedPageBreak/>
        <w:t>5</w:t>
      </w:r>
      <w:r>
        <w:t>.</w:t>
      </w:r>
      <w:r>
        <w:tab/>
        <w:t>Regulation 50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After regulation 50(1A)(b) insert:</w:t>
      </w:r>
    </w:p>
    <w:p>
      <w:pPr>
        <w:pStyle w:val="BlankOpen"/>
      </w:pPr>
    </w:p>
    <w:p>
      <w:pPr>
        <w:pStyle w:val="zIndenta"/>
      </w:pPr>
      <w:r>
        <w:tab/>
        <w:t>(ba)</w:t>
      </w:r>
      <w:r>
        <w:tab/>
        <w:t>if the West State Super Member in whose name the account is maintained is a voluntary GESB Super Member, no relevant contribution has been credited to the Member’s GESB Super account;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50(1B)(a)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>if the West State Super Member in whose name the account is maintained is a voluntary GESB Super Member, no relevant contribution has been credited to the Member’s GESB Super account; and</w:t>
      </w:r>
    </w:p>
    <w:p>
      <w:pPr>
        <w:pStyle w:val="BlankClose"/>
      </w:pPr>
    </w:p>
    <w:p>
      <w:pPr>
        <w:pStyle w:val="Heading5"/>
      </w:pPr>
      <w:bookmarkStart w:id="13" w:name="_Toc195187328"/>
      <w:bookmarkStart w:id="14" w:name="_Toc195608511"/>
      <w:r>
        <w:rPr>
          <w:rStyle w:val="CharSectno"/>
        </w:rPr>
        <w:t>6</w:t>
      </w:r>
      <w:r>
        <w:t>.</w:t>
      </w:r>
      <w:r>
        <w:tab/>
        <w:t>Part 3 Division 3 Subdivision 1A deleted</w:t>
      </w:r>
      <w:bookmarkEnd w:id="13"/>
      <w:bookmarkEnd w:id="14"/>
    </w:p>
    <w:p>
      <w:pPr>
        <w:pStyle w:val="Subsection"/>
      </w:pPr>
      <w:r>
        <w:tab/>
      </w:r>
      <w:r>
        <w:tab/>
        <w:t>Delete Part 3 Division 3 Subdivision 1A.</w:t>
      </w:r>
    </w:p>
    <w:p>
      <w:pPr>
        <w:pStyle w:val="Heading5"/>
      </w:pPr>
      <w:bookmarkStart w:id="15" w:name="_Toc195187329"/>
      <w:bookmarkStart w:id="16" w:name="_Toc195608512"/>
      <w:r>
        <w:rPr>
          <w:rStyle w:val="CharSectno"/>
        </w:rPr>
        <w:t>7</w:t>
      </w:r>
      <w:r>
        <w:t>.</w:t>
      </w:r>
      <w:r>
        <w:tab/>
        <w:t>Regulation 65BB amended</w:t>
      </w:r>
      <w:bookmarkEnd w:id="15"/>
      <w:bookmarkEnd w:id="16"/>
    </w:p>
    <w:p>
      <w:pPr>
        <w:pStyle w:val="Subsection"/>
      </w:pPr>
      <w:r>
        <w:tab/>
      </w:r>
      <w:r>
        <w:tab/>
        <w:t>Delete regulation 65BB(3).</w:t>
      </w:r>
    </w:p>
    <w:p>
      <w:pPr>
        <w:pStyle w:val="Heading5"/>
      </w:pPr>
      <w:bookmarkStart w:id="17" w:name="_Toc195187330"/>
      <w:bookmarkStart w:id="18" w:name="_Toc195608513"/>
      <w:r>
        <w:rPr>
          <w:rStyle w:val="CharSectno"/>
        </w:rPr>
        <w:t>8</w:t>
      </w:r>
      <w:r>
        <w:t>.</w:t>
      </w:r>
      <w:r>
        <w:tab/>
        <w:t>Regulation 67 amended</w:t>
      </w:r>
      <w:bookmarkEnd w:id="17"/>
      <w:bookmarkEnd w:id="18"/>
    </w:p>
    <w:p>
      <w:pPr>
        <w:pStyle w:val="Subsection"/>
      </w:pPr>
      <w:r>
        <w:tab/>
        <w:t>(1)</w:t>
      </w:r>
      <w:r>
        <w:tab/>
        <w:t>In regulation 67(1):</w:t>
      </w:r>
    </w:p>
    <w:p>
      <w:pPr>
        <w:pStyle w:val="Indenta"/>
      </w:pPr>
      <w:r>
        <w:tab/>
        <w:t>(a)</w:t>
      </w:r>
      <w:r>
        <w:tab/>
        <w:t>delete “The Board is to”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Subject to subregulation (3), the Board must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(a) after “contributions made”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to the West State Super Scheme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“for the Member”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made to the West State Super Scheme for the Member and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(c) delete “Fund”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West State Super Scheme</w:t>
      </w:r>
    </w:p>
    <w:p>
      <w:pPr>
        <w:pStyle w:val="BlankClose"/>
      </w:pPr>
    </w:p>
    <w:p>
      <w:pPr>
        <w:pStyle w:val="Indenta"/>
      </w:pPr>
      <w:r>
        <w:tab/>
        <w:t>(e)</w:t>
      </w:r>
      <w:r>
        <w:tab/>
        <w:t>in paragraph (ca) delete “under this Part”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the West State Super Scheme</w:t>
      </w:r>
    </w:p>
    <w:p>
      <w:pPr>
        <w:pStyle w:val="BlankClose"/>
      </w:pPr>
    </w:p>
    <w:p>
      <w:pPr>
        <w:pStyle w:val="Indenta"/>
      </w:pPr>
      <w:r>
        <w:tab/>
        <w:t>(f)</w:t>
      </w:r>
      <w:r>
        <w:tab/>
        <w:t>in paragraph (e) after “transferred”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the West State Super Scheme</w:t>
      </w:r>
    </w:p>
    <w:p>
      <w:pPr>
        <w:pStyle w:val="BlankClose"/>
      </w:pPr>
    </w:p>
    <w:p>
      <w:pPr>
        <w:pStyle w:val="Indenta"/>
      </w:pPr>
      <w:r>
        <w:tab/>
        <w:t>(g)</w:t>
      </w:r>
      <w:r>
        <w:tab/>
        <w:t>in paragraph (f) after “transfers”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to the West State Super Scheme for the Member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67(2) insert:</w:t>
      </w:r>
    </w:p>
    <w:p>
      <w:pPr>
        <w:pStyle w:val="BlankOpen"/>
      </w:pPr>
    </w:p>
    <w:p>
      <w:pPr>
        <w:pStyle w:val="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The Board must not credit a non</w:t>
      </w:r>
      <w:r>
        <w:rPr>
          <w:snapToGrid w:val="0"/>
        </w:rPr>
        <w:noBreakHyphen/>
        <w:t>government contribution to a West State Super Member’s west state account.</w:t>
      </w:r>
    </w:p>
    <w:p>
      <w:pPr>
        <w:pStyle w:val="BlankClose"/>
        <w:rPr>
          <w:snapToGrid w:val="0"/>
        </w:rPr>
      </w:pPr>
    </w:p>
    <w:p>
      <w:pPr>
        <w:pStyle w:val="Heading5"/>
      </w:pPr>
      <w:bookmarkStart w:id="19" w:name="_Toc195187331"/>
      <w:bookmarkStart w:id="20" w:name="_Toc195608514"/>
      <w:r>
        <w:rPr>
          <w:rStyle w:val="CharSectno"/>
        </w:rPr>
        <w:lastRenderedPageBreak/>
        <w:t>9</w:t>
      </w:r>
      <w:r>
        <w:t>.</w:t>
      </w:r>
      <w:r>
        <w:tab/>
        <w:t>Regulation 68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68(1):</w:t>
      </w:r>
    </w:p>
    <w:p>
      <w:pPr>
        <w:pStyle w:val="Indenta"/>
      </w:pPr>
      <w:r>
        <w:tab/>
        <w:t>(a)</w:t>
      </w:r>
      <w:r>
        <w:tab/>
        <w:t>delete “is to”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after “benefits”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from the West State Super Scheme</w:t>
      </w:r>
    </w:p>
    <w:p>
      <w:pPr>
        <w:pStyle w:val="BlankClose"/>
      </w:pPr>
    </w:p>
    <w:p>
      <w:pPr>
        <w:pStyle w:val="Heading5"/>
      </w:pPr>
      <w:bookmarkStart w:id="21" w:name="_Toc195187332"/>
      <w:bookmarkStart w:id="22" w:name="_Toc195608515"/>
      <w:r>
        <w:rPr>
          <w:rStyle w:val="CharSectno"/>
        </w:rPr>
        <w:t>10</w:t>
      </w:r>
      <w:r>
        <w:t>.</w:t>
      </w:r>
      <w:r>
        <w:tab/>
        <w:t>Regulation 69AA amended</w:t>
      </w:r>
      <w:bookmarkEnd w:id="21"/>
      <w:bookmarkEnd w:id="22"/>
    </w:p>
    <w:p>
      <w:pPr>
        <w:pStyle w:val="Subsection"/>
      </w:pPr>
      <w:r>
        <w:tab/>
      </w:r>
      <w:r>
        <w:tab/>
        <w:t>In regulation 69AA:</w:t>
      </w:r>
    </w:p>
    <w:p>
      <w:pPr>
        <w:pStyle w:val="Indenta"/>
      </w:pPr>
      <w:r>
        <w:tab/>
        <w:t>(a)</w:t>
      </w:r>
      <w:r>
        <w:tab/>
        <w:t>delete “is to”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“the member”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member’s interest in the West State Super Scheme</w:t>
      </w:r>
    </w:p>
    <w:p>
      <w:pPr>
        <w:pStyle w:val="BlankClose"/>
      </w:pPr>
    </w:p>
    <w:p>
      <w:pPr>
        <w:pStyle w:val="Heading5"/>
      </w:pPr>
      <w:bookmarkStart w:id="23" w:name="_Toc195187333"/>
      <w:bookmarkStart w:id="24" w:name="_Toc195608516"/>
      <w:r>
        <w:rPr>
          <w:rStyle w:val="CharSectno"/>
        </w:rPr>
        <w:t>11</w:t>
      </w:r>
      <w:r>
        <w:t>.</w:t>
      </w:r>
      <w:r>
        <w:tab/>
        <w:t>Regulation 69AB amended</w:t>
      </w:r>
      <w:bookmarkEnd w:id="23"/>
      <w:bookmarkEnd w:id="24"/>
    </w:p>
    <w:p>
      <w:pPr>
        <w:pStyle w:val="Subsection"/>
      </w:pPr>
      <w:r>
        <w:tab/>
      </w:r>
      <w:r>
        <w:tab/>
        <w:t>In regulation 69AB(b) delete “an”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a West State Super </w:t>
      </w:r>
    </w:p>
    <w:p>
      <w:pPr>
        <w:pStyle w:val="BlankClose"/>
      </w:pPr>
    </w:p>
    <w:p>
      <w:pPr>
        <w:pStyle w:val="Heading5"/>
      </w:pPr>
      <w:bookmarkStart w:id="25" w:name="_Toc195187334"/>
      <w:bookmarkStart w:id="26" w:name="_Toc195608517"/>
      <w:r>
        <w:rPr>
          <w:rStyle w:val="CharSectno"/>
        </w:rPr>
        <w:lastRenderedPageBreak/>
        <w:t>12</w:t>
      </w:r>
      <w:r>
        <w:t>.</w:t>
      </w:r>
      <w:r>
        <w:tab/>
        <w:t>Regulation 69AC amended</w:t>
      </w:r>
      <w:bookmarkEnd w:id="25"/>
      <w:bookmarkEnd w:id="26"/>
    </w:p>
    <w:p>
      <w:pPr>
        <w:pStyle w:val="Subsection"/>
        <w:keepNext/>
      </w:pPr>
      <w:r>
        <w:tab/>
      </w:r>
      <w:r>
        <w:tab/>
        <w:t xml:space="preserve">In regulation 69AC — </w:t>
      </w:r>
    </w:p>
    <w:p>
      <w:pPr>
        <w:pStyle w:val="Indenta"/>
        <w:keepNext/>
      </w:pPr>
      <w:r>
        <w:tab/>
        <w:t>(a)</w:t>
      </w:r>
      <w:r>
        <w:tab/>
        <w:t>delete “Member,”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account, 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delete “Member”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account</w:t>
      </w:r>
    </w:p>
    <w:p>
      <w:pPr>
        <w:pStyle w:val="BlankClose"/>
      </w:pPr>
    </w:p>
    <w:p>
      <w:pPr>
        <w:pStyle w:val="Heading5"/>
      </w:pPr>
      <w:bookmarkStart w:id="27" w:name="_Toc195187335"/>
      <w:bookmarkStart w:id="28" w:name="_Toc195608518"/>
      <w:r>
        <w:rPr>
          <w:rStyle w:val="CharSectno"/>
        </w:rPr>
        <w:t>13</w:t>
      </w:r>
      <w:r>
        <w:t>.</w:t>
      </w:r>
      <w:r>
        <w:tab/>
        <w:t>Regulation 79AAA amended</w:t>
      </w:r>
      <w:bookmarkEnd w:id="27"/>
      <w:bookmarkEnd w:id="28"/>
    </w:p>
    <w:p>
      <w:pPr>
        <w:pStyle w:val="Subsection"/>
      </w:pPr>
      <w:r>
        <w:tab/>
      </w:r>
      <w:r>
        <w:tab/>
        <w:t>In regulation 79AAA(b) after “payable”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from the West State Super Scheme</w:t>
      </w:r>
    </w:p>
    <w:p>
      <w:pPr>
        <w:pStyle w:val="BlankClose"/>
      </w:pPr>
    </w:p>
    <w:p>
      <w:pPr>
        <w:pStyle w:val="Heading5"/>
      </w:pPr>
      <w:bookmarkStart w:id="29" w:name="_Toc195187336"/>
      <w:bookmarkStart w:id="30" w:name="_Toc195608519"/>
      <w:r>
        <w:rPr>
          <w:rStyle w:val="CharSectno"/>
        </w:rPr>
        <w:t>14</w:t>
      </w:r>
      <w:r>
        <w:t>.</w:t>
      </w:r>
      <w:r>
        <w:tab/>
        <w:t>Regulation 83 amended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>After regulation 83(1A)(b) insert:</w:t>
      </w:r>
    </w:p>
    <w:p>
      <w:pPr>
        <w:pStyle w:val="BlankOpen"/>
      </w:pPr>
    </w:p>
    <w:p>
      <w:pPr>
        <w:pStyle w:val="zIndenta"/>
      </w:pPr>
      <w:r>
        <w:tab/>
        <w:t>(ba)</w:t>
      </w:r>
      <w:r>
        <w:tab/>
        <w:t>if the GESB Super Member in whose name the account is maintained is a West State Super Member, no relevant contribution has been credited to the Member’s west state account; and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83(1B)(a) insert:</w:t>
      </w:r>
    </w:p>
    <w:p>
      <w:pPr>
        <w:pStyle w:val="BlankOpen"/>
      </w:pPr>
    </w:p>
    <w:p>
      <w:pPr>
        <w:pStyle w:val="zIndenta"/>
      </w:pPr>
      <w:r>
        <w:tab/>
        <w:t>(aa)</w:t>
      </w:r>
      <w:r>
        <w:tab/>
        <w:t xml:space="preserve">if the GESB Super Member in whose name the account is maintained is a West State Super Member, no relevant contribution has been </w:t>
      </w:r>
      <w:r>
        <w:lastRenderedPageBreak/>
        <w:t>credited to the Member’s west state account; and</w:t>
      </w:r>
    </w:p>
    <w:p>
      <w:pPr>
        <w:pStyle w:val="BlankClose"/>
      </w:pPr>
    </w:p>
    <w:p>
      <w:pPr>
        <w:pStyle w:val="Heading5"/>
      </w:pPr>
      <w:bookmarkStart w:id="31" w:name="_Toc195187337"/>
      <w:bookmarkStart w:id="32" w:name="_Toc195608520"/>
      <w:r>
        <w:rPr>
          <w:rStyle w:val="CharSectno"/>
        </w:rPr>
        <w:t>15</w:t>
      </w:r>
      <w:r>
        <w:t>.</w:t>
      </w:r>
      <w:r>
        <w:tab/>
        <w:t>Regulation 84 amended</w:t>
      </w:r>
      <w:bookmarkEnd w:id="31"/>
      <w:bookmarkEnd w:id="32"/>
    </w:p>
    <w:p>
      <w:pPr>
        <w:pStyle w:val="Subsection"/>
        <w:keepNext/>
      </w:pPr>
      <w:r>
        <w:tab/>
        <w:t>(1)</w:t>
      </w:r>
      <w:r>
        <w:tab/>
        <w:t>In regulation 84(1) delete “he or she”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the person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84(2):</w:t>
      </w:r>
    </w:p>
    <w:p>
      <w:pPr>
        <w:pStyle w:val="Indenta"/>
      </w:pPr>
      <w:r>
        <w:tab/>
        <w:t>(a)</w:t>
      </w:r>
      <w:r>
        <w:tab/>
        <w:t>in paragraph (a) delete “Member, other than a Member for whom a contribution to the West State Super Scheme cannot be made because of regulation 53A;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Member;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 (c) delete “his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person’s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84(5) delete “he or she”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worker</w:t>
      </w:r>
    </w:p>
    <w:p>
      <w:pPr>
        <w:pStyle w:val="BlankClose"/>
      </w:pPr>
    </w:p>
    <w:p>
      <w:pPr>
        <w:pStyle w:val="SectAltNote"/>
      </w:pPr>
      <w:r>
        <w:t xml:space="preserve"> </w:t>
      </w:r>
      <w:r>
        <w:tab/>
        <w:t>Note: The heading to amended regulation 84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Statutory GESB Super Members</w:t>
      </w:r>
    </w:p>
    <w:p>
      <w:pPr>
        <w:pStyle w:val="Heading5"/>
      </w:pPr>
      <w:bookmarkStart w:id="33" w:name="_Toc195187338"/>
      <w:bookmarkStart w:id="34" w:name="_Toc195608521"/>
      <w:r>
        <w:rPr>
          <w:rStyle w:val="CharSectno"/>
        </w:rPr>
        <w:lastRenderedPageBreak/>
        <w:t>16</w:t>
      </w:r>
      <w:r>
        <w:t>.</w:t>
      </w:r>
      <w:r>
        <w:tab/>
        <w:t>Regulation 85 amended</w:t>
      </w:r>
      <w:bookmarkEnd w:id="33"/>
      <w:bookmarkEnd w:id="34"/>
    </w:p>
    <w:p>
      <w:pPr>
        <w:pStyle w:val="Subsection"/>
        <w:keepNext/>
      </w:pPr>
      <w:r>
        <w:tab/>
        <w:t>(1)</w:t>
      </w:r>
      <w:r>
        <w:tab/>
        <w:t>After regulation 85(1A) insert:</w:t>
      </w:r>
    </w:p>
    <w:p>
      <w:pPr>
        <w:pStyle w:val="BlankOpen"/>
      </w:pPr>
    </w:p>
    <w:p>
      <w:pPr>
        <w:pStyle w:val="zSubsection"/>
        <w:keepNext/>
      </w:pPr>
      <w:r>
        <w:tab/>
        <w:t>(1B)</w:t>
      </w:r>
      <w:r>
        <w:tab/>
        <w:t>A person who is not otherwise a GESB Super Member becomes a voluntary GESB Super Member when the Board first receives a non</w:t>
      </w:r>
      <w:r>
        <w:noBreakHyphen/>
        <w:t>government contribution for the benefit of the person.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85(2) delete “Member unless he or she is a West State Super”.</w:t>
      </w:r>
    </w:p>
    <w:p>
      <w:pPr>
        <w:pStyle w:val="Subsection"/>
      </w:pPr>
      <w:r>
        <w:tab/>
        <w:t>(3)</w:t>
      </w:r>
      <w:r>
        <w:tab/>
        <w:t>Delete regulation 85(2a).</w:t>
      </w:r>
    </w:p>
    <w:p>
      <w:pPr>
        <w:pStyle w:val="SectAltNote"/>
      </w:pPr>
      <w:r>
        <w:tab/>
        <w:t>Note: The heading to amended regulation 85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Voluntary GESB Super Members</w:t>
      </w:r>
    </w:p>
    <w:p>
      <w:pPr>
        <w:pStyle w:val="Heading5"/>
      </w:pPr>
      <w:bookmarkStart w:id="35" w:name="_Toc195187339"/>
      <w:bookmarkStart w:id="36" w:name="_Toc195608522"/>
      <w:r>
        <w:rPr>
          <w:rStyle w:val="CharSectno"/>
        </w:rPr>
        <w:t>17</w:t>
      </w:r>
      <w:r>
        <w:t>.</w:t>
      </w:r>
      <w:r>
        <w:tab/>
        <w:t>Regulation 93 amended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>In regulation 93(1) delete “Subject to subregulation (2), the”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93(2).</w:t>
      </w:r>
    </w:p>
    <w:p>
      <w:pPr>
        <w:pStyle w:val="SectAltNote"/>
      </w:pPr>
      <w:r>
        <w:tab/>
        <w:t>Note: The heading to amended regulation 93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Accepting Commonwealth payments</w:t>
      </w:r>
    </w:p>
    <w:p>
      <w:pPr>
        <w:pStyle w:val="Heading5"/>
      </w:pPr>
      <w:bookmarkStart w:id="37" w:name="_Toc195187340"/>
      <w:bookmarkStart w:id="38" w:name="_Toc195608523"/>
      <w:r>
        <w:rPr>
          <w:rStyle w:val="CharSectno"/>
        </w:rPr>
        <w:t>18</w:t>
      </w:r>
      <w:r>
        <w:t>.</w:t>
      </w:r>
      <w:r>
        <w:tab/>
        <w:t>Regulation 94 amended</w:t>
      </w:r>
      <w:bookmarkEnd w:id="37"/>
      <w:bookmarkEnd w:id="38"/>
    </w:p>
    <w:p>
      <w:pPr>
        <w:pStyle w:val="Subsection"/>
        <w:keepNext/>
      </w:pPr>
      <w:r>
        <w:tab/>
        <w:t>(1)</w:t>
      </w:r>
      <w:r>
        <w:tab/>
        <w:t>In regulation 94(1):</w:t>
      </w:r>
    </w:p>
    <w:p>
      <w:pPr>
        <w:pStyle w:val="Indenta"/>
        <w:keepNext/>
      </w:pPr>
      <w:r>
        <w:tab/>
        <w:t>(a)</w:t>
      </w:r>
      <w:r>
        <w:tab/>
        <w:t>delete “Subject to subregulation (2), a”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“himself or herself if he or she”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person if the person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94(2).</w:t>
      </w:r>
    </w:p>
    <w:p>
      <w:pPr>
        <w:pStyle w:val="SectAltNote"/>
      </w:pPr>
      <w:r>
        <w:tab/>
        <w:t>Note: The heading to amended regulation 94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Making Member contributions</w:t>
      </w:r>
    </w:p>
    <w:p>
      <w:pPr>
        <w:pStyle w:val="Heading5"/>
      </w:pPr>
      <w:bookmarkStart w:id="39" w:name="_Toc195187341"/>
      <w:bookmarkStart w:id="40" w:name="_Toc195608524"/>
      <w:r>
        <w:rPr>
          <w:rStyle w:val="CharSectno"/>
        </w:rPr>
        <w:t>19</w:t>
      </w:r>
      <w:r>
        <w:t>.</w:t>
      </w:r>
      <w:r>
        <w:tab/>
        <w:t>Regulation 95 amended</w:t>
      </w:r>
      <w:bookmarkEnd w:id="39"/>
      <w:bookmarkEnd w:id="40"/>
    </w:p>
    <w:p>
      <w:pPr>
        <w:pStyle w:val="Subsection"/>
      </w:pPr>
      <w:r>
        <w:tab/>
        <w:t>(1)</w:t>
      </w:r>
      <w:r>
        <w:tab/>
        <w:t>In regulation 95(1) delete “Subject to subregulation (2), a”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95(2).</w:t>
      </w:r>
    </w:p>
    <w:p>
      <w:pPr>
        <w:pStyle w:val="SectAltNote"/>
      </w:pPr>
      <w:r>
        <w:tab/>
        <w:t>Note: The heading to amended regulation 95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Members contributing for partners</w:t>
      </w:r>
    </w:p>
    <w:p>
      <w:pPr>
        <w:pStyle w:val="Heading5"/>
      </w:pPr>
      <w:bookmarkStart w:id="41" w:name="_Toc195187342"/>
      <w:bookmarkStart w:id="42" w:name="_Toc195608525"/>
      <w:r>
        <w:rPr>
          <w:rStyle w:val="CharSectno"/>
        </w:rPr>
        <w:t>20</w:t>
      </w:r>
      <w:r>
        <w:t>.</w:t>
      </w:r>
      <w:r>
        <w:tab/>
        <w:t>Regulation 96 amended</w:t>
      </w:r>
      <w:bookmarkEnd w:id="41"/>
      <w:bookmarkEnd w:id="42"/>
    </w:p>
    <w:p>
      <w:pPr>
        <w:pStyle w:val="Subsection"/>
      </w:pPr>
      <w:r>
        <w:tab/>
        <w:t>(1)</w:t>
      </w:r>
      <w:r>
        <w:tab/>
        <w:t>In regulation 96(1):</w:t>
      </w:r>
    </w:p>
    <w:p>
      <w:pPr>
        <w:pStyle w:val="Indenta"/>
      </w:pPr>
      <w:r>
        <w:tab/>
        <w:t>(a)</w:t>
      </w:r>
      <w:r>
        <w:tab/>
        <w:t>delete “Subject to subregulation (2), a”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“he or she”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person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96(2).</w:t>
      </w:r>
    </w:p>
    <w:p>
      <w:pPr>
        <w:pStyle w:val="Subsection"/>
        <w:keepNext/>
      </w:pPr>
      <w:r>
        <w:lastRenderedPageBreak/>
        <w:tab/>
        <w:t>(3)</w:t>
      </w:r>
      <w:r>
        <w:tab/>
        <w:t>In regulation 96(3) delete “himself or herself —”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the person —</w:t>
      </w:r>
    </w:p>
    <w:p>
      <w:pPr>
        <w:pStyle w:val="BlankClose"/>
      </w:pPr>
    </w:p>
    <w:p>
      <w:pPr>
        <w:pStyle w:val="Heading5"/>
      </w:pPr>
      <w:bookmarkStart w:id="43" w:name="_Toc195187343"/>
      <w:bookmarkStart w:id="44" w:name="_Toc195608526"/>
      <w:r>
        <w:rPr>
          <w:rStyle w:val="CharSectno"/>
        </w:rPr>
        <w:t>21</w:t>
      </w:r>
      <w:r>
        <w:t>.</w:t>
      </w:r>
      <w:r>
        <w:tab/>
        <w:t>Regulation 98 amended</w:t>
      </w:r>
      <w:bookmarkEnd w:id="43"/>
      <w:bookmarkEnd w:id="44"/>
    </w:p>
    <w:p>
      <w:pPr>
        <w:pStyle w:val="Subsection"/>
      </w:pPr>
      <w:r>
        <w:tab/>
      </w:r>
      <w:r>
        <w:tab/>
        <w:t>Delete regulation 98(3).</w:t>
      </w:r>
    </w:p>
    <w:p>
      <w:pPr>
        <w:pStyle w:val="Heading5"/>
      </w:pPr>
      <w:bookmarkStart w:id="45" w:name="_Toc195187344"/>
      <w:bookmarkStart w:id="46" w:name="_Toc195608527"/>
      <w:r>
        <w:rPr>
          <w:rStyle w:val="CharSectno"/>
        </w:rPr>
        <w:t>22</w:t>
      </w:r>
      <w:r>
        <w:t>.</w:t>
      </w:r>
      <w:r>
        <w:tab/>
        <w:t>Regulation 99 amended</w:t>
      </w:r>
      <w:bookmarkEnd w:id="45"/>
      <w:bookmarkEnd w:id="46"/>
    </w:p>
    <w:p>
      <w:pPr>
        <w:pStyle w:val="Subsection"/>
      </w:pPr>
      <w:r>
        <w:tab/>
        <w:t>(1)</w:t>
      </w:r>
      <w:r>
        <w:tab/>
        <w:t>In regulation 99(1) delete “Subject to subregulation (2) the”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99(2).</w:t>
      </w:r>
    </w:p>
    <w:p>
      <w:pPr>
        <w:pStyle w:val="SectAltNote"/>
      </w:pPr>
      <w:r>
        <w:tab/>
        <w:t>Note: The heading to amended regulation 99 is to read:</w:t>
      </w:r>
    </w:p>
    <w:p>
      <w:pPr>
        <w:pStyle w:val="SectAltHeading"/>
        <w:rPr>
          <w:rStyle w:val="DraftersNotes"/>
          <w:b/>
          <w:i w:val="0"/>
          <w:sz w:val="18"/>
        </w:rPr>
      </w:pPr>
      <w:r>
        <w:tab/>
      </w:r>
      <w:r>
        <w:tab/>
        <w:t>Accepting contributions</w:t>
      </w:r>
      <w:r>
        <w:rPr>
          <w:b w:val="0"/>
          <w:bCs/>
        </w:rPr>
        <w:noBreakHyphen/>
      </w:r>
      <w:r>
        <w:t>split transfers</w:t>
      </w:r>
    </w:p>
    <w:p>
      <w:pPr>
        <w:pStyle w:val="Heading5"/>
      </w:pPr>
      <w:bookmarkStart w:id="47" w:name="_Toc195187345"/>
      <w:bookmarkStart w:id="48" w:name="_Toc195608528"/>
      <w:r>
        <w:rPr>
          <w:rStyle w:val="CharSectno"/>
        </w:rPr>
        <w:t>23</w:t>
      </w:r>
      <w:r>
        <w:t>.</w:t>
      </w:r>
      <w:r>
        <w:tab/>
        <w:t>Regulation 102 amended</w:t>
      </w:r>
      <w:bookmarkEnd w:id="47"/>
      <w:bookmarkEnd w:id="48"/>
    </w:p>
    <w:p>
      <w:pPr>
        <w:pStyle w:val="Subsection"/>
      </w:pPr>
      <w:r>
        <w:tab/>
      </w:r>
      <w:r>
        <w:tab/>
        <w:t>In regulation 102(1):</w:t>
      </w:r>
    </w:p>
    <w:p>
      <w:pPr>
        <w:pStyle w:val="Indenta"/>
      </w:pPr>
      <w:r>
        <w:tab/>
        <w:t>(a)</w:t>
      </w:r>
      <w:r>
        <w:tab/>
        <w:t>delete “is to”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must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“made”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(including non</w:t>
      </w:r>
      <w:r>
        <w:noBreakHyphen/>
        <w:t>government contributions) made to the GESB Super Scheme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in paragraph (b) delete “accepted for the Member”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made to the GESB Super Scheme for the Member and accepted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(c) delete “Fund”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GESB Super Scheme</w:t>
      </w:r>
    </w:p>
    <w:p>
      <w:pPr>
        <w:pStyle w:val="BlankClose"/>
      </w:pPr>
    </w:p>
    <w:p>
      <w:pPr>
        <w:pStyle w:val="Indenta"/>
        <w:keepNext/>
      </w:pPr>
      <w:r>
        <w:tab/>
        <w:t>(e)</w:t>
      </w:r>
      <w:r>
        <w:tab/>
        <w:t>in paragraph (f) delete “under this Part”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to the GESB Super Scheme</w:t>
      </w:r>
    </w:p>
    <w:p>
      <w:pPr>
        <w:pStyle w:val="BlankClose"/>
      </w:pPr>
    </w:p>
    <w:p>
      <w:pPr>
        <w:pStyle w:val="Indenta"/>
      </w:pPr>
      <w:r>
        <w:tab/>
        <w:t>(f)</w:t>
      </w:r>
      <w:r>
        <w:tab/>
        <w:t>in paragraph (h) after “transferred”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to the GESB Super Scheme</w:t>
      </w:r>
    </w:p>
    <w:p>
      <w:pPr>
        <w:pStyle w:val="BlankClose"/>
      </w:pPr>
    </w:p>
    <w:p>
      <w:pPr>
        <w:pStyle w:val="Indenta"/>
      </w:pPr>
      <w:r>
        <w:tab/>
        <w:t>(g)</w:t>
      </w:r>
      <w:r>
        <w:tab/>
        <w:t>in paragraph (i) after “transfers”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to the GESB Super Scheme</w:t>
      </w:r>
    </w:p>
    <w:p>
      <w:pPr>
        <w:pStyle w:val="BlankClose"/>
      </w:pPr>
    </w:p>
    <w:p>
      <w:pPr>
        <w:pStyle w:val="Heading5"/>
      </w:pPr>
      <w:bookmarkStart w:id="49" w:name="_Toc195187346"/>
      <w:bookmarkStart w:id="50" w:name="_Toc195608529"/>
      <w:r>
        <w:rPr>
          <w:rStyle w:val="CharSectno"/>
        </w:rPr>
        <w:t>24</w:t>
      </w:r>
      <w:r>
        <w:t>.</w:t>
      </w:r>
      <w:r>
        <w:tab/>
        <w:t>Regulation 103 amended</w:t>
      </w:r>
      <w:bookmarkEnd w:id="49"/>
      <w:bookmarkEnd w:id="50"/>
    </w:p>
    <w:p>
      <w:pPr>
        <w:pStyle w:val="Subsection"/>
      </w:pPr>
      <w:r>
        <w:tab/>
      </w:r>
      <w:r>
        <w:tab/>
        <w:t>In regulation 103(1)(c) after “deducted”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from the account</w:t>
      </w:r>
    </w:p>
    <w:p>
      <w:pPr>
        <w:pStyle w:val="BlankClose"/>
      </w:pPr>
    </w:p>
    <w:p>
      <w:pPr>
        <w:pStyle w:val="Heading5"/>
      </w:pPr>
      <w:bookmarkStart w:id="51" w:name="_Toc195187347"/>
      <w:bookmarkStart w:id="52" w:name="_Toc195608530"/>
      <w:r>
        <w:rPr>
          <w:rStyle w:val="CharSectno"/>
        </w:rPr>
        <w:lastRenderedPageBreak/>
        <w:t>25</w:t>
      </w:r>
      <w:r>
        <w:t>.</w:t>
      </w:r>
      <w:r>
        <w:tab/>
        <w:t>Regulation 105C amended</w:t>
      </w:r>
      <w:bookmarkEnd w:id="51"/>
      <w:bookmarkEnd w:id="52"/>
    </w:p>
    <w:p>
      <w:pPr>
        <w:pStyle w:val="Subsection"/>
        <w:keepNext/>
      </w:pPr>
      <w:r>
        <w:tab/>
      </w:r>
      <w:r>
        <w:tab/>
        <w:t>In regulation 105C:</w:t>
      </w:r>
    </w:p>
    <w:p>
      <w:pPr>
        <w:pStyle w:val="Indenta"/>
        <w:keepNext/>
      </w:pPr>
      <w:r>
        <w:tab/>
        <w:t>(a)</w:t>
      </w:r>
      <w:r>
        <w:tab/>
        <w:t>delete “Member,”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account,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“Member”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account</w:t>
      </w:r>
    </w:p>
    <w:p>
      <w:pPr>
        <w:pStyle w:val="BlankClose"/>
      </w:pPr>
    </w:p>
    <w:p>
      <w:pPr>
        <w:pStyle w:val="Heading5"/>
      </w:pPr>
      <w:bookmarkStart w:id="53" w:name="_Toc195187348"/>
      <w:bookmarkStart w:id="54" w:name="_Toc195608531"/>
      <w:r>
        <w:rPr>
          <w:rStyle w:val="CharSectno"/>
        </w:rPr>
        <w:t>26</w:t>
      </w:r>
      <w:r>
        <w:t>.</w:t>
      </w:r>
      <w:r>
        <w:tab/>
        <w:t>Regulation 113A inserted</w:t>
      </w:r>
      <w:bookmarkEnd w:id="53"/>
      <w:bookmarkEnd w:id="54"/>
    </w:p>
    <w:p>
      <w:pPr>
        <w:pStyle w:val="Subsection"/>
        <w:keepNext/>
      </w:pPr>
      <w:r>
        <w:tab/>
      </w:r>
      <w:r>
        <w:tab/>
        <w:t>At the end of Part 3A Division 6 Subdivision 3 insert:</w:t>
      </w:r>
    </w:p>
    <w:p>
      <w:pPr>
        <w:pStyle w:val="BlankOpen"/>
      </w:pPr>
    </w:p>
    <w:p>
      <w:pPr>
        <w:pStyle w:val="zHeading5"/>
      </w:pPr>
      <w:bookmarkStart w:id="55" w:name="_Toc195187349"/>
      <w:bookmarkStart w:id="56" w:name="_Toc195608532"/>
      <w:r>
        <w:t>113A.</w:t>
      </w:r>
      <w:r>
        <w:tab/>
        <w:t>Insurance for dual members</w:t>
      </w:r>
      <w:bookmarkEnd w:id="55"/>
      <w:bookmarkEnd w:id="56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covered risk benefits Member</w:t>
      </w:r>
      <w:r>
        <w:t xml:space="preserve"> has the meaning given in regulation 69G;</w:t>
      </w:r>
    </w:p>
    <w:p>
      <w:pPr>
        <w:pStyle w:val="zDefstart"/>
      </w:pPr>
      <w:r>
        <w:tab/>
      </w:r>
      <w:r>
        <w:rPr>
          <w:rStyle w:val="CharDefText"/>
        </w:rPr>
        <w:t>dual member</w:t>
      </w:r>
      <w:r>
        <w:t xml:space="preserve"> means a voluntary GESB Super Member who is also a West State Super Member.</w:t>
      </w:r>
    </w:p>
    <w:p>
      <w:pPr>
        <w:pStyle w:val="zSubsection"/>
        <w:keepNext/>
      </w:pPr>
      <w:r>
        <w:tab/>
        <w:t>(2)</w:t>
      </w:r>
      <w:r>
        <w:tab/>
        <w:t xml:space="preserve">The Board is not required to provide life insurance under regulation 111 or any insurance under regulation 112 for a dual member who — </w:t>
      </w:r>
    </w:p>
    <w:p>
      <w:pPr>
        <w:pStyle w:val="zIndenta"/>
      </w:pPr>
      <w:r>
        <w:tab/>
        <w:t>(a)</w:t>
      </w:r>
      <w:r>
        <w:tab/>
        <w:t>is a covered risk benefits Member; or</w:t>
      </w:r>
    </w:p>
    <w:p>
      <w:pPr>
        <w:pStyle w:val="zIndenta"/>
      </w:pPr>
      <w:r>
        <w:tab/>
        <w:t>(b)</w:t>
      </w:r>
      <w:r>
        <w:tab/>
        <w:t>has ceased to be a covered risk benefits Member under regulation 69J.</w:t>
      </w:r>
    </w:p>
    <w:p>
      <w:pPr>
        <w:pStyle w:val="BlankClose"/>
      </w:pPr>
    </w:p>
    <w:p>
      <w:pPr>
        <w:pStyle w:val="Heading5"/>
      </w:pPr>
      <w:bookmarkStart w:id="57" w:name="_Toc195187350"/>
      <w:bookmarkStart w:id="58" w:name="_Toc195608533"/>
      <w:r>
        <w:rPr>
          <w:rStyle w:val="CharSectno"/>
        </w:rPr>
        <w:lastRenderedPageBreak/>
        <w:t>27</w:t>
      </w:r>
      <w:r>
        <w:t>.</w:t>
      </w:r>
      <w:r>
        <w:tab/>
        <w:t>Regulation 248B amended</w:t>
      </w:r>
      <w:bookmarkEnd w:id="57"/>
      <w:bookmarkEnd w:id="58"/>
    </w:p>
    <w:p>
      <w:pPr>
        <w:pStyle w:val="Subsection"/>
        <w:keepNext/>
      </w:pPr>
      <w:r>
        <w:tab/>
        <w:t>(1)</w:t>
      </w:r>
      <w:r>
        <w:tab/>
        <w:t>Delete regulation 248B(1)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contributor</w:t>
      </w:r>
      <w:r>
        <w:t xml:space="preserve"> means — </w:t>
      </w:r>
    </w:p>
    <w:p>
      <w:pPr>
        <w:pStyle w:val="zDefpara"/>
      </w:pPr>
      <w:r>
        <w:tab/>
        <w:t>(a)</w:t>
      </w:r>
      <w:r>
        <w:tab/>
        <w:t>an Employer; and</w:t>
      </w:r>
    </w:p>
    <w:p>
      <w:pPr>
        <w:pStyle w:val="zDefpara"/>
      </w:pPr>
      <w:r>
        <w:tab/>
        <w:t>(b)</w:t>
      </w:r>
      <w:r>
        <w:tab/>
        <w:t>a non</w:t>
      </w:r>
      <w:r>
        <w:noBreakHyphen/>
        <w:t>government contributor;</w:t>
      </w:r>
    </w:p>
    <w:p>
      <w:pPr>
        <w:pStyle w:val="zDefstart"/>
      </w:pPr>
      <w:r>
        <w:tab/>
      </w:r>
      <w:r>
        <w:rPr>
          <w:rStyle w:val="CharDefText"/>
        </w:rPr>
        <w:t>overpayment</w:t>
      </w:r>
      <w:r>
        <w:t xml:space="preserve"> means a payment by a contributor of an amount of superannuation contribution that is not required — </w:t>
      </w:r>
    </w:p>
    <w:p>
      <w:pPr>
        <w:pStyle w:val="zDefpara"/>
      </w:pPr>
      <w:r>
        <w:tab/>
        <w:t>(a)</w:t>
      </w:r>
      <w:r>
        <w:tab/>
        <w:t>in the case of an Employer — under the Act; or</w:t>
      </w:r>
    </w:p>
    <w:p>
      <w:pPr>
        <w:pStyle w:val="zDefpara"/>
      </w:pPr>
      <w:r>
        <w:tab/>
        <w:t>(b)</w:t>
      </w:r>
      <w:r>
        <w:tab/>
        <w:t>in the case of a non</w:t>
      </w:r>
      <w:r>
        <w:noBreakHyphen/>
        <w:t>government contributor — under the SGA Act, to avoid incurring an individual superannuation guarantee shortfall for any of its employees; or</w:t>
      </w:r>
    </w:p>
    <w:p>
      <w:pPr>
        <w:pStyle w:val="zDefpara"/>
      </w:pPr>
      <w:r>
        <w:tab/>
        <w:t>(c)</w:t>
      </w:r>
      <w:r>
        <w:tab/>
        <w:t xml:space="preserve">in either of the cases referred to in paragraphs (a) and (b) — </w:t>
      </w:r>
    </w:p>
    <w:p>
      <w:pPr>
        <w:pStyle w:val="zDefsubpara"/>
      </w:pPr>
      <w:r>
        <w:tab/>
        <w:t>(i)</w:t>
      </w:r>
      <w:r>
        <w:tab/>
        <w:t>under any award, determination, order, enterprise agreement or similar industrial instrument; or</w:t>
      </w:r>
    </w:p>
    <w:p>
      <w:pPr>
        <w:pStyle w:val="zDefsubpara"/>
      </w:pPr>
      <w:r>
        <w:tab/>
        <w:t>(ii)</w:t>
      </w:r>
      <w:r>
        <w:tab/>
        <w:t>under any contract of employment.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248B(2):</w:t>
      </w:r>
    </w:p>
    <w:p>
      <w:pPr>
        <w:pStyle w:val="Indenta"/>
      </w:pPr>
      <w:r>
        <w:tab/>
        <w:t>(a)</w:t>
      </w:r>
      <w:r>
        <w:tab/>
        <w:t>delete “an Employer”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 contributor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(a)(i) delete “Employer”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contributor</w:t>
      </w:r>
    </w:p>
    <w:p>
      <w:pPr>
        <w:pStyle w:val="BlankClose"/>
      </w:pPr>
    </w:p>
    <w:p>
      <w:pPr>
        <w:pStyle w:val="Indenta"/>
      </w:pPr>
      <w:r>
        <w:lastRenderedPageBreak/>
        <w:tab/>
        <w:t>(c)</w:t>
      </w:r>
      <w:r>
        <w:tab/>
        <w:t>in paragraph (a)(ii) delete “Employer;”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contributor;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(b)(i) delete “Employer”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contributor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248B(3):</w:t>
      </w:r>
    </w:p>
    <w:p>
      <w:pPr>
        <w:pStyle w:val="Indenta"/>
      </w:pPr>
      <w:r>
        <w:tab/>
        <w:t>(a)</w:t>
      </w:r>
      <w:r>
        <w:tab/>
        <w:t>delete “An Employer”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Subject to subregulation (4), a contributor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delete “may, subject to any contrary instruction issued by the Treasurer under the </w:t>
      </w:r>
      <w:r>
        <w:rPr>
          <w:i/>
        </w:rPr>
        <w:t>Financial Management Act 2006</w:t>
      </w:r>
      <w:r>
        <w:t xml:space="preserve"> section 78,”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may</w:t>
      </w:r>
    </w:p>
    <w:p>
      <w:pPr>
        <w:pStyle w:val="BlankClose"/>
      </w:pPr>
    </w:p>
    <w:p>
      <w:pPr>
        <w:pStyle w:val="Subsection"/>
        <w:keepNext/>
      </w:pPr>
      <w:r>
        <w:tab/>
        <w:t>(4)</w:t>
      </w:r>
      <w:r>
        <w:tab/>
        <w:t>After regulation 248B(3)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An Employer must not make the election referred to in subregulation (3) if doing so would contravene an instruction issued by the Treasurer under the </w:t>
      </w:r>
      <w:r>
        <w:rPr>
          <w:i/>
          <w:iCs/>
        </w:rPr>
        <w:t>Financial Management Act 2006</w:t>
      </w:r>
      <w:r>
        <w:t xml:space="preserve"> section 78.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284B is to read:</w:t>
      </w:r>
    </w:p>
    <w:p>
      <w:pPr>
        <w:pStyle w:val="SectAltHeading"/>
      </w:pPr>
      <w:r>
        <w:tab/>
      </w:r>
      <w:r>
        <w:tab/>
        <w:t>Overpayment of contributions</w:t>
      </w:r>
    </w:p>
    <w:p>
      <w:pPr>
        <w:pStyle w:val="Heading5"/>
      </w:pPr>
      <w:bookmarkStart w:id="59" w:name="_Toc195187351"/>
      <w:bookmarkStart w:id="60" w:name="_Toc195608534"/>
      <w:r>
        <w:rPr>
          <w:rStyle w:val="CharSectno"/>
        </w:rPr>
        <w:lastRenderedPageBreak/>
        <w:t>28</w:t>
      </w:r>
      <w:r>
        <w:t>.</w:t>
      </w:r>
      <w:r>
        <w:tab/>
        <w:t>Schedule 1 Division 2 amended</w:t>
      </w:r>
      <w:bookmarkEnd w:id="59"/>
      <w:bookmarkEnd w:id="60"/>
    </w:p>
    <w:p>
      <w:pPr>
        <w:pStyle w:val="Subsection"/>
        <w:keepNext/>
      </w:pPr>
      <w:r>
        <w:tab/>
      </w:r>
      <w:r>
        <w:tab/>
        <w:t>Delete Schedule 1 Division 2 item 2.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Superannuation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1" w:name="Coversheet"/>
    <w:bookmarkEnd w:id="6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9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310958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31095857_GUID" w:val="d24acd51-732c-4385-b3f3-c5eb432d16ed"/>
    <w:docVar w:name="WAFER_202504101309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919_GUID" w:val="bf0e864a-b490-44bf-837b-c72fccdef7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A75509F8-C255-4888-8E8A-9D52DED6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1822</Words>
  <Characters>9477</Characters>
  <Application>Microsoft Office Word</Application>
  <DocSecurity>0</DocSecurity>
  <Lines>473</Lines>
  <Paragraphs>313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Superannuation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2025-07-21T02:50:00Z</dcterms:created>
  <dcterms:modified xsi:type="dcterms:W3CDTF">2025-07-21T02:50:00Z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55281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2025/59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