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_Toc195197132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_Toc195197133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_Toc195197134 \h </w:instrText>
      </w:r>
      <w:r>
        <w:fldChar w:fldCharType="separate"/>
      </w:r>
      <w:r>
        <w:t>1</w:t>
      </w:r>
      <w:r>
        <w:fldChar w:fldCharType="end"/>
      </w:r>
    </w:p>
    <w:p>
      <w:pPr>
        <w:pStyle w:val="TOC8"/>
        <w:rPr>
          <w:rFonts w:asciiTheme="minorHAnsi" w:eastAsiaTheme="minorEastAsia" w:hAnsiTheme="minorHAnsi" w:cstheme="minorBidi"/>
          <w:szCs w:val="22"/>
        </w:rPr>
      </w:pPr>
      <w:r>
        <w:t>3A.</w:t>
      </w:r>
      <w:r>
        <w:tab/>
        <w:t>Building Code</w:t>
      </w:r>
      <w:r>
        <w:tab/>
      </w:r>
      <w:r>
        <w:fldChar w:fldCharType="begin"/>
      </w:r>
      <w:r>
        <w:instrText xml:space="preserve"> PAGEREF _Toc195197135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_Toc195197137 \h </w:instrText>
      </w:r>
      <w:r>
        <w:fldChar w:fldCharType="separate"/>
      </w:r>
      <w:r>
        <w:t>7</w:t>
      </w:r>
      <w:r>
        <w:fldChar w:fldCharType="end"/>
      </w:r>
    </w:p>
    <w:p>
      <w:pPr>
        <w:pStyle w:val="TOC8"/>
        <w:rPr>
          <w:rFonts w:asciiTheme="minorHAnsi" w:eastAsiaTheme="minorEastAsia" w:hAnsiTheme="minorHAnsi" w:cstheme="minorBidi"/>
          <w:szCs w:val="22"/>
        </w:rPr>
      </w:pPr>
      <w:r>
        <w:t>4A.</w:t>
      </w:r>
      <w:r>
        <w:tab/>
        <w:t>Authorised persons (s. 93(2)(d))</w:t>
      </w:r>
      <w:r>
        <w:tab/>
      </w:r>
      <w:r>
        <w:fldChar w:fldCharType="begin"/>
      </w:r>
      <w:r>
        <w:instrText xml:space="preserve"> PAGEREF _Toc195197138 \h </w:instrText>
      </w:r>
      <w:r>
        <w:fldChar w:fldCharType="separate"/>
      </w:r>
      <w:r>
        <w:t>8</w:t>
      </w:r>
      <w:r>
        <w:fldChar w:fldCharType="end"/>
      </w:r>
    </w:p>
    <w:p>
      <w:pPr>
        <w:pStyle w:val="TOC8"/>
        <w:rPr>
          <w:rFonts w:asciiTheme="minorHAnsi" w:eastAsiaTheme="minorEastAsia" w:hAnsiTheme="minorHAnsi" w:cstheme="minorBidi"/>
          <w:szCs w:val="22"/>
        </w:rPr>
      </w:pPr>
      <w:r>
        <w:t>4B.</w:t>
      </w:r>
      <w:r>
        <w:tab/>
        <w:t>Identity cards</w:t>
      </w:r>
      <w:r>
        <w:tab/>
      </w:r>
      <w:r>
        <w:fldChar w:fldCharType="begin"/>
      </w:r>
      <w:r>
        <w:instrText xml:space="preserve"> PAGEREF _Toc195197139 \h </w:instrText>
      </w:r>
      <w:r>
        <w:fldChar w:fldCharType="separate"/>
      </w:r>
      <w:r>
        <w:t>9</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_Toc195197140 \h </w:instrText>
      </w:r>
      <w:r>
        <w:fldChar w:fldCharType="separate"/>
      </w:r>
      <w:r>
        <w:t>9</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_Toc195197141 \h </w:instrText>
      </w:r>
      <w:r>
        <w:fldChar w:fldCharType="separate"/>
      </w:r>
      <w:r>
        <w:t>11</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_Toc195197142 \h </w:instrText>
      </w:r>
      <w:r>
        <w:fldChar w:fldCharType="separate"/>
      </w:r>
      <w:r>
        <w:t>11</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_Toc195197143 \h </w:instrText>
      </w:r>
      <w:r>
        <w:fldChar w:fldCharType="separate"/>
      </w:r>
      <w:r>
        <w:t>11</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_Toc195197144 \h </w:instrText>
      </w:r>
      <w:r>
        <w:fldChar w:fldCharType="separate"/>
      </w:r>
      <w:r>
        <w:t>13</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_Toc195197145 \h </w:instrText>
      </w:r>
      <w:r>
        <w:fldChar w:fldCharType="separate"/>
      </w:r>
      <w:r>
        <w:t>13</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_Toc195197146 \h </w:instrText>
      </w:r>
      <w:r>
        <w:fldChar w:fldCharType="separate"/>
      </w:r>
      <w:r>
        <w:t>14</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_Toc195197147 \h </w:instrText>
      </w:r>
      <w:r>
        <w:fldChar w:fldCharType="separate"/>
      </w:r>
      <w:r>
        <w:t>14</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_Toc195197148 \h </w:instrText>
      </w:r>
      <w:r>
        <w:fldChar w:fldCharType="separate"/>
      </w:r>
      <w:r>
        <w:t>15</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_Toc195197149 \h </w:instrText>
      </w:r>
      <w:r>
        <w:fldChar w:fldCharType="separate"/>
      </w:r>
      <w:r>
        <w:t>15</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_Toc195197150 \h </w:instrText>
      </w:r>
      <w:r>
        <w:fldChar w:fldCharType="separate"/>
      </w:r>
      <w:r>
        <w:t>16</w:t>
      </w:r>
      <w:r>
        <w:fldChar w:fldCharType="end"/>
      </w:r>
    </w:p>
    <w:p>
      <w:pPr>
        <w:pStyle w:val="TOC8"/>
        <w:rPr>
          <w:rFonts w:asciiTheme="minorHAnsi" w:eastAsiaTheme="minorEastAsia" w:hAnsiTheme="minorHAnsi" w:cstheme="minorBidi"/>
          <w:szCs w:val="22"/>
        </w:rPr>
      </w:pPr>
      <w:r>
        <w:t>15B.</w:t>
      </w:r>
      <w:r>
        <w:tab/>
        <w:t>Modifications to AS 1926.1</w:t>
      </w:r>
      <w:r>
        <w:rPr>
          <w:bCs/>
        </w:rPr>
        <w:noBreakHyphen/>
      </w:r>
      <w:r>
        <w:t>2012 (s. 150)</w:t>
      </w:r>
      <w:r>
        <w:tab/>
      </w:r>
      <w:r>
        <w:fldChar w:fldCharType="begin"/>
      </w:r>
      <w:r>
        <w:instrText xml:space="preserve"> PAGEREF _Toc195197151 \h </w:instrText>
      </w:r>
      <w:r>
        <w:fldChar w:fldCharType="separate"/>
      </w:r>
      <w:r>
        <w:t>17</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_Toc195197152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15D.</w:t>
      </w:r>
      <w:r>
        <w:tab/>
        <w:t>Modification to Building Code in relation to certain buildings and decks in bush fire prone areas (s. 150)</w:t>
      </w:r>
      <w:r>
        <w:tab/>
      </w:r>
      <w:r>
        <w:fldChar w:fldCharType="begin"/>
      </w:r>
      <w:r>
        <w:instrText xml:space="preserve"> PAGEREF _Toc195197153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_Toc195197155 \h </w:instrText>
      </w:r>
      <w:r>
        <w:fldChar w:fldCharType="separate"/>
      </w:r>
      <w:r>
        <w:t>23</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_Toc195197156 \h </w:instrText>
      </w:r>
      <w:r>
        <w:fldChar w:fldCharType="separate"/>
      </w:r>
      <w:r>
        <w:t>23</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_Toc195197157 \h </w:instrText>
      </w:r>
      <w:r>
        <w:fldChar w:fldCharType="separate"/>
      </w:r>
      <w:r>
        <w:t>25</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_Toc195197158 \h </w:instrText>
      </w:r>
      <w:r>
        <w:fldChar w:fldCharType="separate"/>
      </w:r>
      <w:r>
        <w:t>25</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_Toc195197159 \h </w:instrText>
      </w:r>
      <w:r>
        <w:fldChar w:fldCharType="separate"/>
      </w:r>
      <w:r>
        <w:t>28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_Toc195197160 \h </w:instrText>
      </w:r>
      <w:r>
        <w:fldChar w:fldCharType="separate"/>
      </w:r>
      <w:r>
        <w:t>29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_Toc195197161 \h </w:instrText>
      </w:r>
      <w:r>
        <w:fldChar w:fldCharType="separate"/>
      </w:r>
      <w:r>
        <w:t>29</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_Toc195197162 \h </w:instrText>
      </w:r>
      <w:r>
        <w:fldChar w:fldCharType="separate"/>
      </w:r>
      <w:r>
        <w:t>30</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_Toc195197163 \h </w:instrText>
      </w:r>
      <w:r>
        <w:fldChar w:fldCharType="separate"/>
      </w:r>
      <w:r>
        <w:t>31</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_Toc195197164 \h </w:instrText>
      </w:r>
      <w:r>
        <w:fldChar w:fldCharType="separate"/>
      </w:r>
      <w:r>
        <w:t>32</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_Toc195197165 \h </w:instrText>
      </w:r>
      <w:r>
        <w:fldChar w:fldCharType="separate"/>
      </w:r>
      <w:r>
        <w:t>32</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_Toc195197166 \h </w:instrText>
      </w:r>
      <w:r>
        <w:fldChar w:fldCharType="separate"/>
      </w:r>
      <w:r>
        <w:t>32</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_Toc195197167 \h </w:instrText>
      </w:r>
      <w:r>
        <w:fldChar w:fldCharType="separate"/>
      </w:r>
      <w:r>
        <w:t>34</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_Toc195197168 \h </w:instrText>
      </w:r>
      <w:r>
        <w:fldChar w:fldCharType="separate"/>
      </w:r>
      <w:r>
        <w:t>34</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_Toc195197169 \h </w:instrText>
      </w:r>
      <w:r>
        <w:fldChar w:fldCharType="separate"/>
      </w:r>
      <w:r>
        <w:t>35</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_Toc195197170 \h </w:instrText>
      </w:r>
      <w:r>
        <w:fldChar w:fldCharType="separate"/>
      </w:r>
      <w:r>
        <w:t>35</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_Toc195197171 \h </w:instrText>
      </w:r>
      <w:r>
        <w:fldChar w:fldCharType="separate"/>
      </w:r>
      <w:r>
        <w:t>36</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_Toc195197172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_Toc195197176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_Toc195197177 \h </w:instrText>
      </w:r>
      <w:r>
        <w:fldChar w:fldCharType="separate"/>
      </w:r>
      <w:r>
        <w:t>39</w:t>
      </w:r>
      <w:r>
        <w:fldChar w:fldCharType="end"/>
      </w:r>
    </w:p>
    <w:p>
      <w:pPr>
        <w:pStyle w:val="TOC8"/>
        <w:rPr>
          <w:rFonts w:asciiTheme="minorHAnsi" w:eastAsiaTheme="minorEastAsia" w:hAnsiTheme="minorHAnsi" w:cstheme="minorBidi"/>
          <w:szCs w:val="22"/>
        </w:rPr>
      </w:pPr>
      <w:r>
        <w:t>31C.</w:t>
      </w:r>
      <w:r>
        <w:tab/>
        <w:t>Applicable building standards for swimming pools and barriers to swimming pools (s. 3, 19(3), 37(1) and (2), 51(3) and 57(3))</w:t>
      </w:r>
      <w:r>
        <w:tab/>
      </w:r>
      <w:r>
        <w:fldChar w:fldCharType="begin"/>
      </w:r>
      <w:r>
        <w:instrText xml:space="preserve"> PAGEREF _Toc195197178 \h </w:instrText>
      </w:r>
      <w:r>
        <w:fldChar w:fldCharType="separate"/>
      </w:r>
      <w:r>
        <w:t>47</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_Toc195197179 \h </w:instrText>
      </w:r>
      <w:r>
        <w:fldChar w:fldCharType="separate"/>
      </w:r>
      <w:r>
        <w:t>55</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_Toc195197180 \h </w:instrText>
      </w:r>
      <w:r>
        <w:fldChar w:fldCharType="separate"/>
      </w:r>
      <w:r>
        <w:t>61</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_Toc195197181 \h </w:instrText>
      </w:r>
      <w:r>
        <w:fldChar w:fldCharType="separate"/>
      </w:r>
      <w:r>
        <w:t>61</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_Toc195197182 \h </w:instrText>
      </w:r>
      <w:r>
        <w:fldChar w:fldCharType="separate"/>
      </w:r>
      <w:r>
        <w:t>62</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_Toc195197183 \h </w:instrText>
      </w:r>
      <w:r>
        <w:fldChar w:fldCharType="separate"/>
      </w:r>
      <w:r>
        <w:t>63</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_Toc195197184 \h </w:instrText>
      </w:r>
      <w:r>
        <w:fldChar w:fldCharType="separate"/>
      </w:r>
      <w:r>
        <w:t>64</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_Toc195197185 \h </w:instrText>
      </w:r>
      <w:r>
        <w:fldChar w:fldCharType="separate"/>
      </w:r>
      <w:r>
        <w:t>66</w:t>
      </w:r>
      <w:r>
        <w:fldChar w:fldCharType="end"/>
      </w:r>
    </w:p>
    <w:p>
      <w:pPr>
        <w:pStyle w:val="TOC8"/>
        <w:rPr>
          <w:rFonts w:asciiTheme="minorHAnsi" w:eastAsiaTheme="minorEastAsia" w:hAnsiTheme="minorHAnsi" w:cstheme="minorBidi"/>
          <w:szCs w:val="22"/>
        </w:rPr>
      </w:pPr>
      <w:r>
        <w:t>31IA.</w:t>
      </w:r>
      <w:r>
        <w:tab/>
        <w:t xml:space="preserve">Transitional provision for </w:t>
      </w:r>
      <w:r>
        <w:rPr>
          <w:i/>
        </w:rPr>
        <w:t>Building Amendment Regulations (No. 2) 2023</w:t>
      </w:r>
      <w:r>
        <w:tab/>
      </w:r>
      <w:r>
        <w:fldChar w:fldCharType="begin"/>
      </w:r>
      <w:r>
        <w:instrText xml:space="preserve"> PAGEREF _Toc195197186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_Toc195197188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_Toc195197190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_Toc195197192 \h </w:instrText>
      </w:r>
      <w:r>
        <w:fldChar w:fldCharType="separate"/>
      </w:r>
      <w:r>
        <w:t>70</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_Toc195197193 \h </w:instrText>
      </w:r>
      <w:r>
        <w:fldChar w:fldCharType="separate"/>
      </w:r>
      <w:r>
        <w:t>70</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_Toc195197194 \h </w:instrText>
      </w:r>
      <w:r>
        <w:fldChar w:fldCharType="separate"/>
      </w:r>
      <w:r>
        <w:t>72</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_Toc195197195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_Toc195197197 \h </w:instrText>
      </w:r>
      <w:r>
        <w:fldChar w:fldCharType="separate"/>
      </w:r>
      <w:r>
        <w:t>74</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_Toc195197198 \h </w:instrText>
      </w:r>
      <w:r>
        <w:fldChar w:fldCharType="separate"/>
      </w:r>
      <w:r>
        <w:t>74</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_Toc195197199 \h </w:instrText>
      </w:r>
      <w:r>
        <w:fldChar w:fldCharType="separate"/>
      </w:r>
      <w:r>
        <w:t>75</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_Toc195197200 \h </w:instrText>
      </w:r>
      <w:r>
        <w:fldChar w:fldCharType="separate"/>
      </w:r>
      <w:r>
        <w:t>77</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_Toc195197201 \h </w:instrText>
      </w:r>
      <w:r>
        <w:fldChar w:fldCharType="separate"/>
      </w:r>
      <w:r>
        <w:t>78</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_Toc195197202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_Toc195197204 \h </w:instrText>
      </w:r>
      <w:r>
        <w:fldChar w:fldCharType="separate"/>
      </w:r>
      <w:r>
        <w:t>80</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_Toc195197205 \h </w:instrText>
      </w:r>
      <w:r>
        <w:fldChar w:fldCharType="separate"/>
      </w:r>
      <w:r>
        <w:t>81</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_Toc195197206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_Toc195197208 \h </w:instrText>
      </w:r>
      <w:r>
        <w:fldChar w:fldCharType="separate"/>
      </w:r>
      <w:r>
        <w:t>83</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_Toc195197209 \h </w:instrText>
      </w:r>
      <w:r>
        <w:fldChar w:fldCharType="separate"/>
      </w:r>
      <w:r>
        <w:t>83</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_Toc195197210 \h </w:instrText>
      </w:r>
      <w:r>
        <w:fldChar w:fldCharType="separate"/>
      </w:r>
      <w:r>
        <w:t>83</w:t>
      </w:r>
      <w:r>
        <w:fldChar w:fldCharType="end"/>
      </w:r>
    </w:p>
    <w:p>
      <w:pPr>
        <w:pStyle w:val="TOC8"/>
        <w:rPr>
          <w:rFonts w:asciiTheme="minorHAnsi" w:eastAsiaTheme="minorEastAsia" w:hAnsiTheme="minorHAnsi" w:cstheme="minorBidi"/>
          <w:szCs w:val="22"/>
        </w:rPr>
      </w:pPr>
      <w:r>
        <w:lastRenderedPageBreak/>
        <w:t>45B.</w:t>
      </w:r>
      <w:r>
        <w:tab/>
        <w:t>Circumstances prescribed for purposes of section 76(1)(e)</w:t>
      </w:r>
      <w:r>
        <w:tab/>
      </w:r>
      <w:r>
        <w:fldChar w:fldCharType="begin"/>
      </w:r>
      <w:r>
        <w:instrText xml:space="preserve"> PAGEREF _Toc195197211 \h </w:instrText>
      </w:r>
      <w:r>
        <w:fldChar w:fldCharType="separate"/>
      </w:r>
      <w:r>
        <w:t>84</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_Toc195197212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_Toc195197215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_Toc195197217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_Toc195197219 \h </w:instrText>
      </w:r>
      <w:r>
        <w:fldChar w:fldCharType="separate"/>
      </w:r>
      <w:r>
        <w:t>90</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_Toc195197220 \h </w:instrText>
      </w:r>
      <w:r>
        <w:fldChar w:fldCharType="separate"/>
      </w:r>
      <w:r>
        <w:t>90</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_Toc195197221 \h </w:instrText>
      </w:r>
      <w:r>
        <w:fldChar w:fldCharType="separate"/>
      </w:r>
      <w:r>
        <w:t>90</w:t>
      </w:r>
      <w:r>
        <w:fldChar w:fldCharType="end"/>
      </w:r>
    </w:p>
    <w:p>
      <w:pPr>
        <w:pStyle w:val="TOC8"/>
        <w:rPr>
          <w:rFonts w:asciiTheme="minorHAnsi" w:eastAsiaTheme="minorEastAsia" w:hAnsiTheme="minorHAnsi" w:cstheme="minorBidi"/>
          <w:szCs w:val="22"/>
        </w:rPr>
      </w:pPr>
      <w:r>
        <w:t>50A.</w:t>
      </w:r>
      <w:r>
        <w:tab/>
        <w:t>Pool barrier requirements</w:t>
      </w:r>
      <w:r>
        <w:tab/>
      </w:r>
      <w:r>
        <w:fldChar w:fldCharType="begin"/>
      </w:r>
      <w:r>
        <w:instrText xml:space="preserve"> PAGEREF _Toc195197222 \h </w:instrText>
      </w:r>
      <w:r>
        <w:fldChar w:fldCharType="separate"/>
      </w:r>
      <w:r>
        <w:t>91</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_Toc195197223 \h </w:instrText>
      </w:r>
      <w:r>
        <w:fldChar w:fldCharType="separate"/>
      </w:r>
      <w:r>
        <w:t>92</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_Toc195197224 \h </w:instrText>
      </w:r>
      <w:r>
        <w:fldChar w:fldCharType="separate"/>
      </w:r>
      <w:r>
        <w:t>93</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_Toc195197225 \h </w:instrText>
      </w:r>
      <w:r>
        <w:fldChar w:fldCharType="separate"/>
      </w:r>
      <w:r>
        <w:t>94</w:t>
      </w:r>
      <w:r>
        <w:fldChar w:fldCharType="end"/>
      </w:r>
    </w:p>
    <w:p>
      <w:pPr>
        <w:pStyle w:val="TOC8"/>
        <w:rPr>
          <w:rFonts w:asciiTheme="minorHAnsi" w:eastAsiaTheme="minorEastAsia" w:hAnsiTheme="minorHAnsi" w:cstheme="minorBidi"/>
          <w:szCs w:val="22"/>
        </w:rPr>
      </w:pPr>
      <w:r>
        <w:t>53A.</w:t>
      </w:r>
      <w:r>
        <w:tab/>
        <w:t>Charges may be imposed for inspection of barrier</w:t>
      </w:r>
      <w:r>
        <w:tab/>
      </w:r>
      <w:r>
        <w:fldChar w:fldCharType="begin"/>
      </w:r>
      <w:r>
        <w:instrText xml:space="preserve"> PAGEREF _Toc195197226 \h </w:instrText>
      </w:r>
      <w:r>
        <w:fldChar w:fldCharType="separate"/>
      </w:r>
      <w:r>
        <w:t>95</w:t>
      </w:r>
      <w:r>
        <w:fldChar w:fldCharType="end"/>
      </w:r>
    </w:p>
    <w:p>
      <w:pPr>
        <w:pStyle w:val="TOC8"/>
        <w:rPr>
          <w:rFonts w:asciiTheme="minorHAnsi" w:eastAsiaTheme="minorEastAsia" w:hAnsiTheme="minorHAnsi" w:cstheme="minorBidi"/>
          <w:szCs w:val="22"/>
        </w:rPr>
      </w:pPr>
      <w:r>
        <w:t>53B.</w:t>
      </w:r>
      <w:r>
        <w:tab/>
        <w:t>Local governments to give Building Commissioner information</w:t>
      </w:r>
      <w:r>
        <w:tab/>
      </w:r>
      <w:r>
        <w:fldChar w:fldCharType="begin"/>
      </w:r>
      <w:r>
        <w:instrText xml:space="preserve"> PAGEREF _Toc195197227 \h </w:instrText>
      </w:r>
      <w:r>
        <w:fldChar w:fldCharType="separate"/>
      </w:r>
      <w:r>
        <w:t>97</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_Toc195197228 \h </w:instrText>
      </w:r>
      <w:r>
        <w:fldChar w:fldCharType="separate"/>
      </w:r>
      <w:r>
        <w:t>97</w:t>
      </w:r>
      <w:r>
        <w:fldChar w:fldCharType="end"/>
      </w:r>
    </w:p>
    <w:p>
      <w:pPr>
        <w:pStyle w:val="TOC8"/>
        <w:rPr>
          <w:rFonts w:asciiTheme="minorHAnsi" w:eastAsiaTheme="minorEastAsia" w:hAnsiTheme="minorHAnsi" w:cstheme="minorBidi"/>
          <w:szCs w:val="22"/>
        </w:rPr>
      </w:pPr>
      <w:r>
        <w:t>54.</w:t>
      </w:r>
      <w:r>
        <w:tab/>
        <w:t>Transitional provision — persons authorised by regulation 5A</w:t>
      </w:r>
      <w:r>
        <w:tab/>
      </w:r>
      <w:r>
        <w:fldChar w:fldCharType="begin"/>
      </w:r>
      <w:r>
        <w:instrText xml:space="preserve"> PAGEREF _Toc195197229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_Toc195197231 \h </w:instrText>
      </w:r>
      <w:r>
        <w:fldChar w:fldCharType="separate"/>
      </w:r>
      <w:r>
        <w:t>98</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_Toc195197232 \h </w:instrText>
      </w:r>
      <w:r>
        <w:fldChar w:fldCharType="separate"/>
      </w:r>
      <w:r>
        <w:t>100</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_Toc195197233 \h </w:instrText>
      </w:r>
      <w:r>
        <w:fldChar w:fldCharType="separate"/>
      </w:r>
      <w:r>
        <w:t>101</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_Toc195197234 \h </w:instrText>
      </w:r>
      <w:r>
        <w:fldChar w:fldCharType="separate"/>
      </w:r>
      <w:r>
        <w:t>102</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_Toc195197235 \h </w:instrText>
      </w:r>
      <w:r>
        <w:fldChar w:fldCharType="separate"/>
      </w:r>
      <w:r>
        <w:t>102</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_Toc195197236 \h </w:instrText>
      </w:r>
      <w:r>
        <w:fldChar w:fldCharType="separate"/>
      </w:r>
      <w:r>
        <w:t>103</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_Toc195197237 \h </w:instrText>
      </w:r>
      <w:r>
        <w:fldChar w:fldCharType="separate"/>
      </w:r>
      <w:r>
        <w:t>105</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_Toc195197238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_Toc195197240 \h </w:instrText>
      </w:r>
      <w:r>
        <w:fldChar w:fldCharType="separate"/>
      </w:r>
      <w:r>
        <w:t>108</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_Toc195197241 \h </w:instrText>
      </w:r>
      <w:r>
        <w:fldChar w:fldCharType="separate"/>
      </w:r>
      <w:r>
        <w:t>108</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_Toc195197242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_Toc195197244 \h </w:instrText>
      </w:r>
      <w:r>
        <w:fldChar w:fldCharType="separate"/>
      </w:r>
      <w:r>
        <w:t>110</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_Toc195197245 \h </w:instrText>
      </w:r>
      <w:r>
        <w:fldChar w:fldCharType="separate"/>
      </w:r>
      <w:r>
        <w:t>110</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_Toc195197246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_Toc195197252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_Toc195197254 \h </w:instrText>
      </w:r>
      <w:r>
        <w:fldChar w:fldCharType="separate"/>
      </w:r>
      <w:r>
        <w:t>116</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_Toc195197255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_Toc195197262 \h </w:instrText>
      </w:r>
      <w:r>
        <w:fldChar w:fldCharType="separate"/>
      </w:r>
      <w:r>
        <w:t>141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_Toc195197263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2" w:name="_Toc195189969"/>
      <w:bookmarkStart w:id="3" w:name="_Toc195194318"/>
      <w:bookmarkStart w:id="4" w:name="_Toc19519713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95197132"/>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6" w:name="_Toc195197133"/>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7" w:name="_Toc195197134"/>
      <w:r>
        <w:rPr>
          <w:rStyle w:val="CharSectno"/>
        </w:rPr>
        <w:t>3</w:t>
      </w:r>
      <w:r>
        <w:t>.</w:t>
      </w:r>
      <w:r>
        <w:tab/>
        <w:t>Terms used</w:t>
      </w:r>
      <w:bookmarkEnd w:id="7"/>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tab/>
      </w:r>
      <w:r>
        <w:rPr>
          <w:rStyle w:val="CharDefText"/>
        </w:rPr>
        <w:t>BAL</w:t>
      </w:r>
      <w:r>
        <w:t xml:space="preserve"> — </w:t>
      </w:r>
    </w:p>
    <w:p>
      <w:pPr>
        <w:pStyle w:val="Defpara"/>
      </w:pPr>
      <w:r>
        <w:tab/>
        <w:t>(a)</w:t>
      </w:r>
      <w:r>
        <w:tab/>
        <w:t>in relation to a building site, means the bushfire attack level for the building or incidental structure in relation to that building site, as a measure of the severity of the building’s or structure’s potential exposure to attack by bush fire, determined in accordance with AS 3959; and</w:t>
      </w:r>
    </w:p>
    <w:p>
      <w:pPr>
        <w:pStyle w:val="Defpara"/>
      </w:pPr>
      <w:r>
        <w:tab/>
        <w:t>(b)</w:t>
      </w:r>
      <w:r>
        <w:tab/>
        <w:t>if followed by a hyphen and group of letters or numbers, means the bushfire attack level of that particular rating determined in accordance with AS 3959;</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 fire performance requirement</w:t>
      </w:r>
      <w:r>
        <w:t xml:space="preserve"> means — </w:t>
      </w:r>
    </w:p>
    <w:p>
      <w:pPr>
        <w:pStyle w:val="Defpara"/>
      </w:pPr>
      <w:r>
        <w:tab/>
        <w:t>(a)</w:t>
      </w:r>
      <w:r>
        <w:tab/>
        <w:t xml:space="preserve">the Building Code Volume One Part G5 performance requirement G5P1 in relation to the following — </w:t>
      </w:r>
    </w:p>
    <w:p>
      <w:pPr>
        <w:pStyle w:val="Defsubpara"/>
      </w:pPr>
      <w:r>
        <w:tab/>
        <w:t>(i)</w:t>
      </w:r>
      <w:r>
        <w:tab/>
        <w:t>a Class 2 or Class 3 building;</w:t>
      </w:r>
    </w:p>
    <w:p>
      <w:pPr>
        <w:pStyle w:val="Defsubpara"/>
      </w:pPr>
      <w:r>
        <w:lastRenderedPageBreak/>
        <w:tab/>
        <w:t>(ii)</w:t>
      </w:r>
      <w:r>
        <w:tab/>
        <w:t>a Class 10a building or deck if the building or deck is immediately adjacent or connected to a Class 2 building, a Class 3 building or a Class 9 vulnerable use building;</w:t>
      </w:r>
    </w:p>
    <w:p>
      <w:pPr>
        <w:pStyle w:val="Defpara"/>
      </w:pPr>
      <w:r>
        <w:tab/>
      </w:r>
      <w:r>
        <w:tab/>
        <w:t>and</w:t>
      </w:r>
    </w:p>
    <w:p>
      <w:pPr>
        <w:pStyle w:val="Defpara"/>
      </w:pPr>
      <w:r>
        <w:tab/>
        <w:t>(b)</w:t>
      </w:r>
      <w:r>
        <w:tab/>
        <w:t>the Building Code Volume One Part G5 performance requirements G5P1 and G5P2 in relation to a Class 9 vulnerable use building; and</w:t>
      </w:r>
    </w:p>
    <w:p>
      <w:pPr>
        <w:pStyle w:val="Defpara"/>
      </w:pPr>
      <w:r>
        <w:tab/>
        <w:t>(c)</w:t>
      </w:r>
      <w:r>
        <w:tab/>
        <w:t xml:space="preserve">the Building Code Volume Two Part H7 performance requirement H7P5 in relation to the following — </w:t>
      </w:r>
    </w:p>
    <w:p>
      <w:pPr>
        <w:pStyle w:val="Defsubpara"/>
      </w:pPr>
      <w:r>
        <w:tab/>
        <w:t>(i)</w:t>
      </w:r>
      <w:r>
        <w:tab/>
        <w:t>a Class 1 building;</w:t>
      </w:r>
    </w:p>
    <w:p>
      <w:pPr>
        <w:pStyle w:val="Defsubpara"/>
      </w:pPr>
      <w:r>
        <w:tab/>
        <w:t>(ii)</w:t>
      </w:r>
      <w:r>
        <w:tab/>
        <w:t>a Class 10a building or deck if the building or deck is associated with a Class 1 building;</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Class 9 vulnerable use building</w:t>
      </w:r>
      <w:r>
        <w:t xml:space="preserve"> means any of the following buildings located in a bush fire prone area — </w:t>
      </w:r>
    </w:p>
    <w:p>
      <w:pPr>
        <w:pStyle w:val="Defpara"/>
      </w:pPr>
      <w:r>
        <w:tab/>
        <w:t>(a)</w:t>
      </w:r>
      <w:r>
        <w:tab/>
        <w:t>a Class 9a health</w:t>
      </w:r>
      <w:r>
        <w:noBreakHyphen/>
        <w:t>care building (as defined in the Building Code Volume One Schedule 1);</w:t>
      </w:r>
    </w:p>
    <w:p>
      <w:pPr>
        <w:pStyle w:val="Defpara"/>
      </w:pPr>
      <w:r>
        <w:tab/>
        <w:t>(b)</w:t>
      </w:r>
      <w:r>
        <w:tab/>
        <w:t>a Class 9b early childhood centre;</w:t>
      </w:r>
    </w:p>
    <w:p>
      <w:pPr>
        <w:pStyle w:val="Defpara"/>
      </w:pPr>
      <w:r>
        <w:tab/>
        <w:t>(c)</w:t>
      </w:r>
      <w:r>
        <w:tab/>
        <w:t>a Class 9b primary or secondary school;</w:t>
      </w:r>
    </w:p>
    <w:p>
      <w:pPr>
        <w:pStyle w:val="Defpara"/>
      </w:pPr>
      <w:r>
        <w:tab/>
        <w:t>(d)</w:t>
      </w:r>
      <w:r>
        <w:tab/>
        <w:t xml:space="preserve">a Class 9c residential care building (as defined in the Building Code Volume One Schedule 1); </w:t>
      </w:r>
    </w:p>
    <w:p>
      <w:pPr>
        <w:pStyle w:val="Defstart"/>
      </w:pPr>
      <w:r>
        <w:tab/>
      </w:r>
      <w:r>
        <w:rPr>
          <w:rStyle w:val="CharDefText"/>
        </w:rPr>
        <w:t>commencement day</w:t>
      </w:r>
      <w:r>
        <w:t xml:space="preserve"> has the meaning given in section 176;</w:t>
      </w:r>
    </w:p>
    <w:p>
      <w:pPr>
        <w:pStyle w:val="Defstart"/>
      </w:pPr>
      <w:r>
        <w:lastRenderedPageBreak/>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pPr>
        <w:pStyle w:val="Defstart"/>
      </w:pPr>
      <w:r>
        <w:tab/>
      </w:r>
      <w:r>
        <w:rPr>
          <w:rStyle w:val="CharDefText"/>
        </w:rPr>
        <w:t>early childhood centre</w:t>
      </w:r>
      <w:r>
        <w:t xml:space="preserve"> means a building in an early childhood centre (as that term is defined in the Building Code Volume One Schedule 1);</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works permit</w:t>
      </w:r>
      <w:r>
        <w:t xml:space="preserve"> means a works permit under the </w:t>
      </w:r>
      <w:r>
        <w:rPr>
          <w:i/>
          <w:iCs/>
        </w:rPr>
        <w:t>Heritage Act 2018</w:t>
      </w:r>
      <w:r>
        <w:t xml:space="preserve"> section 79;</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primary or secondary school</w:t>
      </w:r>
      <w:r>
        <w:t xml:space="preserve"> has the same meaning as in the Building Code;</w:t>
      </w:r>
    </w:p>
    <w:p>
      <w:pPr>
        <w:pStyle w:val="Defstart"/>
        <w:keepNext/>
      </w:pPr>
      <w:r>
        <w:lastRenderedPageBreak/>
        <w:tab/>
      </w:r>
      <w:r>
        <w:rPr>
          <w:rStyle w:val="CharDefText"/>
        </w:rPr>
        <w:t>private swimming pool</w:t>
      </w:r>
      <w:r>
        <w:t xml:space="preserve"> — </w:t>
      </w:r>
    </w:p>
    <w:p>
      <w:pPr>
        <w:pStyle w:val="Defpara"/>
      </w:pPr>
      <w:r>
        <w:tab/>
        <w:t>(a)</w:t>
      </w:r>
      <w:r>
        <w:tab/>
        <w:t>means a swimming pool that —</w:t>
      </w:r>
    </w:p>
    <w:p>
      <w:pPr>
        <w:pStyle w:val="Defsubpara"/>
      </w:pPr>
      <w:r>
        <w:tab/>
        <w:t>(i)</w:t>
      </w:r>
      <w:r>
        <w:tab/>
        <w:t>is associated with a Class 1a building, or less than 30 sole</w:t>
      </w:r>
      <w:r>
        <w:noBreakHyphen/>
        <w:t>occupancy units in a Class 2 building, or a Class 4 part of a building; and</w:t>
      </w:r>
    </w:p>
    <w:p>
      <w:pPr>
        <w:pStyle w:val="Defsubpara"/>
      </w:pPr>
      <w:r>
        <w:tab/>
        <w:t>(ii)</w:t>
      </w:r>
      <w:r>
        <w:tab/>
        <w:t>has the capacity to contain water that is more than 300 mm deep;</w:t>
      </w:r>
    </w:p>
    <w:p>
      <w:pPr>
        <w:pStyle w:val="Defpara"/>
      </w:pPr>
      <w:r>
        <w:tab/>
      </w:r>
      <w:r>
        <w:tab/>
        <w:t>and</w:t>
      </w:r>
    </w:p>
    <w:p>
      <w:pPr>
        <w:pStyle w:val="Defpara"/>
      </w:pPr>
      <w:r>
        <w:tab/>
        <w:t>(b)</w:t>
      </w:r>
      <w:r>
        <w:tab/>
        <w:t>includes a spa</w:t>
      </w:r>
      <w:r>
        <w:noBreakHyphen/>
        <w:t>pool; but</w:t>
      </w:r>
    </w:p>
    <w:p>
      <w:pPr>
        <w:pStyle w:val="Defpara"/>
      </w:pPr>
      <w:r>
        <w:tab/>
        <w:t>(c)</w:t>
      </w:r>
      <w:r>
        <w:tab/>
        <w:t>does not include a spa</w:t>
      </w:r>
      <w:r>
        <w:noBreakHyphen/>
        <w:t>bath;</w:t>
      </w:r>
    </w:p>
    <w:p>
      <w:pPr>
        <w:pStyle w:val="Defstart"/>
      </w:pPr>
      <w:r>
        <w:tab/>
      </w:r>
      <w:r>
        <w:rPr>
          <w:rStyle w:val="CharDefText"/>
        </w:rPr>
        <w:t>protection order</w:t>
      </w:r>
      <w:r>
        <w:t xml:space="preserve"> has the meaning given in the </w:t>
      </w:r>
      <w:r>
        <w:rPr>
          <w:i/>
          <w:iCs/>
        </w:rPr>
        <w:t>Heritage Act 2018</w:t>
      </w:r>
      <w:r>
        <w:t xml:space="preserve"> section 4;</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rPr>
          <w:b/>
          <w:i/>
        </w:rPr>
        <w:tab/>
      </w:r>
      <w:r>
        <w:rPr>
          <w:rStyle w:val="CharDefText"/>
        </w:rPr>
        <w:t>repair notice</w:t>
      </w:r>
      <w:r>
        <w:t xml:space="preserve"> has the meaning given in the </w:t>
      </w:r>
      <w:r>
        <w:rPr>
          <w:i/>
          <w:iCs/>
        </w:rPr>
        <w:t>Heritage Act 2018</w:t>
      </w:r>
      <w:r>
        <w:t xml:space="preserve"> section 63;</w:t>
      </w:r>
    </w:p>
    <w:p>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lastRenderedPageBreak/>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 SL 2025/62 r. 4.]</w:t>
      </w:r>
    </w:p>
    <w:p>
      <w:pPr>
        <w:pStyle w:val="Heading5"/>
      </w:pPr>
      <w:bookmarkStart w:id="8" w:name="_Toc195197135"/>
      <w:r>
        <w:rPr>
          <w:rStyle w:val="CharSectno"/>
        </w:rPr>
        <w:t>3A</w:t>
      </w:r>
      <w:r>
        <w:t>.</w:t>
      </w:r>
      <w:r>
        <w:tab/>
        <w:t>Building Code</w:t>
      </w:r>
      <w:bookmarkEnd w:id="8"/>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9" w:name="_Toc195189974"/>
      <w:bookmarkStart w:id="10" w:name="_Toc195194323"/>
      <w:bookmarkStart w:id="11" w:name="_Toc195197136"/>
      <w:r>
        <w:rPr>
          <w:rStyle w:val="CharPartNo"/>
        </w:rPr>
        <w:lastRenderedPageBreak/>
        <w:t>Part 2</w:t>
      </w:r>
      <w:r>
        <w:rPr>
          <w:rStyle w:val="CharDivNo"/>
        </w:rPr>
        <w:t> </w:t>
      </w:r>
      <w:r>
        <w:t>—</w:t>
      </w:r>
      <w:r>
        <w:rPr>
          <w:rStyle w:val="CharDivText"/>
        </w:rPr>
        <w:t> </w:t>
      </w:r>
      <w:r>
        <w:rPr>
          <w:rStyle w:val="CharPartText"/>
        </w:rPr>
        <w:t>General matters</w:t>
      </w:r>
      <w:bookmarkEnd w:id="9"/>
      <w:bookmarkEnd w:id="10"/>
      <w:bookmarkEnd w:id="11"/>
    </w:p>
    <w:p>
      <w:pPr>
        <w:pStyle w:val="Heading5"/>
      </w:pPr>
      <w:bookmarkStart w:id="12" w:name="_Toc195197137"/>
      <w:r>
        <w:rPr>
          <w:rStyle w:val="CharSectno"/>
        </w:rPr>
        <w:t>4</w:t>
      </w:r>
      <w:r>
        <w:t>.</w:t>
      </w:r>
      <w:r>
        <w:tab/>
        <w:t>Approval of manner or form of things (s. 3)</w:t>
      </w:r>
      <w:bookmarkEnd w:id="12"/>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3" w:name="_Toc195197138"/>
      <w:r>
        <w:rPr>
          <w:rStyle w:val="CharSectno"/>
        </w:rPr>
        <w:t>4A</w:t>
      </w:r>
      <w:r>
        <w:t>.</w:t>
      </w:r>
      <w:r>
        <w:tab/>
        <w:t>Authorised persons (s. 93(2)(d))</w:t>
      </w:r>
      <w:bookmarkEnd w:id="13"/>
    </w:p>
    <w:p>
      <w:pPr>
        <w:pStyle w:val="Subsection"/>
      </w:pPr>
      <w:r>
        <w:tab/>
        <w:t>(1)</w:t>
      </w:r>
      <w:r>
        <w:tab/>
        <w:t xml:space="preserve">In this regulation — </w:t>
      </w:r>
    </w:p>
    <w:p>
      <w:pPr>
        <w:pStyle w:val="Defstart"/>
      </w:pPr>
      <w:r>
        <w:tab/>
      </w:r>
      <w:r>
        <w:rPr>
          <w:rStyle w:val="CharDefText"/>
        </w:rPr>
        <w:t>specified Part 8 provisions</w:t>
      </w:r>
      <w:r>
        <w:t>, in relation to a designation under subregulation (2), means provisions of Part 8 that are specified in the designation.</w:t>
      </w:r>
    </w:p>
    <w:p>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pPr>
        <w:pStyle w:val="Subsection"/>
      </w:pPr>
      <w:r>
        <w:tab/>
        <w:t>(3)</w:t>
      </w:r>
      <w:r>
        <w:tab/>
        <w:t>A person may be designated under subregulation (2) for a fixed or indefinite period.</w:t>
      </w:r>
    </w:p>
    <w:p>
      <w:pPr>
        <w:pStyle w:val="Subsection"/>
      </w:pPr>
      <w:r>
        <w:lastRenderedPageBreak/>
        <w:tab/>
        <w:t>(4)</w:t>
      </w:r>
      <w:r>
        <w:tab/>
        <w:t>A local government may, by instrument in writing, revoke a designation under subregulation (2) at any time.</w:t>
      </w:r>
    </w:p>
    <w:p>
      <w:pPr>
        <w:pStyle w:val="Footnotesection"/>
      </w:pPr>
      <w:r>
        <w:tab/>
        <w:t>[Regulation 4A inserted: SL 2023/208 r. 5.]</w:t>
      </w:r>
    </w:p>
    <w:p>
      <w:pPr>
        <w:pStyle w:val="Heading5"/>
      </w:pPr>
      <w:bookmarkStart w:id="14" w:name="_Toc195197139"/>
      <w:r>
        <w:rPr>
          <w:rStyle w:val="CharSectno"/>
        </w:rPr>
        <w:t>4B</w:t>
      </w:r>
      <w:r>
        <w:t>.</w:t>
      </w:r>
      <w:r>
        <w:tab/>
        <w:t>Identity cards</w:t>
      </w:r>
      <w:bookmarkEnd w:id="14"/>
    </w:p>
    <w:p>
      <w:pPr>
        <w:pStyle w:val="Subsection"/>
      </w:pPr>
      <w:r>
        <w:tab/>
        <w:t>(1)</w:t>
      </w:r>
      <w:r>
        <w:tab/>
        <w:t>A local government must give an identity card to each person designated by it as an authorised person under regulation 4A.</w:t>
      </w:r>
    </w:p>
    <w:p>
      <w:pPr>
        <w:pStyle w:val="Subsection"/>
      </w:pPr>
      <w:r>
        <w:tab/>
        <w:t>(2)</w:t>
      </w:r>
      <w:r>
        <w:tab/>
        <w:t xml:space="preserve">The identity card must — </w:t>
      </w:r>
    </w:p>
    <w:p>
      <w:pPr>
        <w:pStyle w:val="Indenta"/>
      </w:pPr>
      <w:r>
        <w:tab/>
        <w:t>(a)</w:t>
      </w:r>
      <w:r>
        <w:tab/>
        <w:t>identify the person as an authorised person under regulation 4A; and</w:t>
      </w:r>
    </w:p>
    <w:p>
      <w:pPr>
        <w:pStyle w:val="Indenta"/>
      </w:pPr>
      <w:r>
        <w:tab/>
        <w:t>(b)</w:t>
      </w:r>
      <w:r>
        <w:tab/>
        <w:t>contain a recent photograph of the person.</w:t>
      </w:r>
    </w:p>
    <w:p>
      <w:pPr>
        <w:pStyle w:val="Subsection"/>
      </w:pPr>
      <w:r>
        <w:tab/>
        <w:t>(3)</w:t>
      </w:r>
      <w:r>
        <w:tab/>
        <w:t>The person must carry the identity card at all times when performing functions or exercising powers as an authorised person under regulation 4A.</w:t>
      </w:r>
    </w:p>
    <w:p>
      <w:pPr>
        <w:pStyle w:val="Subsection"/>
      </w:pPr>
      <w:r>
        <w:tab/>
        <w:t>(4)</w:t>
      </w:r>
      <w:r>
        <w:tab/>
        <w:t>The person must, within 14 days of ceasing to be an authorised person under regulation 4A, return the identity card to the local government.</w:t>
      </w:r>
    </w:p>
    <w:p>
      <w:pPr>
        <w:pStyle w:val="Penstart"/>
      </w:pPr>
      <w:r>
        <w:tab/>
        <w:t>Penalty for this subregulation: a fine of $5 000.</w:t>
      </w:r>
    </w:p>
    <w:p>
      <w:pPr>
        <w:pStyle w:val="Subsection"/>
      </w:pPr>
      <w:r>
        <w:tab/>
        <w:t>(5)</w:t>
      </w:r>
      <w:r>
        <w:tab/>
        <w:t>Subregulation (4) does not apply if the person has a reasonable excuse.</w:t>
      </w:r>
    </w:p>
    <w:p>
      <w:pPr>
        <w:pStyle w:val="Footnotesection"/>
      </w:pPr>
      <w:r>
        <w:tab/>
        <w:t>[Regulation 4B inserted: SL 2023/208 r. 5.]</w:t>
      </w:r>
    </w:p>
    <w:p>
      <w:pPr>
        <w:pStyle w:val="Ednotesection"/>
      </w:pPr>
      <w:r>
        <w:t>[</w:t>
      </w:r>
      <w:r>
        <w:rPr>
          <w:b/>
          <w:bCs/>
        </w:rPr>
        <w:t>5A.</w:t>
      </w:r>
      <w:r>
        <w:rPr>
          <w:b/>
          <w:bCs/>
        </w:rPr>
        <w:tab/>
      </w:r>
      <w:r>
        <w:t>Deleted: SL 2023/208 r. 5.]</w:t>
      </w:r>
    </w:p>
    <w:p>
      <w:pPr>
        <w:pStyle w:val="Heading5"/>
      </w:pPr>
      <w:bookmarkStart w:id="15" w:name="_Toc195197140"/>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lastRenderedPageBreak/>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16" w:name="_Toc195197141"/>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195197142"/>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195197143"/>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195197144"/>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195197145"/>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195197146"/>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195197147"/>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195197148"/>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195197149"/>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25" w:name="_Toc195197150"/>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195197151"/>
      <w:r>
        <w:rPr>
          <w:rStyle w:val="CharSectno"/>
        </w:rPr>
        <w:lastRenderedPageBreak/>
        <w:t>15B</w:t>
      </w:r>
      <w:r>
        <w:t>.</w:t>
      </w:r>
      <w:r>
        <w:tab/>
        <w:t>Modifications to AS 1926.1</w:t>
      </w:r>
      <w:r>
        <w:rPr>
          <w:b w:val="0"/>
          <w:bCs/>
        </w:rPr>
        <w:noBreakHyphen/>
      </w:r>
      <w:r>
        <w:t>2012 (s. 150)</w:t>
      </w:r>
      <w:bookmarkEnd w:id="26"/>
    </w:p>
    <w:p>
      <w:pPr>
        <w:pStyle w:val="Subsection"/>
      </w:pPr>
      <w:r>
        <w:tab/>
      </w:r>
      <w:r>
        <w:tab/>
        <w:t>For the purposes of these regulations, AS 1926.1</w:t>
      </w:r>
      <w:r>
        <w:noBreakHyphen/>
        <w:t xml:space="preserve">2012 as referenced in the Building Code — </w:t>
      </w:r>
    </w:p>
    <w:p>
      <w:pPr>
        <w:pStyle w:val="Indenta"/>
      </w:pPr>
      <w:r>
        <w:tab/>
        <w:t>(a)</w:t>
      </w:r>
      <w:r>
        <w:tab/>
        <w:t>is modified to delete clause 2.2.4 and insert:</w:t>
      </w:r>
    </w:p>
    <w:p>
      <w:pPr>
        <w:pStyle w:val="BlankOpen"/>
      </w:pPr>
    </w:p>
    <w:p>
      <w:pPr>
        <w:pStyle w:val="MiscellaneousBody"/>
        <w:tabs>
          <w:tab w:val="left" w:pos="567"/>
        </w:tabs>
        <w:ind w:left="1276" w:hanging="1276"/>
      </w:pPr>
      <w:r>
        <w:rPr>
          <w:b/>
        </w:rPr>
        <w:tab/>
        <w:t>2.2.4</w:t>
      </w:r>
      <w:r>
        <w:rPr>
          <w:b/>
        </w:rPr>
        <w:tab/>
        <w:t>Boundary barriers</w:t>
      </w:r>
    </w:p>
    <w:p>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pPr>
        <w:pStyle w:val="MiscellaneousBody"/>
        <w:tabs>
          <w:tab w:val="left" w:pos="1418"/>
        </w:tabs>
        <w:ind w:left="1985" w:hanging="1985"/>
      </w:pPr>
      <w:r>
        <w:tab/>
        <w:t>(a)</w:t>
      </w:r>
      <w:r>
        <w:tab/>
        <w:t xml:space="preserve">A </w:t>
      </w:r>
      <w:r>
        <w:rPr>
          <w:bCs/>
        </w:rPr>
        <w:t>boundary</w:t>
      </w:r>
      <w:r>
        <w:t xml:space="preserve"> barrier satisfies this paragraph if — </w:t>
      </w:r>
    </w:p>
    <w:p>
      <w:pPr>
        <w:pStyle w:val="MiscellaneousBody"/>
        <w:tabs>
          <w:tab w:val="left" w:pos="1985"/>
        </w:tabs>
        <w:ind w:left="2410" w:hanging="2410"/>
      </w:pPr>
      <w:r>
        <w:tab/>
        <w:t>(i)</w:t>
      </w:r>
      <w:r>
        <w:tab/>
        <w:t xml:space="preserve">it has a height on the inside of not less than 1800 mm; and </w:t>
      </w:r>
    </w:p>
    <w:p>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pPr>
        <w:pStyle w:val="MiscellaneousBody"/>
        <w:tabs>
          <w:tab w:val="left" w:pos="1418"/>
        </w:tabs>
        <w:ind w:left="1985" w:hanging="1985"/>
      </w:pPr>
      <w:r>
        <w:lastRenderedPageBreak/>
        <w:tab/>
        <w:t>(b)</w:t>
      </w:r>
      <w:r>
        <w:tab/>
        <w:t xml:space="preserve">A </w:t>
      </w:r>
      <w:r>
        <w:rPr>
          <w:bCs/>
        </w:rPr>
        <w:t>boundary</w:t>
      </w:r>
      <w:r>
        <w:t xml:space="preserve"> barrier satisfies this paragraph if — </w:t>
      </w:r>
    </w:p>
    <w:p>
      <w:pPr>
        <w:pStyle w:val="MiscellaneousBody"/>
        <w:tabs>
          <w:tab w:val="left" w:pos="1985"/>
        </w:tabs>
        <w:ind w:left="2410" w:hanging="2410"/>
      </w:pPr>
      <w:r>
        <w:tab/>
        <w:t>(i)</w:t>
      </w:r>
      <w:r>
        <w:tab/>
        <w:t>it has a height on the outside (the non</w:t>
      </w:r>
      <w:r>
        <w:noBreakHyphen/>
        <w:t>pool side) of not less than 1200 mm; and</w:t>
      </w:r>
    </w:p>
    <w:p>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pPr>
        <w:pStyle w:val="BlankClose"/>
      </w:pPr>
    </w:p>
    <w:p>
      <w:pPr>
        <w:pStyle w:val="Indenta"/>
      </w:pPr>
      <w:r>
        <w:tab/>
        <w:t>(b)</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(c)</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SL 2023/208 r. 6.]</w:t>
      </w:r>
    </w:p>
    <w:p>
      <w:pPr>
        <w:pStyle w:val="Heading5"/>
      </w:pPr>
      <w:bookmarkStart w:id="27" w:name="_Toc195197152"/>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tab/>
        <w:t>(i)</w:t>
      </w:r>
      <w:r>
        <w:tab/>
        <w:t>collectively achieve an average energy rating of not less than 6 stars; and</w:t>
      </w:r>
    </w:p>
    <w:p>
      <w:pPr>
        <w:pStyle w:val="Indenti"/>
        <w:keepNext/>
      </w:pPr>
      <w:r>
        <w:lastRenderedPageBreak/>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Subsection"/>
        <w:keepNext/>
        <w:rPr>
          <w:rStyle w:val="DraftersNotes"/>
          <w:b w:val="0"/>
          <w:i w:val="0"/>
          <w:sz w:val="24"/>
        </w:rPr>
      </w:pPr>
      <w:r>
        <w:tab/>
        <w:t>(6)</w:t>
      </w:r>
      <w:r>
        <w:tab/>
        <w:t xml:space="preserve">The Building Code (2022 edition) Volume One Part F8 Notes are modified as follows — </w:t>
      </w:r>
    </w:p>
    <w:p>
      <w:pPr>
        <w:pStyle w:val="Indenta"/>
        <w:keepNext/>
      </w:pPr>
      <w:r>
        <w:tab/>
        <w:t>(a)</w:t>
      </w:r>
      <w:r>
        <w:tab/>
        <w:t>delete “30 September 2023” and insert:</w:t>
      </w:r>
    </w:p>
    <w:p>
      <w:pPr>
        <w:pStyle w:val="BlankOpen"/>
      </w:pPr>
    </w:p>
    <w:p>
      <w:pPr>
        <w:pStyle w:val="Indenta"/>
        <w:keepNext/>
      </w:pPr>
      <w:r>
        <w:tab/>
      </w:r>
      <w:r>
        <w:tab/>
        <w:t>30 April 2025</w:t>
      </w:r>
    </w:p>
    <w:p>
      <w:pPr>
        <w:pStyle w:val="BlankClose"/>
      </w:pPr>
    </w:p>
    <w:p>
      <w:pPr>
        <w:pStyle w:val="Indenta"/>
        <w:keepNext/>
      </w:pPr>
      <w:r>
        <w:lastRenderedPageBreak/>
        <w:tab/>
        <w:t>(b)</w:t>
      </w:r>
      <w:r>
        <w:tab/>
        <w:t>delete “1 October 2023” and insert:</w:t>
      </w:r>
    </w:p>
    <w:p>
      <w:pPr>
        <w:pStyle w:val="BlankOpen"/>
      </w:pPr>
    </w:p>
    <w:p>
      <w:pPr>
        <w:pStyle w:val="Indenta"/>
      </w:pPr>
      <w:r>
        <w:tab/>
      </w:r>
      <w:r>
        <w:tab/>
        <w:t>1 May 2025</w:t>
      </w:r>
    </w:p>
    <w:p>
      <w:pPr>
        <w:pStyle w:val="BlankClose"/>
      </w:pPr>
    </w:p>
    <w:p>
      <w:pPr>
        <w:pStyle w:val="Subsection"/>
      </w:pPr>
      <w:r>
        <w:tab/>
        <w:t>(7)</w:t>
      </w:r>
      <w:r>
        <w:tab/>
        <w:t>The Building Code (2022 edition) Volume One is modified to delete Part G7.</w:t>
      </w:r>
    </w:p>
    <w:p>
      <w:pPr>
        <w:pStyle w:val="Subsection"/>
        <w:rPr>
          <w:rStyle w:val="DraftersNotes"/>
          <w:b w:val="0"/>
          <w:i w:val="0"/>
          <w:sz w:val="24"/>
        </w:rPr>
      </w:pPr>
      <w:r>
        <w:tab/>
        <w:t>(8)</w:t>
      </w:r>
      <w:r>
        <w:tab/>
        <w:t xml:space="preserve">The Building Code (2022 edition) Volume One in the Notes in Parts J1 to J9 is modified as follows — </w:t>
      </w:r>
    </w:p>
    <w:p>
      <w:pPr>
        <w:pStyle w:val="Indenta"/>
      </w:pPr>
      <w:r>
        <w:tab/>
        <w:t>(a)</w:t>
      </w:r>
      <w:r>
        <w:tab/>
        <w:t>delete “30 September 2023” (each occurrence) and insert:</w:t>
      </w:r>
    </w:p>
    <w:p>
      <w:pPr>
        <w:pStyle w:val="BlankOpen"/>
      </w:pPr>
    </w:p>
    <w:p>
      <w:pPr>
        <w:pStyle w:val="Indenta"/>
      </w:pPr>
      <w:r>
        <w:tab/>
      </w:r>
      <w:r>
        <w:tab/>
        <w:t>30 April 2025</w:t>
      </w:r>
    </w:p>
    <w:p>
      <w:pPr>
        <w:pStyle w:val="BlankClose"/>
      </w:pPr>
    </w:p>
    <w:p>
      <w:pPr>
        <w:pStyle w:val="Indenta"/>
      </w:pPr>
      <w:r>
        <w:tab/>
        <w:t>(b)</w:t>
      </w:r>
      <w:r>
        <w:tab/>
        <w:t>delete “1 October 2023” (each occurrence) and insert:</w:t>
      </w:r>
    </w:p>
    <w:p>
      <w:pPr>
        <w:pStyle w:val="BlankOpen"/>
      </w:pPr>
    </w:p>
    <w:p>
      <w:pPr>
        <w:pStyle w:val="Indenta"/>
      </w:pPr>
      <w:r>
        <w:tab/>
      </w:r>
      <w:r>
        <w:tab/>
        <w:t>1 May 2025</w:t>
      </w:r>
    </w:p>
    <w:p>
      <w:pPr>
        <w:pStyle w:val="BlankClose"/>
      </w:pPr>
    </w:p>
    <w:p>
      <w:pPr>
        <w:pStyle w:val="Subsection"/>
      </w:pPr>
      <w:r>
        <w:tab/>
        <w:t>(9)</w:t>
      </w:r>
      <w:r>
        <w:tab/>
        <w:t xml:space="preserve">The Building Code (2022 edition) Volume Two Part H4 clause H4D9 Notes are modified as follows — </w:t>
      </w:r>
    </w:p>
    <w:p>
      <w:pPr>
        <w:pStyle w:val="Indenta"/>
      </w:pPr>
      <w:r>
        <w:tab/>
        <w:t>(a)</w:t>
      </w:r>
      <w:r>
        <w:tab/>
        <w:t>delete “30 September 2023” and insert:</w:t>
      </w:r>
    </w:p>
    <w:p>
      <w:pPr>
        <w:pStyle w:val="BlankOpen"/>
      </w:pPr>
    </w:p>
    <w:p>
      <w:pPr>
        <w:pStyle w:val="Indenta"/>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keepNext/>
        <w:rPr>
          <w:rStyle w:val="DraftersNotes"/>
          <w:b w:val="0"/>
          <w:i w:val="0"/>
          <w:sz w:val="24"/>
        </w:rPr>
      </w:pPr>
      <w:r>
        <w:lastRenderedPageBreak/>
        <w:tab/>
        <w:t>(10)</w:t>
      </w:r>
      <w:r>
        <w:tab/>
        <w:t xml:space="preserve">The Building Code (2022 edition) Volume Two Part H6 Notes are modified as follows — </w:t>
      </w:r>
    </w:p>
    <w:p>
      <w:pPr>
        <w:pStyle w:val="Indenta"/>
        <w:keepNext/>
      </w:pPr>
      <w:r>
        <w:tab/>
        <w:t>(a)</w:t>
      </w:r>
      <w:r>
        <w:tab/>
        <w:t>delete “30 September 2023” and insert:</w:t>
      </w:r>
    </w:p>
    <w:p>
      <w:pPr>
        <w:pStyle w:val="BlankOpen"/>
      </w:pPr>
    </w:p>
    <w:p>
      <w:pPr>
        <w:pStyle w:val="Indenta"/>
      </w:pPr>
      <w:r>
        <w:tab/>
      </w:r>
      <w:r>
        <w:tab/>
        <w:t>30 April 2025</w:t>
      </w:r>
    </w:p>
    <w:p>
      <w:pPr>
        <w:pStyle w:val="BlankClose"/>
      </w:pPr>
    </w:p>
    <w:p>
      <w:pPr>
        <w:pStyle w:val="Indenta"/>
      </w:pPr>
      <w:r>
        <w:tab/>
        <w:t>(b)</w:t>
      </w:r>
      <w:r>
        <w:tab/>
        <w:t>delete “1 October 2023” and insert:</w:t>
      </w:r>
    </w:p>
    <w:p>
      <w:pPr>
        <w:pStyle w:val="BlankOpen"/>
      </w:pPr>
    </w:p>
    <w:p>
      <w:pPr>
        <w:pStyle w:val="Indenta"/>
      </w:pPr>
      <w:r>
        <w:tab/>
      </w:r>
      <w:r>
        <w:tab/>
        <w:t>1 May 2025</w:t>
      </w:r>
    </w:p>
    <w:p>
      <w:pPr>
        <w:pStyle w:val="BlankClose"/>
      </w:pPr>
    </w:p>
    <w:p>
      <w:pPr>
        <w:pStyle w:val="Subsection"/>
      </w:pPr>
      <w:r>
        <w:tab/>
        <w:t>(11)</w:t>
      </w:r>
      <w:r>
        <w:tab/>
        <w:t>The Building Code (2022 edition) Volume Two is modified to delete Part H8.</w:t>
      </w:r>
    </w:p>
    <w:p>
      <w:pPr>
        <w:pStyle w:val="PermNoteHeading"/>
      </w:pPr>
      <w:r>
        <w:tab/>
        <w:t>Note for this regulation:</w:t>
      </w:r>
    </w:p>
    <w:p>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pPr>
        <w:pStyle w:val="BlankClose"/>
      </w:pPr>
    </w:p>
    <w:p>
      <w:pPr>
        <w:pStyle w:val="Footnotesection"/>
      </w:pPr>
      <w:r>
        <w:tab/>
        <w:t>[Regulation 15C inserted: SL 2020/28 r. 4; amended: SL 2022/162 r. 6; SL 2023/146 r. 4(1); SL 2023/146 r. 4(2).]</w:t>
      </w:r>
    </w:p>
    <w:p>
      <w:pPr>
        <w:pStyle w:val="Heading5"/>
      </w:pPr>
      <w:bookmarkStart w:id="28" w:name="_Toc195188023"/>
      <w:bookmarkStart w:id="29" w:name="_Toc195188164"/>
      <w:bookmarkStart w:id="30" w:name="_Toc195197153"/>
      <w:r>
        <w:rPr>
          <w:rStyle w:val="CharSectno"/>
        </w:rPr>
        <w:t>15D</w:t>
      </w:r>
      <w:r>
        <w:t>.</w:t>
      </w:r>
      <w:r>
        <w:tab/>
        <w:t>Modification to Building Code in relation to certain buildings and decks in bush fire prone areas (s. 150)</w:t>
      </w:r>
      <w:bookmarkEnd w:id="28"/>
      <w:bookmarkEnd w:id="29"/>
      <w:bookmarkEnd w:id="30"/>
    </w:p>
    <w:p>
      <w:pPr>
        <w:pStyle w:val="Subsection"/>
      </w:pPr>
      <w:r>
        <w:tab/>
        <w:t>(1)</w:t>
      </w:r>
      <w:r>
        <w:tab/>
        <w:t>This regulation modifies the text of the Building Code.</w:t>
      </w:r>
    </w:p>
    <w:p>
      <w:pPr>
        <w:pStyle w:val="Subsection"/>
      </w:pPr>
      <w:r>
        <w:tab/>
        <w:t>(2)</w:t>
      </w:r>
      <w:r>
        <w:tab/>
        <w:t>The Building Code (2022 edition) Volume One Part G5 is modified to insert the following note at the beginning of that Part:</w:t>
      </w:r>
    </w:p>
    <w:p>
      <w:pPr>
        <w:pStyle w:val="BlankOpen"/>
      </w:pPr>
    </w:p>
    <w:p>
      <w:pPr>
        <w:pStyle w:val="MiscellaneousBody"/>
        <w:tabs>
          <w:tab w:val="left" w:pos="993"/>
          <w:tab w:val="left" w:pos="1418"/>
        </w:tabs>
        <w:ind w:left="1418" w:hanging="851"/>
      </w:pPr>
      <w:r>
        <w:tab/>
      </w:r>
      <w:r>
        <w:tab/>
        <w:t xml:space="preserve">During the period beginning on 1 May 2025 and ending on 30 April 2028, compliance with the National Construction Code (the Building Code) (2019 edition) Volume One Amendment 1 Part G5 is taken to be compliance with this edition of the National Construction Code (the Building Code) Volume One Part G5 in relation to the following </w:t>
      </w:r>
      <w:r>
        <w:lastRenderedPageBreak/>
        <w:t xml:space="preserve">buildings or decks located in a </w:t>
      </w:r>
      <w:r>
        <w:rPr>
          <w:i/>
        </w:rPr>
        <w:t>designated bushfire prone area</w:t>
      </w:r>
      <w:r>
        <w:t xml:space="preserve"> — </w:t>
      </w:r>
    </w:p>
    <w:p>
      <w:pPr>
        <w:pStyle w:val="MiscellaneousBody"/>
        <w:tabs>
          <w:tab w:val="left" w:pos="1701"/>
        </w:tabs>
      </w:pPr>
      <w:r>
        <w:tab/>
        <w:t>(a)</w:t>
      </w:r>
      <w:r>
        <w:tab/>
        <w:t xml:space="preserve">a Class 9b </w:t>
      </w:r>
      <w:r>
        <w:rPr>
          <w:i/>
        </w:rPr>
        <w:t>early childhood centre</w:t>
      </w:r>
      <w:r>
        <w:t xml:space="preserve">; </w:t>
      </w:r>
    </w:p>
    <w:p>
      <w:pPr>
        <w:pStyle w:val="MiscellaneousBody"/>
        <w:tabs>
          <w:tab w:val="left" w:pos="1701"/>
        </w:tabs>
      </w:pPr>
      <w:r>
        <w:tab/>
        <w:t>(b)</w:t>
      </w:r>
      <w:r>
        <w:tab/>
        <w:t xml:space="preserve">a Class 9b primary or secondary </w:t>
      </w:r>
      <w:r>
        <w:rPr>
          <w:i/>
          <w:iCs/>
        </w:rPr>
        <w:t>school</w:t>
      </w:r>
      <w:r>
        <w:t xml:space="preserve">; </w:t>
      </w:r>
    </w:p>
    <w:p>
      <w:pPr>
        <w:pStyle w:val="MiscellaneousBody"/>
        <w:tabs>
          <w:tab w:val="left" w:pos="1701"/>
        </w:tabs>
        <w:ind w:left="2280" w:hanging="1713"/>
      </w:pPr>
      <w:r>
        <w:tab/>
        <w:t>(c)</w:t>
      </w:r>
      <w:r>
        <w:tab/>
        <w:t>a Class 10a building or deck if the building or deck is immediately adjacent or connected to a building referred to in paragraph (a) or (b).</w:t>
      </w:r>
    </w:p>
    <w:p>
      <w:pPr>
        <w:pStyle w:val="BlankClose"/>
      </w:pPr>
    </w:p>
    <w:p>
      <w:pPr>
        <w:pStyle w:val="PermNoteText"/>
      </w:pPr>
      <w:r>
        <w:tab/>
        <w:t>Note for this regulation:</w:t>
      </w:r>
    </w:p>
    <w:p>
      <w:pPr>
        <w:pStyle w:val="PermNoteText"/>
      </w:pPr>
      <w:r>
        <w:tab/>
      </w:r>
      <w:r>
        <w:tab/>
        <w:t>The Building Code (2022 edition) clause A1G4(3)(g) provides that a note is part of a provision or requirement in the Building Code and provides additional mandatory instructions.</w:t>
      </w:r>
    </w:p>
    <w:p>
      <w:pPr>
        <w:pStyle w:val="Footnotesection"/>
      </w:pPr>
      <w:r>
        <w:tab/>
        <w:t>[Regulation 15D inserted: SL 2025/62 r. 5.]</w:t>
      </w:r>
    </w:p>
    <w:p>
      <w:pPr>
        <w:pStyle w:val="Heading2"/>
      </w:pPr>
      <w:bookmarkStart w:id="31" w:name="_Toc195189991"/>
      <w:bookmarkStart w:id="32" w:name="_Toc195194341"/>
      <w:bookmarkStart w:id="33" w:name="_Toc195197154"/>
      <w:r>
        <w:rPr>
          <w:rStyle w:val="CharPartNo"/>
        </w:rPr>
        <w:lastRenderedPageBreak/>
        <w:t>Part 3</w:t>
      </w:r>
      <w:r>
        <w:rPr>
          <w:rStyle w:val="CharDivNo"/>
        </w:rPr>
        <w:t> </w:t>
      </w:r>
      <w:r>
        <w:t>—</w:t>
      </w:r>
      <w:r>
        <w:rPr>
          <w:rStyle w:val="CharDivText"/>
        </w:rPr>
        <w:t> </w:t>
      </w:r>
      <w:r>
        <w:rPr>
          <w:rStyle w:val="CharPartText"/>
        </w:rPr>
        <w:t>Building and demolition permits</w:t>
      </w:r>
      <w:bookmarkEnd w:id="31"/>
      <w:bookmarkEnd w:id="32"/>
      <w:bookmarkEnd w:id="33"/>
    </w:p>
    <w:p>
      <w:pPr>
        <w:pStyle w:val="Heading5"/>
        <w:spacing w:before="240"/>
      </w:pPr>
      <w:bookmarkStart w:id="34" w:name="_Toc195197155"/>
      <w:r>
        <w:rPr>
          <w:rStyle w:val="CharSectno"/>
        </w:rPr>
        <w:t>15</w:t>
      </w:r>
      <w:r>
        <w:t>.</w:t>
      </w:r>
      <w:r>
        <w:tab/>
        <w:t>Uncertified applications (s. 14(2))</w:t>
      </w:r>
      <w:bookmarkEnd w:id="34"/>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5" w:name="_Toc195197156"/>
      <w:r>
        <w:rPr>
          <w:rStyle w:val="CharSectno"/>
        </w:rPr>
        <w:t>16</w:t>
      </w:r>
      <w:r>
        <w:t>.</w:t>
      </w:r>
      <w:r>
        <w:tab/>
        <w:t>Application for building and demolition permits (s. 16)</w:t>
      </w:r>
      <w:bookmarkEnd w:id="35"/>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6" w:name="_Toc195197157"/>
      <w:r>
        <w:rPr>
          <w:rStyle w:val="CharSectno"/>
        </w:rPr>
        <w:t>17</w:t>
      </w:r>
      <w:r>
        <w:t>.</w:t>
      </w:r>
      <w:r>
        <w:tab/>
        <w:t>Further information (s. 18(3) and (4))</w:t>
      </w:r>
      <w:bookmarkEnd w:id="36"/>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7" w:name="_Toc195197158"/>
      <w:r>
        <w:rPr>
          <w:rStyle w:val="CharSectno"/>
        </w:rPr>
        <w:t>18A</w:t>
      </w:r>
      <w:r>
        <w:t>.</w:t>
      </w:r>
      <w:r>
        <w:tab/>
        <w:t>Certificate of design compliance — contents (s. 19(5))</w:t>
      </w:r>
      <w:bookmarkEnd w:id="37"/>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if the certificate of design compliance is in respect of a building or deck referred to in subregulation (1A) —</w:t>
      </w:r>
    </w:p>
    <w:p>
      <w:pPr>
        <w:pStyle w:val="Indenti"/>
      </w:pPr>
      <w:r>
        <w:tab/>
        <w:t>(i)</w:t>
      </w:r>
      <w:r>
        <w:tab/>
        <w:t>a statement about whether the building or deck is, or is proposed to be, located in a bush fire prone area; and</w:t>
      </w:r>
    </w:p>
    <w:p>
      <w:pPr>
        <w:pStyle w:val="Indenti"/>
        <w:keepNext/>
      </w:pPr>
      <w:r>
        <w:tab/>
        <w:t>(ii)</w:t>
      </w:r>
      <w:r>
        <w:tab/>
        <w:t xml:space="preserve">if the building or deck is, or is proposed to be, located in an area that is a bush fire prone area and a bush fire performance requirement applies </w:t>
      </w:r>
      <w:r>
        <w:lastRenderedPageBreak/>
        <w:t>to the building or deck — the additional information referred to in subregulation (2).</w:t>
      </w:r>
    </w:p>
    <w:p>
      <w:pPr>
        <w:pStyle w:val="PermNoteHeading"/>
      </w:pPr>
      <w:r>
        <w:tab/>
        <w:t>Note for this subregulation:</w:t>
      </w:r>
    </w:p>
    <w:p>
      <w:pPr>
        <w:pStyle w:val="PermNoteText"/>
      </w:pPr>
      <w:r>
        <w:tab/>
      </w:r>
      <w:r>
        <w:tab/>
        <w:t>For the purposes of paragraph (e)(ii) see regulations 15D, 31BA(1) and 31D which affect the application of bush fire performance requirements to buildings and decks.</w:t>
      </w:r>
    </w:p>
    <w:p>
      <w:pPr>
        <w:pStyle w:val="Subsection"/>
      </w:pPr>
      <w:r>
        <w:tab/>
        <w:t>(1A)</w:t>
      </w:r>
      <w:r>
        <w:tab/>
        <w:t xml:space="preserve">For the purposes of subregulation (1)(e), the buildings and decks are the following — </w:t>
      </w:r>
    </w:p>
    <w:p>
      <w:pPr>
        <w:pStyle w:val="Indenta"/>
      </w:pPr>
      <w:r>
        <w:tab/>
        <w:t>(a)</w:t>
      </w:r>
      <w:r>
        <w:tab/>
        <w:t>a Class 1, Class 2 or Class 3 building;</w:t>
      </w:r>
    </w:p>
    <w:p>
      <w:pPr>
        <w:pStyle w:val="Indenta"/>
      </w:pPr>
      <w:r>
        <w:tab/>
        <w:t>(b)</w:t>
      </w:r>
      <w:r>
        <w:tab/>
        <w:t>a Class 9 vulnerable use building;</w:t>
      </w:r>
    </w:p>
    <w:p>
      <w:pPr>
        <w:pStyle w:val="Indenta"/>
      </w:pPr>
      <w:r>
        <w:tab/>
        <w:t>(c)</w:t>
      </w:r>
      <w:r>
        <w:tab/>
        <w:t>a Class 10a building or deck if the building or deck is, or is proposed to be, located less than 6 m from a building referred to in paragraph (a) or (b).</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 SL 2025/62 r. 6.]</w:t>
      </w:r>
    </w:p>
    <w:p>
      <w:pPr>
        <w:pStyle w:val="Heading5"/>
      </w:pPr>
      <w:bookmarkStart w:id="38" w:name="_Toc195197159"/>
      <w:r>
        <w:rPr>
          <w:rStyle w:val="CharSectno"/>
        </w:rPr>
        <w:lastRenderedPageBreak/>
        <w:t>18B</w:t>
      </w:r>
      <w:r>
        <w:t>.</w:t>
      </w:r>
      <w:r>
        <w:tab/>
        <w:t>Certificate of design compliance — preliminary action (s. 19(6))</w:t>
      </w:r>
      <w:bookmarkEnd w:id="38"/>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lastRenderedPageBreak/>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9" w:name="_Toc195197160"/>
      <w:r>
        <w:rPr>
          <w:rStyle w:val="CharSectno"/>
        </w:rPr>
        <w:t>18C</w:t>
      </w:r>
      <w:r>
        <w:t>.</w:t>
      </w:r>
      <w:r>
        <w:tab/>
        <w:t>Certificate of design compliance — things to accompany (s. 149)</w:t>
      </w:r>
      <w:bookmarkEnd w:id="39"/>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40" w:name="_Toc195197161"/>
      <w:r>
        <w:rPr>
          <w:rStyle w:val="CharSectno"/>
        </w:rPr>
        <w:t>18</w:t>
      </w:r>
      <w:r>
        <w:t>.</w:t>
      </w:r>
      <w:r>
        <w:tab/>
        <w:t>Grant of building permit (s. 20)</w:t>
      </w:r>
      <w:bookmarkEnd w:id="40"/>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w:t>
      </w:r>
      <w:r>
        <w:lastRenderedPageBreak/>
        <w:t>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Ednotesubsection"/>
      </w:pPr>
      <w:r>
        <w:tab/>
        <w:t>[(3)</w:t>
      </w:r>
      <w:r>
        <w:tab/>
        <w:t>deleted]</w:t>
      </w:r>
    </w:p>
    <w:p>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 SL 2024/49 r. 5.]</w:t>
      </w:r>
    </w:p>
    <w:p>
      <w:pPr>
        <w:pStyle w:val="Heading5"/>
      </w:pPr>
      <w:bookmarkStart w:id="41" w:name="_Toc195197162"/>
      <w:r>
        <w:rPr>
          <w:rStyle w:val="CharSectno"/>
        </w:rPr>
        <w:t>19</w:t>
      </w:r>
      <w:r>
        <w:t>.</w:t>
      </w:r>
      <w:r>
        <w:tab/>
        <w:t>Grant of demolition permit (s. 21)</w:t>
      </w:r>
      <w:bookmarkEnd w:id="41"/>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tab/>
        <w:t>(2)</w:t>
      </w:r>
      <w:r>
        <w:tab/>
        <w:t>For the purposes of section 21(1)(n) the following notifications are prescribed —</w:t>
      </w:r>
    </w:p>
    <w:p>
      <w:pPr>
        <w:pStyle w:val="Ednotepara"/>
      </w:pPr>
      <w:r>
        <w:tab/>
        <w:t>[(a)</w:t>
      </w:r>
      <w:r>
        <w:tab/>
        <w:t>deleted]</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 xml:space="preserve">For the purposes of section 21(1)(o) it is a requirement for the granting of a demolition permit that the applicant has provided </w:t>
      </w:r>
      <w:r>
        <w:lastRenderedPageBreak/>
        <w:t>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 SL 2024/49 r. 6.]</w:t>
      </w:r>
    </w:p>
    <w:p>
      <w:pPr>
        <w:pStyle w:val="Heading5"/>
      </w:pPr>
      <w:bookmarkStart w:id="42" w:name="_Toc195197163"/>
      <w:r>
        <w:rPr>
          <w:rStyle w:val="CharSectno"/>
        </w:rPr>
        <w:t>20</w:t>
      </w:r>
      <w:r>
        <w:t>.</w:t>
      </w:r>
      <w:r>
        <w:tab/>
        <w:t>Time for deciding application for building or demolition permit (s. 23)</w:t>
      </w:r>
      <w:bookmarkEnd w:id="42"/>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 xml:space="preserve">For the purposes of section 23(2)(a), the period for buildings of all classifications is 10 business days, or such longer period as is </w:t>
      </w:r>
      <w:r>
        <w:lastRenderedPageBreak/>
        <w:t>agreed in writing between the applicant and the permit authority.</w:t>
      </w:r>
    </w:p>
    <w:p>
      <w:pPr>
        <w:pStyle w:val="Footnotesection"/>
      </w:pPr>
      <w:r>
        <w:tab/>
        <w:t>[Regulation 20 amended: Gazette 15 Jun 2012 p. 2514</w:t>
      </w:r>
      <w:r>
        <w:noBreakHyphen/>
        <w:t>15.]</w:t>
      </w:r>
    </w:p>
    <w:p>
      <w:pPr>
        <w:pStyle w:val="Heading5"/>
      </w:pPr>
      <w:bookmarkStart w:id="43" w:name="_Toc195197164"/>
      <w:r>
        <w:rPr>
          <w:rStyle w:val="CharSectno"/>
        </w:rPr>
        <w:t>21</w:t>
      </w:r>
      <w:r>
        <w:t>.</w:t>
      </w:r>
      <w:r>
        <w:tab/>
        <w:t>Form and content of building permit (s. 25)</w:t>
      </w:r>
      <w:bookmarkEnd w:id="43"/>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4" w:name="_Toc195197165"/>
      <w:r>
        <w:rPr>
          <w:rStyle w:val="CharSectno"/>
        </w:rPr>
        <w:t>22</w:t>
      </w:r>
      <w:r>
        <w:t>.</w:t>
      </w:r>
      <w:r>
        <w:tab/>
        <w:t>Form and content of demolition permit (s. 25)</w:t>
      </w:r>
      <w:bookmarkEnd w:id="44"/>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45" w:name="_Toc195197166"/>
      <w:r>
        <w:rPr>
          <w:rStyle w:val="CharSectno"/>
        </w:rPr>
        <w:t>23</w:t>
      </w:r>
      <w:r>
        <w:t>.</w:t>
      </w:r>
      <w:r>
        <w:tab/>
        <w:t>Application to extend time during which permit has effect (s. 32)</w:t>
      </w:r>
      <w:bookmarkEnd w:id="45"/>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lastRenderedPageBreak/>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keepNext/>
      </w:pPr>
      <w:r>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lastRenderedPageBreak/>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6" w:name="_Toc195197167"/>
      <w:r>
        <w:rPr>
          <w:rStyle w:val="CharSectno"/>
        </w:rPr>
        <w:t>24</w:t>
      </w:r>
      <w:r>
        <w:t>.</w:t>
      </w:r>
      <w:r>
        <w:tab/>
        <w:t>Extension of time during which permit has effect (s. 32(3))</w:t>
      </w:r>
      <w:bookmarkEnd w:id="46"/>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7" w:name="_Toc195197168"/>
      <w:r>
        <w:rPr>
          <w:rStyle w:val="CharSectno"/>
        </w:rPr>
        <w:t>25</w:t>
      </w:r>
      <w:r>
        <w:t>.</w:t>
      </w:r>
      <w:r>
        <w:tab/>
        <w:t>Review of decision to refuse to extend time during which permit has effect (s. 32(3))</w:t>
      </w:r>
      <w:bookmarkEnd w:id="47"/>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48" w:name="_Toc195197169"/>
      <w:r>
        <w:rPr>
          <w:rStyle w:val="CharSectno"/>
        </w:rPr>
        <w:lastRenderedPageBreak/>
        <w:t>26</w:t>
      </w:r>
      <w:r>
        <w:t>.</w:t>
      </w:r>
      <w:r>
        <w:tab/>
        <w:t>Approval of new responsible person (s. 35(c))</w:t>
      </w:r>
      <w:bookmarkEnd w:id="48"/>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49" w:name="_Toc195197170"/>
      <w:r>
        <w:rPr>
          <w:rStyle w:val="CharSectno"/>
        </w:rPr>
        <w:t>27</w:t>
      </w:r>
      <w:r>
        <w:t>.</w:t>
      </w:r>
      <w:r>
        <w:tab/>
        <w:t>Required inspection and tests: Class 2 to Class 9 buildings (s. 36(2)(a))</w:t>
      </w:r>
      <w:bookmarkEnd w:id="49"/>
    </w:p>
    <w:p>
      <w:pPr>
        <w:pStyle w:val="Subsection"/>
      </w:pPr>
      <w:r>
        <w:tab/>
        <w:t>(1)</w:t>
      </w:r>
      <w:r>
        <w:tab/>
        <w:t xml:space="preserve">Inspections and tests that are to be conducted during or at the completion of building work for a Class 2 to Class 9 building are tests to assess compliance with the building standards of each system referred to in column 1 of the Table in Schedule 3 </w:t>
      </w:r>
      <w:r>
        <w:lastRenderedPageBreak/>
        <w:t>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Ednotesection"/>
      </w:pPr>
      <w:r>
        <w:t>[</w:t>
      </w:r>
      <w:r>
        <w:rPr>
          <w:b/>
          <w:bCs/>
        </w:rPr>
        <w:t>28.</w:t>
      </w:r>
      <w:r>
        <w:tab/>
        <w:t>Deleted: SL 2023/208 r. 9.]</w:t>
      </w:r>
    </w:p>
    <w:p>
      <w:pPr>
        <w:pStyle w:val="Heading5"/>
      </w:pPr>
      <w:bookmarkStart w:id="50" w:name="_Toc195197171"/>
      <w:r>
        <w:rPr>
          <w:rStyle w:val="CharSectno"/>
        </w:rPr>
        <w:t>29</w:t>
      </w:r>
      <w:r>
        <w:t>.</w:t>
      </w:r>
      <w:r>
        <w:tab/>
        <w:t>Inspection certificates (s. 36(2)(h) and (j))</w:t>
      </w:r>
      <w:bookmarkEnd w:id="50"/>
    </w:p>
    <w:p>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Footnotesection"/>
      </w:pPr>
      <w:r>
        <w:tab/>
        <w:t>[Regulation 29 amended: SL 2023/208 r. 10.]</w:t>
      </w:r>
    </w:p>
    <w:p>
      <w:pPr>
        <w:pStyle w:val="Heading5"/>
      </w:pPr>
      <w:bookmarkStart w:id="51" w:name="_Toc195197172"/>
      <w:r>
        <w:rPr>
          <w:rStyle w:val="CharSectno"/>
        </w:rPr>
        <w:lastRenderedPageBreak/>
        <w:t>30</w:t>
      </w:r>
      <w:r>
        <w:t>.</w:t>
      </w:r>
      <w:r>
        <w:tab/>
        <w:t>Transitional provisions (s. 203)</w:t>
      </w:r>
      <w:bookmarkEnd w:id="51"/>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2" w:name="_Toc195190010"/>
      <w:bookmarkStart w:id="53" w:name="_Toc195194360"/>
      <w:bookmarkStart w:id="54" w:name="_Toc195197173"/>
      <w:r>
        <w:rPr>
          <w:rStyle w:val="CharPartNo"/>
        </w:rPr>
        <w:lastRenderedPageBreak/>
        <w:t>Part 4</w:t>
      </w:r>
      <w:r>
        <w:t> — </w:t>
      </w:r>
      <w:r>
        <w:rPr>
          <w:rStyle w:val="CharPartText"/>
        </w:rPr>
        <w:t>Building standards</w:t>
      </w:r>
      <w:bookmarkEnd w:id="52"/>
      <w:bookmarkEnd w:id="53"/>
      <w:bookmarkEnd w:id="54"/>
    </w:p>
    <w:p>
      <w:pPr>
        <w:pStyle w:val="Heading3"/>
        <w:spacing w:before="220"/>
      </w:pPr>
      <w:bookmarkStart w:id="55" w:name="_Toc195190011"/>
      <w:bookmarkStart w:id="56" w:name="_Toc195194361"/>
      <w:bookmarkStart w:id="57" w:name="_Toc195197174"/>
      <w:r>
        <w:rPr>
          <w:rStyle w:val="CharDivNo"/>
        </w:rPr>
        <w:t>Division 1</w:t>
      </w:r>
      <w:r>
        <w:t> — </w:t>
      </w:r>
      <w:r>
        <w:rPr>
          <w:rStyle w:val="CharDivText"/>
        </w:rPr>
        <w:t>Applicable building standards</w:t>
      </w:r>
      <w:bookmarkEnd w:id="55"/>
      <w:bookmarkEnd w:id="56"/>
      <w:bookmarkEnd w:id="57"/>
    </w:p>
    <w:p>
      <w:pPr>
        <w:pStyle w:val="Footnoteheading"/>
        <w:spacing w:before="100"/>
      </w:pPr>
      <w:r>
        <w:tab/>
        <w:t>[Heading inserted: Gazette 18 Dec 2012 p. 6562.]</w:t>
      </w:r>
    </w:p>
    <w:p>
      <w:pPr>
        <w:pStyle w:val="Heading4"/>
        <w:spacing w:before="220"/>
      </w:pPr>
      <w:bookmarkStart w:id="58" w:name="_Toc195190012"/>
      <w:bookmarkStart w:id="59" w:name="_Toc195194362"/>
      <w:bookmarkStart w:id="60" w:name="_Toc195197175"/>
      <w:r>
        <w:t>Subdivision 1 — Building standards in relation to construction</w:t>
      </w:r>
      <w:bookmarkEnd w:id="58"/>
      <w:bookmarkEnd w:id="59"/>
      <w:bookmarkEnd w:id="60"/>
    </w:p>
    <w:p>
      <w:pPr>
        <w:pStyle w:val="Footnoteheading"/>
        <w:spacing w:before="100"/>
      </w:pPr>
      <w:r>
        <w:tab/>
        <w:t>[Heading inserted: Gazette 18 Dec 2012 p. 6562.]</w:t>
      </w:r>
    </w:p>
    <w:p>
      <w:pPr>
        <w:pStyle w:val="Heading5"/>
        <w:spacing w:before="200"/>
      </w:pPr>
      <w:bookmarkStart w:id="61" w:name="_Toc195197176"/>
      <w:r>
        <w:rPr>
          <w:rStyle w:val="CharSectno"/>
        </w:rPr>
        <w:t>31A</w:t>
      </w:r>
      <w:r>
        <w:t>.</w:t>
      </w:r>
      <w:r>
        <w:tab/>
        <w:t>Applicable building standards generally (s. 3, 19(3) and 37(1))</w:t>
      </w:r>
      <w:bookmarkEnd w:id="61"/>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keepNext/>
      </w:pPr>
      <w:r>
        <w:lastRenderedPageBreak/>
        <w:tab/>
        <w:t>(3)</w:t>
      </w:r>
      <w:r>
        <w:tab/>
        <w:t>For the purposes of subregulation (2), the applicable building standards include the governing requirements set out in the relevant edition of the Building Code.</w:t>
      </w:r>
    </w:p>
    <w:p>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pPr>
        <w:pStyle w:val="Footnotesection"/>
        <w:spacing w:before="100"/>
      </w:pPr>
      <w:r>
        <w:tab/>
        <w:t>[Regulation 31A inserted: Gazette 18 Dec 2012 p. 6562-3; amended: Gazette 7 Dec 2015 p. 4898; 9 Mar 2018 p. 800; 5 Oct 2018 p. 4013; 26 Mar 2019 p. 946; SL 2020/46 r. 5; SL 2020/192 r. 4; SL 2022/162 r. 9; SL 2023/146 r. 5.]</w:t>
      </w:r>
    </w:p>
    <w:p>
      <w:pPr>
        <w:pStyle w:val="Heading5"/>
      </w:pPr>
      <w:bookmarkStart w:id="62" w:name="_Toc195197177"/>
      <w:r>
        <w:rPr>
          <w:rStyle w:val="CharSectno"/>
        </w:rPr>
        <w:t>31BA</w:t>
      </w:r>
      <w:r>
        <w:t>.</w:t>
      </w:r>
      <w:r>
        <w:tab/>
        <w:t>Applicable building standards for buildings and incidental structures in bush fire prone areas (s. 3, 19(3), 37(1) and (2), 57(3), 49(b), 51(2) and (3))</w:t>
      </w:r>
      <w:bookmarkEnd w:id="62"/>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lastRenderedPageBreak/>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or a Class 9 vulnerable use building, if the building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cooling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a Class 10a building or deck that — </w:t>
            </w:r>
          </w:p>
          <w:p>
            <w:pPr>
              <w:pStyle w:val="TableNAm"/>
              <w:spacing w:before="60"/>
              <w:ind w:left="947" w:hanging="459"/>
            </w:pPr>
            <w:r>
              <w:t>(i)</w:t>
            </w:r>
            <w:r>
              <w:tab/>
              <w:t xml:space="preserve">is associated with a relevant building that is a Class 1 building; or </w:t>
            </w:r>
          </w:p>
          <w:p>
            <w:pPr>
              <w:pStyle w:val="TableNAm"/>
              <w:spacing w:before="60"/>
              <w:ind w:left="918" w:hanging="459"/>
            </w:pPr>
            <w:r>
              <w:t>(ii)</w:t>
            </w:r>
            <w:r>
              <w:tab/>
              <w:t xml:space="preserve">is immediately adjacent or connected </w:t>
            </w:r>
            <w:r>
              <w:lastRenderedPageBreak/>
              <w:t>to a relevant building (other than a relevant building that is a Class 1 building).</w:t>
            </w:r>
          </w:p>
        </w:tc>
      </w:tr>
      <w:t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ind w:left="459" w:hanging="459"/>
            </w:pPr>
            <w:r>
              <w:t>(c)</w:t>
            </w:r>
            <w:r>
              <w:tab/>
              <w:t>the building or incidental structure is a Class 10a building or deck that —</w:t>
            </w:r>
          </w:p>
          <w:p>
            <w:pPr>
              <w:pStyle w:val="TableNAm"/>
              <w:spacing w:before="60"/>
              <w:ind w:left="947" w:hanging="459"/>
            </w:pPr>
            <w:r>
              <w:t>(i)</w:t>
            </w:r>
            <w:r>
              <w:tab/>
              <w:t xml:space="preserve">is associated with a relevant building that is a Class 1 building; or </w:t>
            </w:r>
          </w:p>
          <w:p>
            <w:pPr>
              <w:pStyle w:val="TableNAm"/>
              <w:spacing w:before="60"/>
              <w:ind w:left="947" w:hanging="459"/>
            </w:pPr>
            <w:r>
              <w:lastRenderedPageBreak/>
              <w:t>(ii)</w:t>
            </w:r>
            <w:r>
              <w:tab/>
              <w:t>is immediately adjacent or connected to a relevant building (other than a relevant building that is a Class 1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ind w:left="459" w:hanging="459"/>
            </w:pPr>
            <w:r>
              <w:lastRenderedPageBreak/>
              <w:t>(c)</w:t>
            </w:r>
            <w:r>
              <w:tab/>
              <w:t xml:space="preserve">the building or incidental structure is a Class 10a building or deck that — </w:t>
            </w:r>
          </w:p>
          <w:p>
            <w:pPr>
              <w:pStyle w:val="TableNAm"/>
              <w:spacing w:before="60"/>
              <w:ind w:left="947" w:hanging="459"/>
            </w:pPr>
            <w:r>
              <w:t>(i)</w:t>
            </w:r>
            <w:r>
              <w:tab/>
              <w:t xml:space="preserve">is associated with a relevant building that is a Class 1 building; or </w:t>
            </w:r>
          </w:p>
          <w:p>
            <w:pPr>
              <w:pStyle w:val="TableNAm"/>
              <w:spacing w:before="60"/>
              <w:ind w:left="947" w:hanging="459"/>
            </w:pPr>
            <w:r>
              <w:t>(ii)</w:t>
            </w:r>
            <w:r>
              <w:tab/>
              <w:t>is immediately adjacent or connected to a relevant building (other than a relevant building that is a Class 1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rPr>
          <w:cantSplit/>
        </w:trP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lastRenderedPageBreak/>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lastRenderedPageBreak/>
              <w:t>(b)</w:t>
            </w:r>
            <w:r>
              <w:tab/>
              <w:t>the unauthorised work done in respect of the building or incidental structure is excluded building work only; or</w:t>
            </w:r>
          </w:p>
          <w:p>
            <w:pPr>
              <w:pStyle w:val="TableNAm"/>
              <w:ind w:left="459" w:hanging="459"/>
            </w:pPr>
            <w:r>
              <w:t>(c)</w:t>
            </w:r>
            <w:r>
              <w:tab/>
              <w:t xml:space="preserve">the building or incidental structure is a Class 10a building or deck that — </w:t>
            </w:r>
          </w:p>
          <w:p>
            <w:pPr>
              <w:pStyle w:val="TableNAm"/>
              <w:spacing w:before="60"/>
              <w:ind w:left="947" w:hanging="459"/>
            </w:pPr>
            <w:r>
              <w:t>(i)</w:t>
            </w:r>
            <w:r>
              <w:tab/>
              <w:t xml:space="preserve">is associated with a relevant building that is a Class 1 building; or </w:t>
            </w:r>
          </w:p>
          <w:p>
            <w:pPr>
              <w:pStyle w:val="TableNAm"/>
              <w:spacing w:before="60"/>
              <w:ind w:left="918" w:hanging="459"/>
            </w:pPr>
            <w:r>
              <w:t>(ii)</w:t>
            </w:r>
            <w:r>
              <w:tab/>
              <w:t>is immediately adjacent or connected to a relevant building (other than a relevant building that is a Class 1 building).</w:t>
            </w:r>
          </w:p>
        </w:tc>
      </w:tr>
    </w:tbl>
    <w:p>
      <w:pPr>
        <w:pStyle w:val="Subsection"/>
        <w:keepNext/>
      </w:pPr>
      <w:r>
        <w:lastRenderedPageBreak/>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lastRenderedPageBreak/>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were the definition that applied immediately before the commencement of the </w:t>
      </w:r>
      <w:r>
        <w:rPr>
          <w:i/>
        </w:rPr>
        <w:t>Building Amendment Regulations 2021</w:t>
      </w:r>
      <w:r>
        <w:t xml:space="preserve"> regulation 6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 SL 2025/62 r. 7.]</w:t>
      </w:r>
    </w:p>
    <w:p>
      <w:pPr>
        <w:pStyle w:val="Ednotesection"/>
      </w:pPr>
      <w:r>
        <w:t>[</w:t>
      </w:r>
      <w:r>
        <w:rPr>
          <w:b/>
        </w:rPr>
        <w:t>31B.</w:t>
      </w:r>
      <w:r>
        <w:tab/>
        <w:t>Deleted: Gazette 5 Oct 2018 p. 4014.]</w:t>
      </w:r>
    </w:p>
    <w:p>
      <w:pPr>
        <w:pStyle w:val="Heading5"/>
      </w:pPr>
      <w:bookmarkStart w:id="63" w:name="_Toc195197178"/>
      <w:r>
        <w:rPr>
          <w:rStyle w:val="CharSectno"/>
        </w:rPr>
        <w:t>31C</w:t>
      </w:r>
      <w:r>
        <w:t>.</w:t>
      </w:r>
      <w:r>
        <w:tab/>
        <w:t>Applicable building standards for swimming pools and barriers to swimming pools (s. 3, 19(3), 37(1) and (2), 51(3) and 57(3))</w:t>
      </w:r>
      <w:bookmarkEnd w:id="63"/>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rPr>
            </w:pPr>
            <w:r>
              <w:t>The requirements mentioned in regulation 31A(2) other than the Building Code pool barrier requirements.</w:t>
            </w:r>
          </w:p>
        </w:tc>
      </w:tr>
      <w:tr>
        <w:tc>
          <w:tcPr>
            <w:tcW w:w="3033" w:type="dxa"/>
            <w:tcBorders>
              <w:bottom w:val="single" w:sz="4" w:space="0" w:color="auto"/>
            </w:tcBorders>
            <w:noWrap/>
          </w:tcPr>
          <w:p>
            <w:pPr>
              <w:pStyle w:val="TableNAm"/>
            </w:pPr>
            <w:r>
              <w:t>Private swimming pools other than pre</w:t>
            </w:r>
            <w:r>
              <w:noBreakHyphen/>
              <w:t>May 2016 private swimming pools</w:t>
            </w:r>
          </w:p>
        </w:tc>
        <w:tc>
          <w:tcPr>
            <w:tcW w:w="3034" w:type="dxa"/>
            <w:noWrap/>
          </w:tcPr>
          <w:p>
            <w:pPr>
              <w:pStyle w:val="TableNAm"/>
              <w:keepNext/>
            </w:pPr>
            <w:r>
              <w:t>The requirements mentioned in regulation 31A(2)(a) and 50A(1) except that —</w:t>
            </w:r>
          </w:p>
          <w:p>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pPr>
              <w:pStyle w:val="TableNAm"/>
              <w:ind w:left="567" w:hanging="567"/>
            </w:pPr>
            <w:r>
              <w:t>(b)</w:t>
            </w:r>
            <w:r>
              <w:tab/>
              <w:t>a performance solution cannot be used to comply with a Building Code pool barrier requirement unless the performance solution is an approved barrier solution.</w:t>
            </w:r>
          </w:p>
        </w:tc>
      </w:tr>
      <w:tr>
        <w:tc>
          <w:tcPr>
            <w:tcW w:w="3033" w:type="dxa"/>
            <w:tcBorders>
              <w:bottom w:val="single" w:sz="4" w:space="0" w:color="auto"/>
            </w:tcBorders>
            <w:noWrap/>
          </w:tcPr>
          <w:p>
            <w:pPr>
              <w:pStyle w:val="TableNAm"/>
            </w:pPr>
            <w:r>
              <w:lastRenderedPageBreak/>
              <w:t>Pre</w:t>
            </w:r>
            <w:r>
              <w:noBreakHyphen/>
              <w:t>May 2016 private swimming pools</w:t>
            </w:r>
          </w:p>
        </w:tc>
        <w:tc>
          <w:tcPr>
            <w:tcW w:w="3034" w:type="dxa"/>
            <w:noWrap/>
          </w:tcPr>
          <w:p>
            <w:pPr>
              <w:pStyle w:val="TableNAm"/>
            </w:pPr>
            <w:r>
              <w:t xml:space="preserve">The requirements mentioned in regulation 31A(2)(a) and 50A(1) except that — </w:t>
            </w:r>
          </w:p>
          <w:p>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 xml:space="preserve">a performance solution cannot be used to comply with a Building Code pool barrier requirement </w:t>
            </w:r>
            <w:r>
              <w:lastRenderedPageBreak/>
              <w:t>unless the performance 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b w:val="0"/>
                <w:i w:val="0"/>
                <w:sz w:val="24"/>
              </w:rPr>
            </w:pPr>
            <w:r>
              <w:t>The requirements mentioned in regulation 31E(2) other than the Building Code pool barrier requirements.</w:t>
            </w:r>
          </w:p>
        </w:tc>
      </w:tr>
      <w:tr>
        <w:tc>
          <w:tcPr>
            <w:tcW w:w="3033" w:type="dxa"/>
            <w:noWrap/>
          </w:tcPr>
          <w:p>
            <w:pPr>
              <w:pStyle w:val="TableNAm"/>
            </w:pPr>
            <w:r>
              <w:t>Private swimming pools other than pre</w:t>
            </w:r>
            <w:r>
              <w:noBreakHyphen/>
              <w:t>May 2016 private swimming pools</w:t>
            </w:r>
          </w:p>
        </w:tc>
        <w:tc>
          <w:tcPr>
            <w:tcW w:w="3034" w:type="dxa"/>
            <w:noWrap/>
          </w:tcPr>
          <w:p>
            <w:pPr>
              <w:pStyle w:val="TableNAm"/>
            </w:pPr>
            <w:r>
              <w:t>The requirements mentioned in regulation 31E(2) and 50A(1) except that —</w:t>
            </w:r>
          </w:p>
          <w:p>
            <w:pPr>
              <w:pStyle w:val="TableNAm"/>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w:t>
            </w:r>
            <w:r>
              <w:lastRenderedPageBreak/>
              <w:t>Building Code pool barrier requirement mentioned in regulation 31E(2); and</w:t>
            </w:r>
          </w:p>
          <w:p>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tc>
          <w:tcPr>
            <w:tcW w:w="3033" w:type="dxa"/>
            <w:noWrap/>
          </w:tcPr>
          <w:p>
            <w:pPr>
              <w:pStyle w:val="TableNAm"/>
            </w:pPr>
            <w:r>
              <w:lastRenderedPageBreak/>
              <w:t>Pre</w:t>
            </w:r>
            <w:r>
              <w:noBreakHyphen/>
              <w:t>May 2016 private swimming pools</w:t>
            </w:r>
          </w:p>
        </w:tc>
        <w:tc>
          <w:tcPr>
            <w:tcW w:w="3034" w:type="dxa"/>
            <w:noWrap/>
          </w:tcPr>
          <w:p>
            <w:pPr>
              <w:pStyle w:val="TableNAm"/>
            </w:pPr>
            <w:r>
              <w:t>The requirements mentioned in regulation 31E(2) and 50A(1) except that —</w:t>
            </w:r>
          </w:p>
          <w:p>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pPr>
              <w:pStyle w:val="TableNAm"/>
              <w:ind w:left="567" w:hanging="567"/>
            </w:pPr>
            <w:r>
              <w:t>(b)</w:t>
            </w:r>
            <w:r>
              <w:tab/>
              <w:t xml:space="preserve">the requirements for a barrier to a private swimming pool set out </w:t>
            </w:r>
            <w:r>
              <w:lastRenderedPageBreak/>
              <w:t>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Subsection"/>
      </w:pPr>
      <w:r>
        <w:lastRenderedPageBreak/>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pPr>
            <w:r>
              <w:t>The requirements mentioned in regulation 31G(2) other than the Building Code pool barrier requirements.</w:t>
            </w:r>
          </w:p>
        </w:tc>
      </w:tr>
      <w:tr>
        <w:tc>
          <w:tcPr>
            <w:tcW w:w="3033" w:type="dxa"/>
            <w:noWrap/>
          </w:tcPr>
          <w:p>
            <w:pPr>
              <w:pStyle w:val="TableNAm"/>
              <w:keepNext/>
            </w:pPr>
            <w:r>
              <w:lastRenderedPageBreak/>
              <w:t>Private swimming pools other than pre</w:t>
            </w:r>
            <w:r>
              <w:noBreakHyphen/>
              <w:t>May 2016 private swimming pools</w:t>
            </w:r>
          </w:p>
        </w:tc>
        <w:tc>
          <w:tcPr>
            <w:tcW w:w="3034" w:type="dxa"/>
            <w:noWrap/>
          </w:tcPr>
          <w:p>
            <w:pPr>
              <w:pStyle w:val="TableNAm"/>
              <w:keepNext/>
            </w:pPr>
            <w:r>
              <w:t>The requirements mentioned in regulation 31G(2) and 50A(1) except that —</w:t>
            </w:r>
          </w:p>
          <w:p>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pPr>
              <w:pStyle w:val="TableNAm"/>
              <w:keepNext/>
              <w:ind w:left="567" w:hanging="567"/>
            </w:pPr>
            <w:r>
              <w:t>(b)</w:t>
            </w:r>
            <w:r>
              <w:tab/>
              <w:t>a performance solution cannot be used to comply with a Building Code pool barrier requirement unless the performance solution is an approved barrier solution.</w:t>
            </w:r>
          </w:p>
        </w:tc>
      </w:tr>
      <w:tr>
        <w:tc>
          <w:tcPr>
            <w:tcW w:w="3033" w:type="dxa"/>
            <w:noWrap/>
          </w:tcPr>
          <w:p>
            <w:pPr>
              <w:pStyle w:val="TableNAm"/>
            </w:pPr>
            <w:r>
              <w:t>Pre</w:t>
            </w:r>
            <w:r>
              <w:noBreakHyphen/>
              <w:t>May 2016 private swimming pools</w:t>
            </w:r>
          </w:p>
        </w:tc>
        <w:tc>
          <w:tcPr>
            <w:tcW w:w="3034" w:type="dxa"/>
            <w:noWrap/>
          </w:tcPr>
          <w:p>
            <w:pPr>
              <w:pStyle w:val="TableNAm"/>
            </w:pPr>
            <w:r>
              <w:t>The requirements mentioned in regulation 31G(2) and 50A(1) except that —</w:t>
            </w:r>
          </w:p>
          <w:p>
            <w:pPr>
              <w:pStyle w:val="TableNAm"/>
              <w:ind w:left="567" w:hanging="567"/>
            </w:pPr>
            <w:r>
              <w:t>(a)</w:t>
            </w:r>
            <w:r>
              <w:tab/>
              <w:t>a Building Code pool barrier requirement (and its associated deemed</w:t>
            </w:r>
            <w:r>
              <w:noBreakHyphen/>
              <w:t>to</w:t>
            </w:r>
            <w:r>
              <w:noBreakHyphen/>
              <w:t xml:space="preserve">satisfy </w:t>
            </w:r>
            <w:r>
              <w:lastRenderedPageBreak/>
              <w:t>solution) that was in effect at or after the time the construction of the pool commenced may be substituted for a Building Code pool barrier requirement mentioned in regulation 31G(2);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PermNoteHeading"/>
      </w:pPr>
      <w:r>
        <w:lastRenderedPageBreak/>
        <w:tab/>
        <w:t>Note for this regulation:</w:t>
      </w:r>
    </w:p>
    <w:p>
      <w:pPr>
        <w:pStyle w:val="PermNoteText"/>
      </w:pPr>
      <w:r>
        <w:tab/>
      </w:r>
      <w:r>
        <w:tab/>
        <w:t>See also regulation 15B which, for the purposes of these regulations, modifies AS 1926.1</w:t>
      </w:r>
      <w:r>
        <w:noBreakHyphen/>
        <w:t>2012 as referenced in the Building Code.</w:t>
      </w:r>
    </w:p>
    <w:p>
      <w:pPr>
        <w:pStyle w:val="Footnotesection"/>
      </w:pPr>
      <w:r>
        <w:tab/>
        <w:t>[Regulation 31C inserted: SL 2023/208 r. 11.]</w:t>
      </w:r>
    </w:p>
    <w:p>
      <w:pPr>
        <w:pStyle w:val="Heading5"/>
      </w:pPr>
      <w:bookmarkStart w:id="64" w:name="_Toc195197179"/>
      <w:r>
        <w:rPr>
          <w:rStyle w:val="CharSectno"/>
        </w:rPr>
        <w:lastRenderedPageBreak/>
        <w:t>31D</w:t>
      </w:r>
      <w:r>
        <w:t>.</w:t>
      </w:r>
      <w:r>
        <w:tab/>
        <w:t>Applicable building standards for relocated buildings and incidental structures (other than swimming pools) (s. 3, 19(3) and 37(1) and (2))</w:t>
      </w:r>
      <w:bookmarkEnd w:id="64"/>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keepLines/>
      </w:pPr>
      <w:r>
        <w:lastRenderedPageBreak/>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rPr>
          <w:cantSplit/>
        </w:trPr>
        <w:tc>
          <w:tcPr>
            <w:tcW w:w="3033" w:type="dxa"/>
          </w:tcPr>
          <w:p>
            <w:pPr>
              <w:pStyle w:val="TableNAm"/>
            </w:pPr>
            <w:r>
              <w:lastRenderedPageBreak/>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pPr>
            <w:r>
              <w:t>s. 19(3)</w:t>
            </w:r>
          </w:p>
        </w:tc>
        <w:tc>
          <w:tcPr>
            <w:tcW w:w="4426" w:type="dxa"/>
            <w:noWrap/>
          </w:tcPr>
          <w:p>
            <w:pPr>
              <w:pStyle w:val="TableNAm"/>
            </w:pPr>
            <w:r>
              <w:t xml:space="preserve">If — </w:t>
            </w:r>
          </w:p>
          <w:p>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relocated building or incidental structure is or will be a Class 10a building or deck that — </w:t>
            </w:r>
          </w:p>
          <w:p>
            <w:pPr>
              <w:pStyle w:val="TableNAm"/>
              <w:spacing w:before="60"/>
              <w:ind w:left="947" w:hanging="459"/>
            </w:pPr>
            <w:r>
              <w:t>(i)</w:t>
            </w:r>
            <w:r>
              <w:tab/>
              <w:t xml:space="preserve">is associated with a relevant building that is a Class 1 building; or </w:t>
            </w:r>
          </w:p>
          <w:p>
            <w:pPr>
              <w:pStyle w:val="TableNAm"/>
              <w:spacing w:before="60"/>
              <w:ind w:left="918" w:hanging="459"/>
            </w:pPr>
            <w:r>
              <w:t>(ii)</w:t>
            </w:r>
            <w:r>
              <w:tab/>
              <w:t>is immediately adjacent or connected to a relevant building (other than a relevant building that is a Class 1 building).</w:t>
            </w:r>
          </w:p>
        </w:tc>
      </w:tr>
      <w:tr>
        <w:tc>
          <w:tcPr>
            <w:tcW w:w="1641" w:type="dxa"/>
            <w:noWrap/>
          </w:tcPr>
          <w:p>
            <w:pPr>
              <w:pStyle w:val="TableNAm"/>
            </w:pPr>
            <w:r>
              <w:lastRenderedPageBreak/>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ind w:left="459" w:hanging="459"/>
            </w:pPr>
            <w:r>
              <w:t>(b)</w:t>
            </w:r>
            <w:r>
              <w:tab/>
              <w:t xml:space="preserve">the relocated building or incidental structure is or will be a Class 10a building or deck that — </w:t>
            </w:r>
          </w:p>
          <w:p>
            <w:pPr>
              <w:pStyle w:val="TableNAm"/>
              <w:spacing w:before="60"/>
              <w:ind w:left="947" w:hanging="459"/>
            </w:pPr>
            <w:r>
              <w:t>(i)</w:t>
            </w:r>
            <w:r>
              <w:tab/>
              <w:t xml:space="preserve">is associated with a relevant building that is a Class 1 building; or </w:t>
            </w:r>
          </w:p>
          <w:p>
            <w:pPr>
              <w:pStyle w:val="TableNAm"/>
              <w:spacing w:before="60"/>
              <w:ind w:left="947" w:hanging="459"/>
            </w:pPr>
            <w:r>
              <w:t>(ii)</w:t>
            </w:r>
            <w:r>
              <w:tab/>
              <w:t>is immediately adjacent or connected to a relevant building (other than a relevant building that is a Class 1 building).</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is or will be a Class 10a building or deck that — </w:t>
            </w:r>
          </w:p>
          <w:p>
            <w:pPr>
              <w:pStyle w:val="TableNAm"/>
              <w:spacing w:before="60"/>
              <w:ind w:left="947" w:hanging="459"/>
            </w:pPr>
            <w:r>
              <w:t>(i)</w:t>
            </w:r>
            <w:r>
              <w:tab/>
              <w:t xml:space="preserve">is associated with a relevant building that is a Class 1 building; or </w:t>
            </w:r>
          </w:p>
          <w:p>
            <w:pPr>
              <w:pStyle w:val="TableNAm"/>
              <w:keepNext/>
              <w:spacing w:before="60"/>
              <w:ind w:left="918" w:hanging="459"/>
            </w:pPr>
            <w:r>
              <w:t>(ii)</w:t>
            </w:r>
            <w:r>
              <w:tab/>
              <w:t>is immediately adjacent or connected to a relevant building (other than a relevant building that is a Class 1 building).</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 SL 2025/62 r. 8.]</w:t>
      </w:r>
    </w:p>
    <w:p>
      <w:pPr>
        <w:pStyle w:val="Heading5"/>
      </w:pPr>
      <w:bookmarkStart w:id="65" w:name="_Toc195197180"/>
      <w:r>
        <w:rPr>
          <w:rStyle w:val="CharSectno"/>
        </w:rPr>
        <w:lastRenderedPageBreak/>
        <w:t>31E</w:t>
      </w:r>
      <w:r>
        <w:t>.</w:t>
      </w:r>
      <w:r>
        <w:tab/>
        <w:t>Applicable building standards for building work done without permit (s. 3 and 37(2))</w:t>
      </w:r>
      <w:bookmarkEnd w:id="65"/>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66" w:name="_Toc195197181"/>
      <w:r>
        <w:rPr>
          <w:rStyle w:val="CharSectno"/>
        </w:rPr>
        <w:t>31F</w:t>
      </w:r>
      <w:r>
        <w:t>.</w:t>
      </w:r>
      <w:r>
        <w:tab/>
        <w:t>Applicable building standards for replacement occupancy permit for permanent change of building’s use (s. 3, 57(3) and 49(a))</w:t>
      </w:r>
      <w:bookmarkEnd w:id="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w:t>
      </w:r>
      <w:r>
        <w:lastRenderedPageBreak/>
        <w:t xml:space="preserve">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7" w:name="_Toc195197182"/>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7"/>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w:t>
      </w:r>
      <w:r>
        <w:lastRenderedPageBreak/>
        <w:t>that is in effect at the time the application for the occupancy permit or building approval certificate is made.</w:t>
      </w:r>
    </w:p>
    <w:p>
      <w:pPr>
        <w:pStyle w:val="Footnotesection"/>
      </w:pPr>
      <w:r>
        <w:tab/>
        <w:t>[Regulation 31G inserted: Gazette 18 Dec 2012 p. 6568-9; amended: Gazette 21 Jun 2013 p. 2446; 7 Dec 2015 p. 4901; 15 Apr 2016 p. 1169; 8 Aug 2017 p. 4345; 22 Dec 2017 p. 5975; 5 Oct 2018 p. 4014; SL 2023/208 r. 12.]</w:t>
      </w:r>
    </w:p>
    <w:p>
      <w:pPr>
        <w:pStyle w:val="Heading5"/>
      </w:pPr>
      <w:bookmarkStart w:id="68" w:name="_Toc19519718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8"/>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pPr>
        <w:pStyle w:val="Footnotesection"/>
      </w:pPr>
      <w:r>
        <w:tab/>
        <w:t>[Regulation 31H inserted: Gazette 18 Dec 2012 p. 6569-70; amended: SL 2020/46 r. 8; SL 2023/208 r. 13.]</w:t>
      </w:r>
    </w:p>
    <w:p>
      <w:pPr>
        <w:pStyle w:val="Heading5"/>
      </w:pPr>
      <w:bookmarkStart w:id="69" w:name="_Toc195197184"/>
      <w:r>
        <w:rPr>
          <w:rStyle w:val="CharSectno"/>
        </w:rPr>
        <w:t>31HA</w:t>
      </w:r>
      <w:r>
        <w:t>.</w:t>
      </w:r>
      <w:r>
        <w:tab/>
        <w:t>Applicable building standards for non</w:t>
      </w:r>
      <w:r>
        <w:noBreakHyphen/>
        <w:t>combustible external walls (s. 3, 19(3), 37(1) and (2) and 57(3))</w:t>
      </w:r>
      <w:bookmarkEnd w:id="69"/>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lastRenderedPageBreak/>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70" w:name="_Toc195197185"/>
      <w:r>
        <w:rPr>
          <w:rStyle w:val="CharSectno"/>
        </w:rPr>
        <w:t>31HB</w:t>
      </w:r>
      <w:r>
        <w:t>.</w:t>
      </w:r>
      <w:r>
        <w:tab/>
        <w:t xml:space="preserve">Transitional provisions for </w:t>
      </w:r>
      <w:r>
        <w:rPr>
          <w:i/>
        </w:rPr>
        <w:t>Building Amendment Regulations (No. 3) 2015</w:t>
      </w:r>
      <w:bookmarkEnd w:id="70"/>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lastRenderedPageBreak/>
        <w:tab/>
        <w:t>(b)</w:t>
      </w:r>
      <w:r>
        <w:tab/>
        <w:t>the building work commenced in the 4</w:t>
      </w:r>
      <w:r>
        <w:noBreakHyphen/>
        <w:t>month period beginning on commencement day.</w:t>
      </w:r>
    </w:p>
    <w:p>
      <w:pPr>
        <w:pStyle w:val="Footnotesection"/>
        <w:rPr>
          <w:szCs w:val="24"/>
        </w:rPr>
      </w:pPr>
      <w:r>
        <w:rPr>
          <w:szCs w:val="24"/>
        </w:rPr>
        <w:tab/>
        <w:t xml:space="preserve">[Regulation 31HB inserted: </w:t>
      </w:r>
      <w:r>
        <w:t>SL 2021/42 r. 9</w:t>
      </w:r>
      <w:r>
        <w:rPr>
          <w:szCs w:val="24"/>
        </w:rPr>
        <w:t>.]</w:t>
      </w:r>
    </w:p>
    <w:p>
      <w:pPr>
        <w:pStyle w:val="Heading5"/>
      </w:pPr>
      <w:bookmarkStart w:id="71" w:name="_Toc195197186"/>
      <w:r>
        <w:rPr>
          <w:rStyle w:val="CharSectno"/>
        </w:rPr>
        <w:t>31IA</w:t>
      </w:r>
      <w:r>
        <w:t>.</w:t>
      </w:r>
      <w:r>
        <w:tab/>
        <w:t xml:space="preserve">Transitional provision for </w:t>
      </w:r>
      <w:r>
        <w:rPr>
          <w:i/>
        </w:rPr>
        <w:t>Building Amendment Regulations (No. 2) 2023</w:t>
      </w:r>
      <w:bookmarkEnd w:id="71"/>
    </w:p>
    <w:p>
      <w:pPr>
        <w:pStyle w:val="Subsection"/>
      </w:pPr>
      <w:r>
        <w:tab/>
        <w:t>(1)</w:t>
      </w:r>
      <w:r>
        <w:tab/>
        <w:t>Despite regulation 31A, this regulation applies in relation to an application for a building permit made during the period beginning on 1 May 2024 and ending on 30 April 2025.</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Building Code (2019 edition) Amendment 1.</w:t>
      </w:r>
    </w:p>
    <w:p>
      <w:pPr>
        <w:pStyle w:val="Subsection"/>
      </w:pPr>
      <w:r>
        <w:tab/>
        <w:t>(4)</w:t>
      </w:r>
      <w:r>
        <w:tab/>
        <w:t>For the purposes of subregulation (3), the applicable building standards include the governing requirements set out in the relevant edition of the Building Code.</w:t>
      </w:r>
    </w:p>
    <w:p>
      <w:pPr>
        <w:pStyle w:val="Subsection"/>
        <w:keepNext/>
      </w:pPr>
      <w:r>
        <w:tab/>
        <w:t>(5)</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w:t>
      </w:r>
      <w:r>
        <w:lastRenderedPageBreak/>
        <w:t>Volume, Section, Part, Type, clause or Schedule of the earlier edition.</w:t>
      </w:r>
    </w:p>
    <w:p>
      <w:pPr>
        <w:pStyle w:val="Footnotesection"/>
        <w:keepNext/>
      </w:pPr>
      <w:r>
        <w:tab/>
        <w:t>[Regulation 31IA inserted: SL 2023/146 r. 6.]</w:t>
      </w:r>
    </w:p>
    <w:p>
      <w:pPr>
        <w:pStyle w:val="Heading4"/>
      </w:pPr>
      <w:bookmarkStart w:id="72" w:name="_Toc195190024"/>
      <w:bookmarkStart w:id="73" w:name="_Toc195194374"/>
      <w:bookmarkStart w:id="74" w:name="_Toc195197187"/>
      <w:r>
        <w:t>Subdivision 2 — Building standards in relation to demolition</w:t>
      </w:r>
      <w:bookmarkEnd w:id="72"/>
      <w:bookmarkEnd w:id="73"/>
      <w:bookmarkEnd w:id="74"/>
    </w:p>
    <w:p>
      <w:pPr>
        <w:pStyle w:val="Footnoteheading"/>
        <w:keepNext/>
      </w:pPr>
      <w:r>
        <w:tab/>
        <w:t>[Heading inserted: Gazette 18 Dec 2012 p. 6570.]</w:t>
      </w:r>
    </w:p>
    <w:p>
      <w:pPr>
        <w:pStyle w:val="Heading5"/>
        <w:spacing w:before="240"/>
      </w:pPr>
      <w:bookmarkStart w:id="75" w:name="_Toc195197188"/>
      <w:r>
        <w:rPr>
          <w:rStyle w:val="CharSectno"/>
        </w:rPr>
        <w:t>31I</w:t>
      </w:r>
      <w:r>
        <w:t>.</w:t>
      </w:r>
      <w:r>
        <w:tab/>
        <w:t>Applicable building standards in relation to demolition work (s. 3 and 38)</w:t>
      </w:r>
      <w:bookmarkEnd w:id="7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76" w:name="_Toc195190026"/>
      <w:bookmarkStart w:id="77" w:name="_Toc195194376"/>
      <w:bookmarkStart w:id="78" w:name="_Toc195197189"/>
      <w:r>
        <w:rPr>
          <w:rStyle w:val="CharDivNo"/>
        </w:rPr>
        <w:lastRenderedPageBreak/>
        <w:t>Division 2</w:t>
      </w:r>
      <w:r>
        <w:t> — </w:t>
      </w:r>
      <w:r>
        <w:rPr>
          <w:rStyle w:val="CharDivText"/>
        </w:rPr>
        <w:t>Demonstrating compliance with building standards</w:t>
      </w:r>
      <w:bookmarkEnd w:id="76"/>
      <w:bookmarkEnd w:id="77"/>
      <w:bookmarkEnd w:id="78"/>
    </w:p>
    <w:p>
      <w:pPr>
        <w:pStyle w:val="Footnoteheading"/>
        <w:keepNext/>
        <w:keepLines/>
      </w:pPr>
      <w:r>
        <w:tab/>
        <w:t>[Heading inserted: Gazette 18 Dec 2012 p. 6571.]</w:t>
      </w:r>
    </w:p>
    <w:p>
      <w:pPr>
        <w:pStyle w:val="Heading5"/>
      </w:pPr>
      <w:bookmarkStart w:id="79" w:name="_Toc195197190"/>
      <w:r>
        <w:rPr>
          <w:rStyle w:val="CharSectno"/>
        </w:rPr>
        <w:t>31J</w:t>
      </w:r>
      <w:r>
        <w:t>.</w:t>
      </w:r>
      <w:r>
        <w:tab/>
        <w:t>Compliance with building standards — CodeMark certificates</w:t>
      </w:r>
      <w:bookmarkEnd w:id="79"/>
    </w:p>
    <w:p>
      <w:pPr>
        <w:pStyle w:val="Subsection"/>
        <w:keepNext/>
        <w:keepLines/>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80" w:name="_Toc195190028"/>
      <w:bookmarkStart w:id="81" w:name="_Toc195194378"/>
      <w:bookmarkStart w:id="82" w:name="_Toc195197191"/>
      <w:r>
        <w:rPr>
          <w:rStyle w:val="CharDivNo"/>
        </w:rPr>
        <w:lastRenderedPageBreak/>
        <w:t>Division 3</w:t>
      </w:r>
      <w:r>
        <w:t> — </w:t>
      </w:r>
      <w:r>
        <w:rPr>
          <w:rStyle w:val="CharDivText"/>
        </w:rPr>
        <w:t>Non</w:t>
      </w:r>
      <w:r>
        <w:rPr>
          <w:rStyle w:val="CharDivText"/>
        </w:rPr>
        <w:noBreakHyphen/>
        <w:t>application, modification, of building standards</w:t>
      </w:r>
      <w:bookmarkEnd w:id="80"/>
      <w:bookmarkEnd w:id="81"/>
      <w:bookmarkEnd w:id="82"/>
    </w:p>
    <w:p>
      <w:pPr>
        <w:pStyle w:val="Footnoteheading"/>
        <w:keepNext/>
      </w:pPr>
      <w:r>
        <w:tab/>
        <w:t>[Heading inserted: Gazette 18 Dec 2012 p. 6571.]</w:t>
      </w:r>
    </w:p>
    <w:p>
      <w:pPr>
        <w:pStyle w:val="Heading5"/>
      </w:pPr>
      <w:bookmarkStart w:id="83" w:name="_Toc195197192"/>
      <w:r>
        <w:rPr>
          <w:rStyle w:val="CharSectno"/>
        </w:rPr>
        <w:t>31</w:t>
      </w:r>
      <w:r>
        <w:t>.</w:t>
      </w:r>
      <w:r>
        <w:tab/>
        <w:t>Term used: application</w:t>
      </w:r>
      <w:bookmarkEnd w:id="83"/>
    </w:p>
    <w:p>
      <w:pPr>
        <w:pStyle w:val="Subsection"/>
        <w:keepNext/>
      </w:pPr>
      <w:r>
        <w:tab/>
      </w:r>
      <w:r>
        <w:tab/>
        <w:t>In this Division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Gazette 18 Dec 2012 p. 6572; 7 Feb 2017 p. 1160</w:t>
      </w:r>
      <w:r>
        <w:noBreakHyphen/>
        <w:t>1; 26 Mar 2019 p. 944; SL 2021/42 r. 10; SL 2025/62 r. 9.]</w:t>
      </w:r>
    </w:p>
    <w:p>
      <w:pPr>
        <w:pStyle w:val="Heading5"/>
      </w:pPr>
      <w:bookmarkStart w:id="84" w:name="_Toc195197193"/>
      <w:r>
        <w:rPr>
          <w:rStyle w:val="CharSectno"/>
        </w:rPr>
        <w:t>32</w:t>
      </w:r>
      <w:r>
        <w:t>.</w:t>
      </w:r>
      <w:r>
        <w:tab/>
        <w:t>Statements to accompany application (s. 39(8)(b))</w:t>
      </w:r>
      <w:bookmarkEnd w:id="84"/>
    </w:p>
    <w:p>
      <w:pPr>
        <w:pStyle w:val="Subsection"/>
        <w:keepNext/>
      </w:pPr>
      <w:r>
        <w:tab/>
        <w:t>(1)</w:t>
      </w:r>
      <w:r>
        <w:tab/>
        <w:t xml:space="preserve">An application in relation to a building standard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 xml:space="preserve">if, and the extent to which, a risk would be increased if the building standard did not apply, </w:t>
      </w:r>
      <w:r>
        <w:lastRenderedPageBreak/>
        <w:t>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lastRenderedPageBreak/>
        <w:tab/>
        <w:t>(ii)</w:t>
      </w:r>
      <w:r>
        <w:tab/>
        <w:t>named as the demolition contractor on a demolition permit to do the demolition work.</w:t>
      </w:r>
    </w:p>
    <w:p>
      <w:pPr>
        <w:pStyle w:val="Footnotesection"/>
      </w:pPr>
      <w:r>
        <w:tab/>
        <w:t>[Regulation 32 amended: Gazette 7 Feb 2017 p. 1161; SL 2025/62 r. 10.]</w:t>
      </w:r>
    </w:p>
    <w:p>
      <w:pPr>
        <w:pStyle w:val="Ednotesection"/>
      </w:pPr>
      <w:r>
        <w:t>[</w:t>
      </w:r>
      <w:r>
        <w:rPr>
          <w:b/>
          <w:bCs/>
        </w:rPr>
        <w:t>32A.</w:t>
      </w:r>
      <w:r>
        <w:tab/>
        <w:t>Deleted: SL 2025/62 r. 11.]</w:t>
      </w:r>
    </w:p>
    <w:p>
      <w:pPr>
        <w:pStyle w:val="Heading5"/>
      </w:pPr>
      <w:bookmarkStart w:id="85" w:name="_Toc195197194"/>
      <w:r>
        <w:rPr>
          <w:rStyle w:val="CharSectno"/>
        </w:rPr>
        <w:t>33</w:t>
      </w:r>
      <w:r>
        <w:t>.</w:t>
      </w:r>
      <w:r>
        <w:tab/>
        <w:t>Decisions on applications (s. 39(9)(a))</w:t>
      </w:r>
      <w:bookmarkEnd w:id="85"/>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86" w:name="_Toc195197195"/>
      <w:r>
        <w:rPr>
          <w:rStyle w:val="CharSectno"/>
        </w:rPr>
        <w:t>34</w:t>
      </w:r>
      <w:r>
        <w:t>.</w:t>
      </w:r>
      <w:r>
        <w:tab/>
        <w:t>Revoking or amending declarations (s. 39(9)(b))</w:t>
      </w:r>
      <w:bookmarkEnd w:id="86"/>
    </w:p>
    <w:p>
      <w:pPr>
        <w:pStyle w:val="Subsection"/>
        <w:keepNext/>
      </w:pPr>
      <w:r>
        <w:tab/>
      </w:r>
      <w:r>
        <w:tab/>
        <w:t xml:space="preserve">If the Building Commissioner makes a declaration on an application in relation to a building standard, the Building Commissioner may revoke or amend the declaration if the Building Commissioner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lastRenderedPageBreak/>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Footnotesection"/>
      </w:pPr>
      <w:r>
        <w:tab/>
        <w:t>[Regulation 34 amended: SL 2025/62 r. 12.]</w:t>
      </w:r>
    </w:p>
    <w:p>
      <w:pPr>
        <w:pStyle w:val="Heading2"/>
      </w:pPr>
      <w:bookmarkStart w:id="87" w:name="_Toc195190034"/>
      <w:bookmarkStart w:id="88" w:name="_Toc195194383"/>
      <w:bookmarkStart w:id="89" w:name="_Toc195197196"/>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7"/>
      <w:bookmarkEnd w:id="88"/>
      <w:bookmarkEnd w:id="89"/>
    </w:p>
    <w:p>
      <w:pPr>
        <w:pStyle w:val="Heading5"/>
      </w:pPr>
      <w:bookmarkStart w:id="90" w:name="_Toc195197197"/>
      <w:r>
        <w:rPr>
          <w:rStyle w:val="CharSectno"/>
        </w:rPr>
        <w:t>35</w:t>
      </w:r>
      <w:r>
        <w:t>.</w:t>
      </w:r>
      <w:r>
        <w:tab/>
        <w:t>Display of occupancy permit details (s. 42(a))</w:t>
      </w:r>
      <w:bookmarkEnd w:id="90"/>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91" w:name="_Toc195197198"/>
      <w:r>
        <w:rPr>
          <w:rStyle w:val="CharSectno"/>
        </w:rPr>
        <w:t>36A</w:t>
      </w:r>
      <w:r>
        <w:t>.</w:t>
      </w:r>
      <w:r>
        <w:tab/>
        <w:t>Further information (s. 55(3) and (4))</w:t>
      </w:r>
      <w:bookmarkEnd w:id="91"/>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92" w:name="_Toc195197199"/>
      <w:r>
        <w:rPr>
          <w:rStyle w:val="CharSectno"/>
        </w:rPr>
        <w:lastRenderedPageBreak/>
        <w:t>36</w:t>
      </w:r>
      <w:r>
        <w:t>.</w:t>
      </w:r>
      <w:r>
        <w:tab/>
        <w:t>Certificate of building compliance (s. 57)</w:t>
      </w:r>
      <w:bookmarkEnd w:id="9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if the certificate of building compliance is to accompany an application mentioned in section 49(b) and the change of classification of the building is to a Class 2 building, a Class 3 building or a Class 9 vulnerable use building —</w:t>
      </w:r>
    </w:p>
    <w:p>
      <w:pPr>
        <w:pStyle w:val="Indenti"/>
      </w:pPr>
      <w:r>
        <w:tab/>
        <w:t>(i)</w:t>
      </w:r>
      <w:r>
        <w:tab/>
        <w:t>a statement about whether the building is located in a bush fire prone area; and</w:t>
      </w:r>
    </w:p>
    <w:p>
      <w:pPr>
        <w:pStyle w:val="Indenti"/>
      </w:pPr>
      <w:r>
        <w:tab/>
        <w:t>(ii)</w:t>
      </w:r>
      <w:r>
        <w:tab/>
        <w:t>if the building is located in a bush fire prone area and a bush fire performance requirement applies to the building —</w:t>
      </w:r>
    </w:p>
    <w:p>
      <w:pPr>
        <w:pStyle w:val="IndentI0"/>
      </w:pPr>
      <w:r>
        <w:tab/>
        <w:t>(I)</w:t>
      </w:r>
      <w:r>
        <w:tab/>
        <w:t>the BAL for the building site; or</w:t>
      </w:r>
    </w:p>
    <w:p>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if the certificate of building compliance is to accompany an application mentioned in section 51(2) or (3) in respect of a building or deck referred to in subregulation (3)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PermNoteHeading"/>
      </w:pPr>
      <w:r>
        <w:tab/>
        <w:t xml:space="preserve">Notes for this subregulation: </w:t>
      </w:r>
    </w:p>
    <w:p>
      <w:pPr>
        <w:pStyle w:val="PermNoteText"/>
        <w:rPr>
          <w:rStyle w:val="DraftersNotes"/>
          <w:b w:val="0"/>
          <w:i w:val="0"/>
          <w:sz w:val="18"/>
        </w:rPr>
      </w:pPr>
      <w:r>
        <w:tab/>
        <w:t>1.</w:t>
      </w:r>
      <w:r>
        <w:tab/>
        <w:t>For the purposes of paragraph (aa)(ii), see regulation 15D and regulation 31BA(1) Table item 4 which affect the application of bush fire performance requirements to buildings.</w:t>
      </w:r>
    </w:p>
    <w:p>
      <w:pPr>
        <w:pStyle w:val="PermNoteText"/>
      </w:pPr>
      <w:r>
        <w:tab/>
        <w:t>2.</w:t>
      </w:r>
      <w:r>
        <w:tab/>
        <w:t>For the purposes of paragraph (ba)(ii), see regulation 15D and regulation 31BA(1) Table item 5 or 6 (as the case may be) which affect the application of bush fire performance requirements to buildings and decks.</w:t>
      </w:r>
    </w:p>
    <w:p>
      <w:pPr>
        <w:pStyle w:val="Subsection"/>
      </w:pPr>
      <w:r>
        <w:lastRenderedPageBreak/>
        <w:tab/>
        <w:t>(3)</w:t>
      </w:r>
      <w:r>
        <w:tab/>
        <w:t xml:space="preserve">For the purposes of subregulation (2)(ba), the buildings and decks are the following — </w:t>
      </w:r>
    </w:p>
    <w:p>
      <w:pPr>
        <w:pStyle w:val="Indenta"/>
      </w:pPr>
      <w:r>
        <w:tab/>
        <w:t>(a)</w:t>
      </w:r>
      <w:r>
        <w:tab/>
        <w:t xml:space="preserve">a Class 1, Class 2 or Class 3 building; </w:t>
      </w:r>
    </w:p>
    <w:p>
      <w:pPr>
        <w:pStyle w:val="Indenta"/>
      </w:pPr>
      <w:r>
        <w:tab/>
        <w:t>(b)</w:t>
      </w:r>
      <w:r>
        <w:tab/>
        <w:t xml:space="preserve">a Class 9 vulnerable use building; </w:t>
      </w:r>
    </w:p>
    <w:p>
      <w:pPr>
        <w:pStyle w:val="Indenta"/>
      </w:pPr>
      <w:r>
        <w:tab/>
        <w:t>(c)</w:t>
      </w:r>
      <w:r>
        <w:tab/>
        <w:t>a Class 10a building or deck if the building or deck is, or is proposed to be, located less than 6 m from a building referred to in paragraph (a) or (b).</w:t>
      </w:r>
    </w:p>
    <w:p>
      <w:pPr>
        <w:pStyle w:val="Footnotesection"/>
        <w:spacing w:before="100"/>
      </w:pPr>
      <w:r>
        <w:tab/>
        <w:t>[Regulation 36 amended: Gazette 5 Apr 2016 p. 1019</w:t>
      </w:r>
      <w:r>
        <w:noBreakHyphen/>
        <w:t>20; 10 Jan 2017 p. 182; 8 Aug 2017 p. 4345; 22 Dec 2017 p. 5975; SL 2021/42 r. 11; SL 2021/130 r. 4; SL 2022/162 r. 13; SL 2025/62 r. 13.]</w:t>
      </w:r>
    </w:p>
    <w:p>
      <w:pPr>
        <w:pStyle w:val="Heading5"/>
      </w:pPr>
      <w:bookmarkStart w:id="93" w:name="_Toc195197200"/>
      <w:r>
        <w:rPr>
          <w:rStyle w:val="CharSectno"/>
        </w:rPr>
        <w:t>37</w:t>
      </w:r>
      <w:r>
        <w:t>.</w:t>
      </w:r>
      <w:r>
        <w:tab/>
        <w:t>Grant of occupancy permit or building approval certificate (s. 58)</w:t>
      </w:r>
      <w:bookmarkEnd w:id="93"/>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94" w:name="_Toc195197201"/>
      <w:r>
        <w:rPr>
          <w:rStyle w:val="CharSectno"/>
        </w:rPr>
        <w:lastRenderedPageBreak/>
        <w:t>38</w:t>
      </w:r>
      <w:r>
        <w:t>.</w:t>
      </w:r>
      <w:r>
        <w:tab/>
        <w:t>Time for granting occupancy permit or building approval certificate (s. 59)</w:t>
      </w:r>
      <w:bookmarkEnd w:id="94"/>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5" w:name="_Toc195197202"/>
      <w:r>
        <w:rPr>
          <w:rStyle w:val="CharSectno"/>
        </w:rPr>
        <w:t>40</w:t>
      </w:r>
      <w:r>
        <w:t>.</w:t>
      </w:r>
      <w:r>
        <w:tab/>
        <w:t>Extension of period of duration of time limited occupancy permit or building approval certificate (s. 65)</w:t>
      </w:r>
      <w:bookmarkEnd w:id="95"/>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lastRenderedPageBreak/>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6" w:name="_Toc195190041"/>
      <w:bookmarkStart w:id="97" w:name="_Toc195194390"/>
      <w:bookmarkStart w:id="98" w:name="_Toc195197203"/>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6"/>
      <w:bookmarkEnd w:id="97"/>
      <w:bookmarkEnd w:id="98"/>
    </w:p>
    <w:p>
      <w:pPr>
        <w:pStyle w:val="Heading5"/>
      </w:pPr>
      <w:bookmarkStart w:id="99" w:name="_Toc195197204"/>
      <w:r>
        <w:rPr>
          <w:rStyle w:val="CharSectno"/>
        </w:rPr>
        <w:t>41</w:t>
      </w:r>
      <w:r>
        <w:t>.</w:t>
      </w:r>
      <w:r>
        <w:tab/>
        <w:t>Building work for which building permit not required (s. 9(b))</w:t>
      </w:r>
      <w:bookmarkEnd w:id="99"/>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00" w:name="_Toc195197205"/>
      <w:r>
        <w:rPr>
          <w:rStyle w:val="CharSectno"/>
        </w:rPr>
        <w:lastRenderedPageBreak/>
        <w:t>42</w:t>
      </w:r>
      <w:r>
        <w:t>.</w:t>
      </w:r>
      <w:r>
        <w:tab/>
        <w:t>Demolition work for which demolition permit not required (s. 10(c))</w:t>
      </w:r>
      <w:bookmarkEnd w:id="100"/>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 protection order, heritage works permit, repair notice or repair order;</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Footnotesection"/>
      </w:pPr>
      <w:r>
        <w:tab/>
        <w:t>[Regulation 42 amended: SL 2024/49 r. 7.]</w:t>
      </w:r>
    </w:p>
    <w:p>
      <w:pPr>
        <w:pStyle w:val="Heading5"/>
      </w:pPr>
      <w:bookmarkStart w:id="101" w:name="_Toc195197206"/>
      <w:r>
        <w:rPr>
          <w:rStyle w:val="CharSectno"/>
        </w:rPr>
        <w:t>43</w:t>
      </w:r>
      <w:r>
        <w:t>.</w:t>
      </w:r>
      <w:r>
        <w:tab/>
        <w:t>Buildings for which occupancy permit not required (s. 41(2))</w:t>
      </w:r>
      <w:bookmarkEnd w:id="101"/>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lastRenderedPageBreak/>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02" w:name="_Toc195190045"/>
      <w:bookmarkStart w:id="103" w:name="_Toc195194394"/>
      <w:bookmarkStart w:id="104" w:name="_Toc195197207"/>
      <w:r>
        <w:rPr>
          <w:rStyle w:val="CharPartNo"/>
        </w:rPr>
        <w:lastRenderedPageBreak/>
        <w:t>Part 7</w:t>
      </w:r>
      <w:r>
        <w:rPr>
          <w:rStyle w:val="CharDivNo"/>
        </w:rPr>
        <w:t> </w:t>
      </w:r>
      <w:r>
        <w:t>—</w:t>
      </w:r>
      <w:r>
        <w:rPr>
          <w:rStyle w:val="CharDivText"/>
        </w:rPr>
        <w:t> </w:t>
      </w:r>
      <w:r>
        <w:rPr>
          <w:rStyle w:val="CharPartText"/>
        </w:rPr>
        <w:t>Work affecting other land</w:t>
      </w:r>
      <w:bookmarkEnd w:id="102"/>
      <w:bookmarkEnd w:id="103"/>
      <w:bookmarkEnd w:id="104"/>
    </w:p>
    <w:p>
      <w:pPr>
        <w:pStyle w:val="Heading5"/>
      </w:pPr>
      <w:bookmarkStart w:id="105" w:name="_Toc195197208"/>
      <w:r>
        <w:rPr>
          <w:rStyle w:val="CharSectno"/>
        </w:rPr>
        <w:t>44A</w:t>
      </w:r>
      <w:r>
        <w:t>.</w:t>
      </w:r>
      <w:r>
        <w:tab/>
        <w:t>Terms used</w:t>
      </w:r>
      <w:bookmarkEnd w:id="105"/>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6" w:name="_Toc195197209"/>
      <w:r>
        <w:rPr>
          <w:rStyle w:val="CharSectno"/>
        </w:rPr>
        <w:t>44</w:t>
      </w:r>
      <w:r>
        <w:t>.</w:t>
      </w:r>
      <w:r>
        <w:tab/>
        <w:t>Owner of land for purposes of Part 6 of Act</w:t>
      </w:r>
      <w:bookmarkEnd w:id="106"/>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7" w:name="_Toc195197210"/>
      <w:r>
        <w:rPr>
          <w:rStyle w:val="CharSectno"/>
        </w:rPr>
        <w:t>45A</w:t>
      </w:r>
      <w:r>
        <w:t>.</w:t>
      </w:r>
      <w:r>
        <w:tab/>
        <w:t>Minor encroachments (s. 76(1)(c))</w:t>
      </w:r>
      <w:bookmarkEnd w:id="10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8" w:name="_Toc195197211"/>
      <w:r>
        <w:rPr>
          <w:rStyle w:val="CharSectno"/>
        </w:rPr>
        <w:t>45B</w:t>
      </w:r>
      <w:r>
        <w:t>.</w:t>
      </w:r>
      <w:r>
        <w:tab/>
        <w:t>Circumstances prescribed for purposes of section 76(1)(e)</w:t>
      </w:r>
      <w:bookmarkEnd w:id="108"/>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9" w:name="_Toc195197212"/>
      <w:r>
        <w:rPr>
          <w:rStyle w:val="CharSectno"/>
        </w:rPr>
        <w:lastRenderedPageBreak/>
        <w:t>45</w:t>
      </w:r>
      <w:r>
        <w:t>.</w:t>
      </w:r>
      <w:r>
        <w:tab/>
        <w:t>Content of notice about effect on other land (s. 85)</w:t>
      </w:r>
      <w:bookmarkEnd w:id="10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10" w:name="_Toc195190051"/>
      <w:bookmarkStart w:id="111" w:name="_Toc195194400"/>
      <w:bookmarkStart w:id="112" w:name="_Toc195197213"/>
      <w:r>
        <w:rPr>
          <w:rStyle w:val="CharPartNo"/>
        </w:rPr>
        <w:lastRenderedPageBreak/>
        <w:t>Part 8</w:t>
      </w:r>
      <w:r>
        <w:t> — </w:t>
      </w:r>
      <w:r>
        <w:rPr>
          <w:rStyle w:val="CharPartText"/>
        </w:rPr>
        <w:t>Existing buildings</w:t>
      </w:r>
      <w:bookmarkEnd w:id="110"/>
      <w:bookmarkEnd w:id="111"/>
      <w:bookmarkEnd w:id="112"/>
    </w:p>
    <w:p>
      <w:pPr>
        <w:pStyle w:val="Heading3"/>
      </w:pPr>
      <w:bookmarkStart w:id="113" w:name="_Toc195190052"/>
      <w:bookmarkStart w:id="114" w:name="_Toc195194401"/>
      <w:bookmarkStart w:id="115" w:name="_Toc195197214"/>
      <w:r>
        <w:rPr>
          <w:rStyle w:val="CharDivNo"/>
        </w:rPr>
        <w:t>Division 1</w:t>
      </w:r>
      <w:r>
        <w:t> — </w:t>
      </w:r>
      <w:r>
        <w:rPr>
          <w:rStyle w:val="CharDivText"/>
        </w:rPr>
        <w:t>General</w:t>
      </w:r>
      <w:bookmarkEnd w:id="113"/>
      <w:bookmarkEnd w:id="114"/>
      <w:bookmarkEnd w:id="115"/>
    </w:p>
    <w:p>
      <w:pPr>
        <w:pStyle w:val="Ednotesection"/>
        <w:spacing w:before="240"/>
      </w:pPr>
      <w:r>
        <w:t>[</w:t>
      </w:r>
      <w:r>
        <w:rPr>
          <w:b/>
        </w:rPr>
        <w:t>46.</w:t>
      </w:r>
      <w:r>
        <w:tab/>
        <w:t>Deleted: Gazette 18 Dec 2012 p. 6574.]</w:t>
      </w:r>
    </w:p>
    <w:p>
      <w:pPr>
        <w:pStyle w:val="Heading5"/>
        <w:spacing w:before="240"/>
      </w:pPr>
      <w:bookmarkStart w:id="116" w:name="_Toc195197215"/>
      <w:r>
        <w:rPr>
          <w:rStyle w:val="CharSectno"/>
        </w:rPr>
        <w:t>47</w:t>
      </w:r>
      <w:r>
        <w:t>.</w:t>
      </w:r>
      <w:r>
        <w:tab/>
        <w:t>Notification of change of classification of certain buildings and incidental structures</w:t>
      </w:r>
      <w:bookmarkEnd w:id="116"/>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17" w:name="_Toc195190054"/>
      <w:bookmarkStart w:id="118" w:name="_Toc195194403"/>
      <w:bookmarkStart w:id="119" w:name="_Toc195197216"/>
      <w:r>
        <w:rPr>
          <w:rStyle w:val="CharDivNo"/>
        </w:rPr>
        <w:lastRenderedPageBreak/>
        <w:t>Division 2A</w:t>
      </w:r>
      <w:r>
        <w:t> — </w:t>
      </w:r>
      <w:r>
        <w:rPr>
          <w:rStyle w:val="CharDivText"/>
        </w:rPr>
        <w:t>Maintenance</w:t>
      </w:r>
      <w:bookmarkEnd w:id="117"/>
      <w:bookmarkEnd w:id="118"/>
      <w:bookmarkEnd w:id="119"/>
    </w:p>
    <w:p>
      <w:pPr>
        <w:pStyle w:val="Footnoteheading"/>
        <w:keepNext/>
      </w:pPr>
      <w:r>
        <w:tab/>
        <w:t>[Heading inserted: Gazette 24 Apr 2014 p. 1138.]</w:t>
      </w:r>
    </w:p>
    <w:p>
      <w:pPr>
        <w:pStyle w:val="Heading5"/>
      </w:pPr>
      <w:bookmarkStart w:id="120" w:name="_Toc195197217"/>
      <w:r>
        <w:rPr>
          <w:rStyle w:val="CharSectno"/>
        </w:rPr>
        <w:t>48A</w:t>
      </w:r>
      <w:r>
        <w:t>.</w:t>
      </w:r>
      <w:r>
        <w:tab/>
        <w:t>Maintenance of buildings</w:t>
      </w:r>
      <w:bookmarkEnd w:id="120"/>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21" w:name="_Toc195190056"/>
      <w:bookmarkStart w:id="122" w:name="_Toc195194405"/>
      <w:bookmarkStart w:id="123" w:name="_Toc195197218"/>
      <w:r>
        <w:rPr>
          <w:rStyle w:val="CharDivNo"/>
        </w:rPr>
        <w:lastRenderedPageBreak/>
        <w:t>Division 2</w:t>
      </w:r>
      <w:r>
        <w:t> — </w:t>
      </w:r>
      <w:r>
        <w:rPr>
          <w:rStyle w:val="CharDivText"/>
        </w:rPr>
        <w:t>Private swimming pools</w:t>
      </w:r>
      <w:bookmarkEnd w:id="121"/>
      <w:bookmarkEnd w:id="122"/>
      <w:bookmarkEnd w:id="123"/>
    </w:p>
    <w:p>
      <w:pPr>
        <w:pStyle w:val="Heading5"/>
        <w:spacing w:before="180"/>
      </w:pPr>
      <w:bookmarkStart w:id="124" w:name="_Toc195197219"/>
      <w:r>
        <w:rPr>
          <w:rStyle w:val="CharSectno"/>
        </w:rPr>
        <w:t>48</w:t>
      </w:r>
      <w:r>
        <w:t>.</w:t>
      </w:r>
      <w:r>
        <w:tab/>
        <w:t>Terms used</w:t>
      </w:r>
      <w:bookmarkEnd w:id="124"/>
    </w:p>
    <w:p>
      <w:pPr>
        <w:pStyle w:val="Subsection"/>
        <w:spacing w:before="120"/>
      </w:pPr>
      <w:r>
        <w:tab/>
      </w:r>
      <w:r>
        <w:tab/>
        <w:t>In this Division —</w:t>
      </w:r>
    </w:p>
    <w:p>
      <w:pPr>
        <w:pStyle w:val="Defstart"/>
      </w:pPr>
      <w:r>
        <w:tab/>
      </w:r>
      <w:r>
        <w:rPr>
          <w:rStyle w:val="CharDefText"/>
        </w:rPr>
        <w:t>access</w:t>
      </w:r>
      <w:r>
        <w:t>, in relation to a pool, means direct or indirect access by young children to the pool and its immediate surrounds;</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young child</w:t>
      </w:r>
      <w:r>
        <w:t xml:space="preserve"> means a child under the age of 5 years.</w:t>
      </w:r>
    </w:p>
    <w:p>
      <w:pPr>
        <w:pStyle w:val="Footnotesection"/>
      </w:pPr>
      <w:r>
        <w:tab/>
        <w:t>[Regulation 48 amended: Gazette 15 Apr 2016 p. 1169; SL 2023/208 r. 14; SL 2025/34 r. 4.]</w:t>
      </w:r>
    </w:p>
    <w:p>
      <w:pPr>
        <w:pStyle w:val="Heading5"/>
      </w:pPr>
      <w:bookmarkStart w:id="125" w:name="_Toc195197220"/>
      <w:r>
        <w:rPr>
          <w:rStyle w:val="CharSectno"/>
        </w:rPr>
        <w:t>49</w:t>
      </w:r>
      <w:r>
        <w:t>.</w:t>
      </w:r>
      <w:r>
        <w:tab/>
        <w:t>Application of this Division</w:t>
      </w:r>
      <w:bookmarkEnd w:id="12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6" w:name="_Toc195197221"/>
      <w:r>
        <w:rPr>
          <w:rStyle w:val="CharSectno"/>
        </w:rPr>
        <w:t>50</w:t>
      </w:r>
      <w:r>
        <w:t>.</w:t>
      </w:r>
      <w:r>
        <w:tab/>
        <w:t>Barrier to private swimming pool</w:t>
      </w:r>
      <w:bookmarkEnd w:id="126"/>
    </w:p>
    <w:p>
      <w:pPr>
        <w:pStyle w:val="Subsection"/>
        <w:keepNext/>
      </w:pPr>
      <w:r>
        <w:tab/>
        <w:t>(1)</w:t>
      </w:r>
      <w:r>
        <w:tab/>
        <w:t xml:space="preserve">This regulation does not apply in respect of a private swimming pool in — </w:t>
      </w:r>
    </w:p>
    <w:p>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pPr>
        <w:pStyle w:val="Indenta"/>
      </w:pPr>
      <w:r>
        <w:tab/>
        <w:t>(b)</w:t>
      </w:r>
      <w:r>
        <w:tab/>
        <w:t xml:space="preserve">a work area to which the </w:t>
      </w:r>
      <w:r>
        <w:rPr>
          <w:i/>
        </w:rPr>
        <w:t>Work Health and Safety (General) Regulations 2022</w:t>
      </w:r>
      <w:r>
        <w:t xml:space="preserve"> regulation 306 applies.</w:t>
      </w:r>
    </w:p>
    <w:p>
      <w:pPr>
        <w:pStyle w:val="Subsection"/>
      </w:pPr>
      <w:r>
        <w:tab/>
        <w:t>(2)</w:t>
      </w:r>
      <w:r>
        <w:tab/>
        <w:t xml:space="preserve">Each owner and occupier of premises on which there is a private swimming pool containing water that is more than 300 mm deep </w:t>
      </w:r>
      <w:r>
        <w:lastRenderedPageBreak/>
        <w:t>must ensure that a pool barrier that restricts access to the pool and complies with the requirements of regulation 50A (and, if applicable, regulation 52) is installed or provided around the pool.</w:t>
      </w:r>
    </w:p>
    <w:p>
      <w:pPr>
        <w:pStyle w:val="Penstart"/>
      </w:pPr>
      <w:r>
        <w:tab/>
        <w:t>Penalty for this subregulation: a fine of $5 000.</w:t>
      </w:r>
    </w:p>
    <w:p>
      <w:pPr>
        <w:pStyle w:val="Footnotesection"/>
      </w:pPr>
      <w:r>
        <w:tab/>
        <w:t>[Regulation 50 inserted: SL 2023/208 r. 15; amended: SL 2025/34 r. 5.]</w:t>
      </w:r>
    </w:p>
    <w:p>
      <w:pPr>
        <w:pStyle w:val="Heading5"/>
      </w:pPr>
      <w:bookmarkStart w:id="127" w:name="_Toc195197222"/>
      <w:r>
        <w:rPr>
          <w:rStyle w:val="CharSectno"/>
        </w:rPr>
        <w:t>50A</w:t>
      </w:r>
      <w:r>
        <w:t>.</w:t>
      </w:r>
      <w:r>
        <w:tab/>
        <w:t>Pool barrier requirements</w:t>
      </w:r>
      <w:bookmarkEnd w:id="127"/>
    </w:p>
    <w:p>
      <w:pPr>
        <w:pStyle w:val="Subsection"/>
      </w:pPr>
      <w:r>
        <w:tab/>
        <w:t>(1)</w:t>
      </w:r>
      <w:r>
        <w:tab/>
        <w:t>If all or part of a building (other than a Class 10 building) is within the area bounded by a pool barrier, that pool barrier or another pool barrier must restrict access to the pool from the building.</w:t>
      </w:r>
    </w:p>
    <w:p>
      <w:pPr>
        <w:pStyle w:val="Subsection"/>
      </w:pPr>
      <w:r>
        <w:tab/>
        <w:t>(2)</w:t>
      </w:r>
      <w:r>
        <w:tab/>
        <w:t>Subject to subregulations (3) and (4), a pool barrier must comply with a Building Code pool barrier requirement that was in effect —</w:t>
      </w:r>
    </w:p>
    <w:p>
      <w:pPr>
        <w:pStyle w:val="Indenta"/>
      </w:pPr>
      <w:r>
        <w:tab/>
        <w:t>(a)</w:t>
      </w:r>
      <w:r>
        <w:tab/>
        <w:t>if a building permit applies to the construction of the pool — at or after the time the application for a building permit to construct the pool was made; or</w:t>
      </w:r>
    </w:p>
    <w:p>
      <w:pPr>
        <w:pStyle w:val="Indenta"/>
      </w:pPr>
      <w:r>
        <w:tab/>
        <w:t>(b)</w:t>
      </w:r>
      <w:r>
        <w:tab/>
        <w:t>otherwise — at or after the time the construction of the pool commenced.</w:t>
      </w:r>
    </w:p>
    <w:p>
      <w:pPr>
        <w:pStyle w:val="PermNoteHeading"/>
      </w:pPr>
      <w:r>
        <w:tab/>
        <w:t>Note for this subregulation:</w:t>
      </w:r>
    </w:p>
    <w:p>
      <w:pPr>
        <w:pStyle w:val="PermNoteText"/>
      </w:pPr>
      <w:r>
        <w:tab/>
      </w:r>
      <w:r>
        <w:tab/>
        <w:t>See also regulation 15B which modifies AS 1926.1</w:t>
      </w:r>
      <w:r>
        <w:noBreakHyphen/>
        <w:t>2012.</w:t>
      </w:r>
    </w:p>
    <w:p>
      <w:pPr>
        <w:pStyle w:val="Subsection"/>
      </w:pPr>
      <w:r>
        <w:tab/>
        <w:t>(3)</w:t>
      </w:r>
      <w:r>
        <w:tab/>
        <w:t>For the purposes of subregulation (2), a performance solution cannot be used to comply with a Building Code pool barrier requirement unless the performance solution is an approved barrier solution.</w:t>
      </w:r>
    </w:p>
    <w:p>
      <w:pPr>
        <w:pStyle w:val="Subsection"/>
      </w:pPr>
      <w:r>
        <w:tab/>
        <w:t>(4)</w:t>
      </w:r>
      <w:r>
        <w:tab/>
        <w:t>If the pool is a pre</w:t>
      </w:r>
      <w:r>
        <w:noBreakHyphen/>
        <w:t>May 2016 private swimming pool, the pool barrier need not comply with subregulation (2) if —</w:t>
      </w:r>
    </w:p>
    <w:p>
      <w:pPr>
        <w:pStyle w:val="Indenta"/>
      </w:pPr>
      <w:r>
        <w:tab/>
        <w:t>(a)</w:t>
      </w:r>
      <w:r>
        <w:tab/>
        <w:t xml:space="preserve">it is in accordance with — </w:t>
      </w:r>
    </w:p>
    <w:p>
      <w:pPr>
        <w:pStyle w:val="Indenti"/>
      </w:pPr>
      <w:r>
        <w:tab/>
        <w:t>(i)</w:t>
      </w:r>
      <w:r>
        <w:tab/>
        <w:t>the requirements of AS 1926.1</w:t>
      </w:r>
      <w:r>
        <w:noBreakHyphen/>
        <w:t>1993; or</w:t>
      </w:r>
    </w:p>
    <w:p>
      <w:pPr>
        <w:pStyle w:val="Indenti"/>
        <w:keepNext/>
      </w:pPr>
      <w:r>
        <w:lastRenderedPageBreak/>
        <w:tab/>
        <w:t>(ii)</w:t>
      </w:r>
      <w:r>
        <w:tab/>
        <w:t>approved alternative requirements;</w:t>
      </w:r>
    </w:p>
    <w:p>
      <w:pPr>
        <w:pStyle w:val="Indenta"/>
      </w:pPr>
      <w:r>
        <w:tab/>
      </w:r>
      <w:r>
        <w:tab/>
        <w:t>and</w:t>
      </w:r>
    </w:p>
    <w:p>
      <w:pPr>
        <w:pStyle w:val="Indenta"/>
      </w:pPr>
      <w:r>
        <w:tab/>
        <w:t>(b)</w:t>
      </w:r>
      <w:r>
        <w:tab/>
        <w:t>any wall comprising part of the pool barrier has no means of access to the pool through a building other than —</w:t>
      </w:r>
    </w:p>
    <w:p>
      <w:pPr>
        <w:pStyle w:val="Indenti"/>
      </w:pPr>
      <w:r>
        <w:tab/>
        <w:t>(i)</w:t>
      </w:r>
      <w:r>
        <w:tab/>
        <w:t>a window that is in accordance with the requirements of AS 1926.1</w:t>
      </w:r>
      <w:r>
        <w:noBreakHyphen/>
        <w:t>1993; or</w:t>
      </w:r>
    </w:p>
    <w:p>
      <w:pPr>
        <w:pStyle w:val="Indenti"/>
      </w:pPr>
      <w:r>
        <w:tab/>
        <w:t>(ii)</w:t>
      </w:r>
      <w:r>
        <w:tab/>
        <w:t>an approved door.</w:t>
      </w:r>
    </w:p>
    <w:p>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pPr>
        <w:pStyle w:val="PermNoteHeading"/>
      </w:pPr>
      <w:r>
        <w:tab/>
        <w:t>Note for this regulation:</w:t>
      </w:r>
    </w:p>
    <w:p>
      <w:pPr>
        <w:pStyle w:val="PermNoteText"/>
      </w:pPr>
      <w:r>
        <w:tab/>
      </w:r>
      <w:r>
        <w:tab/>
        <w:t>If a wall or any other part of a building is included in a pool barrier, that wall or other part must comply with the requirements of this regulation.</w:t>
      </w:r>
    </w:p>
    <w:p>
      <w:pPr>
        <w:pStyle w:val="Footnotesection"/>
      </w:pPr>
      <w:r>
        <w:tab/>
        <w:t>[Regulation 50A inserted: SL 2023/208 r. 15; amended: SL 2025/34 r. 6.]</w:t>
      </w:r>
    </w:p>
    <w:p>
      <w:pPr>
        <w:pStyle w:val="Heading5"/>
        <w:spacing w:before="240"/>
      </w:pPr>
      <w:bookmarkStart w:id="128" w:name="_Toc195197223"/>
      <w:r>
        <w:rPr>
          <w:rStyle w:val="CharSectno"/>
        </w:rPr>
        <w:t>51</w:t>
      </w:r>
      <w:r>
        <w:t>.</w:t>
      </w:r>
      <w:r>
        <w:tab/>
        <w:t>Approvals by permit authority</w:t>
      </w:r>
      <w:bookmarkEnd w:id="128"/>
    </w:p>
    <w:p>
      <w:pPr>
        <w:pStyle w:val="Subsection"/>
      </w:pPr>
      <w:r>
        <w:tab/>
        <w:t>(1)</w:t>
      </w:r>
      <w:r>
        <w:tab/>
        <w:t xml:space="preserve">In this regulation — </w:t>
      </w:r>
    </w:p>
    <w:p>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pPr>
        <w:pStyle w:val="Subsection"/>
      </w:pPr>
      <w:r>
        <w:tab/>
        <w:t>(2)</w:t>
      </w:r>
      <w:r>
        <w:tab/>
        <w:t>A permit authority may approve requirements alternative to the requirements of regulation 50A(4)(a)(i) if it is satisfied that the alternative requirements will restrict access to the pool as effectively as if there were compliance with AS 1926.1</w:t>
      </w:r>
      <w:r>
        <w:noBreakHyphen/>
        <w:t>1993.</w:t>
      </w:r>
    </w:p>
    <w:p>
      <w:pPr>
        <w:pStyle w:val="Subsection"/>
        <w:keepNext/>
      </w:pPr>
      <w:r>
        <w:lastRenderedPageBreak/>
        <w:tab/>
        <w:t>(3)</w:t>
      </w:r>
      <w:r>
        <w:tab/>
        <w:t>A permit authority may approve a door for the purposes of regulation 50A(4)(b)(ii) if the door is in accordance with the requirements of AS 1926.l</w:t>
      </w:r>
      <w:r>
        <w:noBreakHyphen/>
        <w:t>1993 and —</w:t>
      </w:r>
    </w:p>
    <w:p>
      <w:pPr>
        <w:pStyle w:val="Indenta"/>
      </w:pPr>
      <w:r>
        <w:tab/>
        <w:t>(a)</w:t>
      </w:r>
      <w:r>
        <w:tab/>
        <w:t>in the opinion of the permit authority, a fence or barrier satisfying regulation 50A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 SL 2023/208 r. 16; SL 2025/34 r. 7.]</w:t>
      </w:r>
    </w:p>
    <w:p>
      <w:pPr>
        <w:pStyle w:val="Heading5"/>
      </w:pPr>
      <w:bookmarkStart w:id="129" w:name="_Toc195197224"/>
      <w:r>
        <w:rPr>
          <w:rStyle w:val="CharSectno"/>
        </w:rPr>
        <w:t>52</w:t>
      </w:r>
      <w:r>
        <w:t>.</w:t>
      </w:r>
      <w:r>
        <w:tab/>
        <w:t>Concessions for pre</w:t>
      </w:r>
      <w:r>
        <w:noBreakHyphen/>
        <w:t>November 2001 private swimming pools</w:t>
      </w:r>
      <w:bookmarkEnd w:id="129"/>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lastRenderedPageBreak/>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50(2), the immediate surrounds of a private swimming pool to which this regulation applies may include any part of the premises on which the pool is located.</w:t>
      </w:r>
    </w:p>
    <w:p>
      <w:pPr>
        <w:pStyle w:val="Subsection"/>
      </w:pPr>
      <w:r>
        <w:tab/>
        <w:t>(3)</w:t>
      </w:r>
      <w:r>
        <w:tab/>
        <w:t>The pool barrier required by regulation 50(2) may include a wall that contains a door permitting access to the pool through a building if that door satisfies the requirements of AS 1926.1</w:t>
      </w:r>
      <w:r>
        <w:noBreakHyphen/>
        <w:t>1993.</w:t>
      </w:r>
    </w:p>
    <w:p>
      <w:pPr>
        <w:pStyle w:val="Footnotesection"/>
      </w:pPr>
      <w:r>
        <w:tab/>
        <w:t>[Regulation 52 amended: Gazette 15 Apr 2016 p. 1171; SL 2023/208 r. 17; SL 2025/34 r. 8.]</w:t>
      </w:r>
    </w:p>
    <w:p>
      <w:pPr>
        <w:pStyle w:val="Heading5"/>
      </w:pPr>
      <w:bookmarkStart w:id="130" w:name="_Toc195197225"/>
      <w:r>
        <w:rPr>
          <w:rStyle w:val="CharSectno"/>
        </w:rPr>
        <w:t>53</w:t>
      </w:r>
      <w:r>
        <w:t>.</w:t>
      </w:r>
      <w:r>
        <w:tab/>
        <w:t>Inspection of barrier to private swimming pool</w:t>
      </w:r>
      <w:bookmarkEnd w:id="130"/>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regulation 50(2) is being complied with.</w:t>
      </w:r>
    </w:p>
    <w:p>
      <w:pPr>
        <w:pStyle w:val="Subsection"/>
      </w:pPr>
      <w:r>
        <w:tab/>
        <w:t>(2)</w:t>
      </w:r>
      <w:r>
        <w:tab/>
        <w:t>For the purposes of subregulation (1), the days and intervals for inspections of a barrier to a private swimming pool are —</w:t>
      </w:r>
    </w:p>
    <w:p>
      <w:pPr>
        <w:pStyle w:val="Indenta"/>
      </w:pPr>
      <w:r>
        <w:tab/>
        <w:t>(a)</w:t>
      </w:r>
      <w:r>
        <w:tab/>
        <w:t>if the local government has never arranged for an authorised person to inspect the barrier — a day that is no more than 30 days after the day on which the first of the following occurs —</w:t>
      </w:r>
    </w:p>
    <w:p>
      <w:pPr>
        <w:pStyle w:val="Indenti"/>
      </w:pPr>
      <w:r>
        <w:tab/>
        <w:t>(i)</w:t>
      </w:r>
      <w:r>
        <w:tab/>
        <w:t>the local government receives a notice of completion under section 33 stating that the building work in respect of the barrier or the private swimming pool is completed;</w:t>
      </w:r>
    </w:p>
    <w:p>
      <w:pPr>
        <w:pStyle w:val="Indenti"/>
      </w:pPr>
      <w:r>
        <w:tab/>
        <w:t>(ii)</w:t>
      </w:r>
      <w:r>
        <w:tab/>
        <w:t xml:space="preserve">the local government receives details of a notice of completion under section 7(2)(b) indicating </w:t>
      </w:r>
      <w:r>
        <w:lastRenderedPageBreak/>
        <w:t>that the building work in respect of the barrier or the private swimming pool is completed;</w:t>
      </w:r>
    </w:p>
    <w:p>
      <w:pPr>
        <w:pStyle w:val="Indenti"/>
      </w:pPr>
      <w:r>
        <w:tab/>
        <w:t>(iii)</w:t>
      </w:r>
      <w:r>
        <w:tab/>
        <w:t>the local government otherwise becomes aware that it has never arranged for an authorised person to inspect a barrier to the private swimming pool;</w:t>
      </w:r>
    </w:p>
    <w:p>
      <w:pPr>
        <w:pStyle w:val="Indenta"/>
      </w:pPr>
      <w:r>
        <w:tab/>
      </w:r>
      <w:r>
        <w:tab/>
        <w:t>and</w:t>
      </w:r>
    </w:p>
    <w:p>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pPr>
        <w:pStyle w:val="Indenti"/>
      </w:pPr>
      <w:r>
        <w:tab/>
        <w:t>(i)</w:t>
      </w:r>
      <w:r>
        <w:tab/>
        <w:t>if the authorised person is not satisfied that regulation 50(2) is being complied with — on a day that is within 60 days after the day of the relevant inspection; and</w:t>
      </w:r>
    </w:p>
    <w:p>
      <w:pPr>
        <w:pStyle w:val="Indenti"/>
      </w:pPr>
      <w:r>
        <w:tab/>
        <w:t>(ii)</w:t>
      </w:r>
      <w:r>
        <w:tab/>
        <w:t>in any other case — on a day that is within 4 years after the day of the relevant inspection.</w:t>
      </w:r>
    </w:p>
    <w:p>
      <w:pPr>
        <w:pStyle w:val="PermNoteHeading"/>
      </w:pPr>
      <w:r>
        <w:tab/>
        <w:t>Note for this subregulation:</w:t>
      </w:r>
    </w:p>
    <w:p>
      <w:pPr>
        <w:pStyle w:val="PermNoteText"/>
      </w:pPr>
      <w:r>
        <w:tab/>
      </w:r>
      <w:r>
        <w:tab/>
        <w:t xml:space="preserve">If subregulation (2)(b)(i) applies, the local government must arrange 1 or more further inspections until an authorised person is satisfied that </w:t>
      </w:r>
      <w:r>
        <w:rPr>
          <w:rFonts w:cs="Arial"/>
          <w:szCs w:val="14"/>
        </w:rPr>
        <w:t>regulation 50(2) is</w:t>
      </w:r>
      <w:r>
        <w:t xml:space="preserve"> being complied with.</w:t>
      </w:r>
    </w:p>
    <w:p>
      <w:pPr>
        <w:pStyle w:val="Footnotesection"/>
      </w:pPr>
      <w:r>
        <w:tab/>
        <w:t>[Regulation 53 inserted: SL 2023/208 r. 18; amended: SL 2025/34 r. 9.]</w:t>
      </w:r>
    </w:p>
    <w:p>
      <w:pPr>
        <w:pStyle w:val="Heading5"/>
      </w:pPr>
      <w:bookmarkStart w:id="131" w:name="_Toc195197226"/>
      <w:r>
        <w:rPr>
          <w:rStyle w:val="CharSectno"/>
        </w:rPr>
        <w:t>53A</w:t>
      </w:r>
      <w:r>
        <w:t>.</w:t>
      </w:r>
      <w:r>
        <w:tab/>
        <w:t>Charges may be imposed for inspection of barrier</w:t>
      </w:r>
      <w:bookmarkEnd w:id="131"/>
    </w:p>
    <w:p>
      <w:pPr>
        <w:pStyle w:val="Subsection"/>
      </w:pPr>
      <w:r>
        <w:tab/>
        <w:t>(1)</w:t>
      </w:r>
      <w:r>
        <w:tab/>
        <w:t>In this regulation —</w:t>
      </w:r>
    </w:p>
    <w:p>
      <w:pPr>
        <w:pStyle w:val="Defstart"/>
      </w:pPr>
      <w:r>
        <w:tab/>
      </w:r>
      <w:r>
        <w:rPr>
          <w:rStyle w:val="CharDefText"/>
        </w:rPr>
        <w:t>initial inspection</w:t>
      </w:r>
      <w:r>
        <w:t xml:space="preserve"> means an inspection arranged under regulation 53(1) to which regulation 53(2)(a) applies;</w:t>
      </w:r>
    </w:p>
    <w:p>
      <w:pPr>
        <w:pStyle w:val="Defstart"/>
      </w:pPr>
      <w:r>
        <w:tab/>
      </w:r>
      <w:r>
        <w:rPr>
          <w:rStyle w:val="CharDefText"/>
        </w:rPr>
        <w:t>periodic inspection</w:t>
      </w:r>
      <w:r>
        <w:t xml:space="preserve"> means an inspection arranged under regulation 53(1) to which regulation 53(2)(b)(ii) applies;</w:t>
      </w:r>
    </w:p>
    <w:p>
      <w:pPr>
        <w:pStyle w:val="Defstart"/>
      </w:pPr>
      <w:r>
        <w:tab/>
      </w:r>
      <w:r>
        <w:rPr>
          <w:rStyle w:val="CharDefText"/>
        </w:rPr>
        <w:t>re</w:t>
      </w:r>
      <w:r>
        <w:rPr>
          <w:rStyle w:val="CharDefText"/>
        </w:rPr>
        <w:noBreakHyphen/>
        <w:t>inspection</w:t>
      </w:r>
      <w:r>
        <w:t xml:space="preserve"> means an inspection arranged under regulation 53(1) to which regulation 53(2)(b)(i) applies.</w:t>
      </w:r>
    </w:p>
    <w:p>
      <w:pPr>
        <w:pStyle w:val="Subsection"/>
      </w:pPr>
      <w:r>
        <w:tab/>
        <w:t>(2)</w:t>
      </w:r>
      <w:r>
        <w:tab/>
        <w:t xml:space="preserve">A local government may fix the charge to be imposed on an owner of land on which there is a private swimming pool </w:t>
      </w:r>
      <w:r>
        <w:lastRenderedPageBreak/>
        <w:t>containing water that is more than 300 mm deep for an initial inspection, but —</w:t>
      </w:r>
    </w:p>
    <w:p>
      <w:pPr>
        <w:pStyle w:val="Indenta"/>
      </w:pPr>
      <w:r>
        <w:tab/>
        <w:t>(a)</w:t>
      </w:r>
      <w:r>
        <w:tab/>
        <w:t>a single charge is to be imposed covering both the initial inspection and any related re</w:t>
      </w:r>
      <w:r>
        <w:noBreakHyphen/>
        <w:t>inspections; and</w:t>
      </w:r>
    </w:p>
    <w:p>
      <w:pPr>
        <w:pStyle w:val="Indenta"/>
        <w:keepNext/>
      </w:pPr>
      <w:r>
        <w:tab/>
        <w:t>(b)</w:t>
      </w:r>
      <w:r>
        <w:tab/>
        <w:t xml:space="preserve">the amount of the charge must not exceed the lesser of — </w:t>
      </w:r>
    </w:p>
    <w:p>
      <w:pPr>
        <w:pStyle w:val="Indenti"/>
      </w:pPr>
      <w:r>
        <w:tab/>
        <w:t>(i)</w:t>
      </w:r>
      <w:r>
        <w:tab/>
        <w:t>the estimated average cost to the local government of carrying out an initial inspection and any related re</w:t>
      </w:r>
      <w:r>
        <w:noBreakHyphen/>
        <w:t>inspections; and</w:t>
      </w:r>
    </w:p>
    <w:p>
      <w:pPr>
        <w:pStyle w:val="Indenti"/>
      </w:pPr>
      <w:r>
        <w:tab/>
        <w:t>(ii)</w:t>
      </w:r>
      <w:r>
        <w:tab/>
        <w:t>$312.</w:t>
      </w:r>
    </w:p>
    <w:p>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pPr>
        <w:pStyle w:val="Indenta"/>
      </w:pPr>
      <w:r>
        <w:tab/>
        <w:t>(a)</w:t>
      </w:r>
      <w:r>
        <w:tab/>
        <w:t>a single charge is to be imposed in respect of periodic inspections and any related re</w:t>
      </w:r>
      <w:r>
        <w:noBreakHyphen/>
        <w:t>inspections; and</w:t>
      </w:r>
    </w:p>
    <w:p>
      <w:pPr>
        <w:pStyle w:val="Indenta"/>
      </w:pPr>
      <w:r>
        <w:tab/>
        <w:t>(b)</w:t>
      </w:r>
      <w:r>
        <w:tab/>
        <w:t xml:space="preserve">the amount of the charge must not exceed the lesser of — </w:t>
      </w:r>
    </w:p>
    <w:p>
      <w:pPr>
        <w:pStyle w:val="Indenti"/>
      </w:pPr>
      <w:r>
        <w:tab/>
        <w:t>(i)</w:t>
      </w:r>
      <w:r>
        <w:tab/>
        <w:t>the estimated average cost to the local government of carrying out periodic inspections and related re</w:t>
      </w:r>
      <w:r>
        <w:noBreakHyphen/>
        <w:t>inspections in that year; and</w:t>
      </w:r>
    </w:p>
    <w:p>
      <w:pPr>
        <w:pStyle w:val="Indenti"/>
      </w:pPr>
      <w:r>
        <w:tab/>
        <w:t>(ii)</w:t>
      </w:r>
      <w:r>
        <w:tab/>
        <w:t>$78;</w:t>
      </w:r>
    </w:p>
    <w:p>
      <w:pPr>
        <w:pStyle w:val="Indenta"/>
      </w:pPr>
      <w:r>
        <w:tab/>
      </w:r>
      <w:r>
        <w:tab/>
        <w:t>and</w:t>
      </w:r>
    </w:p>
    <w:p>
      <w:pPr>
        <w:pStyle w:val="Indenta"/>
      </w:pPr>
      <w:r>
        <w:tab/>
        <w:t>(c)</w:t>
      </w:r>
      <w:r>
        <w:tab/>
        <w:t>the charge is payable by an owner whether or not a periodic inspection is conducted in respect of a pool on that owner’s land in the financial year.</w:t>
      </w:r>
    </w:p>
    <w:p>
      <w:pPr>
        <w:pStyle w:val="Footnotesection"/>
      </w:pPr>
      <w:r>
        <w:tab/>
        <w:t>[Regulation 53A inserted: SL 2023/208 r. 18; amended: SL 2025/34 r. 10.]</w:t>
      </w:r>
    </w:p>
    <w:p>
      <w:pPr>
        <w:pStyle w:val="Heading5"/>
      </w:pPr>
      <w:bookmarkStart w:id="132" w:name="_Toc195197227"/>
      <w:r>
        <w:rPr>
          <w:rStyle w:val="CharSectno"/>
        </w:rPr>
        <w:lastRenderedPageBreak/>
        <w:t>53B</w:t>
      </w:r>
      <w:r>
        <w:t>.</w:t>
      </w:r>
      <w:r>
        <w:tab/>
        <w:t>Local governments to give Building Commissioner information</w:t>
      </w:r>
      <w:bookmarkEnd w:id="132"/>
    </w:p>
    <w:p>
      <w:pPr>
        <w:pStyle w:val="Subsection"/>
        <w:keepNext/>
      </w:pPr>
      <w:r>
        <w:tab/>
        <w:t>(1)</w:t>
      </w:r>
      <w:r>
        <w:tab/>
        <w:t>In this regulation —</w:t>
      </w:r>
    </w:p>
    <w:p>
      <w:pPr>
        <w:pStyle w:val="Defstart"/>
      </w:pPr>
      <w:r>
        <w:tab/>
      </w:r>
      <w:r>
        <w:rPr>
          <w:rStyle w:val="CharDefText"/>
        </w:rPr>
        <w:t>reporting period</w:t>
      </w:r>
      <w:r>
        <w:t xml:space="preserve"> means the period commencing on 1 July and ending on the next following 30 June.</w:t>
      </w:r>
    </w:p>
    <w:p>
      <w:pPr>
        <w:pStyle w:val="Subsection"/>
      </w:pPr>
      <w:r>
        <w:tab/>
        <w:t>(2)</w:t>
      </w:r>
      <w:r>
        <w:tab/>
        <w:t>Each local government must, before 1 August each year, give the Building Commissioner the following information in respect of the immediately preceding reporting period —</w:t>
      </w:r>
    </w:p>
    <w:p>
      <w:pPr>
        <w:pStyle w:val="Indenta"/>
      </w:pPr>
      <w:r>
        <w:tab/>
        <w:t>(a)</w:t>
      </w:r>
      <w:r>
        <w:tab/>
        <w:t xml:space="preserve">the number of swimming pools in respect of which this Division applies that are located in the local government’s district at the end of the reporting period; </w:t>
      </w:r>
    </w:p>
    <w:p>
      <w:pPr>
        <w:pStyle w:val="Indenta"/>
      </w:pPr>
      <w:r>
        <w:tab/>
        <w:t>(b)</w:t>
      </w:r>
      <w:r>
        <w:tab/>
        <w:t xml:space="preserve">the number of swimming pools referred to in paragraph (a) that were inspected by an authorised person during the reporting period at an inspection arranged under regulation 53; </w:t>
      </w:r>
    </w:p>
    <w:p>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pPr>
        <w:pStyle w:val="Subsection"/>
      </w:pPr>
      <w:r>
        <w:tab/>
        <w:t>(3)</w:t>
      </w:r>
      <w:r>
        <w:tab/>
        <w:t>The information referred to in subregulation (2) must be provided to the Building Commissioner electronically.</w:t>
      </w:r>
    </w:p>
    <w:p>
      <w:pPr>
        <w:pStyle w:val="Footnotesection"/>
      </w:pPr>
      <w:r>
        <w:tab/>
        <w:t>[Regulation 53B inserted: SL 2023/208 r. 18.]</w:t>
      </w:r>
    </w:p>
    <w:p>
      <w:pPr>
        <w:pStyle w:val="Heading5"/>
      </w:pPr>
      <w:bookmarkStart w:id="133" w:name="_Toc195197228"/>
      <w:r>
        <w:rPr>
          <w:rStyle w:val="CharSectno"/>
        </w:rPr>
        <w:t>54A</w:t>
      </w:r>
      <w:r>
        <w:t>.</w:t>
      </w:r>
      <w:r>
        <w:tab/>
        <w:t>Temporary pool barriers</w:t>
      </w:r>
      <w:bookmarkEnd w:id="133"/>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 xml:space="preserve">A person responsible for work that requires the removal of a fence, wall, gate or other component that is part of a barrier to a private swimming pool must ensure that an alternative barrier that restricts access to the pool and complies with the </w:t>
      </w:r>
      <w:r>
        <w:lastRenderedPageBreak/>
        <w:t>requirements of regulation 50A (and, if applicable, regulation 52) is installed or provided for any period during which the fence, wall, gate or component is removed.</w:t>
      </w:r>
    </w:p>
    <w:p>
      <w:pPr>
        <w:pStyle w:val="Footnotesection"/>
      </w:pPr>
      <w:r>
        <w:tab/>
        <w:t>[Regulation 54A inserted: Gazette 24 Apr 2014 p. 1140; amended: Gazette 15 Apr 2016 p. 1171; SL 2025/34 r. 11.]</w:t>
      </w:r>
    </w:p>
    <w:p>
      <w:pPr>
        <w:pStyle w:val="Heading5"/>
      </w:pPr>
      <w:bookmarkStart w:id="134" w:name="_Toc195197229"/>
      <w:r>
        <w:rPr>
          <w:rStyle w:val="CharSectno"/>
        </w:rPr>
        <w:t>54</w:t>
      </w:r>
      <w:r>
        <w:t>.</w:t>
      </w:r>
      <w:r>
        <w:tab/>
        <w:t>Transitional provision — persons authorised by regulation 5A</w:t>
      </w:r>
      <w:bookmarkEnd w:id="134"/>
    </w:p>
    <w:p>
      <w:pPr>
        <w:pStyle w:val="Subsection"/>
      </w:pPr>
      <w:r>
        <w:tab/>
        <w:t>(1)</w:t>
      </w:r>
      <w:r>
        <w:tab/>
        <w:t xml:space="preserve">In this regulation — </w:t>
      </w:r>
    </w:p>
    <w:p>
      <w:pPr>
        <w:pStyle w:val="Defstart"/>
      </w:pPr>
      <w:r>
        <w:tab/>
      </w:r>
      <w:r>
        <w:rPr>
          <w:rStyle w:val="CharDefText"/>
        </w:rPr>
        <w:t>regulation 5A</w:t>
      </w:r>
      <w:r>
        <w:t xml:space="preserve"> means regulation 5A as in force immediately before repeal day;</w:t>
      </w:r>
    </w:p>
    <w:p>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pPr>
        <w:pStyle w:val="Indenta"/>
      </w:pPr>
      <w:r>
        <w:tab/>
        <w:t>(a)</w:t>
      </w:r>
      <w:r>
        <w:tab/>
        <w:t xml:space="preserve">the day that is 6 months after repeal day; and </w:t>
      </w:r>
    </w:p>
    <w:p>
      <w:pPr>
        <w:pStyle w:val="Indenta"/>
      </w:pPr>
      <w:r>
        <w:tab/>
        <w:t>(b)</w:t>
      </w:r>
      <w:r>
        <w:tab/>
        <w:t>the day on which the person is designated as an authorised person under regulation 4A.</w:t>
      </w:r>
    </w:p>
    <w:p>
      <w:pPr>
        <w:pStyle w:val="Footnotesection"/>
      </w:pPr>
      <w:r>
        <w:tab/>
        <w:t>[Regulation 54 inserted: SL 2023/208 r. 7.]</w:t>
      </w:r>
    </w:p>
    <w:p>
      <w:pPr>
        <w:pStyle w:val="Heading3"/>
      </w:pPr>
      <w:bookmarkStart w:id="135" w:name="_Toc195190068"/>
      <w:bookmarkStart w:id="136" w:name="_Toc195194417"/>
      <w:bookmarkStart w:id="137" w:name="_Toc195197230"/>
      <w:r>
        <w:rPr>
          <w:rStyle w:val="CharDivNo"/>
        </w:rPr>
        <w:t>Division 3</w:t>
      </w:r>
      <w:r>
        <w:t> — </w:t>
      </w:r>
      <w:r>
        <w:rPr>
          <w:rStyle w:val="CharDivText"/>
        </w:rPr>
        <w:t>Smoke alarms</w:t>
      </w:r>
      <w:bookmarkEnd w:id="135"/>
      <w:bookmarkEnd w:id="136"/>
      <w:bookmarkEnd w:id="137"/>
    </w:p>
    <w:p>
      <w:pPr>
        <w:pStyle w:val="Heading5"/>
      </w:pPr>
      <w:bookmarkStart w:id="138" w:name="_Toc195197231"/>
      <w:r>
        <w:rPr>
          <w:rStyle w:val="CharSectno"/>
        </w:rPr>
        <w:t>55</w:t>
      </w:r>
      <w:r>
        <w:t>.</w:t>
      </w:r>
      <w:r>
        <w:tab/>
        <w:t>Terms used</w:t>
      </w:r>
      <w:bookmarkEnd w:id="138"/>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w:t>
      </w:r>
      <w:r>
        <w:lastRenderedPageBreak/>
        <w:t>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 SL 2024/123 r. 19(2).]</w:t>
      </w:r>
    </w:p>
    <w:p>
      <w:pPr>
        <w:pStyle w:val="Heading5"/>
        <w:keepNext w:val="0"/>
        <w:keepLines w:val="0"/>
        <w:spacing w:before="180"/>
      </w:pPr>
      <w:bookmarkStart w:id="139" w:name="_Toc195197232"/>
      <w:r>
        <w:rPr>
          <w:rStyle w:val="CharSectno"/>
        </w:rPr>
        <w:t>56</w:t>
      </w:r>
      <w:r>
        <w:t>.</w:t>
      </w:r>
      <w:r>
        <w:tab/>
        <w:t>Requirement to have smoke alarms or similar prior to transfer of dwelling</w:t>
      </w:r>
      <w:bookmarkEnd w:id="139"/>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40" w:name="_Toc195197233"/>
      <w:r>
        <w:rPr>
          <w:rStyle w:val="CharSectno"/>
        </w:rPr>
        <w:lastRenderedPageBreak/>
        <w:t>57</w:t>
      </w:r>
      <w:r>
        <w:t>.</w:t>
      </w:r>
      <w:r>
        <w:tab/>
        <w:t>New owner must install smoke alarms or similar, and right to recover costs</w:t>
      </w:r>
      <w:bookmarkEnd w:id="140"/>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Pr>
      <w:bookmarkStart w:id="141" w:name="_Toc195197234"/>
      <w:r>
        <w:rPr>
          <w:rStyle w:val="CharSectno"/>
        </w:rPr>
        <w:lastRenderedPageBreak/>
        <w:t>58</w:t>
      </w:r>
      <w:r>
        <w:t>.</w:t>
      </w:r>
      <w:r>
        <w:tab/>
        <w:t>Requirement to have smoke alarms or similar prior to tenancy</w:t>
      </w:r>
      <w:bookmarkEnd w:id="141"/>
    </w:p>
    <w:p>
      <w:pPr>
        <w:pStyle w:val="Subsection"/>
      </w:pPr>
      <w:r>
        <w:tab/>
        <w:t>(1)</w:t>
      </w:r>
      <w:r>
        <w:tab/>
        <w:t xml:space="preserve">This regulation applies to a dwelling if either or both of the following conditions are satisfied — </w:t>
      </w:r>
    </w:p>
    <w:p>
      <w:pPr>
        <w:pStyle w:val="Indenta"/>
      </w:pPr>
      <w:r>
        <w:tab/>
        <w:t>(a)</w:t>
      </w:r>
      <w:r>
        <w:tab/>
        <w:t>the dwelling is rented, or made available for rent, under a residential tenancy agreement;</w:t>
      </w:r>
    </w:p>
    <w:p>
      <w:pPr>
        <w:pStyle w:val="Indenta"/>
      </w:pPr>
      <w:r>
        <w:tab/>
        <w:t>(b)</w:t>
      </w:r>
      <w:r>
        <w:tab/>
        <w:t>the dwelling is, or is made available as, short</w:t>
      </w:r>
      <w:r>
        <w:noBreakHyphen/>
        <w:t>term rental accommodation.</w:t>
      </w:r>
    </w:p>
    <w:p>
      <w:pPr>
        <w:pStyle w:val="Subsection"/>
        <w:keepNext/>
      </w:pPr>
      <w:r>
        <w:tab/>
        <w:t>(2)</w:t>
      </w:r>
      <w:r>
        <w:tab/>
        <w:t>The owner of the dwelling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Footnotesection"/>
      </w:pPr>
      <w:r>
        <w:tab/>
        <w:t>[Regulation 58 amended: SL 2024/123 r. 19(3)-(5).]</w:t>
      </w:r>
    </w:p>
    <w:p>
      <w:pPr>
        <w:pStyle w:val="Heading5"/>
      </w:pPr>
      <w:bookmarkStart w:id="142" w:name="_Toc195197235"/>
      <w:r>
        <w:rPr>
          <w:rStyle w:val="CharSectno"/>
        </w:rPr>
        <w:t>59</w:t>
      </w:r>
      <w:r>
        <w:t>.</w:t>
      </w:r>
      <w:r>
        <w:tab/>
        <w:t>Requirement to have smoke alarms or similar prior to hire of dwelling</w:t>
      </w:r>
      <w:bookmarkEnd w:id="142"/>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43" w:name="_Toc195197236"/>
      <w:r>
        <w:rPr>
          <w:rStyle w:val="CharSectno"/>
        </w:rPr>
        <w:lastRenderedPageBreak/>
        <w:t>60</w:t>
      </w:r>
      <w:r>
        <w:t>.</w:t>
      </w:r>
      <w:r>
        <w:tab/>
        <w:t>Requirements for smoke alarms</w:t>
      </w:r>
      <w:bookmarkEnd w:id="143"/>
    </w:p>
    <w:p>
      <w:pPr>
        <w:pStyle w:val="Subsection"/>
        <w:keepNext/>
      </w:pPr>
      <w:r>
        <w:tab/>
        <w:t>(1)</w:t>
      </w:r>
      <w:r>
        <w:tab/>
        <w:t xml:space="preserve">In this regulation — </w:t>
      </w:r>
    </w:p>
    <w:p>
      <w:pPr>
        <w:pStyle w:val="Defstart"/>
        <w:keepNex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 xml:space="preserve">each smoke alarm necessary to meet those requirements — </w:t>
      </w:r>
    </w:p>
    <w:p>
      <w:pPr>
        <w:pStyle w:val="Indenti"/>
      </w:pPr>
      <w:r>
        <w:tab/>
        <w:t>(i)</w:t>
      </w:r>
      <w:r>
        <w:tab/>
        <w:t>if an expiry date is provided on the alarm — has not reached that expiry date; or</w:t>
      </w:r>
    </w:p>
    <w:p>
      <w:pPr>
        <w:pStyle w:val="Indenti"/>
      </w:pPr>
      <w:r>
        <w:tab/>
        <w:t>(ii)</w:t>
      </w:r>
      <w:r>
        <w:tab/>
        <w:t>if no expiry date is provided on the alarm — was installed less than 10 years before the relevant day;</w:t>
      </w:r>
    </w:p>
    <w:p>
      <w:pPr>
        <w:pStyle w:val="Indenta"/>
      </w:pPr>
      <w:r>
        <w:tab/>
      </w:r>
      <w:r>
        <w:tab/>
        <w:t>and</w:t>
      </w:r>
    </w:p>
    <w:p>
      <w:pPr>
        <w:pStyle w:val="Indenta"/>
      </w:pPr>
      <w:r>
        <w:lastRenderedPageBreak/>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 xml:space="preserve">a building permit for the construction, erection, assembly or placement of the dwelling was granted on </w:t>
      </w:r>
      <w:r>
        <w:lastRenderedPageBreak/>
        <w:t>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 SL 2024/123 r. 19(6) and (7).]</w:t>
      </w:r>
    </w:p>
    <w:p>
      <w:pPr>
        <w:pStyle w:val="Heading5"/>
        <w:spacing w:before="180"/>
      </w:pPr>
      <w:bookmarkStart w:id="144" w:name="_Toc195197237"/>
      <w:r>
        <w:rPr>
          <w:rStyle w:val="CharSectno"/>
        </w:rPr>
        <w:t>61</w:t>
      </w:r>
      <w:r>
        <w:t>.</w:t>
      </w:r>
      <w:r>
        <w:tab/>
        <w:t>Local government approval of battery powered smoke alarms</w:t>
      </w:r>
      <w:bookmarkEnd w:id="144"/>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keepNext/>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keepNext/>
        <w:spacing w:before="120"/>
      </w:pPr>
      <w:r>
        <w:lastRenderedPageBreak/>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45" w:name="_Toc195197238"/>
      <w:r>
        <w:rPr>
          <w:rStyle w:val="CharSectno"/>
        </w:rPr>
        <w:t>62</w:t>
      </w:r>
      <w:r>
        <w:t>.</w:t>
      </w:r>
      <w:r>
        <w:tab/>
        <w:t>Requirement to maintain certain smoke alarms</w:t>
      </w:r>
      <w:bookmarkEnd w:id="145"/>
    </w:p>
    <w:p>
      <w:pPr>
        <w:pStyle w:val="Subsection"/>
      </w:pPr>
      <w:r>
        <w:tab/>
        <w:t>(1)</w:t>
      </w:r>
      <w:r>
        <w:tab/>
        <w:t xml:space="preserve">This regulation applies to a person who is one or more of the following — </w:t>
      </w:r>
    </w:p>
    <w:p>
      <w:pPr>
        <w:pStyle w:val="Indenta"/>
      </w:pPr>
      <w:r>
        <w:tab/>
        <w:t>(a)</w:t>
      </w:r>
      <w:r>
        <w:tab/>
        <w:t xml:space="preserve">the lessor (as defined in the </w:t>
      </w:r>
      <w:r>
        <w:rPr>
          <w:i/>
          <w:iCs/>
        </w:rPr>
        <w:t>Residential Tenancies Act 1987</w:t>
      </w:r>
      <w:r>
        <w:t xml:space="preserve"> section 3) of a dwelling;</w:t>
      </w:r>
    </w:p>
    <w:p>
      <w:pPr>
        <w:pStyle w:val="Indenta"/>
      </w:pPr>
      <w:r>
        <w:tab/>
        <w:t>(b)</w:t>
      </w:r>
      <w:r>
        <w:tab/>
        <w:t>the owner of a dwelling that is, or is made available as, short</w:t>
      </w:r>
      <w:r>
        <w:noBreakHyphen/>
        <w:t>term rental accommodation;</w:t>
      </w:r>
    </w:p>
    <w:p>
      <w:pPr>
        <w:pStyle w:val="Indenta"/>
      </w:pPr>
      <w:r>
        <w:tab/>
        <w:t>(c)</w:t>
      </w:r>
      <w:r>
        <w:tab/>
        <w:t>the owner of a dwelling that is hired or made available for hire.</w:t>
      </w:r>
    </w:p>
    <w:p>
      <w:pPr>
        <w:pStyle w:val="Subsection"/>
      </w:pPr>
      <w:r>
        <w:tab/>
        <w:t>(2)</w:t>
      </w:r>
      <w:r>
        <w:tab/>
        <w:t>The lessor or owner must, to the extent practicable, ensure that each smoke alarm installed in the dwelling is in working order.</w:t>
      </w:r>
    </w:p>
    <w:p>
      <w:pPr>
        <w:pStyle w:val="Penstart"/>
      </w:pPr>
      <w:r>
        <w:tab/>
        <w:t>Penalty for this subregulation: a fine of $5 000.</w:t>
      </w:r>
    </w:p>
    <w:p>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Penstart"/>
      </w:pPr>
      <w:r>
        <w:tab/>
        <w:t>Penalty for this subregulation: a fine of $5 000.</w:t>
      </w:r>
    </w:p>
    <w:p>
      <w:pPr>
        <w:pStyle w:val="Subsection"/>
      </w:pPr>
      <w:r>
        <w:tab/>
        <w:t>(4)</w:t>
      </w:r>
      <w:r>
        <w:tab/>
        <w:t xml:space="preserve">If a smoke alarm installed in the dwelling was, at the time of installation, not required to be connected to the mains power supply, the lessor or owner must, to the extent practicable, </w:t>
      </w:r>
      <w:r>
        <w:lastRenderedPageBreak/>
        <w:t xml:space="preserve">ensure that the alarm has a 10 year life battery that cannot be removed. </w:t>
      </w:r>
    </w:p>
    <w:p>
      <w:pPr>
        <w:pStyle w:val="Penstart"/>
      </w:pPr>
      <w:r>
        <w:tab/>
        <w:t>Penalty for this subregulation: a fine of $5 000.</w:t>
      </w:r>
    </w:p>
    <w:p>
      <w:pPr>
        <w:pStyle w:val="Subsection"/>
      </w:pPr>
      <w:r>
        <w:tab/>
        <w:t>(5)</w:t>
      </w:r>
      <w:r>
        <w:tab/>
        <w:t>If an expiry date is provided on a smoke alarm installed in the dwelling, the lessor or owner must, to the extent practicable, ensure that the alarm has not reached that expiry date.</w:t>
      </w:r>
    </w:p>
    <w:p>
      <w:pPr>
        <w:pStyle w:val="Penstart"/>
      </w:pPr>
      <w:r>
        <w:tab/>
        <w:t>Penalty for this subregulation: a fine of $5 000.</w:t>
      </w:r>
    </w:p>
    <w:p>
      <w:pPr>
        <w:pStyle w:val="Subsection"/>
        <w:keepNext/>
      </w:pPr>
      <w:r>
        <w:tab/>
        <w:t>(6)</w:t>
      </w:r>
      <w:r>
        <w:tab/>
        <w:t>If no expiry date is provided on a smoke alarm installed in the dwelling, the lessor or owner must, to the extent practicable, ensure that the alarm is not more than 10 years old.</w:t>
      </w:r>
    </w:p>
    <w:p>
      <w:pPr>
        <w:pStyle w:val="Penstart"/>
        <w:keepNext/>
      </w:pPr>
      <w:r>
        <w:tab/>
        <w:t>Penalty for this subregulation: a fine of $5 000.</w:t>
      </w:r>
    </w:p>
    <w:p>
      <w:pPr>
        <w:pStyle w:val="Footnotesection"/>
      </w:pPr>
      <w:r>
        <w:tab/>
        <w:t>[Regulation 62 inserted: SL 2024/123 r. 19(8).]</w:t>
      </w:r>
    </w:p>
    <w:p>
      <w:pPr>
        <w:pStyle w:val="Ednotepart"/>
      </w:pPr>
      <w:r>
        <w:t>[Part 9</w:t>
      </w:r>
      <w:r>
        <w:rPr>
          <w:vertAlign w:val="superscript"/>
        </w:rPr>
        <w:t> 1</w:t>
      </w:r>
      <w:r>
        <w:t xml:space="preserve"> (r. 63-68) omitted under the Reprints Act 1984 s. 7(4)(e).]</w:t>
      </w:r>
    </w:p>
    <w:p>
      <w:pPr>
        <w:pStyle w:val="Heading2"/>
      </w:pPr>
      <w:bookmarkStart w:id="146" w:name="_Toc195190077"/>
      <w:bookmarkStart w:id="147" w:name="_Toc195194426"/>
      <w:bookmarkStart w:id="148" w:name="_Toc195197239"/>
      <w:r>
        <w:rPr>
          <w:rStyle w:val="CharPartNo"/>
        </w:rPr>
        <w:lastRenderedPageBreak/>
        <w:t>Part 10</w:t>
      </w:r>
      <w:r>
        <w:rPr>
          <w:rStyle w:val="CharDivNo"/>
        </w:rPr>
        <w:t> </w:t>
      </w:r>
      <w:r>
        <w:t>—</w:t>
      </w:r>
      <w:r>
        <w:rPr>
          <w:rStyle w:val="CharDivText"/>
        </w:rPr>
        <w:t> </w:t>
      </w:r>
      <w:r>
        <w:rPr>
          <w:rStyle w:val="CharPartText"/>
        </w:rPr>
        <w:t>Infringement notices</w:t>
      </w:r>
      <w:bookmarkEnd w:id="146"/>
      <w:bookmarkEnd w:id="147"/>
      <w:bookmarkEnd w:id="148"/>
    </w:p>
    <w:p>
      <w:pPr>
        <w:pStyle w:val="Footnoteheading"/>
      </w:pPr>
      <w:r>
        <w:tab/>
        <w:t>[Heading inserted: Gazette 18 Dec 2012 p. 6575.]</w:t>
      </w:r>
    </w:p>
    <w:p>
      <w:pPr>
        <w:pStyle w:val="Heading5"/>
      </w:pPr>
      <w:bookmarkStart w:id="149" w:name="_Toc195197240"/>
      <w:r>
        <w:rPr>
          <w:rStyle w:val="CharSectno"/>
        </w:rPr>
        <w:t>69</w:t>
      </w:r>
      <w:r>
        <w:t>.</w:t>
      </w:r>
      <w:r>
        <w:tab/>
        <w:t>Prescribed offences and modified penalties</w:t>
      </w:r>
      <w:bookmarkEnd w:id="14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50" w:name="_Toc195197241"/>
      <w:r>
        <w:rPr>
          <w:rStyle w:val="CharSectno"/>
        </w:rPr>
        <w:t>70</w:t>
      </w:r>
      <w:r>
        <w:t>.</w:t>
      </w:r>
      <w:r>
        <w:tab/>
        <w:t>Approved officers and authorised officers</w:t>
      </w:r>
      <w:bookmarkEnd w:id="150"/>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51" w:name="_Toc195197242"/>
      <w:r>
        <w:rPr>
          <w:rStyle w:val="CharSectno"/>
        </w:rPr>
        <w:t>71</w:t>
      </w:r>
      <w:r>
        <w:t>.</w:t>
      </w:r>
      <w:r>
        <w:tab/>
        <w:t>Forms</w:t>
      </w:r>
      <w:bookmarkEnd w:id="151"/>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52" w:name="_Toc195190081"/>
      <w:bookmarkStart w:id="153" w:name="_Toc195194430"/>
      <w:bookmarkStart w:id="154" w:name="_Toc195197243"/>
      <w:r>
        <w:rPr>
          <w:rStyle w:val="CharSchNo"/>
        </w:rPr>
        <w:lastRenderedPageBreak/>
        <w:t>Schedule 1</w:t>
      </w:r>
      <w:r>
        <w:rPr>
          <w:rStyle w:val="CharSDivNo"/>
        </w:rPr>
        <w:t> </w:t>
      </w:r>
      <w:r>
        <w:t>—</w:t>
      </w:r>
      <w:r>
        <w:rPr>
          <w:rStyle w:val="CharSDivText"/>
        </w:rPr>
        <w:t> </w:t>
      </w:r>
      <w:r>
        <w:rPr>
          <w:rStyle w:val="CharSchText"/>
        </w:rPr>
        <w:t>Estimated value of building work</w:t>
      </w:r>
      <w:bookmarkEnd w:id="152"/>
      <w:bookmarkEnd w:id="153"/>
      <w:bookmarkEnd w:id="154"/>
    </w:p>
    <w:p>
      <w:pPr>
        <w:pStyle w:val="yShoulderClause"/>
      </w:pPr>
      <w:r>
        <w:t>[r. 3]</w:t>
      </w:r>
    </w:p>
    <w:p>
      <w:pPr>
        <w:pStyle w:val="yHeading5"/>
        <w:spacing w:before="180"/>
      </w:pPr>
      <w:bookmarkStart w:id="155" w:name="_Toc195197244"/>
      <w:r>
        <w:rPr>
          <w:rStyle w:val="CharSClsNo"/>
        </w:rPr>
        <w:t>1</w:t>
      </w:r>
      <w:r>
        <w:t>.</w:t>
      </w:r>
      <w:r>
        <w:tab/>
        <w:t>Terms used</w:t>
      </w:r>
      <w:bookmarkEnd w:id="15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6" w:name="_Toc195197245"/>
      <w:r>
        <w:rPr>
          <w:rStyle w:val="CharSClsNo"/>
        </w:rPr>
        <w:t>2</w:t>
      </w:r>
      <w:r>
        <w:t>.</w:t>
      </w:r>
      <w:r>
        <w:tab/>
        <w:t>Estimated value of building work</w:t>
      </w:r>
      <w:bookmarkEnd w:id="156"/>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7" w:name="_Toc195197246"/>
      <w:r>
        <w:rPr>
          <w:rStyle w:val="CharSClsNo"/>
        </w:rPr>
        <w:lastRenderedPageBreak/>
        <w:t>3</w:t>
      </w:r>
      <w:r>
        <w:t>.</w:t>
      </w:r>
      <w:r>
        <w:tab/>
        <w:t>Estimated value of unauthorised building work</w:t>
      </w:r>
      <w:bookmarkEnd w:id="157"/>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59" w:name="_Toc195190085"/>
      <w:bookmarkStart w:id="160" w:name="_Toc195194434"/>
      <w:bookmarkStart w:id="161" w:name="_Toc195197247"/>
      <w:r>
        <w:rPr>
          <w:rStyle w:val="CharSchNo"/>
        </w:rPr>
        <w:lastRenderedPageBreak/>
        <w:t>Schedule 2</w:t>
      </w:r>
      <w:r>
        <w:t> — </w:t>
      </w:r>
      <w:r>
        <w:rPr>
          <w:rStyle w:val="CharSchText"/>
        </w:rPr>
        <w:t>Fees</w:t>
      </w:r>
      <w:bookmarkEnd w:id="159"/>
      <w:bookmarkEnd w:id="160"/>
      <w:bookmarkEnd w:id="161"/>
    </w:p>
    <w:p>
      <w:pPr>
        <w:pStyle w:val="yShoulderClause"/>
      </w:pPr>
      <w:r>
        <w:t>[r. 11]</w:t>
      </w:r>
    </w:p>
    <w:p>
      <w:pPr>
        <w:pStyle w:val="yFootnoteheading"/>
      </w:pPr>
      <w:r>
        <w:tab/>
        <w:t>[Heading inserted: Gazette 23 Jun 2017 p. 3222.]</w:t>
      </w:r>
    </w:p>
    <w:p>
      <w:pPr>
        <w:pStyle w:val="yHeading3"/>
      </w:pPr>
      <w:bookmarkStart w:id="162" w:name="_Toc195190086"/>
      <w:bookmarkStart w:id="163" w:name="_Toc195194435"/>
      <w:bookmarkStart w:id="164" w:name="_Toc195197248"/>
      <w:r>
        <w:rPr>
          <w:rStyle w:val="CharSDivNo"/>
        </w:rPr>
        <w:t>Division 1</w:t>
      </w:r>
      <w:r>
        <w:t> — </w:t>
      </w:r>
      <w:r>
        <w:rPr>
          <w:rStyle w:val="CharSDivText"/>
        </w:rPr>
        <w:t>Applications for building permits, demolition permits</w:t>
      </w:r>
      <w:bookmarkEnd w:id="162"/>
      <w:bookmarkEnd w:id="163"/>
      <w:bookmarkEnd w:id="164"/>
    </w:p>
    <w:p>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65" w:name="_Toc195190087"/>
      <w:bookmarkStart w:id="166" w:name="_Toc195194436"/>
      <w:bookmarkStart w:id="167" w:name="_Toc195197249"/>
      <w:r>
        <w:rPr>
          <w:rStyle w:val="CharSDivNo"/>
        </w:rPr>
        <w:t>Division 2</w:t>
      </w:r>
      <w:r>
        <w:t> — </w:t>
      </w:r>
      <w:r>
        <w:rPr>
          <w:rStyle w:val="CharSDivText"/>
        </w:rPr>
        <w:t>Application for occupancy permits, building approval certificates</w:t>
      </w:r>
      <w:bookmarkEnd w:id="165"/>
      <w:bookmarkEnd w:id="166"/>
      <w:bookmarkEnd w:id="167"/>
    </w:p>
    <w:p>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68" w:name="_Toc195190088"/>
      <w:bookmarkStart w:id="169" w:name="_Toc195194437"/>
      <w:bookmarkStart w:id="170" w:name="_Toc195197250"/>
      <w:r>
        <w:rPr>
          <w:rStyle w:val="CharSDivNo"/>
        </w:rPr>
        <w:t>Division 3</w:t>
      </w:r>
      <w:r>
        <w:t> — </w:t>
      </w:r>
      <w:r>
        <w:rPr>
          <w:rStyle w:val="CharSDivText"/>
        </w:rPr>
        <w:t>Other applications</w:t>
      </w:r>
      <w:bookmarkEnd w:id="168"/>
      <w:bookmarkEnd w:id="169"/>
      <w:bookmarkEnd w:id="170"/>
    </w:p>
    <w:p>
      <w:pPr>
        <w:pStyle w:val="yFootnoteheading"/>
        <w:spacing w:after="60"/>
      </w:pPr>
      <w:r>
        <w:tab/>
        <w:t>[Heading inserted: Gazette 23 Jun 2017 p. 3225.]</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71" w:name="_Toc195190089"/>
      <w:bookmarkStart w:id="172" w:name="_Toc195194438"/>
      <w:bookmarkStart w:id="173" w:name="_Toc195197251"/>
      <w:r>
        <w:rPr>
          <w:rStyle w:val="CharSchNo"/>
        </w:rPr>
        <w:lastRenderedPageBreak/>
        <w:t>Schedule 3</w:t>
      </w:r>
      <w:r>
        <w:t> — </w:t>
      </w:r>
      <w:r>
        <w:rPr>
          <w:rStyle w:val="CharSchText"/>
        </w:rPr>
        <w:t>Inspections or tests of systems</w:t>
      </w:r>
      <w:bookmarkEnd w:id="171"/>
      <w:bookmarkEnd w:id="172"/>
      <w:bookmarkEnd w:id="173"/>
    </w:p>
    <w:p>
      <w:pPr>
        <w:pStyle w:val="yShoulderClause"/>
      </w:pPr>
      <w:r>
        <w:t>[r. 27]</w:t>
      </w:r>
    </w:p>
    <w:p>
      <w:pPr>
        <w:pStyle w:val="yHeading5"/>
      </w:pPr>
      <w:bookmarkStart w:id="174" w:name="_Toc195197252"/>
      <w:r>
        <w:rPr>
          <w:rStyle w:val="CharSClsNo"/>
        </w:rPr>
        <w:t>1</w:t>
      </w:r>
      <w:r>
        <w:t>.</w:t>
      </w:r>
      <w:r>
        <w:tab/>
        <w:t>Term used: EP</w:t>
      </w:r>
      <w:bookmarkEnd w:id="174"/>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175" w:name="_Toc195190091"/>
      <w:bookmarkStart w:id="176" w:name="_Toc195194440"/>
      <w:bookmarkStart w:id="177" w:name="_Toc195197253"/>
      <w:r>
        <w:rPr>
          <w:rStyle w:val="CharSchNo"/>
        </w:rPr>
        <w:lastRenderedPageBreak/>
        <w:t>Schedule 4</w:t>
      </w:r>
      <w:r>
        <w:t> — </w:t>
      </w:r>
      <w:r>
        <w:rPr>
          <w:rStyle w:val="CharSchText"/>
        </w:rPr>
        <w:t>Building work that does not require building permit</w:t>
      </w:r>
      <w:bookmarkEnd w:id="175"/>
      <w:bookmarkEnd w:id="176"/>
      <w:bookmarkEnd w:id="177"/>
    </w:p>
    <w:p>
      <w:pPr>
        <w:pStyle w:val="yShoulderClause"/>
      </w:pPr>
      <w:r>
        <w:t>[r. 41]</w:t>
      </w:r>
    </w:p>
    <w:p>
      <w:pPr>
        <w:pStyle w:val="yHeading5"/>
        <w:rPr>
          <w:rStyle w:val="CharSDivText"/>
        </w:rPr>
      </w:pPr>
      <w:bookmarkStart w:id="178" w:name="_Toc195197254"/>
      <w:r>
        <w:rPr>
          <w:rStyle w:val="CharSClsNo"/>
        </w:rPr>
        <w:t>1</w:t>
      </w:r>
      <w:r>
        <w:t>.</w:t>
      </w:r>
      <w:r>
        <w:tab/>
      </w:r>
      <w:r>
        <w:rPr>
          <w:rStyle w:val="CharSDivText"/>
        </w:rPr>
        <w:t>Areas where building permit not required for certain work</w:t>
      </w:r>
      <w:bookmarkEnd w:id="178"/>
    </w:p>
    <w:p>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lastRenderedPageBreak/>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lastRenderedPageBreak/>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9" w:name="_Toc195197255"/>
      <w:r>
        <w:rPr>
          <w:rStyle w:val="CharSClsNo"/>
        </w:rPr>
        <w:t>2</w:t>
      </w:r>
      <w:r>
        <w:t>.</w:t>
      </w:r>
      <w:r>
        <w:tab/>
      </w:r>
      <w:r>
        <w:rPr>
          <w:rStyle w:val="CharSDivText"/>
        </w:rPr>
        <w:t>Kinds of building work for which a building permit is not required</w:t>
      </w:r>
      <w:bookmarkEnd w:id="179"/>
    </w:p>
    <w:p>
      <w:pPr>
        <w:pStyle w:val="ySubsection"/>
      </w:pPr>
      <w:r>
        <w:tab/>
      </w:r>
      <w:r>
        <w:tab/>
        <w:t xml:space="preserve">In this clause — </w:t>
      </w:r>
    </w:p>
    <w:p>
      <w:pPr>
        <w:pStyle w:val="yDefstart"/>
      </w:pPr>
      <w:r>
        <w:tab/>
      </w:r>
      <w:r>
        <w:rPr>
          <w:rStyle w:val="CharDefText"/>
        </w:rPr>
        <w:t>fall prevention barrier</w:t>
      </w:r>
      <w:r>
        <w:t xml:space="preserve"> means a barrier that a performance requirement set out in the Building Code requires to be provided where people could fall;</w:t>
      </w:r>
    </w:p>
    <w:p>
      <w:pPr>
        <w:pStyle w:val="yDefstart"/>
      </w:pPr>
      <w:r>
        <w:tab/>
      </w:r>
      <w:r>
        <w:rPr>
          <w:rStyle w:val="CharDefText"/>
        </w:rPr>
        <w:t>fence</w:t>
      </w:r>
      <w:r>
        <w:t xml:space="preserve"> includes a fence that is, or is part of, a pool </w:t>
      </w:r>
      <w:r>
        <w:rPr>
          <w:szCs w:val="18"/>
        </w:rPr>
        <w:t>barrier;</w:t>
      </w:r>
    </w:p>
    <w:p>
      <w:pPr>
        <w:pStyle w:val="yDefstart"/>
      </w:pPr>
      <w:r>
        <w:tab/>
      </w:r>
      <w:r>
        <w:rPr>
          <w:rStyle w:val="CharDefText"/>
        </w:rPr>
        <w:t>item 13(d) building or incidental structure</w:t>
      </w:r>
      <w:r>
        <w:t xml:space="preserve"> means any of the following — </w:t>
      </w:r>
    </w:p>
    <w:p>
      <w:pPr>
        <w:pStyle w:val="yDefpara"/>
      </w:pPr>
      <w:r>
        <w:tab/>
        <w:t>(a)</w:t>
      </w:r>
      <w:r>
        <w:tab/>
        <w:t>a Class 1, Class 2 or Class 3 building;</w:t>
      </w:r>
    </w:p>
    <w:p>
      <w:pPr>
        <w:pStyle w:val="yDefpara"/>
      </w:pPr>
      <w:r>
        <w:tab/>
        <w:t>(b)</w:t>
      </w:r>
      <w:r>
        <w:tab/>
        <w:t xml:space="preserve">a Class 10a building or deck if the building or deck is associated with a Class 1 building; </w:t>
      </w:r>
    </w:p>
    <w:p>
      <w:pPr>
        <w:pStyle w:val="yDefpara"/>
      </w:pPr>
      <w:r>
        <w:lastRenderedPageBreak/>
        <w:tab/>
        <w:t>(c)</w:t>
      </w:r>
      <w:r>
        <w:tab/>
        <w:t>a Class 10a building or deck if the building or deck is immediately adjacent or connected to a Class 2 or Class 3 building;</w:t>
      </w:r>
    </w:p>
    <w:p>
      <w:pPr>
        <w:pStyle w:val="yDefstart"/>
      </w:pPr>
      <w:r>
        <w:tab/>
      </w:r>
      <w:r>
        <w:rPr>
          <w:rStyle w:val="CharDefText"/>
        </w:rPr>
        <w:t>item 13(e) building or incidental structure</w:t>
      </w:r>
      <w:r>
        <w:t xml:space="preserve"> means any of the following — </w:t>
      </w:r>
    </w:p>
    <w:p>
      <w:pPr>
        <w:pStyle w:val="yDefpara"/>
      </w:pPr>
      <w:r>
        <w:tab/>
        <w:t>(a)</w:t>
      </w:r>
      <w:r>
        <w:tab/>
        <w:t>a Class 9b early childhood centre;</w:t>
      </w:r>
    </w:p>
    <w:p>
      <w:pPr>
        <w:pStyle w:val="yDefpara"/>
      </w:pPr>
      <w:r>
        <w:tab/>
        <w:t>(b)</w:t>
      </w:r>
      <w:r>
        <w:tab/>
        <w:t>a Class 9b primary or secondary school;</w:t>
      </w:r>
    </w:p>
    <w:p>
      <w:pPr>
        <w:pStyle w:val="yDefpara"/>
      </w:pPr>
      <w:r>
        <w:tab/>
        <w:t>(c)</w:t>
      </w:r>
      <w:r>
        <w:tab/>
        <w:t>a Class 10a building or deck if the building or deck is immediately adjacent or connected to a building referred to in paragraph (a) or (b);</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right" w:pos="1201"/>
                <w:tab w:val="left" w:pos="1581"/>
              </w:tabs>
              <w:spacing w:before="100"/>
              <w:ind w:left="1593" w:hanging="1593"/>
              <w:rPr>
                <w:szCs w:val="22"/>
              </w:rPr>
            </w:pPr>
            <w:r>
              <w:rPr>
                <w:szCs w:val="22"/>
              </w:rPr>
              <w:tab/>
              <w:t>(i)</w:t>
            </w:r>
            <w:r>
              <w:rPr>
                <w:szCs w:val="22"/>
              </w:rPr>
              <w:tab/>
              <w:t xml:space="preserve">an increase or </w:t>
            </w:r>
            <w:r>
              <w:t>decrease</w:t>
            </w:r>
            <w:r>
              <w:rPr>
                <w:szCs w:val="22"/>
              </w:rPr>
              <w:t xml:space="preserve"> in the floor area or height of the building or incidental structure; or</w:t>
            </w:r>
          </w:p>
          <w:p>
            <w:pPr>
              <w:pStyle w:val="yTableNAm"/>
              <w:tabs>
                <w:tab w:val="clear" w:pos="567"/>
                <w:tab w:val="right" w:pos="1201"/>
                <w:tab w:val="left" w:pos="1581"/>
              </w:tabs>
              <w:spacing w:before="100"/>
              <w:ind w:left="1593" w:hanging="1593"/>
              <w:rPr>
                <w:szCs w:val="22"/>
              </w:rPr>
            </w:pPr>
            <w:r>
              <w:rPr>
                <w:szCs w:val="22"/>
              </w:rPr>
              <w:tab/>
              <w:t>(ii)</w:t>
            </w:r>
            <w:r>
              <w:rPr>
                <w:szCs w:val="22"/>
              </w:rPr>
              <w:tab/>
              <w:t xml:space="preserve">underpinning or </w:t>
            </w:r>
            <w:r>
              <w:t>replacement</w:t>
            </w:r>
            <w:r>
              <w:rPr>
                <w:szCs w:val="22"/>
              </w:rPr>
              <w:t xml:space="preserve">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right" w:pos="1201"/>
                <w:tab w:val="left" w:pos="1581"/>
              </w:tabs>
              <w:spacing w:before="100"/>
              <w:ind w:left="1593" w:hanging="1593"/>
              <w:rPr>
                <w:szCs w:val="22"/>
              </w:rPr>
            </w:pPr>
            <w:r>
              <w:rPr>
                <w:szCs w:val="22"/>
              </w:rPr>
              <w:tab/>
              <w:t>(iii)</w:t>
            </w:r>
            <w:r>
              <w:rPr>
                <w:szCs w:val="22"/>
              </w:rPr>
              <w:tab/>
              <w:t xml:space="preserve">the removal or alteration of any element of the building or incidental structure that is contributing to the support of any other element of the building or incidental </w:t>
            </w:r>
            <w:r>
              <w:t>structure</w:t>
            </w:r>
            <w:r>
              <w:rPr>
                <w:szCs w:val="22"/>
              </w:rPr>
              <w:t>;</w:t>
            </w:r>
          </w:p>
          <w:p>
            <w:pPr>
              <w:pStyle w:val="yTableNAm"/>
              <w:tabs>
                <w:tab w:val="clear" w:pos="567"/>
              </w:tabs>
              <w:spacing w:before="0"/>
              <w:ind w:left="743" w:hanging="567"/>
              <w:rPr>
                <w:szCs w:val="22"/>
              </w:rPr>
            </w:pPr>
            <w:r>
              <w:rPr>
                <w:szCs w:val="22"/>
              </w:rPr>
              <w:lastRenderedPageBreak/>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Pr>
          <w:p>
            <w:pPr>
              <w:pStyle w:val="yTableNAm"/>
              <w:spacing w:before="100"/>
              <w:rPr>
                <w:szCs w:val="22"/>
              </w:rPr>
            </w:pPr>
            <w:r>
              <w:t>4.</w:t>
            </w:r>
          </w:p>
        </w:tc>
        <w:tc>
          <w:tcPr>
            <w:tcW w:w="6274" w:type="dxa"/>
          </w:tcPr>
          <w:p>
            <w:pPr>
              <w:pStyle w:val="yTableNAm"/>
            </w:pPr>
            <w:r>
              <w:t xml:space="preserve">Construction, erection, assembly or placement of a fence, screen or similar structure, other than a fall prevention barrier, if — </w:t>
            </w:r>
          </w:p>
          <w:p>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trPr>
          <w:cantSplit/>
        </w:trPr>
        <w:tc>
          <w:tcPr>
            <w:tcW w:w="851" w:type="dxa"/>
          </w:tcPr>
          <w:p>
            <w:pPr>
              <w:pStyle w:val="yTableNAm"/>
              <w:spacing w:before="100"/>
              <w:rPr>
                <w:szCs w:val="22"/>
              </w:rPr>
            </w:pPr>
          </w:p>
        </w:tc>
        <w:tc>
          <w:tcPr>
            <w:tcW w:w="6274" w:type="dxa"/>
          </w:tcPr>
          <w:p>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right" w:pos="1201"/>
                <w:tab w:val="left" w:pos="1581"/>
              </w:tabs>
              <w:spacing w:before="100"/>
              <w:ind w:left="1593" w:hanging="1593"/>
            </w:pPr>
            <w:r>
              <w:tab/>
              <w:t>(i)</w:t>
            </w:r>
            <w:r>
              <w:tab/>
              <w:t>if constructed of masonry — is no more than 0.75 m in height; and</w:t>
            </w:r>
          </w:p>
          <w:p>
            <w:pPr>
              <w:pStyle w:val="yTableNAm"/>
              <w:tabs>
                <w:tab w:val="clear" w:pos="567"/>
                <w:tab w:val="right" w:pos="1201"/>
                <w:tab w:val="left" w:pos="1581"/>
              </w:tabs>
              <w:spacing w:before="100"/>
              <w:ind w:left="1593" w:hanging="1593"/>
            </w:pPr>
            <w:r>
              <w:tab/>
              <w:t>(ii)</w:t>
            </w:r>
            <w:r>
              <w:tab/>
              <w:t>if constructed of a material other than masonry — is no more than 1.8 m in height; and</w:t>
            </w:r>
          </w:p>
          <w:p>
            <w:pPr>
              <w:pStyle w:val="yTableNAm"/>
              <w:tabs>
                <w:tab w:val="clear" w:pos="567"/>
                <w:tab w:val="right" w:pos="1201"/>
                <w:tab w:val="left" w:pos="1581"/>
              </w:tabs>
              <w:spacing w:before="100"/>
              <w:ind w:left="1593" w:hanging="1593"/>
              <w:rPr>
                <w:szCs w:val="22"/>
              </w:rPr>
            </w:pPr>
            <w:r>
              <w:tab/>
              <w:t>(iii)</w:t>
            </w:r>
            <w: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right" w:pos="1201"/>
                <w:tab w:val="left" w:pos="1581"/>
              </w:tabs>
              <w:spacing w:before="100"/>
              <w:ind w:left="1593" w:hanging="1593"/>
              <w:rPr>
                <w:szCs w:val="22"/>
              </w:rPr>
            </w:pPr>
            <w:r>
              <w:rPr>
                <w:szCs w:val="22"/>
              </w:rPr>
              <w:tab/>
              <w:t>(i)</w:t>
            </w:r>
            <w:r>
              <w:rPr>
                <w:szCs w:val="22"/>
              </w:rPr>
              <w:tab/>
              <w:t xml:space="preserve">is no more than 2 m in height above the highest </w:t>
            </w:r>
            <w:r>
              <w:t>point</w:t>
            </w:r>
            <w:r>
              <w:rPr>
                <w:szCs w:val="22"/>
              </w:rPr>
              <w:t xml:space="preserve"> of attachment to the building; and</w:t>
            </w:r>
          </w:p>
          <w:p>
            <w:pPr>
              <w:pStyle w:val="yTableNAm"/>
              <w:tabs>
                <w:tab w:val="clear" w:pos="567"/>
                <w:tab w:val="right" w:pos="1201"/>
                <w:tab w:val="left" w:pos="1581"/>
              </w:tabs>
              <w:spacing w:before="100"/>
              <w:ind w:left="1593" w:hanging="1593"/>
              <w:rPr>
                <w:szCs w:val="22"/>
              </w:rPr>
            </w:pPr>
            <w:r>
              <w:rPr>
                <w:szCs w:val="22"/>
              </w:rPr>
              <w:tab/>
              <w:t>(ii)</w:t>
            </w:r>
            <w:r>
              <w:rPr>
                <w:szCs w:val="22"/>
              </w:rPr>
              <w:tab/>
              <w:t xml:space="preserve">will not affect the way in which the building </w:t>
            </w:r>
            <w:r>
              <w:t>complies</w:t>
            </w:r>
            <w:r>
              <w:rPr>
                <w:szCs w:val="22"/>
              </w:rPr>
              <w:t xml:space="preserve">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lastRenderedPageBreak/>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Borders>
              <w:bottom w:val="single" w:sz="4" w:space="0" w:color="auto"/>
            </w:tcBorders>
          </w:tcPr>
          <w:p>
            <w:pPr>
              <w:pStyle w:val="yTableNAm"/>
              <w:rPr>
                <w:szCs w:val="22"/>
              </w:rPr>
            </w:pPr>
            <w:r>
              <w:rPr>
                <w:szCs w:val="22"/>
              </w:rPr>
              <w:t>12.</w:t>
            </w:r>
          </w:p>
        </w:tc>
        <w:tc>
          <w:tcPr>
            <w:tcW w:w="6274" w:type="dxa"/>
            <w:tcBorders>
              <w:bottom w:val="single" w:sz="4" w:space="0" w:color="auto"/>
            </w:tcBorders>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single" w:sz="4" w:space="0" w:color="auto"/>
            </w:tcBorders>
          </w:tcPr>
          <w:p>
            <w:pPr>
              <w:pStyle w:val="yTableNAm"/>
              <w:rPr>
                <w:szCs w:val="22"/>
              </w:rPr>
            </w:pPr>
            <w:r>
              <w:lastRenderedPageBreak/>
              <w:t>13.</w:t>
            </w:r>
          </w:p>
        </w:tc>
        <w:tc>
          <w:tcPr>
            <w:tcW w:w="6274" w:type="dxa"/>
            <w:tcBorders>
              <w:bottom w:val="single" w:sz="4" w:space="0" w:color="auto"/>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 xml:space="preserve">the building is a Class 4 to Class 9 </w:t>
            </w:r>
            <w:r>
              <w:rPr>
                <w:szCs w:val="22"/>
              </w:rPr>
              <w:t>building (other than a Class 9 vulnerable use building); or</w:t>
            </w:r>
          </w:p>
          <w:p>
            <w:pPr>
              <w:pStyle w:val="yTableNAm"/>
              <w:tabs>
                <w:tab w:val="clear" w:pos="567"/>
              </w:tabs>
              <w:ind w:left="742" w:hanging="567"/>
            </w:pPr>
            <w:r>
              <w:t>(c)</w:t>
            </w:r>
            <w:r>
              <w:tab/>
              <w:t xml:space="preserve">the building or incidental structure is located in a bush fire prone </w:t>
            </w:r>
            <w:r>
              <w:rPr>
                <w:szCs w:val="22"/>
              </w:rPr>
              <w:t>area</w:t>
            </w:r>
            <w:r>
              <w:t xml:space="preserve">, the BAL for the building site is BAL LOW and the building or structure is not any of the following — </w:t>
            </w:r>
          </w:p>
          <w:p>
            <w:pPr>
              <w:pStyle w:val="yTableNAm"/>
              <w:tabs>
                <w:tab w:val="clear" w:pos="567"/>
                <w:tab w:val="right" w:pos="1201"/>
                <w:tab w:val="left" w:pos="1581"/>
              </w:tabs>
              <w:spacing w:before="100"/>
              <w:ind w:left="1593" w:hanging="1593"/>
            </w:pPr>
            <w:r>
              <w:tab/>
              <w:t>(i)</w:t>
            </w:r>
            <w:r>
              <w:tab/>
              <w:t>a Class 9 vulnerable use building;</w:t>
            </w:r>
          </w:p>
          <w:p>
            <w:pPr>
              <w:pStyle w:val="yTableNAm"/>
              <w:tabs>
                <w:tab w:val="clear" w:pos="567"/>
                <w:tab w:val="right" w:pos="1201"/>
                <w:tab w:val="left" w:pos="1581"/>
              </w:tabs>
              <w:spacing w:before="100"/>
              <w:ind w:left="1593" w:hanging="1593"/>
            </w:pPr>
            <w:r>
              <w:tab/>
              <w:t>(ii)</w:t>
            </w:r>
            <w:r>
              <w:tab/>
              <w:t>a Class 10a building or deck immediately adjacent or connected to a Class 9 vulnerable use building;</w:t>
            </w:r>
          </w:p>
          <w:p>
            <w:pPr>
              <w:pStyle w:val="yTableNAm"/>
              <w:tabs>
                <w:tab w:val="clear" w:pos="567"/>
                <w:tab w:val="left" w:pos="773"/>
                <w:tab w:val="left" w:pos="1581"/>
              </w:tabs>
              <w:spacing w:before="100"/>
              <w:ind w:left="1593" w:hanging="1593"/>
            </w:pPr>
            <w:r>
              <w:tab/>
              <w:t>or</w:t>
            </w:r>
          </w:p>
          <w:p>
            <w:pPr>
              <w:pStyle w:val="yTableNAm"/>
              <w:tabs>
                <w:tab w:val="clear" w:pos="567"/>
              </w:tabs>
              <w:ind w:left="742" w:hanging="567"/>
            </w:pPr>
            <w:r>
              <w:t>(d)</w:t>
            </w:r>
            <w:r>
              <w:tab/>
              <w:t xml:space="preserve">all </w:t>
            </w:r>
            <w:r>
              <w:rPr>
                <w:szCs w:val="22"/>
              </w:rPr>
              <w:t>of</w:t>
            </w:r>
            <w:r>
              <w:t xml:space="preserve"> the following apply — </w:t>
            </w:r>
          </w:p>
          <w:p>
            <w:pPr>
              <w:pStyle w:val="yTableNAm"/>
              <w:tabs>
                <w:tab w:val="clear" w:pos="567"/>
                <w:tab w:val="right" w:pos="1201"/>
                <w:tab w:val="left" w:pos="1581"/>
              </w:tabs>
              <w:spacing w:before="100"/>
              <w:ind w:left="1593" w:hanging="1593"/>
            </w:pPr>
            <w:r>
              <w:tab/>
              <w:t>(i)</w:t>
            </w:r>
            <w:r>
              <w:tab/>
              <w:t xml:space="preserve">the building or incidental structure is an item 13(d) building or incidental structure located in a bush fire prone area; </w:t>
            </w:r>
          </w:p>
          <w:p>
            <w:pPr>
              <w:pStyle w:val="yTableNAm"/>
              <w:tabs>
                <w:tab w:val="clear" w:pos="567"/>
                <w:tab w:val="right" w:pos="1201"/>
                <w:tab w:val="left" w:pos="1581"/>
              </w:tabs>
              <w:spacing w:before="100"/>
              <w:ind w:left="1593" w:hanging="1593"/>
            </w:pPr>
            <w:r>
              <w:tab/>
              <w:t>(ii)</w:t>
            </w:r>
            <w:r>
              <w:tab/>
              <w:t>the BAL for the building site is BAL</w:t>
            </w:r>
            <w:r>
              <w:noBreakHyphen/>
              <w:t>12.5, BAL</w:t>
            </w:r>
            <w:r>
              <w:noBreakHyphen/>
              <w:t>19 or BAL</w:t>
            </w:r>
            <w:r>
              <w:noBreakHyphen/>
              <w:t xml:space="preserve">29; </w:t>
            </w:r>
          </w:p>
          <w:p>
            <w:pPr>
              <w:pStyle w:val="yTableNAm"/>
              <w:tabs>
                <w:tab w:val="clear" w:pos="567"/>
                <w:tab w:val="right" w:pos="120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p>
            <w:pPr>
              <w:pStyle w:val="yTableNAm"/>
              <w:tabs>
                <w:tab w:val="clear" w:pos="567"/>
                <w:tab w:val="left" w:pos="773"/>
                <w:tab w:val="left" w:pos="1581"/>
              </w:tabs>
              <w:spacing w:before="100"/>
              <w:ind w:left="1593" w:hanging="1593"/>
            </w:pPr>
            <w:r>
              <w:tab/>
              <w:t>or</w:t>
            </w:r>
          </w:p>
          <w:p>
            <w:pPr>
              <w:pStyle w:val="yTableNAm"/>
              <w:tabs>
                <w:tab w:val="clear" w:pos="567"/>
              </w:tabs>
              <w:ind w:left="742" w:hanging="567"/>
            </w:pPr>
            <w:r>
              <w:t>(e)</w:t>
            </w:r>
            <w:r>
              <w:tab/>
              <w:t xml:space="preserve">both of the following apply — </w:t>
            </w:r>
          </w:p>
          <w:p>
            <w:pPr>
              <w:pStyle w:val="yTableNAm"/>
              <w:tabs>
                <w:tab w:val="clear" w:pos="567"/>
                <w:tab w:val="right" w:pos="1201"/>
                <w:tab w:val="left" w:pos="1581"/>
              </w:tabs>
              <w:spacing w:before="100"/>
              <w:ind w:left="1593" w:hanging="1593"/>
            </w:pPr>
            <w:r>
              <w:tab/>
              <w:t>(i)</w:t>
            </w:r>
            <w:r>
              <w:tab/>
              <w:t xml:space="preserve">the building or incidental structure is an item 13(e) building or incidental structure located in a bush fire prone area; </w:t>
            </w:r>
          </w:p>
          <w:p>
            <w:pPr>
              <w:pStyle w:val="yTableNAm"/>
              <w:tabs>
                <w:tab w:val="clear" w:pos="567"/>
                <w:tab w:val="right" w:pos="1201"/>
                <w:tab w:val="left" w:pos="1581"/>
              </w:tabs>
              <w:spacing w:before="100"/>
              <w:ind w:left="1593" w:hanging="1593"/>
            </w:pPr>
            <w:r>
              <w:tab/>
              <w:t>(ii)</w:t>
            </w:r>
            <w:r>
              <w:tab/>
              <w:t>the installation of the evaporative cooling unit commences on or before 30 April 2028;</w:t>
            </w:r>
          </w:p>
          <w:p>
            <w:pPr>
              <w:pStyle w:val="yTableNAm"/>
              <w:tabs>
                <w:tab w:val="clear" w:pos="567"/>
                <w:tab w:val="left" w:pos="773"/>
                <w:tab w:val="left" w:pos="1581"/>
              </w:tabs>
              <w:spacing w:before="100"/>
              <w:ind w:left="1593" w:hanging="1593"/>
            </w:pPr>
            <w:r>
              <w:tab/>
              <w:t>or</w:t>
            </w:r>
          </w:p>
          <w:p>
            <w:pPr>
              <w:pStyle w:val="yTableNAm"/>
              <w:tabs>
                <w:tab w:val="clear" w:pos="567"/>
              </w:tabs>
              <w:ind w:left="742" w:hanging="567"/>
              <w:rPr>
                <w:rStyle w:val="DraftersNotes"/>
                <w:b w:val="0"/>
                <w:i w:val="0"/>
                <w:sz w:val="22"/>
              </w:rPr>
            </w:pPr>
            <w:r>
              <w:rPr>
                <w:rStyle w:val="DraftersNotes"/>
                <w:b w:val="0"/>
                <w:i w:val="0"/>
                <w:sz w:val="22"/>
              </w:rPr>
              <w:lastRenderedPageBreak/>
              <w:t>(f)</w:t>
            </w:r>
            <w:r>
              <w:rPr>
                <w:rStyle w:val="DraftersNotes"/>
                <w:b w:val="0"/>
                <w:i w:val="0"/>
                <w:sz w:val="22"/>
              </w:rPr>
              <w:tab/>
              <w:t xml:space="preserve">the building </w:t>
            </w:r>
            <w:r>
              <w:t>or</w:t>
            </w:r>
            <w:r>
              <w:rPr>
                <w:rStyle w:val="DraftersNotes"/>
                <w:b w:val="0"/>
                <w:i w:val="0"/>
                <w:sz w:val="22"/>
              </w:rPr>
              <w:t xml:space="preserve"> incidental structure is a Class 10 building or incidental structure other than the following — </w:t>
            </w:r>
          </w:p>
          <w:p>
            <w:pPr>
              <w:pStyle w:val="yTableNAm"/>
              <w:tabs>
                <w:tab w:val="clear" w:pos="567"/>
                <w:tab w:val="right" w:pos="1201"/>
                <w:tab w:val="left" w:pos="1581"/>
              </w:tabs>
              <w:spacing w:before="100"/>
              <w:ind w:left="1593" w:hanging="1593"/>
            </w:pPr>
            <w:r>
              <w:tab/>
              <w:t>(i)</w:t>
            </w:r>
            <w:r>
              <w:tab/>
              <w:t xml:space="preserve">a Class 10a building or deck if the building or deck is associated with a Class 1 building; </w:t>
            </w:r>
          </w:p>
          <w:p>
            <w:pPr>
              <w:pStyle w:val="yTableNAm"/>
              <w:tabs>
                <w:tab w:val="clear" w:pos="567"/>
                <w:tab w:val="right" w:pos="1201"/>
                <w:tab w:val="left" w:pos="1581"/>
              </w:tabs>
              <w:spacing w:before="100"/>
              <w:ind w:left="1593" w:hanging="1593"/>
            </w:pPr>
            <w:r>
              <w:tab/>
              <w:t>(ii)</w:t>
            </w:r>
            <w:r>
              <w:tab/>
              <w:t>a Class 10a building or deck if the building or deck is immediately adjacent or connected to a Class 2 building, a Class 3 building or a Class 9 vulnerable use building.</w:t>
            </w:r>
          </w:p>
        </w:tc>
      </w:tr>
    </w:tbl>
    <w:p>
      <w:pPr>
        <w:pStyle w:val="yFootnotesection"/>
      </w:pPr>
      <w:r>
        <w:lastRenderedPageBreak/>
        <w:tab/>
        <w:t>[Clause 2 amended: Gazette 15 Jun 2012 p. 2515; 18 Dec 2012 p. 6576; 24 Apr 2014 p. 1141; 5 Apr 2016 p. 1021; 15 Apr 2016 p. 1172; SL 2020/11 r. 4; SL 2023/208 r. 19; SL 2024/49 r. 8; SL 2025/34 r. 12; SL 2025/62 r. 14.]</w:t>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yScheduleHeading"/>
      </w:pPr>
      <w:bookmarkStart w:id="180" w:name="_Toc195190094"/>
      <w:bookmarkStart w:id="181" w:name="_Toc195194443"/>
      <w:bookmarkStart w:id="182" w:name="_Toc195197256"/>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80"/>
      <w:bookmarkEnd w:id="181"/>
      <w:bookmarkEnd w:id="18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ScheduleHeading"/>
      </w:pPr>
      <w:bookmarkStart w:id="183" w:name="_Toc195190095"/>
      <w:bookmarkStart w:id="184" w:name="_Toc195194444"/>
      <w:bookmarkStart w:id="185" w:name="_Toc195197257"/>
      <w:r>
        <w:rPr>
          <w:rStyle w:val="CharSchNo"/>
        </w:rPr>
        <w:lastRenderedPageBreak/>
        <w:t>Schedule 6</w:t>
      </w:r>
      <w:r>
        <w:t> — </w:t>
      </w:r>
      <w:r>
        <w:rPr>
          <w:rStyle w:val="CharSchText"/>
        </w:rPr>
        <w:t>Prescribed offences and modified penalties</w:t>
      </w:r>
      <w:bookmarkEnd w:id="183"/>
      <w:bookmarkEnd w:id="184"/>
      <w:bookmarkEnd w:id="185"/>
    </w:p>
    <w:p>
      <w:pPr>
        <w:pStyle w:val="yShoulderClause"/>
      </w:pPr>
      <w:r>
        <w:t>[r. 69]</w:t>
      </w:r>
    </w:p>
    <w:p>
      <w:pPr>
        <w:pStyle w:val="yFootnoteheading"/>
      </w:pPr>
      <w:r>
        <w:tab/>
        <w:t>[Heading inserted: Gazette 26 Apr 2019 p. 1210.]</w:t>
      </w:r>
    </w:p>
    <w:p>
      <w:pPr>
        <w:pStyle w:val="yHeading3"/>
      </w:pPr>
      <w:bookmarkStart w:id="186" w:name="_Toc195190096"/>
      <w:bookmarkStart w:id="187" w:name="_Toc195194445"/>
      <w:bookmarkStart w:id="188" w:name="_Toc195197258"/>
      <w:r>
        <w:rPr>
          <w:rStyle w:val="CharSDivNo"/>
        </w:rPr>
        <w:t>Division 1</w:t>
      </w:r>
      <w:r>
        <w:t> — </w:t>
      </w:r>
      <w:r>
        <w:rPr>
          <w:rStyle w:val="CharSDivText"/>
        </w:rPr>
        <w:t>Offences under the Act</w:t>
      </w:r>
      <w:bookmarkEnd w:id="186"/>
      <w:bookmarkEnd w:id="187"/>
      <w:bookmarkEnd w:id="188"/>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9" w:name="_Toc195190097"/>
      <w:bookmarkStart w:id="190" w:name="_Toc195194446"/>
      <w:bookmarkStart w:id="191" w:name="_Toc195197259"/>
      <w:r>
        <w:rPr>
          <w:rStyle w:val="CharSDivNo"/>
        </w:rPr>
        <w:t>Division 2</w:t>
      </w:r>
      <w:r>
        <w:t> — </w:t>
      </w:r>
      <w:r>
        <w:rPr>
          <w:rStyle w:val="CharSDivText"/>
        </w:rPr>
        <w:t>Offences under these regulations</w:t>
      </w:r>
      <w:bookmarkEnd w:id="189"/>
      <w:bookmarkEnd w:id="190"/>
      <w:bookmarkEnd w:id="191"/>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keepNext/>
            </w:pPr>
            <w:r>
              <w:t>r. 50(2)</w:t>
            </w:r>
          </w:p>
        </w:tc>
        <w:tc>
          <w:tcPr>
            <w:tcW w:w="4394" w:type="dxa"/>
          </w:tcPr>
          <w:p>
            <w:pPr>
              <w:pStyle w:val="yTableNAm"/>
              <w:keepNext/>
            </w:pPr>
            <w:r>
              <w:t>Failure to install compliant pool barrier around private swimming pool</w:t>
            </w:r>
          </w:p>
        </w:tc>
        <w:tc>
          <w:tcPr>
            <w:tcW w:w="1276" w:type="dxa"/>
            <w:vAlign w:val="bottom"/>
          </w:tcPr>
          <w:p>
            <w:pPr>
              <w:pStyle w:val="yTableNAm"/>
              <w:keepNext/>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 amended: SL 2025/34 r. 13.]</w:t>
      </w:r>
    </w:p>
    <w:p>
      <w:pPr>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yScheduleHeading"/>
      </w:pPr>
      <w:bookmarkStart w:id="192" w:name="_Toc195190098"/>
      <w:bookmarkStart w:id="193" w:name="_Toc195194447"/>
      <w:bookmarkStart w:id="194" w:name="_Toc195197260"/>
      <w:r>
        <w:rPr>
          <w:rStyle w:val="CharSchNo"/>
        </w:rPr>
        <w:lastRenderedPageBreak/>
        <w:t>Schedule 7</w:t>
      </w:r>
      <w:r>
        <w:rPr>
          <w:rStyle w:val="CharSDivNo"/>
        </w:rPr>
        <w:t> </w:t>
      </w:r>
      <w:r>
        <w:t>—</w:t>
      </w:r>
      <w:r>
        <w:rPr>
          <w:rStyle w:val="CharSDivText"/>
        </w:rPr>
        <w:t> </w:t>
      </w:r>
      <w:r>
        <w:rPr>
          <w:rStyle w:val="CharSchText"/>
        </w:rPr>
        <w:t>Forms</w:t>
      </w:r>
      <w:bookmarkEnd w:id="192"/>
      <w:bookmarkEnd w:id="193"/>
      <w:bookmarkEnd w:id="194"/>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pPr>
        <w:pStyle w:val="nHeading2"/>
      </w:pPr>
      <w:bookmarkStart w:id="195" w:name="_Toc195190099"/>
      <w:bookmarkStart w:id="196" w:name="_Toc195194448"/>
      <w:bookmarkStart w:id="197" w:name="_Toc195197261"/>
      <w:r>
        <w:lastRenderedPageBreak/>
        <w:t>Notes</w:t>
      </w:r>
      <w:bookmarkEnd w:id="195"/>
      <w:bookmarkEnd w:id="196"/>
      <w:bookmarkEnd w:id="197"/>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198" w:name="_Toc195197262"/>
      <w:r>
        <w:t>Compilation table</w:t>
      </w:r>
      <w:bookmarkEnd w:id="19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nil"/>
              <w:right w:val="nil"/>
            </w:tcBorders>
          </w:tcPr>
          <w:p>
            <w:pPr>
              <w:pStyle w:val="nTable"/>
              <w:spacing w:after="40"/>
            </w:pPr>
            <w:r>
              <w:rPr>
                <w:i/>
              </w:rPr>
              <w:lastRenderedPageBreak/>
              <w:t>Building Amendment Regulations (No. 2) 2023</w:t>
            </w:r>
          </w:p>
        </w:tc>
        <w:tc>
          <w:tcPr>
            <w:tcW w:w="1276" w:type="dxa"/>
            <w:tcBorders>
              <w:top w:val="nil"/>
              <w:left w:val="nil"/>
              <w:bottom w:val="nil"/>
              <w:right w:val="nil"/>
            </w:tcBorders>
          </w:tcPr>
          <w:p>
            <w:pPr>
              <w:pStyle w:val="nTable"/>
              <w:keepLines/>
              <w:spacing w:after="40"/>
            </w:pPr>
            <w:r>
              <w:t>SL 2023/146 20 Sep 2023</w:t>
            </w:r>
          </w:p>
        </w:tc>
        <w:tc>
          <w:tcPr>
            <w:tcW w:w="2693" w:type="dxa"/>
            <w:tcBorders>
              <w:top w:val="nil"/>
              <w:left w:val="nil"/>
              <w:bottom w:val="nil"/>
            </w:tcBorders>
          </w:tcPr>
          <w:p>
            <w:pPr>
              <w:pStyle w:val="nTable"/>
              <w:keepLines/>
              <w:spacing w:after="40"/>
            </w:pPr>
            <w:r>
              <w:t xml:space="preserve">r. 1 and 2: 20 Sep 2023 (see r. 2(a)); </w:t>
            </w:r>
            <w:r>
              <w:br/>
              <w:t>r. 4(1): 21 Sep 2023 (see r. 2(b));</w:t>
            </w:r>
            <w:r>
              <w:br/>
              <w:t>Regulations other than r. 1, 2 and 4(1): 1 Oct 2023 (see r. 2(c))</w:t>
            </w:r>
          </w:p>
        </w:tc>
      </w:tr>
      <w:tr>
        <w:trPr>
          <w:cantSplit/>
        </w:trPr>
        <w:tc>
          <w:tcPr>
            <w:tcW w:w="3118" w:type="dxa"/>
            <w:tcBorders>
              <w:top w:val="nil"/>
              <w:bottom w:val="nil"/>
              <w:right w:val="nil"/>
            </w:tcBorders>
          </w:tcPr>
          <w:p>
            <w:pPr>
              <w:pStyle w:val="nTable"/>
              <w:spacing w:after="40"/>
              <w:rPr>
                <w:iCs/>
              </w:rPr>
            </w:pPr>
            <w:r>
              <w:rPr>
                <w:i/>
              </w:rPr>
              <w:t>Building Amendment Regulations 2023</w:t>
            </w:r>
          </w:p>
        </w:tc>
        <w:tc>
          <w:tcPr>
            <w:tcW w:w="1276" w:type="dxa"/>
            <w:tcBorders>
              <w:top w:val="nil"/>
              <w:left w:val="nil"/>
              <w:bottom w:val="nil"/>
              <w:right w:val="nil"/>
            </w:tcBorders>
          </w:tcPr>
          <w:p>
            <w:pPr>
              <w:pStyle w:val="nTable"/>
              <w:keepLines/>
              <w:spacing w:after="40"/>
            </w:pPr>
            <w:r>
              <w:t>SL 2023/208 20 Dec 2023</w:t>
            </w:r>
          </w:p>
        </w:tc>
        <w:tc>
          <w:tcPr>
            <w:tcW w:w="2693" w:type="dxa"/>
            <w:tcBorders>
              <w:top w:val="nil"/>
              <w:left w:val="nil"/>
              <w:bottom w:val="nil"/>
            </w:tcBorders>
          </w:tcPr>
          <w:p>
            <w:pPr>
              <w:pStyle w:val="nTable"/>
              <w:keepLines/>
              <w:spacing w:after="40"/>
            </w:pPr>
            <w:r>
              <w:t>Pt. 1: 20 Dec 2023 (see r. 2(a));</w:t>
            </w:r>
            <w:r>
              <w:br/>
              <w:t>Pt. 2: 21 Dec 2023 (see r. 2(b));</w:t>
            </w:r>
            <w:r>
              <w:br/>
              <w:t>Regulations other than Pt. 1 and 2: 20 Jun 2024 (see r. 2(c))</w:t>
            </w:r>
          </w:p>
        </w:tc>
      </w:tr>
      <w:tr>
        <w:trPr>
          <w:cantSplit/>
        </w:trPr>
        <w:tc>
          <w:tcPr>
            <w:tcW w:w="3118" w:type="dxa"/>
            <w:tcBorders>
              <w:top w:val="nil"/>
              <w:bottom w:val="nil"/>
              <w:right w:val="nil"/>
            </w:tcBorders>
          </w:tcPr>
          <w:p>
            <w:pPr>
              <w:pStyle w:val="nTable"/>
              <w:spacing w:after="40"/>
              <w:rPr>
                <w:i/>
              </w:rPr>
            </w:pPr>
            <w:r>
              <w:rPr>
                <w:i/>
              </w:rPr>
              <w:t>Building Amendment Regulations 2024</w:t>
            </w:r>
          </w:p>
        </w:tc>
        <w:tc>
          <w:tcPr>
            <w:tcW w:w="1276" w:type="dxa"/>
            <w:tcBorders>
              <w:top w:val="nil"/>
              <w:left w:val="nil"/>
              <w:bottom w:val="nil"/>
              <w:right w:val="nil"/>
            </w:tcBorders>
          </w:tcPr>
          <w:p>
            <w:pPr>
              <w:pStyle w:val="nTable"/>
              <w:keepLines/>
              <w:spacing w:after="40"/>
            </w:pPr>
            <w:r>
              <w:t>SL 2024/49 17 Apr 2024</w:t>
            </w:r>
          </w:p>
        </w:tc>
        <w:tc>
          <w:tcPr>
            <w:tcW w:w="2693" w:type="dxa"/>
            <w:tcBorders>
              <w:top w:val="nil"/>
              <w:left w:val="nil"/>
              <w:bottom w:val="nil"/>
            </w:tcBorders>
          </w:tcPr>
          <w:p>
            <w:pPr>
              <w:pStyle w:val="nTable"/>
              <w:keepLines/>
              <w:spacing w:after="40"/>
            </w:pPr>
            <w:r>
              <w:t>r. 1 and 2: 17 Apr 2024 (see r. 2(a));</w:t>
            </w:r>
            <w:r>
              <w:br/>
              <w:t>Regulations other than r. 1 and 2: 18 Apr 2024 (see r. 2(b))</w:t>
            </w:r>
          </w:p>
        </w:tc>
      </w:tr>
      <w:tr>
        <w:trPr>
          <w:cantSplit/>
        </w:trPr>
        <w:tc>
          <w:tcPr>
            <w:tcW w:w="3118" w:type="dxa"/>
            <w:tcBorders>
              <w:top w:val="nil"/>
              <w:bottom w:val="nil"/>
              <w:right w:val="nil"/>
            </w:tcBorders>
          </w:tcPr>
          <w:p>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pPr>
              <w:pStyle w:val="nTable"/>
              <w:keepLines/>
              <w:spacing w:after="40"/>
            </w:pPr>
            <w:r>
              <w:t>SL 2024/123 26 Jun 2024</w:t>
            </w:r>
          </w:p>
        </w:tc>
        <w:tc>
          <w:tcPr>
            <w:tcW w:w="2693" w:type="dxa"/>
            <w:tcBorders>
              <w:top w:val="nil"/>
              <w:left w:val="nil"/>
              <w:bottom w:val="nil"/>
            </w:tcBorders>
          </w:tcPr>
          <w:p>
            <w:pPr>
              <w:pStyle w:val="nTable"/>
              <w:keepLines/>
              <w:spacing w:after="40"/>
            </w:pPr>
            <w:r>
              <w:t>1 Jul 2024 (see r. 2 and SL 2024/88 cl. 2(a))</w:t>
            </w:r>
          </w:p>
        </w:tc>
      </w:tr>
      <w:tr>
        <w:trPr>
          <w:cantSplit/>
        </w:trPr>
        <w:tc>
          <w:tcPr>
            <w:tcW w:w="3118" w:type="dxa"/>
            <w:tcBorders>
              <w:top w:val="nil"/>
              <w:bottom w:val="nil"/>
              <w:right w:val="nil"/>
            </w:tcBorders>
          </w:tcPr>
          <w:p>
            <w:pPr>
              <w:pStyle w:val="nTable"/>
              <w:spacing w:after="40"/>
              <w:rPr>
                <w:i/>
              </w:rPr>
            </w:pPr>
            <w:r>
              <w:rPr>
                <w:i/>
              </w:rPr>
              <w:t>Building Amendment Regulations 2025</w:t>
            </w:r>
          </w:p>
        </w:tc>
        <w:tc>
          <w:tcPr>
            <w:tcW w:w="1276" w:type="dxa"/>
            <w:tcBorders>
              <w:top w:val="nil"/>
              <w:left w:val="nil"/>
              <w:bottom w:val="nil"/>
              <w:right w:val="nil"/>
            </w:tcBorders>
          </w:tcPr>
          <w:p>
            <w:pPr>
              <w:pStyle w:val="nTable"/>
              <w:keepLines/>
              <w:spacing w:after="40"/>
            </w:pPr>
            <w:r>
              <w:t>SL 2025/34 5 Feb 2025</w:t>
            </w:r>
          </w:p>
        </w:tc>
        <w:tc>
          <w:tcPr>
            <w:tcW w:w="2693" w:type="dxa"/>
            <w:tcBorders>
              <w:top w:val="nil"/>
              <w:left w:val="nil"/>
              <w:bottom w:val="nil"/>
            </w:tcBorders>
          </w:tcPr>
          <w:p>
            <w:pPr>
              <w:pStyle w:val="nTable"/>
              <w:keepLines/>
              <w:spacing w:after="40"/>
            </w:pPr>
            <w:r>
              <w:t>r. 1 and 2: 5 Feb 2025 (see r. 2(a));</w:t>
            </w:r>
            <w:r>
              <w:br/>
              <w:t>Regulations other than r. 1 and 2: 6 Feb 2025 (see r. 2(b))</w:t>
            </w:r>
          </w:p>
        </w:tc>
      </w:tr>
      <w:tr>
        <w:trPr>
          <w:cantSplit/>
        </w:trPr>
        <w:tc>
          <w:tcPr>
            <w:tcW w:w="3118" w:type="dxa"/>
            <w:tcBorders>
              <w:top w:val="nil"/>
              <w:bottom w:val="single" w:sz="4" w:space="0" w:color="auto"/>
              <w:right w:val="nil"/>
            </w:tcBorders>
          </w:tcPr>
          <w:p>
            <w:pPr>
              <w:pStyle w:val="nTable"/>
              <w:spacing w:after="40"/>
              <w:rPr>
                <w:i/>
              </w:rPr>
            </w:pPr>
            <w:r>
              <w:rPr>
                <w:i/>
              </w:rPr>
              <w:t>Building Amendment Regulations (No. 2) 2025</w:t>
            </w:r>
          </w:p>
        </w:tc>
        <w:tc>
          <w:tcPr>
            <w:tcW w:w="1276" w:type="dxa"/>
            <w:tcBorders>
              <w:top w:val="nil"/>
              <w:left w:val="nil"/>
              <w:bottom w:val="single" w:sz="4" w:space="0" w:color="auto"/>
              <w:right w:val="nil"/>
            </w:tcBorders>
          </w:tcPr>
          <w:p>
            <w:pPr>
              <w:pStyle w:val="nTable"/>
              <w:keepLines/>
              <w:spacing w:after="40"/>
            </w:pPr>
            <w:r>
              <w:t>SL 2025/62 16 Apr 2025</w:t>
            </w:r>
          </w:p>
        </w:tc>
        <w:tc>
          <w:tcPr>
            <w:tcW w:w="2693" w:type="dxa"/>
            <w:tcBorders>
              <w:top w:val="nil"/>
              <w:left w:val="nil"/>
              <w:bottom w:val="single" w:sz="4" w:space="0" w:color="auto"/>
            </w:tcBorders>
          </w:tcPr>
          <w:p>
            <w:pPr>
              <w:pStyle w:val="nTable"/>
              <w:keepLines/>
              <w:spacing w:after="40"/>
            </w:pPr>
            <w:r>
              <w:t>r. 1 and 2: 16 Apr 2025 (see r. 2(a));</w:t>
            </w:r>
            <w:r>
              <w:br/>
              <w:t>Regulations other than r. 1 and 2: 17 Apr 2025 (see r. 2(b))</w:t>
            </w:r>
          </w:p>
        </w:tc>
      </w:tr>
    </w:tbl>
    <w:p>
      <w:pPr>
        <w:pStyle w:val="nHeading3"/>
      </w:pPr>
      <w:bookmarkStart w:id="199" w:name="_Toc195197263"/>
      <w:r>
        <w:t>Other notes</w:t>
      </w:r>
      <w:bookmarkEnd w:id="199"/>
    </w:p>
    <w:p>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544" w:gutter="0"/>
          <w:cols w:space="720"/>
          <w:noEndnote/>
          <w:docGrid w:linePitch="326"/>
        </w:sectPr>
      </w:pPr>
    </w:p>
    <w:p>
      <w:pPr>
        <w:pStyle w:val="nHeading2"/>
        <w:rPr>
          <w:sz w:val="28"/>
        </w:rPr>
      </w:pPr>
      <w:bookmarkStart w:id="201" w:name="_Toc195197264"/>
      <w:r>
        <w:rPr>
          <w:sz w:val="28"/>
        </w:rPr>
        <w:lastRenderedPageBreak/>
        <w:t>Defined terms</w:t>
      </w:r>
      <w:bookmarkEnd w:id="2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w:t>
      </w:r>
      <w:r>
        <w:tab/>
        <w:t>48</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1926.1-1993</w:t>
      </w:r>
      <w:r>
        <w:tab/>
        <w:t>3</w:t>
      </w:r>
    </w:p>
    <w:p>
      <w:pPr>
        <w:pStyle w:val="DefinedTerms"/>
      </w:pPr>
      <w:r>
        <w:t>AS 1926.1-2012</w:t>
      </w:r>
      <w:r>
        <w:tab/>
        <w:t>3</w:t>
      </w:r>
    </w:p>
    <w:p>
      <w:pPr>
        <w:pStyle w:val="DefinedTerms"/>
      </w:pPr>
      <w:r>
        <w:t>AS 3959</w:t>
      </w:r>
      <w:r>
        <w:tab/>
        <w:t>3</w:t>
      </w:r>
    </w:p>
    <w:p>
      <w:pPr>
        <w:pStyle w:val="DefinedTerms"/>
      </w:pPr>
      <w:r>
        <w:t>assessment method</w:t>
      </w:r>
      <w:r>
        <w:tab/>
        <w:t>3</w:t>
      </w:r>
    </w:p>
    <w:p>
      <w:pPr>
        <w:pStyle w:val="DefinedTerms"/>
      </w:pPr>
      <w:r>
        <w:t>BAL</w:t>
      </w:r>
      <w:r>
        <w:tab/>
        <w:t>3</w:t>
      </w:r>
    </w:p>
    <w:p>
      <w:pPr>
        <w:pStyle w:val="DefinedTerms"/>
      </w:pPr>
      <w:r>
        <w:t>builder work</w:t>
      </w:r>
      <w:r>
        <w:tab/>
        <w:t>3</w:t>
      </w:r>
    </w:p>
    <w:p>
      <w:pPr>
        <w:pStyle w:val="DefinedTerms"/>
      </w:pPr>
      <w:r>
        <w:t>Building Code</w:t>
      </w:r>
      <w:r>
        <w:tab/>
        <w:t>3, 3(1)</w:t>
      </w:r>
    </w:p>
    <w:p>
      <w:pPr>
        <w:pStyle w:val="DefinedTerms"/>
      </w:pPr>
      <w:r>
        <w:t>Building Code pool barrier requirement</w:t>
      </w:r>
      <w:r>
        <w:tab/>
        <w:t>3</w:t>
      </w:r>
    </w:p>
    <w:p>
      <w:pPr>
        <w:pStyle w:val="DefinedTerms"/>
      </w:pPr>
      <w:r>
        <w:t>building product</w:t>
      </w:r>
      <w:r>
        <w:tab/>
        <w:t>31J(1)</w:t>
      </w:r>
    </w:p>
    <w:p>
      <w:pPr>
        <w:pStyle w:val="DefinedTerms"/>
      </w:pPr>
      <w:r>
        <w:t>building site</w:t>
      </w:r>
      <w:r>
        <w:tab/>
        <w:t>2</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C1V3</w:t>
      </w:r>
      <w:r>
        <w:tab/>
        <w:t>3</w:t>
      </w:r>
    </w:p>
    <w:p>
      <w:pPr>
        <w:pStyle w:val="DefinedTerms"/>
      </w:pPr>
      <w:r>
        <w:t>Class</w:t>
      </w:r>
      <w:r>
        <w:tab/>
        <w:t>3</w:t>
      </w:r>
    </w:p>
    <w:p>
      <w:pPr>
        <w:pStyle w:val="DefinedTerms"/>
      </w:pPr>
      <w:r>
        <w:t>Class 9 vulnerable use building</w:t>
      </w:r>
      <w:r>
        <w:tab/>
        <w:t>3</w:t>
      </w:r>
    </w:p>
    <w:p>
      <w:pPr>
        <w:pStyle w:val="DefinedTerms"/>
      </w:pPr>
      <w:r>
        <w:t>CodeMark certificate</w:t>
      </w:r>
      <w:r>
        <w:tab/>
        <w:t>31J(1)</w:t>
      </w:r>
    </w:p>
    <w:p>
      <w:pPr>
        <w:pStyle w:val="DefinedTerms"/>
      </w:pPr>
      <w:r>
        <w:t>commencement date</w:t>
      </w:r>
      <w:r>
        <w:tab/>
        <w:t>31HA(1)</w:t>
      </w:r>
    </w:p>
    <w:p>
      <w:pPr>
        <w:pStyle w:val="DefinedTerms"/>
      </w:pPr>
      <w:r>
        <w:t>commencement day</w:t>
      </w:r>
      <w:r>
        <w:tab/>
        <w:t>3, 31HB(1)</w:t>
      </w:r>
    </w:p>
    <w:p>
      <w:pPr>
        <w:pStyle w:val="DefinedTerms"/>
      </w:pPr>
      <w:r>
        <w:t>debris criteria</w:t>
      </w:r>
      <w:r>
        <w:tab/>
        <w:t>31HA(1)</w:t>
      </w:r>
    </w:p>
    <w:p>
      <w:pPr>
        <w:pStyle w:val="DefinedTerms"/>
      </w:pPr>
      <w:r>
        <w:t>decision</w:t>
      </w:r>
      <w:r>
        <w:tab/>
        <w:t>33(1)</w:t>
      </w:r>
    </w:p>
    <w:p>
      <w:pPr>
        <w:pStyle w:val="DefinedTerms"/>
      </w:pPr>
      <w:r>
        <w:t>declaration of intended demolition</w:t>
      </w:r>
      <w:r>
        <w:tab/>
        <w:t>55(1)</w:t>
      </w:r>
    </w:p>
    <w:p>
      <w:pPr>
        <w:pStyle w:val="DefinedTerms"/>
      </w:pPr>
      <w:r>
        <w:t>deemed-to-satisfy solution</w:t>
      </w:r>
      <w:r>
        <w:tab/>
        <w:t>3</w:t>
      </w:r>
    </w:p>
    <w:p>
      <w:pPr>
        <w:pStyle w:val="DefinedTerms"/>
      </w:pPr>
      <w:r>
        <w:t>dwelling</w:t>
      </w:r>
      <w:r>
        <w:tab/>
        <w:t>55(1)</w:t>
      </w:r>
    </w:p>
    <w:p>
      <w:pPr>
        <w:pStyle w:val="DefinedTerms"/>
      </w:pPr>
      <w:r>
        <w:t>earlier edition</w:t>
      </w:r>
      <w:r>
        <w:tab/>
        <w:t>31A(4), 31IA(5)</w:t>
      </w:r>
    </w:p>
    <w:p>
      <w:pPr>
        <w:pStyle w:val="DefinedTerms"/>
      </w:pPr>
      <w:r>
        <w:t>early childhood centre</w:t>
      </w:r>
      <w:r>
        <w:tab/>
        <w:t>3</w:t>
      </w:r>
    </w:p>
    <w:p>
      <w:pPr>
        <w:pStyle w:val="DefinedTerms"/>
      </w:pPr>
      <w:r>
        <w:t>electrician</w:t>
      </w:r>
      <w:r>
        <w:tab/>
        <w:t>55(1)</w:t>
      </w:r>
    </w:p>
    <w:p>
      <w:pPr>
        <w:pStyle w:val="DefinedTerms"/>
      </w:pPr>
      <w:r>
        <w:t>EP</w:t>
      </w:r>
      <w:r>
        <w:tab/>
        <w:t>Sch. 3 cl. 1</w:t>
      </w:r>
    </w:p>
    <w:p>
      <w:pPr>
        <w:pStyle w:val="DefinedTerms"/>
      </w:pPr>
      <w:r>
        <w:lastRenderedPageBreak/>
        <w:t>estimated value</w:t>
      </w:r>
      <w:r>
        <w:tab/>
        <w:t>3</w:t>
      </w:r>
    </w:p>
    <w:p>
      <w:pPr>
        <w:pStyle w:val="DefinedTerms"/>
      </w:pPr>
      <w:r>
        <w:t>excluded building work</w:t>
      </w:r>
      <w:r>
        <w:tab/>
        <w:t>31BA(1A)</w:t>
      </w:r>
    </w:p>
    <w:p>
      <w:pPr>
        <w:pStyle w:val="DefinedTerms"/>
      </w:pPr>
      <w:r>
        <w:t>exempt remedial work</w:t>
      </w:r>
      <w:r>
        <w:tab/>
        <w:t>31HA(1)</w:t>
      </w:r>
    </w:p>
    <w:p>
      <w:pPr>
        <w:pStyle w:val="DefinedTerms"/>
      </w:pPr>
      <w:r>
        <w:t>existing building or incidental structure</w:t>
      </w:r>
      <w:r>
        <w:tab/>
        <w:t>31HA(1)</w:t>
      </w:r>
    </w:p>
    <w:p>
      <w:pPr>
        <w:pStyle w:val="DefinedTerms"/>
      </w:pPr>
      <w:r>
        <w:t>expiry day</w:t>
      </w:r>
      <w:r>
        <w:tab/>
        <w:t>23(1), 40(1)</w:t>
      </w:r>
    </w:p>
    <w:p>
      <w:pPr>
        <w:pStyle w:val="DefinedTerms"/>
      </w:pPr>
      <w:r>
        <w:t>external wall</w:t>
      </w:r>
      <w:r>
        <w:tab/>
        <w:t>31HA(1)</w:t>
      </w:r>
    </w:p>
    <w:p>
      <w:pPr>
        <w:pStyle w:val="DefinedTerms"/>
      </w:pPr>
      <w:r>
        <w:t>fall prevention barrier</w:t>
      </w:r>
      <w:r>
        <w:tab/>
        <w:t>Sch. 4 cl. 2</w:t>
      </w:r>
    </w:p>
    <w:p>
      <w:pPr>
        <w:pStyle w:val="DefinedTerms"/>
      </w:pPr>
      <w:r>
        <w:t>fence</w:t>
      </w:r>
      <w:r>
        <w:tab/>
        <w:t>Sch. 4 cl. 2</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works permit</w:t>
      </w:r>
      <w:r>
        <w:tab/>
        <w:t>3</w:t>
      </w:r>
    </w:p>
    <w:p>
      <w:pPr>
        <w:pStyle w:val="DefinedTerms"/>
      </w:pPr>
      <w:r>
        <w:t>initial inspection</w:t>
      </w:r>
      <w:r>
        <w:tab/>
        <w:t>53A(1)</w:t>
      </w:r>
    </w:p>
    <w:p>
      <w:pPr>
        <w:pStyle w:val="DefinedTerms"/>
      </w:pPr>
      <w:r>
        <w:t>item 13(d) building or incidental structure</w:t>
      </w:r>
      <w:r>
        <w:tab/>
        <w:t>Sch. 4 cl. 2</w:t>
      </w:r>
    </w:p>
    <w:p>
      <w:pPr>
        <w:pStyle w:val="DefinedTerms"/>
      </w:pPr>
      <w:r>
        <w:t>item 13(e) building or incidental structure</w:t>
      </w:r>
      <w:r>
        <w:tab/>
        <w:t>Sch. 4 cl. 2</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periodic inspection</w:t>
      </w:r>
      <w:r>
        <w:tab/>
        <w:t>53A(1)</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primary or secondary school</w:t>
      </w:r>
      <w:r>
        <w:tab/>
        <w:t>3</w:t>
      </w:r>
    </w:p>
    <w:p>
      <w:pPr>
        <w:pStyle w:val="DefinedTerms"/>
      </w:pPr>
      <w:r>
        <w:t>prior owner</w:t>
      </w:r>
      <w:r>
        <w:tab/>
        <w:t>57(1)</w:t>
      </w:r>
    </w:p>
    <w:p>
      <w:pPr>
        <w:pStyle w:val="DefinedTerms"/>
      </w:pPr>
      <w:r>
        <w:t>private swimming pool</w:t>
      </w:r>
      <w:r>
        <w:tab/>
        <w:t>3</w:t>
      </w:r>
    </w:p>
    <w:p>
      <w:pPr>
        <w:pStyle w:val="DefinedTerms"/>
      </w:pPr>
      <w:r>
        <w:t>protection order</w:t>
      </w:r>
      <w:r>
        <w:tab/>
        <w:t>3</w:t>
      </w:r>
    </w:p>
    <w:p>
      <w:pPr>
        <w:pStyle w:val="DefinedTerms"/>
      </w:pPr>
      <w:r>
        <w:t>public place</w:t>
      </w:r>
      <w:r>
        <w:tab/>
        <w:t>44A</w:t>
      </w:r>
    </w:p>
    <w:p>
      <w:pPr>
        <w:pStyle w:val="DefinedTerms"/>
      </w:pPr>
      <w:r>
        <w:t>regulation 5A</w:t>
      </w:r>
      <w:r>
        <w:tab/>
        <w:t>54(1)</w:t>
      </w:r>
    </w:p>
    <w:p>
      <w:pPr>
        <w:pStyle w:val="DefinedTerms"/>
      </w:pPr>
      <w:r>
        <w:t>re-inspection</w:t>
      </w:r>
      <w:r>
        <w:tab/>
        <w:t>53A(1)</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relevant inspection</w:t>
      </w:r>
      <w:r>
        <w:tab/>
        <w:t>53(2)</w:t>
      </w:r>
    </w:p>
    <w:p>
      <w:pPr>
        <w:pStyle w:val="DefinedTerms"/>
      </w:pPr>
      <w:r>
        <w:lastRenderedPageBreak/>
        <w:t>remedial work</w:t>
      </w:r>
      <w:r>
        <w:tab/>
        <w:t>31HA(1)</w:t>
      </w:r>
    </w:p>
    <w:p>
      <w:pPr>
        <w:pStyle w:val="DefinedTerms"/>
      </w:pPr>
      <w:r>
        <w:t>renovation, alteration, extension, improvement or repair</w:t>
      </w:r>
      <w:r>
        <w:tab/>
        <w:t>31BA(1A)</w:t>
      </w:r>
    </w:p>
    <w:p>
      <w:pPr>
        <w:pStyle w:val="DefinedTerms"/>
      </w:pPr>
      <w:r>
        <w:t>repair notice</w:t>
      </w:r>
      <w:r>
        <w:tab/>
        <w:t>3</w:t>
      </w:r>
    </w:p>
    <w:p>
      <w:pPr>
        <w:pStyle w:val="DefinedTerms"/>
      </w:pPr>
      <w:r>
        <w:t>repair order</w:t>
      </w:r>
      <w:r>
        <w:tab/>
        <w:t>3</w:t>
      </w:r>
    </w:p>
    <w:p>
      <w:pPr>
        <w:pStyle w:val="DefinedTerms"/>
      </w:pPr>
      <w:r>
        <w:t>repeal day</w:t>
      </w:r>
      <w:r>
        <w:tab/>
        <w:t>54(1)</w:t>
      </w:r>
    </w:p>
    <w:p>
      <w:pPr>
        <w:pStyle w:val="DefinedTerms"/>
      </w:pPr>
      <w:r>
        <w:t>reporting period</w:t>
      </w:r>
      <w:r>
        <w:tab/>
        <w:t>53B(1)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short-term rental accommodation</w:t>
      </w:r>
      <w:r>
        <w:tab/>
        <w:t>55(1)</w:t>
      </w:r>
    </w:p>
    <w:p>
      <w:pPr>
        <w:pStyle w:val="DefinedTerms"/>
      </w:pPr>
      <w:r>
        <w:t>sole-occupancy unit</w:t>
      </w:r>
      <w:r>
        <w:tab/>
        <w:t>3</w:t>
      </w:r>
    </w:p>
    <w:p>
      <w:pPr>
        <w:pStyle w:val="DefinedTerms"/>
      </w:pPr>
      <w:r>
        <w:t>specified employee</w:t>
      </w:r>
      <w:r>
        <w:tab/>
        <w:t>70(1A)</w:t>
      </w:r>
    </w:p>
    <w:p>
      <w:pPr>
        <w:pStyle w:val="DefinedTerms"/>
      </w:pPr>
      <w:r>
        <w:t>specified Part 8 provisions</w:t>
      </w:r>
      <w:r>
        <w:tab/>
        <w:t>4A(1)</w:t>
      </w:r>
    </w:p>
    <w:p>
      <w:pPr>
        <w:pStyle w:val="DefinedTerms"/>
      </w:pPr>
      <w:r>
        <w:t>Statistician</w:t>
      </w:r>
      <w:r>
        <w:tab/>
        <w:t>14A(1)</w:t>
      </w:r>
    </w:p>
    <w:p>
      <w:pPr>
        <w:pStyle w:val="DefinedTerms"/>
      </w:pPr>
      <w:r>
        <w:t>strata leasehold estate</w:t>
      </w:r>
      <w:r>
        <w:tab/>
        <w:t>10(1A)</w:t>
      </w:r>
    </w:p>
    <w:p>
      <w:pPr>
        <w:pStyle w:val="DefinedTerms"/>
      </w:pPr>
      <w:r>
        <w:t>Swan Valley Planning Scheme</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unit</w:t>
      </w:r>
      <w:r>
        <w:tab/>
        <w:t>55(1)</w:t>
      </w:r>
    </w:p>
    <w:p>
      <w:pPr>
        <w:pStyle w:val="DefinedTerms"/>
      </w:pPr>
      <w:r>
        <w:t>work</w:t>
      </w:r>
      <w:r>
        <w:tab/>
        <w:t>54A(1)</w:t>
      </w:r>
    </w:p>
    <w:p>
      <w:pPr>
        <w:pStyle w:val="DefinedTerms"/>
      </w:pPr>
      <w:r>
        <w:t>WorkSafe Commissioner</w:t>
      </w:r>
      <w:r>
        <w:tab/>
        <w:t>14A(1)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849EA74"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CA813E4" w14:textId="4C0D63F6" w:rsidR="003D4F5A" w:rsidRDefault="00E437D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A60D9">
                        <w:rPr>
                          <w:sz w:val="16"/>
                        </w:rPr>
                        <w:t>2025</w:t>
                      </w:r>
                      <w:r>
                        <w:rPr>
                          <w:sz w:val="16"/>
                        </w:rPr>
                        <w:fldChar w:fldCharType="end"/>
                      </w:r>
                      <w:r>
                        <w:rPr>
                          <w:sz w:val="16"/>
                        </w:rPr>
                        <w:t>.</w:t>
                      </w:r>
                    </w:p>
                    <w:p w14:paraId="470FD93C" w14:textId="77777777" w:rsidR="003D4F5A" w:rsidRDefault="00E437D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0DB09B" w14:textId="0B89CA08" w:rsidR="003D4F5A" w:rsidRDefault="00E437D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A60D9">
                        <w:rPr>
                          <w:sz w:val="16"/>
                        </w:rPr>
                        <w:t>2025</w:t>
                      </w:r>
                      <w:r>
                        <w:rPr>
                          <w:sz w:val="16"/>
                        </w:rPr>
                        <w:fldChar w:fldCharType="end"/>
                      </w:r>
                      <w:r>
                        <w:rPr>
                          <w:sz w:val="16"/>
                        </w:rPr>
                        <w:t>.</w:t>
                      </w:r>
                    </w:p>
                    <w:p w14:paraId="163D1409" w14:textId="77777777" w:rsidR="003D4F5A" w:rsidRDefault="00E437D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p/>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8" w:name="Schedule"/>
    <w:bookmarkEnd w:id="1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tabs>
              <w:tab w:val="left" w:pos="4098"/>
              <w:tab w:val="right" w:pos="5653"/>
            </w:tabs>
            <w:spacing w:before="40"/>
          </w:pPr>
          <w:r>
            <w:tab/>
          </w:r>
          <w:r>
            <w:tab/>
          </w: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2" w:name="DefinedTerms"/>
    <w:bookmarkEnd w:id="202"/>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682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015042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 w:name="WAFER_20250410150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50426_GUID" w:val="e4fe3b32-8cdd-415b-9e65-97d8c25376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289"/>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30890</Words>
  <Characters>152907</Characters>
  <Application>Microsoft Office Word</Application>
  <DocSecurity>0</DocSecurity>
  <Lines>5460</Lines>
  <Paragraphs>2917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180880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2012 - 04-z0-00</dc:title>
  <dc:subject/>
  <dc:creator/>
  <cp:keywords/>
  <dc:description/>
  <cp:lastModifiedBy>Master Repository Process</cp:lastModifiedBy>
  <cp:revision>4</cp:revision>
  <cp:lastPrinted>2019-11-01T04:18:00Z</cp:lastPrinted>
  <dcterms:created xsi:type="dcterms:W3CDTF">2025-06-23T07:12:00Z</dcterms:created>
  <dcterms:modified xsi:type="dcterms:W3CDTF">2025-06-23T07:13:00Z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17 Apr 2025</vt:lpwstr>
  </property>
  <property fmtid="{D5CDD505-2E9C-101B-9397-08002B2CF9AE}" pid="7" name="Suffix">
    <vt:lpwstr>04-z0-00</vt:lpwstr>
  </property>
  <property fmtid="{D5CDD505-2E9C-101B-9397-08002B2CF9AE}" pid="8" name="Official">
    <vt:lpwstr/>
  </property>
  <property fmtid="{D5CDD505-2E9C-101B-9397-08002B2CF9AE}" pid="9" name="CommencementDate">
    <vt:lpwstr>20250417</vt:lpwstr>
  </property>
  <property fmtid="{D5CDD505-2E9C-101B-9397-08002B2CF9AE}" pid="10" name="CommencementAsAt">
    <vt:filetime>2025-04-16T16:00:00Z</vt:filetime>
  </property>
  <property fmtid="{D5CDD505-2E9C-101B-9397-08002B2CF9AE}" pid="11" name="CommencementYear">
    <vt:lpwstr>2025</vt:lpwstr>
  </property>
</Properties>
</file>