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(Kunawarritji Restricted Area) Regulations 2011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(Kunawarritji Restricted Area)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_Toc195273343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_Toc195273344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_Toc195273345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Declaration of restricted area</w:t>
      </w:r>
      <w:r>
        <w:tab/>
      </w:r>
      <w:r>
        <w:fldChar w:fldCharType="begin"/>
      </w:r>
      <w:r>
        <w:instrText xml:space="preserve"> PAGEREF _Toc195273346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Notice of restricted area</w:t>
      </w:r>
      <w:r>
        <w:tab/>
      </w:r>
      <w:r>
        <w:fldChar w:fldCharType="begin"/>
      </w:r>
      <w:r>
        <w:instrText xml:space="preserve"> PAGEREF _Toc195273347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Prohibitions as to liquor in the Kunawarritji Aboriginal Community</w:t>
      </w:r>
      <w:r>
        <w:tab/>
      </w:r>
      <w:r>
        <w:fldChar w:fldCharType="begin"/>
      </w:r>
      <w:r>
        <w:instrText xml:space="preserve"> PAGEREF _Toc195273348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Exception for tourists using Well 33 camping grounds</w:t>
      </w:r>
      <w:r>
        <w:tab/>
      </w:r>
      <w:r>
        <w:fldChar w:fldCharType="begin"/>
      </w:r>
      <w:r>
        <w:instrText xml:space="preserve"> PAGEREF _Toc195273349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Seizure and disposal of containers of liquor</w:t>
      </w:r>
      <w:r>
        <w:tab/>
      </w:r>
      <w:r>
        <w:fldChar w:fldCharType="begin"/>
      </w:r>
      <w:r>
        <w:instrText xml:space="preserve"> PAGEREF _Toc195273350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Period during which these regulations have effect</w:t>
      </w:r>
      <w:r>
        <w:tab/>
      </w:r>
      <w:r>
        <w:fldChar w:fldCharType="begin"/>
      </w:r>
      <w:r>
        <w:instrText xml:space="preserve"> PAGEREF _Toc195273351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_Toc195273353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_Toc195273354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Control (Kunawarritji Restricted Area) Regulations 2011</w:t>
      </w:r>
    </w:p>
    <w:p>
      <w:pPr>
        <w:pStyle w:val="Heading5"/>
      </w:pPr>
      <w:bookmarkStart w:id="2" w:name="_Toc195273343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(Kunawarritji Restricted Area) Regulations 2011</w:t>
      </w:r>
      <w:r>
        <w:t>.</w:t>
      </w:r>
    </w:p>
    <w:p>
      <w:pPr>
        <w:pStyle w:val="Heading5"/>
        <w:rPr>
          <w:spacing w:val="-2"/>
        </w:rPr>
      </w:pPr>
      <w:bookmarkStart w:id="3" w:name="_Toc19527334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4" w:name="_Toc195273345"/>
      <w:r>
        <w:rPr>
          <w:rStyle w:val="CharSectno"/>
        </w:rPr>
        <w:t>3</w:t>
      </w:r>
      <w:r>
        <w:t>.</w:t>
      </w:r>
      <w:r>
        <w:tab/>
        <w:t>Terms used</w:t>
      </w:r>
      <w:bookmarkEnd w:id="4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Kunawarritji Aboriginal Community</w:t>
      </w:r>
      <w:r>
        <w:t xml:space="preserve"> means the area of land up to a 50 kilometre radius measured from the telecommunications aerial located on Lot 333 on Deposited Plan 55302 at the point with the following Geocentric Datum of Australia 2020 (GDA2020) coordinates — </w:t>
      </w:r>
    </w:p>
    <w:p>
      <w:pPr>
        <w:pStyle w:val="Defpara"/>
      </w:pPr>
      <w:r>
        <w:tab/>
        <w:t>(a)</w:t>
      </w:r>
      <w:r>
        <w:tab/>
        <w:t>22.329212°S;</w:t>
      </w:r>
    </w:p>
    <w:p>
      <w:pPr>
        <w:pStyle w:val="Defpara"/>
        <w:rPr>
          <w:snapToGrid/>
        </w:rPr>
      </w:pPr>
      <w:r>
        <w:tab/>
        <w:t>(b)</w:t>
      </w:r>
      <w:r>
        <w:tab/>
      </w:r>
      <w:r>
        <w:rPr>
          <w:snapToGrid/>
        </w:rPr>
        <w:t>124.725571°E;</w:t>
      </w:r>
    </w:p>
    <w:p>
      <w:pPr>
        <w:pStyle w:val="Defstart"/>
      </w:pPr>
      <w:r>
        <w:rPr>
          <w:snapToGrid/>
        </w:rPr>
        <w:tab/>
      </w:r>
      <w:r>
        <w:rPr>
          <w:rStyle w:val="CharDefText"/>
        </w:rPr>
        <w:t>tourist</w:t>
      </w:r>
      <w:r>
        <w:t xml:space="preserve"> means a person who is —</w:t>
      </w:r>
    </w:p>
    <w:p>
      <w:pPr>
        <w:pStyle w:val="Defpara"/>
      </w:pPr>
      <w:r>
        <w:tab/>
        <w:t>(a)</w:t>
      </w:r>
      <w:r>
        <w:tab/>
        <w:t>staying at a place that is at least 50 kilometres from his or her usual place of residence for a period of at least one night; and</w:t>
      </w:r>
    </w:p>
    <w:p>
      <w:pPr>
        <w:pStyle w:val="Defpara"/>
      </w:pPr>
      <w:r>
        <w:tab/>
        <w:t>(b)</w:t>
      </w:r>
      <w:r>
        <w:tab/>
        <w:t>intending to stay away from his or her usual place of residence for a period of less than 12 months; and</w:t>
      </w:r>
    </w:p>
    <w:p>
      <w:pPr>
        <w:pStyle w:val="Defpara"/>
      </w:pPr>
      <w:r>
        <w:lastRenderedPageBreak/>
        <w:tab/>
        <w:t>(c)</w:t>
      </w:r>
      <w:r>
        <w:tab/>
        <w:t>not in the course of travelling on a regular journey between his or her usual place of residence or his or her place of work or education; and</w:t>
      </w:r>
    </w:p>
    <w:p>
      <w:pPr>
        <w:pStyle w:val="Defpara"/>
      </w:pPr>
      <w:r>
        <w:tab/>
        <w:t>(d)</w:t>
      </w:r>
      <w:r>
        <w:tab/>
        <w:t>travelling in the course of a holiday or for leisure, business, to visit friends or relatives or for any other reason; and</w:t>
      </w:r>
    </w:p>
    <w:p>
      <w:pPr>
        <w:pStyle w:val="Defpara"/>
      </w:pPr>
      <w:r>
        <w:tab/>
        <w:t>(e)</w:t>
      </w:r>
      <w:r>
        <w:tab/>
        <w:t>not usually a resident in a community declared a restricted area under section 175(1a) of the Act;</w:t>
      </w:r>
    </w:p>
    <w:p>
      <w:pPr>
        <w:pStyle w:val="Defstart"/>
      </w:pPr>
      <w:r>
        <w:tab/>
      </w:r>
      <w:r>
        <w:rPr>
          <w:rStyle w:val="CharDefText"/>
        </w:rPr>
        <w:t>Well 33 camping grounds</w:t>
      </w:r>
      <w:r>
        <w:t xml:space="preserve"> means the Kunawarritji Camp at Well 33 on the Canning Stock Route located at the point with the following Geocentric Datum of Australia 2020 (GDA2020) coordinates — </w:t>
      </w:r>
    </w:p>
    <w:p>
      <w:pPr>
        <w:pStyle w:val="Defpara"/>
      </w:pPr>
      <w:r>
        <w:tab/>
        <w:t>(a)</w:t>
      </w:r>
      <w:r>
        <w:tab/>
        <w:t>22.341876°S;</w:t>
      </w:r>
    </w:p>
    <w:p>
      <w:pPr>
        <w:pStyle w:val="Defpara"/>
      </w:pPr>
      <w:r>
        <w:tab/>
        <w:t>(b)</w:t>
      </w:r>
      <w:r>
        <w:tab/>
        <w:t>124.775199°E.</w:t>
      </w:r>
    </w:p>
    <w:p>
      <w:pPr>
        <w:pStyle w:val="Footnotesection"/>
      </w:pPr>
      <w:r>
        <w:tab/>
        <w:t>[Regulation 3 amended: SL 2021/18 r. 8.]</w:t>
      </w:r>
    </w:p>
    <w:p>
      <w:pPr>
        <w:pStyle w:val="Ednotesection"/>
      </w:pPr>
      <w:r>
        <w:t>[</w:t>
      </w:r>
      <w:r>
        <w:rPr>
          <w:b/>
        </w:rPr>
        <w:t>4.</w:t>
      </w:r>
      <w:r>
        <w:tab/>
        <w:t>Deleted: SL 2021/18 r. 9.]</w:t>
      </w:r>
    </w:p>
    <w:p>
      <w:pPr>
        <w:pStyle w:val="Heading5"/>
      </w:pPr>
      <w:bookmarkStart w:id="5" w:name="_Toc195273346"/>
      <w:r>
        <w:rPr>
          <w:rStyle w:val="CharSectno"/>
        </w:rPr>
        <w:t>5</w:t>
      </w:r>
      <w:r>
        <w:t>.</w:t>
      </w:r>
      <w:r>
        <w:tab/>
        <w:t>Declaration of restricted area</w:t>
      </w:r>
      <w:bookmarkEnd w:id="5"/>
    </w:p>
    <w:p>
      <w:pPr>
        <w:pStyle w:val="Subsection"/>
      </w:pPr>
      <w:r>
        <w:tab/>
      </w:r>
      <w:r>
        <w:tab/>
        <w:t>The Kunawarritji Aboriginal Community is declared to be a restricted area for the purposes of section 175(1a) of the Act.</w:t>
      </w:r>
    </w:p>
    <w:p>
      <w:pPr>
        <w:pStyle w:val="Heading5"/>
      </w:pPr>
      <w:bookmarkStart w:id="6" w:name="_Toc195273347"/>
      <w:r>
        <w:rPr>
          <w:rStyle w:val="CharSectno"/>
        </w:rPr>
        <w:t>6</w:t>
      </w:r>
      <w:r>
        <w:t>.</w:t>
      </w:r>
      <w:r>
        <w:tab/>
        <w:t>Notice of restricted area</w:t>
      </w:r>
      <w:bookmarkEnd w:id="6"/>
    </w:p>
    <w:p>
      <w:pPr>
        <w:pStyle w:val="Subsection"/>
      </w:pPr>
      <w:r>
        <w:tab/>
        <w:t>(1)</w:t>
      </w:r>
      <w:r>
        <w:tab/>
        <w:t xml:space="preserve">The Director of Liquor Licensing must take all reasonable steps to cause to be posted, and while the Kunawarritji Aboriginal Community continues to be a restricted area by operation of regulation 5 to be kept posted, at each place where a customary access route enters the Kunawarritji Aboriginal Community a notice — </w:t>
      </w:r>
    </w:p>
    <w:p>
      <w:pPr>
        <w:pStyle w:val="Indenta"/>
      </w:pPr>
      <w:r>
        <w:tab/>
        <w:t>(a)</w:t>
      </w:r>
      <w:r>
        <w:tab/>
        <w:t>describing the offences set out in regulation 7; and</w:t>
      </w:r>
    </w:p>
    <w:p>
      <w:pPr>
        <w:pStyle w:val="Indenta"/>
      </w:pPr>
      <w:r>
        <w:tab/>
        <w:t>(b)</w:t>
      </w:r>
      <w:r>
        <w:tab/>
        <w:t>specifying the penalties for those offences.</w:t>
      </w:r>
    </w:p>
    <w:p>
      <w:pPr>
        <w:pStyle w:val="Subsection"/>
      </w:pPr>
      <w:r>
        <w:tab/>
        <w:t>(2)</w:t>
      </w:r>
      <w:r>
        <w:tab/>
        <w:t>A failure to comply with subregulation (1) does not invalidate the declaration in regulation 5.</w:t>
      </w:r>
    </w:p>
    <w:p>
      <w:pPr>
        <w:pStyle w:val="Heading5"/>
      </w:pPr>
      <w:bookmarkStart w:id="7" w:name="_Toc195273348"/>
      <w:r>
        <w:rPr>
          <w:rStyle w:val="CharSectno"/>
        </w:rPr>
        <w:lastRenderedPageBreak/>
        <w:t>7</w:t>
      </w:r>
      <w:r>
        <w:t>.</w:t>
      </w:r>
      <w:r>
        <w:tab/>
        <w:t>Prohibitions as to liquor in the Kunawarritji Aboriginal Community</w:t>
      </w:r>
      <w:bookmarkEnd w:id="7"/>
    </w:p>
    <w:p>
      <w:pPr>
        <w:pStyle w:val="Subsection"/>
      </w:pPr>
      <w:r>
        <w:tab/>
        <w:t>(1)</w:t>
      </w:r>
      <w:r>
        <w:tab/>
        <w:t xml:space="preserve">Subject to subregulation (3) and regulation 8, a person who — </w:t>
      </w:r>
    </w:p>
    <w:p>
      <w:pPr>
        <w:pStyle w:val="Indenta"/>
      </w:pPr>
      <w:r>
        <w:tab/>
        <w:t>(a)</w:t>
      </w:r>
      <w:r>
        <w:tab/>
        <w:t>brings liquor into, or causes liquor to be brought into, the Kunawarritji Aboriginal Community; or</w:t>
      </w:r>
    </w:p>
    <w:p>
      <w:pPr>
        <w:pStyle w:val="Indenta"/>
      </w:pPr>
      <w:r>
        <w:tab/>
        <w:t>(b)</w:t>
      </w:r>
      <w:r>
        <w:tab/>
        <w:t>has liquor in his or her possession in the Kunawarritji Aboriginal Community,</w:t>
      </w:r>
    </w:p>
    <w:p>
      <w:pPr>
        <w:pStyle w:val="Subsection"/>
      </w:pPr>
      <w:r>
        <w:tab/>
      </w:r>
      <w:r>
        <w:tab/>
        <w:t>commits an offence.</w:t>
      </w:r>
    </w:p>
    <w:p>
      <w:pPr>
        <w:pStyle w:val="Penstart"/>
      </w:pPr>
      <w:r>
        <w:tab/>
        <w:t>Penalty:</w:t>
      </w:r>
    </w:p>
    <w:p>
      <w:pPr>
        <w:pStyle w:val="Penpara"/>
      </w:pPr>
      <w:r>
        <w:tab/>
        <w:t>(a)</w:t>
      </w:r>
      <w:r>
        <w:tab/>
        <w:t>if subregulation (2) applies, a fine of $5 000;</w:t>
      </w:r>
    </w:p>
    <w:p>
      <w:pPr>
        <w:pStyle w:val="Penpara"/>
      </w:pPr>
      <w:r>
        <w:tab/>
        <w:t>(b)</w:t>
      </w:r>
      <w:r>
        <w:tab/>
        <w:t>in any other case, a fine of $2 000.</w:t>
      </w:r>
    </w:p>
    <w:p>
      <w:pPr>
        <w:pStyle w:val="Subsection"/>
      </w:pPr>
      <w:r>
        <w:tab/>
        <w:t>(2)</w:t>
      </w:r>
      <w:r>
        <w:tab/>
        <w:t>This subregulation applies to an offence under subregulation (1) committed by a licensee, a manager of licensed premises or a director of a body corporate that holds a licence.</w:t>
      </w:r>
    </w:p>
    <w:p>
      <w:pPr>
        <w:pStyle w:val="Subsection"/>
      </w:pPr>
      <w:r>
        <w:tab/>
        <w:t>(3)</w:t>
      </w:r>
      <w:r>
        <w:tab/>
        <w:t>A person does not commit an offence under subregulation (1) if the person —</w:t>
      </w:r>
    </w:p>
    <w:p>
      <w:pPr>
        <w:pStyle w:val="Indenta"/>
      </w:pPr>
      <w:r>
        <w:tab/>
        <w:t>(a)</w:t>
      </w:r>
      <w:r>
        <w:tab/>
        <w:t>is a tourist; and</w:t>
      </w:r>
    </w:p>
    <w:p>
      <w:pPr>
        <w:pStyle w:val="Indenta"/>
      </w:pPr>
      <w:r>
        <w:tab/>
        <w:t>(b)</w:t>
      </w:r>
      <w:r>
        <w:tab/>
        <w:t>does not consume the liquor in his or her possession; and</w:t>
      </w:r>
    </w:p>
    <w:p>
      <w:pPr>
        <w:pStyle w:val="Indenta"/>
      </w:pPr>
      <w:r>
        <w:tab/>
        <w:t>(c)</w:t>
      </w:r>
      <w:r>
        <w:tab/>
        <w:t>continuously maintains possession of the liquor until such time as he or she has left the Kunawarritji Aboriginal Community.</w:t>
      </w:r>
    </w:p>
    <w:p>
      <w:pPr>
        <w:pStyle w:val="Heading5"/>
      </w:pPr>
      <w:bookmarkStart w:id="8" w:name="_Toc195273349"/>
      <w:r>
        <w:rPr>
          <w:rStyle w:val="CharSectno"/>
        </w:rPr>
        <w:t>8</w:t>
      </w:r>
      <w:r>
        <w:t>.</w:t>
      </w:r>
      <w:r>
        <w:tab/>
        <w:t>Exception for tourists using Well 33 camping grounds</w:t>
      </w:r>
      <w:bookmarkEnd w:id="8"/>
    </w:p>
    <w:p>
      <w:pPr>
        <w:pStyle w:val="Subsection"/>
        <w:rPr>
          <w:rStyle w:val="DraftersNotes"/>
        </w:rPr>
      </w:pPr>
      <w:r>
        <w:tab/>
      </w:r>
      <w:r>
        <w:tab/>
        <w:t>Despite regulation 7, a tourist using the Well 33 camping grounds may possess and consume alcohol while on the grounds.</w:t>
      </w:r>
    </w:p>
    <w:p>
      <w:pPr>
        <w:pStyle w:val="Heading5"/>
      </w:pPr>
      <w:bookmarkStart w:id="9" w:name="_Toc195273350"/>
      <w:r>
        <w:rPr>
          <w:rStyle w:val="CharSectno"/>
        </w:rPr>
        <w:t>9</w:t>
      </w:r>
      <w:r>
        <w:t>.</w:t>
      </w:r>
      <w:r>
        <w:tab/>
        <w:t>Seizure and disposal of containers of liquor</w:t>
      </w:r>
      <w:bookmarkEnd w:id="9"/>
    </w:p>
    <w:p>
      <w:pPr>
        <w:pStyle w:val="Subsection"/>
      </w:pPr>
      <w:r>
        <w:tab/>
      </w:r>
      <w:r>
        <w:tab/>
        <w:t xml:space="preserve">Despite section 155(4) and (5) of the Act, a member of the Police Force may seize and, as soon as is practicable, dispose of </w:t>
      </w:r>
      <w:r>
        <w:lastRenderedPageBreak/>
        <w:t>any opened or unopened container of liquor suspected on reasonable grounds to be the subject of an offence under regulation 7.</w:t>
      </w:r>
    </w:p>
    <w:p>
      <w:pPr>
        <w:pStyle w:val="Heading5"/>
      </w:pPr>
      <w:bookmarkStart w:id="10" w:name="_Toc195273351"/>
      <w:r>
        <w:rPr>
          <w:rStyle w:val="CharSectno"/>
        </w:rPr>
        <w:t>10</w:t>
      </w:r>
      <w:r>
        <w:t>.</w:t>
      </w:r>
      <w:r>
        <w:tab/>
        <w:t>Period during which these regulations have effect</w:t>
      </w:r>
      <w:bookmarkEnd w:id="10"/>
    </w:p>
    <w:p>
      <w:pPr>
        <w:pStyle w:val="Subsection"/>
      </w:pPr>
      <w:r>
        <w:tab/>
      </w:r>
      <w:r>
        <w:tab/>
        <w:t>Unless sooner repealed, these regulations have effect for the period that ends at the close of 3 May 2028.</w:t>
      </w:r>
    </w:p>
    <w:p>
      <w:pPr>
        <w:pStyle w:val="Footnotesection"/>
      </w:pPr>
      <w:r>
        <w:tab/>
        <w:t>[Regulation 10 inserted: SL 2021/18 r. 10; amended: SL 2024/46 r. 6; SL 2025/54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195257777"/>
      <w:bookmarkStart w:id="12" w:name="_Toc195258258"/>
      <w:bookmarkStart w:id="13" w:name="_Toc195258604"/>
      <w:bookmarkStart w:id="14" w:name="_Toc195273352"/>
      <w:r>
        <w:lastRenderedPageBreak/>
        <w:t>Notes</w:t>
      </w:r>
      <w:bookmarkEnd w:id="11"/>
      <w:bookmarkEnd w:id="12"/>
      <w:bookmarkEnd w:id="13"/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Control (Kunawarritji Restricted Area) Regulations 2011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5" w:name="_Toc195273353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(Kunawarritji Restricted Area) Regulations 2011 </w:t>
            </w:r>
            <w:r>
              <w:rPr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May 2011 p. 1597-9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r. 1 and 2: 3 May 2011 (see r. 2(a));</w:t>
            </w:r>
            <w:r>
              <w:br/>
              <w:t>Regulations other than r. 1 and 2: 4 May 2011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(Kunawarritji Restricted Area)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May 2014 p. 1365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 May 2014 (see r. 2(a));</w:t>
            </w:r>
            <w:r>
              <w:br/>
              <w:t>Regulations other than r. 1 and 2: 3 May 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(Kunawarritji Restricted Area)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Apr 2015 p. 1262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10 Apr 2015 (see r. 2(a));</w:t>
            </w:r>
            <w:r>
              <w:br/>
              <w:t>Regulations other than r. 1 and 2: 11 Apr 2015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Control (Kunawarritji Restricted Area) Amendment Regulations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13 Apr 2018 p. 1288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13 Apr 2018 (see r. 2(a));</w:t>
            </w:r>
            <w:r>
              <w:br/>
              <w:t>Regulations other than r. 1 and 2: 14 Apr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Racing and Gaming Regulations Amendment (Liquor Control)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2021/18 2 Feb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Feb 2021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Racing and Gaming Regulations Amendment (Liquor Control) Regulations (No. 2) 2024 </w:t>
            </w:r>
            <w:r>
              <w:rPr>
                <w:iCs/>
              </w:rPr>
              <w:t>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2024/46 17 Apr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Apr 2024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 xml:space="preserve">Racing and Gaming Regulations Amendment (Liquor Control) Regulations 2025 </w:t>
            </w:r>
            <w:r>
              <w:rPr>
                <w:iCs/>
              </w:rPr>
              <w:t>Pt. 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2025/54 16 Apr 2025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17 Apr 2025 (see r. 2(b))</w:t>
            </w:r>
          </w:p>
        </w:tc>
      </w:tr>
    </w:tbl>
    <w:p>
      <w:pPr>
        <w:pStyle w:val="nHeading3"/>
      </w:pPr>
      <w:bookmarkStart w:id="16" w:name="_Toc195273354"/>
      <w:r>
        <w:t>Other notes</w:t>
      </w:r>
      <w:bookmarkEnd w:id="16"/>
    </w:p>
    <w:p>
      <w:pPr>
        <w:pStyle w:val="nNote"/>
      </w:pPr>
      <w:r>
        <w:rPr>
          <w:vertAlign w:val="superscript"/>
        </w:rPr>
        <w:t>1</w:t>
      </w:r>
      <w:r>
        <w:tab/>
        <w:t>These regulations expire at the close of 3 May 2028 (see r. 10).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8" w:name="_Toc195257780"/>
      <w:bookmarkStart w:id="19" w:name="_Toc195258261"/>
      <w:bookmarkStart w:id="20" w:name="_Toc195258607"/>
      <w:bookmarkStart w:id="21" w:name="_Toc195273355"/>
      <w:r>
        <w:rPr>
          <w:sz w:val="28"/>
        </w:rPr>
        <w:lastRenderedPageBreak/>
        <w:t>Defined terms</w:t>
      </w:r>
      <w:bookmarkEnd w:id="18"/>
      <w:bookmarkEnd w:id="19"/>
      <w:bookmarkEnd w:id="20"/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Kunawarritji Aboriginal Community</w:t>
      </w:r>
      <w:r>
        <w:tab/>
        <w:t>3</w:t>
      </w:r>
    </w:p>
    <w:p>
      <w:pPr>
        <w:pStyle w:val="DefinedTerms"/>
      </w:pPr>
      <w:r>
        <w:t>tourist</w:t>
      </w:r>
      <w:r>
        <w:tab/>
        <w:t>3</w:t>
      </w:r>
    </w:p>
    <w:p>
      <w:pPr>
        <w:pStyle w:val="DefinedTerms"/>
      </w:pPr>
      <w:r>
        <w:t>Well 33 camping grounds</w:t>
      </w:r>
      <w:r>
        <w:tab/>
        <w:t>3</w:t>
      </w:r>
    </w:p>
    <w:p>
      <w:pPr>
        <w:pStyle w:val="DefinedTerms"/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9626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387A206" w14:textId="34278AC1" w:rsidR="002E023E" w:rsidRDefault="00A34BB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255A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5F924E" w14:textId="77777777" w:rsidR="002E023E" w:rsidRDefault="00A34BB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7C70D0" w14:textId="094E7E66" w:rsidR="002E023E" w:rsidRDefault="00A34BB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255A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00910F" w14:textId="77777777" w:rsidR="002E023E" w:rsidRDefault="00A34BB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Apr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(Kunawarritji Restricted Area)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(Kunawarritji Restricted Area)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(Kunawarritji Restricted Area)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(Kunawarritji Restricted Area)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(Kunawarritji Restricted Area)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(Kunawarritji Restricted Area)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(Kunawarritji Restricted Area)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(Kunawarritji Restricted Area)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14"/>
  </w:num>
  <w:num w:numId="3">
    <w:abstractNumId w:val="20"/>
  </w:num>
  <w:num w:numId="4">
    <w:abstractNumId w:val="11"/>
  </w:num>
  <w:num w:numId="5">
    <w:abstractNumId w:val="10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411095438"/>
    <w:docVar w:name="WAFER_20140501110720" w:val="RemoveTocBookmarks,RemoveUnusedBookmarks,RemoveLanguageTags,UsedStyles,ResetPageSize,UpdateArrangement"/>
    <w:docVar w:name="WAFER_20140501110720_GUID" w:val="bbc17add-38a9-4ea3-bf56-f1a431c20a75"/>
    <w:docVar w:name="WAFER_20140501110748" w:val="RemoveTocBookmarks,RunningHeaders"/>
    <w:docVar w:name="WAFER_20140501110748_GUID" w:val="1edb8514-839e-4e11-819d-65358d3f6f6a"/>
    <w:docVar w:name="WAFER_20150409113252" w:val="ResetPageSize,UpdateArrangement,UpdateNTable"/>
    <w:docVar w:name="WAFER_20150409113252_GUID" w:val="2131756e-a414-4dd1-8a41-af3c24b5e1d2"/>
    <w:docVar w:name="WAFER_20151126102816" w:val="UpdateStyles"/>
    <w:docVar w:name="WAFER_20151126102816_GUID" w:val="dfd1d276-5683-48d8-8c8c-264c694eb471"/>
    <w:docVar w:name="WAFER_20151126103631" w:val="UsedStyles"/>
    <w:docVar w:name="WAFER_20151126103631_GUID" w:val="f69d0012-b2ab-4ab4-8902-72b7015092de"/>
    <w:docVar w:name="WAFER_20180412120548" w:val="RemoveTocBookmarks,RemoveUnusedBookmarks,RemoveLanguageTags,UsedStyles,ResetPageSize"/>
    <w:docVar w:name="WAFER_20180412120548_GUID" w:val="dff468bd-56e1-412a-bf6c-94d79d245ea1"/>
    <w:docVar w:name="WAFER_202101281510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128151035_GUID" w:val="6b20d171-0979-4201-8b69-2c186bda95f1"/>
    <w:docVar w:name="WAFER_202404111436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411143610_GUID" w:val="e40fd5c8-3124-47e6-9874-891f57544e4d"/>
    <w:docVar w:name="WAFER_202504110954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11095438_GUID" w:val="f4611ec6-56e4-47f2-9cd3-2867e6f4b55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BA05B177-A637-4ED2-BEE9-3F7DE745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7"/>
      </w:numPr>
    </w:pPr>
  </w:style>
  <w:style w:type="paragraph" w:styleId="ListBullet2">
    <w:name w:val="List Bullet 2"/>
    <w:basedOn w:val="Normal"/>
    <w:autoRedefine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2"/>
      </w:numPr>
    </w:pPr>
  </w:style>
  <w:style w:type="paragraph" w:styleId="ListNumber2">
    <w:name w:val="List Number 2"/>
    <w:basedOn w:val="Normal"/>
    <w:pPr>
      <w:numPr>
        <w:numId w:val="1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6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1218</Words>
  <Characters>5982</Characters>
  <Application>Microsoft Office Word</Application>
  <DocSecurity>0</DocSecurity>
  <Lines>230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(Kunawarritji Restricted Area) Regulations 2011 - 00-g0-00</dc:title>
  <dc:subject/>
  <dc:creator/>
  <cp:keywords/>
  <dc:description/>
  <cp:lastModifiedBy>Master Repository Process</cp:lastModifiedBy>
  <cp:revision>4</cp:revision>
  <cp:lastPrinted>2011-02-06T23:55:00Z</cp:lastPrinted>
  <dcterms:created xsi:type="dcterms:W3CDTF">2025-07-21T02:51:00Z</dcterms:created>
  <dcterms:modified xsi:type="dcterms:W3CDTF">2025-07-21T02:51:00Z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May 2011 p 1597-9</vt:lpwstr>
  </property>
  <property fmtid="{D5CDD505-2E9C-101B-9397-08002B2CF9AE}" pid="3" name="OWLSUId">
    <vt:i4>461</vt:i4>
  </property>
  <property fmtid="{D5CDD505-2E9C-101B-9397-08002B2CF9AE}" pid="4" name="DocumentType">
    <vt:lpwstr>Reg</vt:lpwstr>
  </property>
  <property fmtid="{D5CDD505-2E9C-101B-9397-08002B2CF9AE}" pid="5" name="AsAtDate">
    <vt:lpwstr>17 Apr 2025</vt:lpwstr>
  </property>
  <property fmtid="{D5CDD505-2E9C-101B-9397-08002B2CF9AE}" pid="6" name="Suffix">
    <vt:lpwstr>00-g0-00</vt:lpwstr>
  </property>
  <property fmtid="{D5CDD505-2E9C-101B-9397-08002B2CF9AE}" pid="7" name="Official">
    <vt:lpwstr/>
  </property>
  <property fmtid="{D5CDD505-2E9C-101B-9397-08002B2CF9AE}" pid="8" name="CommencementDate">
    <vt:lpwstr>20250417</vt:lpwstr>
  </property>
  <property fmtid="{D5CDD505-2E9C-101B-9397-08002B2CF9AE}" pid="9" name="CommencementAsAt">
    <vt:filetime>2025-04-16T16:00:00Z</vt:filetime>
  </property>
  <property fmtid="{D5CDD505-2E9C-101B-9397-08002B2CF9AE}" pid="10" name="CommencementYear">
    <vt:lpwstr>2025</vt:lpwstr>
  </property>
</Properties>
</file>