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(Wangkatjungka Restricted Area)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_Toc195273787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_Toc195273788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“Wangkatjungka Aboriginal Community” in these regulations</w:t>
      </w:r>
      <w:r>
        <w:tab/>
      </w:r>
      <w:r>
        <w:fldChar w:fldCharType="begin"/>
      </w:r>
      <w:r>
        <w:instrText xml:space="preserve"> PAGEREF _Toc195273789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_Toc195273790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_Toc195273791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Wangkatjungka Aboriginal Community</w:t>
      </w:r>
      <w:r>
        <w:tab/>
      </w:r>
      <w:r>
        <w:fldChar w:fldCharType="begin"/>
      </w:r>
      <w:r>
        <w:instrText xml:space="preserve"> PAGEREF _Toc195273792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_Toc195273793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_Toc195273794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_Toc195273796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_Toc195273797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2" w:name="_Toc195273787"/>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4" w:name="_Toc19527378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95273789"/>
      <w:r>
        <w:rPr>
          <w:rStyle w:val="CharSectno"/>
        </w:rPr>
        <w:t>3</w:t>
      </w:r>
      <w:r>
        <w:t>.</w:t>
      </w:r>
      <w:r>
        <w:tab/>
        <w:t>Meaning of “Wangkatjungka Aboriginal Community” in these regulations</w:t>
      </w:r>
      <w:bookmarkEnd w:id="5"/>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Crown Reserve 35196 (Lot 11 on Deposited Plan 182543 and Lot 99 on Deposited Plan 194196); and</w:t>
      </w:r>
    </w:p>
    <w:p>
      <w:pPr>
        <w:pStyle w:val="Defpara"/>
      </w:pPr>
      <w:r>
        <w:tab/>
        <w:t>(b)</w:t>
      </w:r>
      <w:r>
        <w:tab/>
        <w:t>Crown Reserve 26889 (Lot 6 on Deposited Plan 168953, Lot 10 on Deposited Plan 173215 and Lot 44 on Deposited Plan 189358).</w:t>
      </w:r>
    </w:p>
    <w:p>
      <w:pPr>
        <w:pStyle w:val="Footnotesection"/>
      </w:pPr>
      <w:r>
        <w:t xml:space="preserve"> </w:t>
      </w:r>
      <w:r>
        <w:tab/>
        <w:t>[Regulation 3 amended: SL 2023/26 r. 14.]</w:t>
      </w:r>
    </w:p>
    <w:p>
      <w:pPr>
        <w:pStyle w:val="Ednotesection"/>
        <w:tabs>
          <w:tab w:val="clear" w:pos="605"/>
        </w:tabs>
      </w:pPr>
      <w:r>
        <w:lastRenderedPageBreak/>
        <w:t>[</w:t>
      </w:r>
      <w:r>
        <w:rPr>
          <w:b/>
        </w:rPr>
        <w:t>4.</w:t>
      </w:r>
      <w:r>
        <w:tab/>
        <w:t>Deleted: SL 2022/38 r. 7.]</w:t>
      </w:r>
    </w:p>
    <w:p>
      <w:pPr>
        <w:pStyle w:val="Heading5"/>
      </w:pPr>
      <w:bookmarkStart w:id="6" w:name="_Toc195273790"/>
      <w:r>
        <w:rPr>
          <w:rStyle w:val="CharSectno"/>
        </w:rPr>
        <w:t>5</w:t>
      </w:r>
      <w:r>
        <w:t>.</w:t>
      </w:r>
      <w:r>
        <w:tab/>
        <w:t>Declaration of restricted area</w:t>
      </w:r>
      <w:bookmarkEnd w:id="6"/>
    </w:p>
    <w:p>
      <w:pPr>
        <w:pStyle w:val="Subsection"/>
      </w:pPr>
      <w:r>
        <w:tab/>
      </w:r>
      <w:r>
        <w:tab/>
        <w:t>The Wangkatjungka Aboriginal Community is declared to be a restricted area for the purposes of section 175(1a) of the Act.</w:t>
      </w:r>
    </w:p>
    <w:p>
      <w:pPr>
        <w:pStyle w:val="Heading5"/>
      </w:pPr>
      <w:bookmarkStart w:id="7" w:name="_Toc195273791"/>
      <w:r>
        <w:rPr>
          <w:rStyle w:val="CharSectno"/>
        </w:rPr>
        <w:t>6</w:t>
      </w:r>
      <w:r>
        <w:t>.</w:t>
      </w:r>
      <w:r>
        <w:tab/>
        <w:t>Notice of restricted area</w:t>
      </w:r>
      <w:bookmarkEnd w:id="7"/>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95273792"/>
      <w:r>
        <w:rPr>
          <w:rStyle w:val="CharSectno"/>
        </w:rPr>
        <w:t>7</w:t>
      </w:r>
      <w:r>
        <w:t>.</w:t>
      </w:r>
      <w:r>
        <w:tab/>
        <w:t>Prohibitions as to liquor in Wangkatjungka Aboriginal Community</w:t>
      </w:r>
      <w:bookmarkEnd w:id="8"/>
    </w:p>
    <w:p>
      <w:pPr>
        <w:pStyle w:val="Subsection"/>
        <w:keepNext/>
      </w:pPr>
      <w:r>
        <w:tab/>
        <w:t>(1)</w:t>
      </w:r>
      <w:r>
        <w:tab/>
        <w:t xml:space="preserve">A person who — </w:t>
      </w:r>
    </w:p>
    <w:p>
      <w:pPr>
        <w:pStyle w:val="Indenta"/>
      </w:pPr>
      <w:r>
        <w:tab/>
        <w:t>(a)</w:t>
      </w:r>
      <w:r>
        <w:tab/>
        <w:t>brings liquor into, or causes liquor to be brought into, the Wangkatjungka Aboriginal Community; or</w:t>
      </w:r>
    </w:p>
    <w:p>
      <w:pPr>
        <w:pStyle w:val="Indenta"/>
        <w:keepNext/>
      </w:pPr>
      <w:r>
        <w:tab/>
        <w:t>(b)</w:t>
      </w:r>
      <w:r>
        <w:tab/>
        <w:t>has liquor in his or her possession in the Wangkatjungka Aboriginal Community,</w:t>
      </w:r>
    </w:p>
    <w:p>
      <w:pPr>
        <w:pStyle w:val="Subsection"/>
        <w:keepNext/>
      </w:pPr>
      <w:r>
        <w:tab/>
      </w:r>
      <w:r>
        <w:tab/>
        <w:t>commits an offence.</w:t>
      </w:r>
    </w:p>
    <w:p>
      <w:pPr>
        <w:pStyle w:val="Penstart"/>
        <w:keepNex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95273793"/>
      <w:r>
        <w:rPr>
          <w:rStyle w:val="CharSectno"/>
        </w:rPr>
        <w:lastRenderedPageBreak/>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195273794"/>
      <w:r>
        <w:rPr>
          <w:rStyle w:val="CharSectno"/>
        </w:rPr>
        <w:t>9</w:t>
      </w:r>
      <w:r>
        <w:t>.</w:t>
      </w:r>
      <w:r>
        <w:tab/>
        <w:t>Period during which these regulations have effect</w:t>
      </w:r>
      <w:bookmarkEnd w:id="10"/>
    </w:p>
    <w:p>
      <w:pPr>
        <w:pStyle w:val="Subsection"/>
        <w:keepNext/>
      </w:pPr>
      <w:r>
        <w:tab/>
      </w:r>
      <w:r>
        <w:tab/>
        <w:t>Unless sooner repealed, these regulations have effect for the period that ends at the close of 22 April 2026.</w:t>
      </w:r>
    </w:p>
    <w:p>
      <w:pPr>
        <w:pStyle w:val="Footnotesection"/>
      </w:pPr>
      <w:r>
        <w:tab/>
        <w:t>[Regulation 9 amended: Gazette 21 Apr 2009 p. 1370; 20 Apr 2010 p. 1513; 19 Apr 2013 p. 1569; 4 Mar 2016 p. 629; 22 Mar 2019 p. 860; SL 2022/38 r. 8; SL 2023/26 r. 15; SL 2024/13 r. 6; SL 2025/54 r.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195259093"/>
      <w:bookmarkStart w:id="12" w:name="_Toc195259865"/>
      <w:bookmarkStart w:id="13" w:name="_Toc195273795"/>
      <w:r>
        <w:lastRenderedPageBreak/>
        <w:t>Notes</w:t>
      </w:r>
      <w:bookmarkEnd w:id="11"/>
      <w:bookmarkEnd w:id="12"/>
      <w:bookmarkEnd w:id="13"/>
    </w:p>
    <w:p>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pPr>
        <w:pStyle w:val="nHeading3"/>
      </w:pPr>
      <w:bookmarkStart w:id="14" w:name="_Toc195273796"/>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gridAfter w:val="1"/>
          <w:wAfter w:w="29" w:type="dxa"/>
        </w:trPr>
        <w:tc>
          <w:tcPr>
            <w:tcW w:w="3118" w:type="dxa"/>
            <w:tcBorders>
              <w:bottom w:val="nil"/>
            </w:tcBorders>
          </w:tcPr>
          <w:p>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rPr>
          <w:gridAfter w:val="1"/>
          <w:wAfter w:w="29" w:type="dxa"/>
        </w:trP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r>
        <w:trPr>
          <w:gridAfter w:val="1"/>
          <w:wAfter w:w="29" w:type="dxa"/>
        </w:trPr>
        <w:tc>
          <w:tcPr>
            <w:tcW w:w="3118" w:type="dxa"/>
            <w:tcBorders>
              <w:top w:val="nil"/>
              <w:bottom w:val="nil"/>
            </w:tcBorders>
          </w:tcPr>
          <w:p>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pPr>
              <w:pStyle w:val="nTable"/>
              <w:spacing w:after="40"/>
            </w:pPr>
            <w:r>
              <w:t>SL 2022/38 25 Mar 2022</w:t>
            </w:r>
          </w:p>
        </w:tc>
        <w:tc>
          <w:tcPr>
            <w:tcW w:w="2693" w:type="dxa"/>
            <w:tcBorders>
              <w:top w:val="nil"/>
              <w:bottom w:val="nil"/>
            </w:tcBorders>
          </w:tcPr>
          <w:p>
            <w:pPr>
              <w:pStyle w:val="nTable"/>
              <w:spacing w:after="40"/>
              <w:rPr>
                <w:bCs/>
                <w:snapToGrid w:val="0"/>
                <w:spacing w:val="-2"/>
              </w:rPr>
            </w:pPr>
            <w:r>
              <w:rPr>
                <w:bCs/>
                <w:snapToGrid w:val="0"/>
                <w:spacing w:val="-2"/>
              </w:rPr>
              <w:t>26 Mar 2022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6</w:t>
            </w:r>
          </w:p>
        </w:tc>
        <w:tc>
          <w:tcPr>
            <w:tcW w:w="1276" w:type="dxa"/>
            <w:tcBorders>
              <w:top w:val="nil"/>
              <w:bottom w:val="nil"/>
            </w:tcBorders>
          </w:tcPr>
          <w:p>
            <w:pPr>
              <w:pStyle w:val="nTable"/>
              <w:spacing w:after="40"/>
            </w:pPr>
            <w:r>
              <w:t>SL 2023/26 6 Apr 2023</w:t>
            </w:r>
          </w:p>
        </w:tc>
        <w:tc>
          <w:tcPr>
            <w:tcW w:w="2693" w:type="dxa"/>
            <w:gridSpan w:val="2"/>
            <w:tcBorders>
              <w:top w:val="nil"/>
              <w:bottom w:val="nil"/>
            </w:tcBorders>
          </w:tcPr>
          <w:p>
            <w:pPr>
              <w:pStyle w:val="nTable"/>
              <w:spacing w:after="40"/>
              <w:rPr>
                <w:bCs/>
                <w:snapToGrid w:val="0"/>
                <w:spacing w:val="-2"/>
              </w:rPr>
            </w:pPr>
            <w:r>
              <w:rPr>
                <w:bCs/>
                <w:snapToGrid w:val="0"/>
                <w:spacing w:val="-2"/>
              </w:rPr>
              <w:t>7 Apr 2023 (see r. 2(b))</w:t>
            </w:r>
          </w:p>
        </w:tc>
      </w:tr>
      <w:tr>
        <w:tc>
          <w:tcPr>
            <w:tcW w:w="3119" w:type="dxa"/>
            <w:tcBorders>
              <w:top w:val="nil"/>
              <w:bottom w:val="nil"/>
            </w:tcBorders>
          </w:tcPr>
          <w:p>
            <w:pPr>
              <w:pStyle w:val="nTable"/>
              <w:spacing w:after="40"/>
              <w:rPr>
                <w:iCs/>
              </w:rPr>
            </w:pPr>
            <w:r>
              <w:rPr>
                <w:i/>
              </w:rPr>
              <w:t xml:space="preserve">Racing and Gaming Regulations Amendment (Liquor Control) Regulations 2024 </w:t>
            </w:r>
            <w:r>
              <w:rPr>
                <w:iCs/>
              </w:rPr>
              <w:t>Pt. 3</w:t>
            </w:r>
          </w:p>
        </w:tc>
        <w:tc>
          <w:tcPr>
            <w:tcW w:w="1276" w:type="dxa"/>
            <w:tcBorders>
              <w:top w:val="nil"/>
              <w:bottom w:val="nil"/>
            </w:tcBorders>
          </w:tcPr>
          <w:p>
            <w:pPr>
              <w:pStyle w:val="nTable"/>
              <w:spacing w:after="40"/>
            </w:pPr>
            <w:r>
              <w:t>SL 2024/13 21 Feb 2024</w:t>
            </w:r>
          </w:p>
        </w:tc>
        <w:tc>
          <w:tcPr>
            <w:tcW w:w="2693" w:type="dxa"/>
            <w:gridSpan w:val="2"/>
            <w:tcBorders>
              <w:top w:val="nil"/>
              <w:bottom w:val="nil"/>
            </w:tcBorders>
          </w:tcPr>
          <w:p>
            <w:pPr>
              <w:pStyle w:val="nTable"/>
              <w:spacing w:after="40"/>
              <w:rPr>
                <w:bCs/>
                <w:snapToGrid w:val="0"/>
                <w:spacing w:val="-2"/>
              </w:rPr>
            </w:pPr>
            <w:r>
              <w:rPr>
                <w:bCs/>
                <w:snapToGrid w:val="0"/>
                <w:spacing w:val="-2"/>
              </w:rPr>
              <w:t>22 Feb 2024 (see r. 2(b))</w:t>
            </w:r>
          </w:p>
        </w:tc>
      </w:tr>
      <w:tr>
        <w:tc>
          <w:tcPr>
            <w:tcW w:w="3119" w:type="dxa"/>
            <w:tcBorders>
              <w:top w:val="nil"/>
            </w:tcBorders>
          </w:tcPr>
          <w:p>
            <w:pPr>
              <w:pStyle w:val="nTable"/>
              <w:spacing w:after="40"/>
              <w:rPr>
                <w:iCs/>
              </w:rPr>
            </w:pPr>
            <w:r>
              <w:rPr>
                <w:i/>
              </w:rPr>
              <w:lastRenderedPageBreak/>
              <w:t xml:space="preserve">Racing and Gaming Regulations Amendment (Liquor Control) Regulations 2025 </w:t>
            </w:r>
            <w:r>
              <w:rPr>
                <w:iCs/>
              </w:rPr>
              <w:t>Pt. 4</w:t>
            </w:r>
          </w:p>
        </w:tc>
        <w:tc>
          <w:tcPr>
            <w:tcW w:w="1276" w:type="dxa"/>
            <w:tcBorders>
              <w:top w:val="nil"/>
            </w:tcBorders>
          </w:tcPr>
          <w:p>
            <w:pPr>
              <w:pStyle w:val="nTable"/>
              <w:spacing w:after="40"/>
            </w:pPr>
            <w:r>
              <w:t>SL 2025/54 16 Apr 2025</w:t>
            </w:r>
          </w:p>
        </w:tc>
        <w:tc>
          <w:tcPr>
            <w:tcW w:w="2693" w:type="dxa"/>
            <w:gridSpan w:val="2"/>
            <w:tcBorders>
              <w:top w:val="nil"/>
            </w:tcBorders>
          </w:tcPr>
          <w:p>
            <w:pPr>
              <w:pStyle w:val="nTable"/>
              <w:spacing w:after="40"/>
              <w:rPr>
                <w:bCs/>
                <w:snapToGrid w:val="0"/>
                <w:spacing w:val="-2"/>
              </w:rPr>
            </w:pPr>
            <w:r>
              <w:rPr>
                <w:bCs/>
                <w:snapToGrid w:val="0"/>
                <w:spacing w:val="-2"/>
              </w:rPr>
              <w:t>17 Apr 2025 (see r. 2(b))</w:t>
            </w:r>
          </w:p>
        </w:tc>
      </w:tr>
    </w:tbl>
    <w:p>
      <w:pPr>
        <w:pStyle w:val="nHeading3"/>
      </w:pPr>
      <w:bookmarkStart w:id="15" w:name="_Toc195273797"/>
      <w:r>
        <w:t>Other notes</w:t>
      </w:r>
      <w:bookmarkEnd w:id="15"/>
    </w:p>
    <w:p>
      <w:pPr>
        <w:pStyle w:val="nNote"/>
      </w:pPr>
      <w:r>
        <w:rPr>
          <w:vertAlign w:val="superscript"/>
        </w:rPr>
        <w:t>1</w:t>
      </w:r>
      <w:r>
        <w:tab/>
        <w:t>These regulations expire 22 April 2026 (see r. 9).</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7" w:name="_Toc195259096"/>
      <w:bookmarkStart w:id="18" w:name="_Toc195259868"/>
      <w:bookmarkStart w:id="19" w:name="_Toc195273798"/>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Wangkatjungka Aboriginal Community</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847AD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6A3CD4" w14:textId="1AC4E3BE" w:rsidR="00931744" w:rsidRDefault="002D625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47E9">
                        <w:rPr>
                          <w:sz w:val="16"/>
                        </w:rPr>
                        <w:t>2025</w:t>
                      </w:r>
                      <w:r>
                        <w:rPr>
                          <w:sz w:val="16"/>
                        </w:rPr>
                        <w:fldChar w:fldCharType="end"/>
                      </w:r>
                      <w:r>
                        <w:rPr>
                          <w:sz w:val="16"/>
                        </w:rPr>
                        <w:t>.</w:t>
                      </w:r>
                    </w:p>
                    <w:p w14:paraId="12AC91D2" w14:textId="77777777" w:rsidR="00931744" w:rsidRDefault="002D625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62E20F" w14:textId="3B11DC7F" w:rsidR="00931744" w:rsidRDefault="002D625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47E9">
                        <w:rPr>
                          <w:sz w:val="16"/>
                        </w:rPr>
                        <w:t>2025</w:t>
                      </w:r>
                      <w:r>
                        <w:rPr>
                          <w:sz w:val="16"/>
                        </w:rPr>
                        <w:fldChar w:fldCharType="end"/>
                      </w:r>
                      <w:r>
                        <w:rPr>
                          <w:sz w:val="16"/>
                        </w:rPr>
                        <w:t>.</w:t>
                      </w:r>
                    </w:p>
                    <w:p w14:paraId="498718D7" w14:textId="77777777" w:rsidR="00931744" w:rsidRDefault="002D625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1641"/>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 w:name="WAFER_2024021613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35925_GUID" w:val="1dc370f4-9f00-4c0b-bf50-2f4de104106c"/>
    <w:docVar w:name="WAFER_2025041110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1641_GUID" w:val="a0666a57-fc5f-4ebb-a033-0981aa100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5302</Characters>
  <Application>Microsoft Office Word</Application>
  <DocSecurity>0</DocSecurity>
  <Lines>212</Lines>
  <Paragraphs>132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2008 - 00-j0-00</dc:title>
  <dc:subject/>
  <dc:creator/>
  <cp:keywords/>
  <dc:description/>
  <cp:lastModifiedBy>Master Repository Process</cp:lastModifiedBy>
  <cp:revision>4</cp:revision>
  <cp:lastPrinted>2019-03-21T05:03:00Z</cp:lastPrinted>
  <dcterms:created xsi:type="dcterms:W3CDTF">2025-07-04T03:31:00Z</dcterms:created>
  <dcterms:modified xsi:type="dcterms:W3CDTF">2025-07-04T03:31:00Z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AsAtDate">
    <vt:lpwstr>17 Apr 2025</vt:lpwstr>
  </property>
  <property fmtid="{D5CDD505-2E9C-101B-9397-08002B2CF9AE}" pid="6" name="Suffix">
    <vt:lpwstr>00-j0-00</vt:lpwstr>
  </property>
  <property fmtid="{D5CDD505-2E9C-101B-9397-08002B2CF9AE}" pid="7" name="Official">
    <vt:lpwstr/>
  </property>
  <property fmtid="{D5CDD505-2E9C-101B-9397-08002B2CF9AE}" pid="8" name="CommencementDate">
    <vt:lpwstr>20250417</vt:lpwstr>
  </property>
  <property fmtid="{D5CDD505-2E9C-101B-9397-08002B2CF9AE}" pid="9" name="CommencementAsAt">
    <vt:filetime>2025-04-16T16:00:00Z</vt:filetime>
  </property>
  <property fmtid="{D5CDD505-2E9C-101B-9397-08002B2CF9AE}" pid="10" name="CommencementYear">
    <vt:lpwstr>2025</vt:lpwstr>
  </property>
</Properties>
</file>