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Superannuation Act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_Toc195259708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_Toc195259709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_Toc195259710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_Toc195259711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2A — Employer contribution obligation</w:t>
      </w:r>
    </w:p>
    <w:p>
      <w:pPr>
        <w:pStyle w:val="TOC8"/>
        <w:rPr>
          <w:rFonts w:asciiTheme="minorHAnsi" w:eastAsiaTheme="minorEastAsia" w:hAnsiTheme="minorHAnsi" w:cstheme="minorBidi"/>
          <w:szCs w:val="22"/>
        </w:rPr>
      </w:pPr>
      <w:r>
        <w:t>4A.</w:t>
      </w:r>
      <w:r>
        <w:tab/>
        <w:t>Terms used</w:t>
      </w:r>
      <w:r>
        <w:tab/>
      </w:r>
      <w:r>
        <w:fldChar w:fldCharType="begin"/>
      </w:r>
      <w:r>
        <w:instrText xml:space="preserve"> PAGEREF _Toc195259713 \h </w:instrText>
      </w:r>
      <w:r>
        <w:fldChar w:fldCharType="separate"/>
      </w:r>
      <w:r>
        <w:t>4</w:t>
      </w:r>
      <w:r>
        <w:fldChar w:fldCharType="end"/>
      </w:r>
    </w:p>
    <w:p>
      <w:pPr>
        <w:pStyle w:val="TOC8"/>
        <w:rPr>
          <w:rFonts w:asciiTheme="minorHAnsi" w:eastAsiaTheme="minorEastAsia" w:hAnsiTheme="minorHAnsi" w:cstheme="minorBidi"/>
          <w:szCs w:val="22"/>
        </w:rPr>
      </w:pPr>
      <w:r>
        <w:t>4B.</w:t>
      </w:r>
      <w:r>
        <w:tab/>
        <w:t>Employer contributions, duty to make etc.</w:t>
      </w:r>
      <w:r>
        <w:tab/>
      </w:r>
      <w:r>
        <w:fldChar w:fldCharType="begin"/>
      </w:r>
      <w:r>
        <w:instrText xml:space="preserve"> PAGEREF _Toc195259714 \h </w:instrText>
      </w:r>
      <w:r>
        <w:fldChar w:fldCharType="separate"/>
      </w:r>
      <w:r>
        <w:t>5</w:t>
      </w:r>
      <w:r>
        <w:fldChar w:fldCharType="end"/>
      </w:r>
    </w:p>
    <w:p>
      <w:pPr>
        <w:pStyle w:val="TOC8"/>
        <w:rPr>
          <w:rFonts w:asciiTheme="minorHAnsi" w:eastAsiaTheme="minorEastAsia" w:hAnsiTheme="minorHAnsi" w:cstheme="minorBidi"/>
          <w:szCs w:val="22"/>
        </w:rPr>
      </w:pPr>
      <w:r>
        <w:t>4C.</w:t>
      </w:r>
      <w:r>
        <w:tab/>
        <w:t>Regulations may require extra contributions</w:t>
      </w:r>
      <w:r>
        <w:tab/>
      </w:r>
      <w:r>
        <w:fldChar w:fldCharType="begin"/>
      </w:r>
      <w:r>
        <w:instrText xml:space="preserve"> PAGEREF _Toc195259715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Government Employees Superannuation Board</w:t>
      </w:r>
    </w:p>
    <w:p>
      <w:pPr>
        <w:pStyle w:val="TOC8"/>
        <w:rPr>
          <w:rFonts w:asciiTheme="minorHAnsi" w:eastAsiaTheme="minorEastAsia" w:hAnsiTheme="minorHAnsi" w:cstheme="minorBidi"/>
          <w:szCs w:val="22"/>
        </w:rPr>
      </w:pPr>
      <w:r>
        <w:t>5.</w:t>
      </w:r>
      <w:r>
        <w:tab/>
        <w:t>Board established and nature of</w:t>
      </w:r>
      <w:r>
        <w:tab/>
      </w:r>
      <w:r>
        <w:fldChar w:fldCharType="begin"/>
      </w:r>
      <w:r>
        <w:instrText xml:space="preserve"> PAGEREF _Toc195259717 \h </w:instrText>
      </w:r>
      <w:r>
        <w:fldChar w:fldCharType="separate"/>
      </w:r>
      <w:r>
        <w:t>7</w:t>
      </w:r>
      <w:r>
        <w:fldChar w:fldCharType="end"/>
      </w:r>
    </w:p>
    <w:p>
      <w:pPr>
        <w:pStyle w:val="TOC8"/>
        <w:rPr>
          <w:rFonts w:asciiTheme="minorHAnsi" w:eastAsiaTheme="minorEastAsia" w:hAnsiTheme="minorHAnsi" w:cstheme="minorBidi"/>
          <w:szCs w:val="22"/>
        </w:rPr>
      </w:pPr>
      <w:r>
        <w:t>6.</w:t>
      </w:r>
      <w:r>
        <w:tab/>
        <w:t>Functions</w:t>
      </w:r>
      <w:r>
        <w:tab/>
      </w:r>
      <w:r>
        <w:fldChar w:fldCharType="begin"/>
      </w:r>
      <w:r>
        <w:instrText xml:space="preserve"> PAGEREF _Toc195259718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w:t>
      </w:r>
      <w:r>
        <w:tab/>
      </w:r>
      <w:r>
        <w:fldChar w:fldCharType="begin"/>
      </w:r>
      <w:r>
        <w:instrText xml:space="preserve"> PAGEREF _Toc195259719 \h </w:instrText>
      </w:r>
      <w:r>
        <w:fldChar w:fldCharType="separate"/>
      </w:r>
      <w:r>
        <w:t>8</w:t>
      </w:r>
      <w:r>
        <w:fldChar w:fldCharType="end"/>
      </w:r>
    </w:p>
    <w:p>
      <w:pPr>
        <w:pStyle w:val="TOC8"/>
        <w:rPr>
          <w:rFonts w:asciiTheme="minorHAnsi" w:eastAsiaTheme="minorEastAsia" w:hAnsiTheme="minorHAnsi" w:cstheme="minorBidi"/>
          <w:szCs w:val="22"/>
        </w:rPr>
      </w:pPr>
      <w:r>
        <w:t>7A.</w:t>
      </w:r>
      <w:r>
        <w:tab/>
        <w:t>Subsidiary, formation or acquisition of</w:t>
      </w:r>
      <w:r>
        <w:tab/>
      </w:r>
      <w:r>
        <w:fldChar w:fldCharType="begin"/>
      </w:r>
      <w:r>
        <w:instrText xml:space="preserve"> PAGEREF _Toc195259720 \h </w:instrText>
      </w:r>
      <w:r>
        <w:fldChar w:fldCharType="separate"/>
      </w:r>
      <w:r>
        <w:t>9</w:t>
      </w:r>
      <w:r>
        <w:fldChar w:fldCharType="end"/>
      </w:r>
    </w:p>
    <w:p>
      <w:pPr>
        <w:pStyle w:val="TOC8"/>
        <w:rPr>
          <w:rFonts w:asciiTheme="minorHAnsi" w:eastAsiaTheme="minorEastAsia" w:hAnsiTheme="minorHAnsi" w:cstheme="minorBidi"/>
          <w:szCs w:val="22"/>
        </w:rPr>
      </w:pPr>
      <w:r>
        <w:t>7B.</w:t>
      </w:r>
      <w:r>
        <w:tab/>
        <w:t>Subsidiary, constitution of etc.</w:t>
      </w:r>
      <w:r>
        <w:tab/>
      </w:r>
      <w:r>
        <w:fldChar w:fldCharType="begin"/>
      </w:r>
      <w:r>
        <w:instrText xml:space="preserve"> PAGEREF _Toc195259721 \h </w:instrText>
      </w:r>
      <w:r>
        <w:fldChar w:fldCharType="separate"/>
      </w:r>
      <w:r>
        <w:t>10</w:t>
      </w:r>
      <w:r>
        <w:fldChar w:fldCharType="end"/>
      </w:r>
    </w:p>
    <w:p>
      <w:pPr>
        <w:pStyle w:val="TOC8"/>
        <w:rPr>
          <w:rFonts w:asciiTheme="minorHAnsi" w:eastAsiaTheme="minorEastAsia" w:hAnsiTheme="minorHAnsi" w:cstheme="minorBidi"/>
          <w:szCs w:val="22"/>
        </w:rPr>
      </w:pPr>
      <w:r>
        <w:t>8.</w:t>
      </w:r>
      <w:r>
        <w:tab/>
        <w:t>Composition of Board</w:t>
      </w:r>
      <w:r>
        <w:tab/>
      </w:r>
      <w:r>
        <w:fldChar w:fldCharType="begin"/>
      </w:r>
      <w:r>
        <w:instrText xml:space="preserve"> PAGEREF _Toc195259722 \h </w:instrText>
      </w:r>
      <w:r>
        <w:fldChar w:fldCharType="separate"/>
      </w:r>
      <w:r>
        <w:t>11</w:t>
      </w:r>
      <w:r>
        <w:fldChar w:fldCharType="end"/>
      </w:r>
    </w:p>
    <w:p>
      <w:pPr>
        <w:pStyle w:val="TOC8"/>
        <w:rPr>
          <w:rFonts w:asciiTheme="minorHAnsi" w:eastAsiaTheme="minorEastAsia" w:hAnsiTheme="minorHAnsi" w:cstheme="minorBidi"/>
          <w:szCs w:val="22"/>
        </w:rPr>
      </w:pPr>
      <w:r>
        <w:t>9.</w:t>
      </w:r>
      <w:r>
        <w:tab/>
        <w:t>Protection from personal liability</w:t>
      </w:r>
      <w:r>
        <w:tab/>
      </w:r>
      <w:r>
        <w:fldChar w:fldCharType="begin"/>
      </w:r>
      <w:r>
        <w:instrText xml:space="preserve"> PAGEREF _Toc195259723 \h </w:instrText>
      </w:r>
      <w:r>
        <w:fldChar w:fldCharType="separate"/>
      </w:r>
      <w:r>
        <w:t>11</w:t>
      </w:r>
      <w:r>
        <w:fldChar w:fldCharType="end"/>
      </w:r>
    </w:p>
    <w:p>
      <w:pPr>
        <w:pStyle w:val="TOC8"/>
        <w:rPr>
          <w:rFonts w:asciiTheme="minorHAnsi" w:eastAsiaTheme="minorEastAsia" w:hAnsiTheme="minorHAnsi" w:cstheme="minorBidi"/>
          <w:szCs w:val="22"/>
        </w:rPr>
      </w:pPr>
      <w:r>
        <w:t>10.</w:t>
      </w:r>
      <w:r>
        <w:tab/>
        <w:t>Meetings and procedures (Sch. 2) and common seal</w:t>
      </w:r>
      <w:r>
        <w:tab/>
      </w:r>
      <w:r>
        <w:fldChar w:fldCharType="begin"/>
      </w:r>
      <w:r>
        <w:instrText xml:space="preserve"> PAGEREF _Toc195259724 \h </w:instrText>
      </w:r>
      <w:r>
        <w:fldChar w:fldCharType="separate"/>
      </w:r>
      <w:r>
        <w:t>12</w:t>
      </w:r>
      <w:r>
        <w:fldChar w:fldCharType="end"/>
      </w:r>
    </w:p>
    <w:p>
      <w:pPr>
        <w:pStyle w:val="TOC8"/>
        <w:rPr>
          <w:rFonts w:asciiTheme="minorHAnsi" w:eastAsiaTheme="minorEastAsia" w:hAnsiTheme="minorHAnsi" w:cstheme="minorBidi"/>
          <w:szCs w:val="22"/>
        </w:rPr>
      </w:pPr>
      <w:r>
        <w:t>11.</w:t>
      </w:r>
      <w:r>
        <w:tab/>
        <w:t>Staff</w:t>
      </w:r>
      <w:r>
        <w:tab/>
      </w:r>
      <w:r>
        <w:fldChar w:fldCharType="begin"/>
      </w:r>
      <w:r>
        <w:instrText xml:space="preserve"> PAGEREF _Toc195259725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 by Board</w:t>
      </w:r>
      <w:r>
        <w:tab/>
      </w:r>
      <w:r>
        <w:fldChar w:fldCharType="begin"/>
      </w:r>
      <w:r>
        <w:instrText xml:space="preserve"> PAGEREF _Toc195259726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Board decisions, review of</w:t>
      </w:r>
      <w:r>
        <w:tab/>
      </w:r>
      <w:r>
        <w:fldChar w:fldCharType="begin"/>
      </w:r>
      <w:r>
        <w:instrText xml:space="preserve"> PAGEREF _Toc195259727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Government Employees Superannuation Fund</w:t>
      </w:r>
    </w:p>
    <w:p>
      <w:pPr>
        <w:pStyle w:val="TOC8"/>
        <w:rPr>
          <w:rFonts w:asciiTheme="minorHAnsi" w:eastAsiaTheme="minorEastAsia" w:hAnsiTheme="minorHAnsi" w:cstheme="minorBidi"/>
          <w:szCs w:val="22"/>
        </w:rPr>
      </w:pPr>
      <w:r>
        <w:t>14.</w:t>
      </w:r>
      <w:r>
        <w:tab/>
        <w:t>Fund established and nature of</w:t>
      </w:r>
      <w:r>
        <w:tab/>
      </w:r>
      <w:r>
        <w:fldChar w:fldCharType="begin"/>
      </w:r>
      <w:r>
        <w:instrText xml:space="preserve"> PAGEREF _Toc195259729 \h </w:instrText>
      </w:r>
      <w:r>
        <w:fldChar w:fldCharType="separate"/>
      </w:r>
      <w:r>
        <w:t>15</w:t>
      </w:r>
      <w:r>
        <w:fldChar w:fldCharType="end"/>
      </w:r>
    </w:p>
    <w:p>
      <w:pPr>
        <w:pStyle w:val="TOC8"/>
        <w:rPr>
          <w:rFonts w:asciiTheme="minorHAnsi" w:eastAsiaTheme="minorEastAsia" w:hAnsiTheme="minorHAnsi" w:cstheme="minorBidi"/>
          <w:szCs w:val="22"/>
        </w:rPr>
      </w:pPr>
      <w:r>
        <w:t>15.</w:t>
      </w:r>
      <w:r>
        <w:tab/>
        <w:t>Fund, content and purposes of</w:t>
      </w:r>
      <w:r>
        <w:tab/>
      </w:r>
      <w:r>
        <w:fldChar w:fldCharType="begin"/>
      </w:r>
      <w:r>
        <w:instrText xml:space="preserve"> PAGEREF _Toc195259730 \h </w:instrText>
      </w:r>
      <w:r>
        <w:fldChar w:fldCharType="separate"/>
      </w:r>
      <w:r>
        <w:t>15</w:t>
      </w:r>
      <w:r>
        <w:fldChar w:fldCharType="end"/>
      </w:r>
    </w:p>
    <w:p>
      <w:pPr>
        <w:pStyle w:val="TOC8"/>
        <w:rPr>
          <w:rFonts w:asciiTheme="minorHAnsi" w:eastAsiaTheme="minorEastAsia" w:hAnsiTheme="minorHAnsi" w:cstheme="minorBidi"/>
          <w:szCs w:val="22"/>
        </w:rPr>
      </w:pPr>
      <w:r>
        <w:t>16.</w:t>
      </w:r>
      <w:r>
        <w:tab/>
        <w:t>Accounting records, Board to keep etc.</w:t>
      </w:r>
      <w:r>
        <w:tab/>
      </w:r>
      <w:r>
        <w:fldChar w:fldCharType="begin"/>
      </w:r>
      <w:r>
        <w:instrText xml:space="preserve"> PAGEREF _Toc195259731 \h </w:instrText>
      </w:r>
      <w:r>
        <w:fldChar w:fldCharType="separate"/>
      </w:r>
      <w:r>
        <w:t>16</w:t>
      </w:r>
      <w:r>
        <w:fldChar w:fldCharType="end"/>
      </w:r>
    </w:p>
    <w:p>
      <w:pPr>
        <w:pStyle w:val="TOC8"/>
        <w:rPr>
          <w:rFonts w:asciiTheme="minorHAnsi" w:eastAsiaTheme="minorEastAsia" w:hAnsiTheme="minorHAnsi" w:cstheme="minorBidi"/>
          <w:szCs w:val="22"/>
        </w:rPr>
      </w:pPr>
      <w:r>
        <w:t>17.</w:t>
      </w:r>
      <w:r>
        <w:tab/>
        <w:t>Actuarial investigations, Board to obtain periodically</w:t>
      </w:r>
      <w:r>
        <w:tab/>
      </w:r>
      <w:r>
        <w:fldChar w:fldCharType="begin"/>
      </w:r>
      <w:r>
        <w:instrText xml:space="preserve"> PAGEREF _Toc195259732 \h </w:instrText>
      </w:r>
      <w:r>
        <w:fldChar w:fldCharType="separate"/>
      </w:r>
      <w:r>
        <w:t>16</w:t>
      </w:r>
      <w:r>
        <w:fldChar w:fldCharType="end"/>
      </w:r>
    </w:p>
    <w:p>
      <w:pPr>
        <w:pStyle w:val="TOC8"/>
        <w:rPr>
          <w:rFonts w:asciiTheme="minorHAnsi" w:eastAsiaTheme="minorEastAsia" w:hAnsiTheme="minorHAnsi" w:cstheme="minorBidi"/>
          <w:szCs w:val="22"/>
        </w:rPr>
      </w:pPr>
      <w:r>
        <w:t>18.</w:t>
      </w:r>
      <w:r>
        <w:tab/>
        <w:t>Investing Fund’s assets</w:t>
      </w:r>
      <w:r>
        <w:tab/>
      </w:r>
      <w:r>
        <w:fldChar w:fldCharType="begin"/>
      </w:r>
      <w:r>
        <w:instrText xml:space="preserve"> PAGEREF _Toc195259733 \h </w:instrText>
      </w:r>
      <w:r>
        <w:fldChar w:fldCharType="separate"/>
      </w:r>
      <w:r>
        <w:t>16</w:t>
      </w:r>
      <w:r>
        <w:fldChar w:fldCharType="end"/>
      </w:r>
    </w:p>
    <w:p>
      <w:pPr>
        <w:pStyle w:val="TOC8"/>
        <w:rPr>
          <w:rFonts w:asciiTheme="minorHAnsi" w:eastAsiaTheme="minorEastAsia" w:hAnsiTheme="minorHAnsi" w:cstheme="minorBidi"/>
          <w:szCs w:val="22"/>
        </w:rPr>
      </w:pPr>
      <w:r>
        <w:t>19.</w:t>
      </w:r>
      <w:r>
        <w:tab/>
        <w:t>Investment strategy for Fund, Board’s duties as to</w:t>
      </w:r>
      <w:r>
        <w:tab/>
      </w:r>
      <w:r>
        <w:fldChar w:fldCharType="begin"/>
      </w:r>
      <w:r>
        <w:instrText xml:space="preserve"> PAGEREF _Toc195259734 \h </w:instrText>
      </w:r>
      <w:r>
        <w:fldChar w:fldCharType="separate"/>
      </w:r>
      <w:r>
        <w:t>17</w:t>
      </w:r>
      <w:r>
        <w:fldChar w:fldCharType="end"/>
      </w:r>
    </w:p>
    <w:p>
      <w:pPr>
        <w:pStyle w:val="TOC8"/>
        <w:rPr>
          <w:rFonts w:asciiTheme="minorHAnsi" w:eastAsiaTheme="minorEastAsia" w:hAnsiTheme="minorHAnsi" w:cstheme="minorBidi"/>
          <w:szCs w:val="22"/>
        </w:rPr>
      </w:pPr>
      <w:r>
        <w:t>20A.</w:t>
      </w:r>
      <w:r>
        <w:tab/>
        <w:t>Reserves in Fund and reserving strategy, Board’s functions as to</w:t>
      </w:r>
      <w:r>
        <w:tab/>
      </w:r>
      <w:r>
        <w:fldChar w:fldCharType="begin"/>
      </w:r>
      <w:r>
        <w:instrText xml:space="preserve"> PAGEREF _Toc195259735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investments, restrictions on making</w:t>
      </w:r>
      <w:r>
        <w:tab/>
      </w:r>
      <w:r>
        <w:fldChar w:fldCharType="begin"/>
      </w:r>
      <w:r>
        <w:instrText xml:space="preserve"> PAGEREF _Toc195259736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Loans to Members prohibited</w:t>
      </w:r>
      <w:r>
        <w:tab/>
      </w:r>
      <w:r>
        <w:fldChar w:fldCharType="begin"/>
      </w:r>
      <w:r>
        <w:instrText xml:space="preserve"> PAGEREF _Toc195259737 \h </w:instrText>
      </w:r>
      <w:r>
        <w:fldChar w:fldCharType="separate"/>
      </w:r>
      <w:r>
        <w:t>19</w:t>
      </w:r>
      <w:r>
        <w:fldChar w:fldCharType="end"/>
      </w:r>
    </w:p>
    <w:p>
      <w:pPr>
        <w:pStyle w:val="TOC8"/>
        <w:rPr>
          <w:rFonts w:asciiTheme="minorHAnsi" w:eastAsiaTheme="minorEastAsia" w:hAnsiTheme="minorHAnsi" w:cstheme="minorBidi"/>
          <w:szCs w:val="22"/>
        </w:rPr>
      </w:pPr>
      <w:r>
        <w:t>22.</w:t>
      </w:r>
      <w:r>
        <w:tab/>
        <w:t>Allocation of Fund’s earnings and costs</w:t>
      </w:r>
      <w:r>
        <w:tab/>
      </w:r>
      <w:r>
        <w:fldChar w:fldCharType="begin"/>
      </w:r>
      <w:r>
        <w:instrText xml:space="preserve"> PAGEREF _Toc195259738 \h </w:instrText>
      </w:r>
      <w:r>
        <w:fldChar w:fldCharType="separate"/>
      </w:r>
      <w:r>
        <w:t>19</w:t>
      </w:r>
      <w:r>
        <w:fldChar w:fldCharType="end"/>
      </w:r>
    </w:p>
    <w:p>
      <w:pPr>
        <w:pStyle w:val="TOC8"/>
        <w:rPr>
          <w:rFonts w:asciiTheme="minorHAnsi" w:eastAsiaTheme="minorEastAsia" w:hAnsiTheme="minorHAnsi" w:cstheme="minorBidi"/>
          <w:szCs w:val="22"/>
        </w:rPr>
      </w:pPr>
      <w:r>
        <w:t>23.</w:t>
      </w:r>
      <w:r>
        <w:tab/>
        <w:t>Appointment of investment manager</w:t>
      </w:r>
      <w:r>
        <w:tab/>
      </w:r>
      <w:r>
        <w:fldChar w:fldCharType="begin"/>
      </w:r>
      <w:r>
        <w:instrText xml:space="preserve"> PAGEREF _Toc195259739 \h </w:instrText>
      </w:r>
      <w:r>
        <w:fldChar w:fldCharType="separate"/>
      </w:r>
      <w:r>
        <w:t>20</w:t>
      </w:r>
      <w:r>
        <w:fldChar w:fldCharType="end"/>
      </w:r>
    </w:p>
    <w:p>
      <w:pPr>
        <w:pStyle w:val="TOC8"/>
        <w:rPr>
          <w:rFonts w:asciiTheme="minorHAnsi" w:eastAsiaTheme="minorEastAsia" w:hAnsiTheme="minorHAnsi" w:cstheme="minorBidi"/>
          <w:szCs w:val="22"/>
        </w:rPr>
      </w:pPr>
      <w:r>
        <w:t>24.</w:t>
      </w:r>
      <w:r>
        <w:tab/>
        <w:t>Borrowing by Board</w:t>
      </w:r>
      <w:r>
        <w:tab/>
      </w:r>
      <w:r>
        <w:fldChar w:fldCharType="begin"/>
      </w:r>
      <w:r>
        <w:instrText xml:space="preserve"> PAGEREF _Toc195259740 \h </w:instrText>
      </w:r>
      <w:r>
        <w:fldChar w:fldCharType="separate"/>
      </w:r>
      <w:r>
        <w:t>20</w:t>
      </w:r>
      <w:r>
        <w:fldChar w:fldCharType="end"/>
      </w:r>
    </w:p>
    <w:p>
      <w:pPr>
        <w:pStyle w:val="TOC8"/>
        <w:rPr>
          <w:rFonts w:asciiTheme="minorHAnsi" w:eastAsiaTheme="minorEastAsia" w:hAnsiTheme="minorHAnsi" w:cstheme="minorBidi"/>
          <w:szCs w:val="22"/>
        </w:rPr>
      </w:pPr>
      <w:r>
        <w:t>25.</w:t>
      </w:r>
      <w:r>
        <w:tab/>
        <w:t>Interest on money owed to Fund</w:t>
      </w:r>
      <w:r>
        <w:tab/>
      </w:r>
      <w:r>
        <w:fldChar w:fldCharType="begin"/>
      </w:r>
      <w:r>
        <w:instrText xml:space="preserve"> PAGEREF _Toc195259741 \h </w:instrText>
      </w:r>
      <w:r>
        <w:fldChar w:fldCharType="separate"/>
      </w:r>
      <w:r>
        <w:t>21</w:t>
      </w:r>
      <w:r>
        <w:fldChar w:fldCharType="end"/>
      </w:r>
    </w:p>
    <w:p>
      <w:pPr>
        <w:pStyle w:val="TOC8"/>
        <w:rPr>
          <w:rFonts w:asciiTheme="minorHAnsi" w:eastAsiaTheme="minorEastAsia" w:hAnsiTheme="minorHAnsi" w:cstheme="minorBidi"/>
          <w:szCs w:val="22"/>
        </w:rPr>
      </w:pPr>
      <w:r>
        <w:t>26.</w:t>
      </w:r>
      <w:r>
        <w:tab/>
      </w:r>
      <w:r>
        <w:rPr>
          <w:snapToGrid w:val="0"/>
        </w:rPr>
        <w:t>Recovering money owed to Fund</w:t>
      </w:r>
      <w:r>
        <w:tab/>
      </w:r>
      <w:r>
        <w:fldChar w:fldCharType="begin"/>
      </w:r>
      <w:r>
        <w:instrText xml:space="preserve"> PAGEREF _Toc195259742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Superannuation schemes</w:t>
      </w:r>
    </w:p>
    <w:p>
      <w:pPr>
        <w:pStyle w:val="TOC8"/>
        <w:rPr>
          <w:rFonts w:asciiTheme="minorHAnsi" w:eastAsiaTheme="minorEastAsia" w:hAnsiTheme="minorHAnsi" w:cstheme="minorBidi"/>
          <w:szCs w:val="22"/>
        </w:rPr>
      </w:pPr>
      <w:r>
        <w:t>28.</w:t>
      </w:r>
      <w:r>
        <w:tab/>
        <w:t>Superannuation schemes, establishing by regulations etc.</w:t>
      </w:r>
      <w:r>
        <w:tab/>
      </w:r>
      <w:r>
        <w:fldChar w:fldCharType="begin"/>
      </w:r>
      <w:r>
        <w:instrText xml:space="preserve"> PAGEREF _Toc195259744 \h </w:instrText>
      </w:r>
      <w:r>
        <w:fldChar w:fldCharType="separate"/>
      </w:r>
      <w:r>
        <w:t>23</w:t>
      </w:r>
      <w:r>
        <w:fldChar w:fldCharType="end"/>
      </w:r>
    </w:p>
    <w:p>
      <w:pPr>
        <w:pStyle w:val="TOC8"/>
        <w:rPr>
          <w:rFonts w:asciiTheme="minorHAnsi" w:eastAsiaTheme="minorEastAsia" w:hAnsiTheme="minorHAnsi" w:cstheme="minorBidi"/>
          <w:szCs w:val="22"/>
        </w:rPr>
      </w:pPr>
      <w:r>
        <w:t>29.</w:t>
      </w:r>
      <w:r>
        <w:tab/>
        <w:t>Certain schemes become superannuation schemes under this Act on 17 Feb 2001</w:t>
      </w:r>
      <w:r>
        <w:tab/>
      </w:r>
      <w:r>
        <w:fldChar w:fldCharType="begin"/>
      </w:r>
      <w:r>
        <w:instrText xml:space="preserve"> PAGEREF _Toc195259745 \h </w:instrText>
      </w:r>
      <w:r>
        <w:fldChar w:fldCharType="separate"/>
      </w:r>
      <w:r>
        <w:t>23</w:t>
      </w:r>
      <w:r>
        <w:fldChar w:fldCharType="end"/>
      </w:r>
    </w:p>
    <w:p>
      <w:pPr>
        <w:pStyle w:val="TOC8"/>
        <w:rPr>
          <w:rFonts w:asciiTheme="minorHAnsi" w:eastAsiaTheme="minorEastAsia" w:hAnsiTheme="minorHAnsi" w:cstheme="minorBidi"/>
          <w:szCs w:val="22"/>
        </w:rPr>
      </w:pPr>
      <w:r>
        <w:t>30.</w:t>
      </w:r>
      <w:r>
        <w:tab/>
        <w:t>S</w:t>
      </w:r>
      <w:r>
        <w:rPr>
          <w:snapToGrid w:val="0"/>
        </w:rPr>
        <w:t>uperannuation schemes etc., establishment of etc. by Employer</w:t>
      </w:r>
      <w:r>
        <w:tab/>
      </w:r>
      <w:r>
        <w:fldChar w:fldCharType="begin"/>
      </w:r>
      <w:r>
        <w:instrText xml:space="preserve"> PAGEREF _Toc195259746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Government guarantees and appropriation of the Consolidated Account</w:t>
      </w:r>
    </w:p>
    <w:p>
      <w:pPr>
        <w:pStyle w:val="TOC8"/>
        <w:rPr>
          <w:rFonts w:asciiTheme="minorHAnsi" w:eastAsiaTheme="minorEastAsia" w:hAnsiTheme="minorHAnsi" w:cstheme="minorBidi"/>
          <w:szCs w:val="22"/>
        </w:rPr>
      </w:pPr>
      <w:r>
        <w:t>31.</w:t>
      </w:r>
      <w:r>
        <w:tab/>
        <w:t>Guarantee by Crown of scheme benefits etc.</w:t>
      </w:r>
      <w:r>
        <w:tab/>
      </w:r>
      <w:r>
        <w:fldChar w:fldCharType="begin"/>
      </w:r>
      <w:r>
        <w:instrText xml:space="preserve"> PAGEREF _Toc195259748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Appropriation to meet contribution etc. obligations</w:t>
      </w:r>
      <w:r>
        <w:tab/>
      </w:r>
      <w:r>
        <w:fldChar w:fldCharType="begin"/>
      </w:r>
      <w:r>
        <w:instrText xml:space="preserve"> PAGEREF _Toc195259749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33.</w:t>
      </w:r>
      <w:r>
        <w:tab/>
        <w:t>Treasurer’s approvals and guidelines</w:t>
      </w:r>
      <w:r>
        <w:tab/>
      </w:r>
      <w:r>
        <w:fldChar w:fldCharType="begin"/>
      </w:r>
      <w:r>
        <w:instrText xml:space="preserve"> PAGEREF _Toc195259751 \h </w:instrText>
      </w:r>
      <w:r>
        <w:fldChar w:fldCharType="separate"/>
      </w:r>
      <w:r>
        <w:t>26</w:t>
      </w:r>
      <w:r>
        <w:fldChar w:fldCharType="end"/>
      </w:r>
    </w:p>
    <w:p>
      <w:pPr>
        <w:pStyle w:val="TOC8"/>
        <w:rPr>
          <w:rFonts w:asciiTheme="minorHAnsi" w:eastAsiaTheme="minorEastAsia" w:hAnsiTheme="minorHAnsi" w:cstheme="minorBidi"/>
          <w:szCs w:val="22"/>
        </w:rPr>
      </w:pPr>
      <w:r>
        <w:t>33A.</w:t>
      </w:r>
      <w:r>
        <w:tab/>
        <w:t>Board to observe certain policy instruments</w:t>
      </w:r>
      <w:r>
        <w:tab/>
      </w:r>
      <w:r>
        <w:fldChar w:fldCharType="begin"/>
      </w:r>
      <w:r>
        <w:instrText xml:space="preserve"> PAGEREF _Toc195259752 \h </w:instrText>
      </w:r>
      <w:r>
        <w:fldChar w:fldCharType="separate"/>
      </w:r>
      <w:r>
        <w:t>28</w:t>
      </w:r>
      <w:r>
        <w:fldChar w:fldCharType="end"/>
      </w:r>
    </w:p>
    <w:p>
      <w:pPr>
        <w:pStyle w:val="TOC8"/>
        <w:rPr>
          <w:rFonts w:asciiTheme="minorHAnsi" w:eastAsiaTheme="minorEastAsia" w:hAnsiTheme="minorHAnsi" w:cstheme="minorBidi"/>
          <w:szCs w:val="22"/>
        </w:rPr>
      </w:pPr>
      <w:r>
        <w:t>33B.</w:t>
      </w:r>
      <w:r>
        <w:tab/>
        <w:t>Strategic development plan and statement of corporate intent</w:t>
      </w:r>
      <w:r>
        <w:tab/>
      </w:r>
      <w:r>
        <w:fldChar w:fldCharType="begin"/>
      </w:r>
      <w:r>
        <w:instrText xml:space="preserve"> PAGEREF _Toc195259753 \h </w:instrText>
      </w:r>
      <w:r>
        <w:fldChar w:fldCharType="separate"/>
      </w:r>
      <w:r>
        <w:t>28</w:t>
      </w:r>
      <w:r>
        <w:fldChar w:fldCharType="end"/>
      </w:r>
    </w:p>
    <w:p>
      <w:pPr>
        <w:pStyle w:val="TOC8"/>
        <w:rPr>
          <w:rFonts w:asciiTheme="minorHAnsi" w:eastAsiaTheme="minorEastAsia" w:hAnsiTheme="minorHAnsi" w:cstheme="minorBidi"/>
          <w:szCs w:val="22"/>
        </w:rPr>
      </w:pPr>
      <w:r>
        <w:lastRenderedPageBreak/>
        <w:t>34</w:t>
      </w:r>
      <w:r>
        <w:rPr>
          <w:snapToGrid w:val="0"/>
        </w:rPr>
        <w:t>.</w:t>
      </w:r>
      <w:r>
        <w:rPr>
          <w:snapToGrid w:val="0"/>
        </w:rPr>
        <w:tab/>
        <w:t>Directions to Employers as to practice and procedure</w:t>
      </w:r>
      <w:r>
        <w:tab/>
      </w:r>
      <w:r>
        <w:fldChar w:fldCharType="begin"/>
      </w:r>
      <w:r>
        <w:instrText xml:space="preserve"> PAGEREF _Toc195259754 \h </w:instrText>
      </w:r>
      <w:r>
        <w:fldChar w:fldCharType="separate"/>
      </w:r>
      <w:r>
        <w:t>29</w:t>
      </w:r>
      <w:r>
        <w:fldChar w:fldCharType="end"/>
      </w:r>
    </w:p>
    <w:p>
      <w:pPr>
        <w:pStyle w:val="TOC8"/>
        <w:rPr>
          <w:rFonts w:asciiTheme="minorHAnsi" w:eastAsiaTheme="minorEastAsia" w:hAnsiTheme="minorHAnsi" w:cstheme="minorBidi"/>
          <w:szCs w:val="22"/>
        </w:rPr>
      </w:pPr>
      <w:r>
        <w:t>35.</w:t>
      </w:r>
      <w:r>
        <w:tab/>
      </w:r>
      <w:r>
        <w:rPr>
          <w:snapToGrid w:val="0"/>
        </w:rPr>
        <w:t>Treasurer may give Board directions</w:t>
      </w:r>
      <w:r>
        <w:tab/>
      </w:r>
      <w:r>
        <w:fldChar w:fldCharType="begin"/>
      </w:r>
      <w:r>
        <w:instrText xml:space="preserve"> PAGEREF _Toc195259755 \h </w:instrText>
      </w:r>
      <w:r>
        <w:fldChar w:fldCharType="separate"/>
      </w:r>
      <w:r>
        <w:t>30</w:t>
      </w:r>
      <w:r>
        <w:fldChar w:fldCharType="end"/>
      </w:r>
    </w:p>
    <w:p>
      <w:pPr>
        <w:pStyle w:val="TOC8"/>
        <w:rPr>
          <w:rFonts w:asciiTheme="minorHAnsi" w:eastAsiaTheme="minorEastAsia" w:hAnsiTheme="minorHAnsi" w:cstheme="minorBidi"/>
          <w:szCs w:val="22"/>
        </w:rPr>
      </w:pPr>
      <w:r>
        <w:t>36A.</w:t>
      </w:r>
      <w:r>
        <w:tab/>
        <w:t>Laying documents before Parliament, procedure for if House not sitting etc.</w:t>
      </w:r>
      <w:r>
        <w:tab/>
      </w:r>
      <w:r>
        <w:fldChar w:fldCharType="begin"/>
      </w:r>
      <w:r>
        <w:instrText xml:space="preserve"> PAGEREF _Toc195259756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Treasurer</w:t>
      </w:r>
      <w:r>
        <w:rPr>
          <w:snapToGrid w:val="0"/>
        </w:rPr>
        <w:t xml:space="preserve"> to have access to information</w:t>
      </w:r>
      <w:r>
        <w:tab/>
      </w:r>
      <w:r>
        <w:fldChar w:fldCharType="begin"/>
      </w:r>
      <w:r>
        <w:instrText xml:space="preserve"> PAGEREF _Toc195259757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Superannuation contributions made by non</w:t>
      </w:r>
      <w:r>
        <w:rPr>
          <w:snapToGrid w:val="0"/>
        </w:rPr>
        <w:noBreakHyphen/>
        <w:t>government contributors</w:t>
      </w:r>
      <w:r>
        <w:tab/>
      </w:r>
      <w:r>
        <w:fldChar w:fldCharType="begin"/>
      </w:r>
      <w:r>
        <w:instrText xml:space="preserve"> PAGEREF _Toc195259758 \h </w:instrText>
      </w:r>
      <w:r>
        <w:fldChar w:fldCharType="separate"/>
      </w:r>
      <w:r>
        <w:t>33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Regulations</w:t>
      </w:r>
      <w:r>
        <w:tab/>
      </w:r>
      <w:r>
        <w:fldChar w:fldCharType="begin"/>
      </w:r>
      <w:r>
        <w:instrText xml:space="preserve"> PAGEREF _Toc195259759 \h </w:instrText>
      </w:r>
      <w:r>
        <w:fldChar w:fldCharType="separate"/>
      </w:r>
      <w:r>
        <w:t>34</w:t>
      </w:r>
      <w:r>
        <w:fldChar w:fldCharType="end"/>
      </w:r>
    </w:p>
    <w:p>
      <w:pPr>
        <w:pStyle w:val="TOC8"/>
        <w:rPr>
          <w:rFonts w:asciiTheme="minorHAnsi" w:eastAsiaTheme="minorEastAsia" w:hAnsiTheme="minorHAnsi" w:cstheme="minorBidi"/>
          <w:szCs w:val="22"/>
        </w:rPr>
      </w:pPr>
      <w:r>
        <w:t>39.</w:t>
      </w:r>
      <w:r>
        <w:tab/>
        <w:t>Repeals</w:t>
      </w:r>
      <w:r>
        <w:tab/>
      </w:r>
      <w:r>
        <w:fldChar w:fldCharType="begin"/>
      </w:r>
      <w:r>
        <w:instrText xml:space="preserve"> PAGEREF _Toc195259760 \h </w:instrText>
      </w:r>
      <w:r>
        <w:fldChar w:fldCharType="separate"/>
      </w:r>
      <w:r>
        <w:t>37</w:t>
      </w:r>
      <w:r>
        <w:fldChar w:fldCharType="end"/>
      </w:r>
    </w:p>
    <w:p>
      <w:pPr>
        <w:pStyle w:val="TOC8"/>
        <w:rPr>
          <w:rFonts w:asciiTheme="minorHAnsi" w:eastAsiaTheme="minorEastAsia" w:hAnsiTheme="minorHAnsi" w:cstheme="minorBidi"/>
          <w:szCs w:val="22"/>
        </w:rPr>
      </w:pPr>
      <w:r>
        <w:t>40.</w:t>
      </w:r>
      <w:r>
        <w:tab/>
      </w:r>
      <w:r>
        <w:rPr>
          <w:i/>
          <w:iCs/>
        </w:rPr>
        <w:t>Administration Act 1903</w:t>
      </w:r>
      <w:r>
        <w:rPr>
          <w:iCs/>
        </w:rPr>
        <w:t xml:space="preserve"> s. 10 affected by this Act</w:t>
      </w:r>
      <w:r>
        <w:tab/>
      </w:r>
      <w:r>
        <w:fldChar w:fldCharType="begin"/>
      </w:r>
      <w:r>
        <w:instrText xml:space="preserve"> PAGEREF _Toc195259761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7 — Savings and transitional provisions</w:t>
      </w:r>
    </w:p>
    <w:p>
      <w:pPr>
        <w:pStyle w:val="TOC8"/>
        <w:rPr>
          <w:rFonts w:asciiTheme="minorHAnsi" w:eastAsiaTheme="minorEastAsia" w:hAnsiTheme="minorHAnsi" w:cstheme="minorBidi"/>
          <w:szCs w:val="22"/>
        </w:rPr>
      </w:pPr>
      <w:r>
        <w:t>41.</w:t>
      </w:r>
      <w:r>
        <w:tab/>
        <w:t>Default fund for employee</w:t>
      </w:r>
      <w:r>
        <w:tab/>
      </w:r>
      <w:r>
        <w:fldChar w:fldCharType="begin"/>
      </w:r>
      <w:r>
        <w:instrText xml:space="preserve"> PAGEREF _Toc195259763 \h </w:instrText>
      </w:r>
      <w:r>
        <w:fldChar w:fldCharType="separate"/>
      </w:r>
      <w:r>
        <w:t>39</w:t>
      </w:r>
      <w:r>
        <w:fldChar w:fldCharType="end"/>
      </w:r>
    </w:p>
    <w:p>
      <w:pPr>
        <w:pStyle w:val="TOC8"/>
        <w:rPr>
          <w:rFonts w:asciiTheme="minorHAnsi" w:eastAsiaTheme="minorEastAsia" w:hAnsiTheme="minorHAnsi" w:cstheme="minorBidi"/>
          <w:szCs w:val="22"/>
        </w:rPr>
      </w:pPr>
      <w:r>
        <w:t>42.</w:t>
      </w:r>
      <w:r>
        <w:tab/>
        <w:t>Maximum period of service for directors</w:t>
      </w:r>
      <w:r>
        <w:tab/>
      </w:r>
      <w:r>
        <w:fldChar w:fldCharType="begin"/>
      </w:r>
      <w:r>
        <w:instrText xml:space="preserve"> PAGEREF _Toc195259764 \h </w:instrText>
      </w:r>
      <w:r>
        <w:fldChar w:fldCharType="separate"/>
      </w:r>
      <w:r>
        <w:t>39</w:t>
      </w:r>
      <w:r>
        <w:fldChar w:fldCharType="end"/>
      </w:r>
    </w:p>
    <w:p>
      <w:pPr>
        <w:pStyle w:val="TOC8"/>
        <w:rPr>
          <w:rFonts w:asciiTheme="minorHAnsi" w:eastAsiaTheme="minorEastAsia" w:hAnsiTheme="minorHAnsi" w:cstheme="minorBidi"/>
          <w:szCs w:val="22"/>
        </w:rPr>
      </w:pPr>
      <w:r>
        <w:t>43.</w:t>
      </w:r>
      <w:r>
        <w:tab/>
        <w:t>Changes to regulation</w:t>
      </w:r>
      <w:r>
        <w:noBreakHyphen/>
        <w:t>making power</w:t>
      </w:r>
      <w:r>
        <w:tab/>
      </w:r>
      <w:r>
        <w:fldChar w:fldCharType="begin"/>
      </w:r>
      <w:r>
        <w:instrText xml:space="preserve"> PAGEREF _Toc195259765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 — Government Employees Superannuation Board</w:t>
      </w:r>
    </w:p>
    <w:p>
      <w:pPr>
        <w:pStyle w:val="TOC8"/>
        <w:rPr>
          <w:rFonts w:asciiTheme="minorHAnsi" w:eastAsiaTheme="minorEastAsia" w:hAnsiTheme="minorHAnsi" w:cstheme="minorBidi"/>
          <w:szCs w:val="22"/>
        </w:rPr>
      </w:pPr>
      <w:r>
        <w:t>1A.</w:t>
      </w:r>
      <w:r>
        <w:tab/>
        <w:t>Terms used</w:t>
      </w:r>
      <w:r>
        <w:tab/>
      </w:r>
      <w:r>
        <w:fldChar w:fldCharType="begin"/>
      </w:r>
      <w:r>
        <w:instrText xml:space="preserve"> PAGEREF _Toc195259767 \h </w:instrText>
      </w:r>
      <w:r>
        <w:fldChar w:fldCharType="separate"/>
      </w:r>
      <w:r>
        <w:t>41</w:t>
      </w:r>
      <w:r>
        <w:fldChar w:fldCharType="end"/>
      </w:r>
    </w:p>
    <w:p>
      <w:pPr>
        <w:pStyle w:val="TOC8"/>
        <w:rPr>
          <w:rFonts w:asciiTheme="minorHAnsi" w:eastAsiaTheme="minorEastAsia" w:hAnsiTheme="minorHAnsi" w:cstheme="minorBidi"/>
          <w:szCs w:val="22"/>
        </w:rPr>
      </w:pPr>
      <w:r>
        <w:t>1.</w:t>
      </w:r>
      <w:r>
        <w:tab/>
        <w:t>Nomination of chairperson</w:t>
      </w:r>
      <w:r>
        <w:tab/>
      </w:r>
      <w:r>
        <w:fldChar w:fldCharType="begin"/>
      </w:r>
      <w:r>
        <w:instrText xml:space="preserve"> PAGEREF _Toc195259768 \h </w:instrText>
      </w:r>
      <w:r>
        <w:fldChar w:fldCharType="separate"/>
      </w:r>
      <w:r>
        <w:t>41</w:t>
      </w:r>
      <w:r>
        <w:fldChar w:fldCharType="end"/>
      </w:r>
    </w:p>
    <w:p>
      <w:pPr>
        <w:pStyle w:val="TOC8"/>
        <w:rPr>
          <w:rFonts w:asciiTheme="minorHAnsi" w:eastAsiaTheme="minorEastAsia" w:hAnsiTheme="minorHAnsi" w:cstheme="minorBidi"/>
          <w:szCs w:val="22"/>
        </w:rPr>
      </w:pPr>
      <w:r>
        <w:t>2.</w:t>
      </w:r>
      <w:r>
        <w:tab/>
        <w:t>Appointment of deputy chairperson</w:t>
      </w:r>
      <w:r>
        <w:tab/>
      </w:r>
      <w:r>
        <w:fldChar w:fldCharType="begin"/>
      </w:r>
      <w:r>
        <w:instrText xml:space="preserve"> PAGEREF _Toc195259769 \h </w:instrText>
      </w:r>
      <w:r>
        <w:fldChar w:fldCharType="separate"/>
      </w:r>
      <w:r>
        <w:t>41</w:t>
      </w:r>
      <w:r>
        <w:fldChar w:fldCharType="end"/>
      </w:r>
    </w:p>
    <w:p>
      <w:pPr>
        <w:pStyle w:val="TOC8"/>
        <w:rPr>
          <w:rFonts w:asciiTheme="minorHAnsi" w:eastAsiaTheme="minorEastAsia" w:hAnsiTheme="minorHAnsi" w:cstheme="minorBidi"/>
          <w:szCs w:val="22"/>
        </w:rPr>
      </w:pPr>
      <w:r>
        <w:t>3.</w:t>
      </w:r>
      <w:r>
        <w:tab/>
        <w:t>Election of member directors</w:t>
      </w:r>
      <w:r>
        <w:tab/>
      </w:r>
      <w:r>
        <w:fldChar w:fldCharType="begin"/>
      </w:r>
      <w:r>
        <w:instrText xml:space="preserve"> PAGEREF _Toc195259770 \h </w:instrText>
      </w:r>
      <w:r>
        <w:fldChar w:fldCharType="separate"/>
      </w:r>
      <w:r>
        <w:t>42</w:t>
      </w:r>
      <w:r>
        <w:fldChar w:fldCharType="end"/>
      </w:r>
    </w:p>
    <w:p>
      <w:pPr>
        <w:pStyle w:val="TOC8"/>
        <w:rPr>
          <w:rFonts w:asciiTheme="minorHAnsi" w:eastAsiaTheme="minorEastAsia" w:hAnsiTheme="minorHAnsi" w:cstheme="minorBidi"/>
          <w:szCs w:val="22"/>
        </w:rPr>
      </w:pPr>
      <w:r>
        <w:t>4.</w:t>
      </w:r>
      <w:r>
        <w:tab/>
        <w:t>Term of office: chairperson and Employer directors</w:t>
      </w:r>
      <w:r>
        <w:tab/>
      </w:r>
      <w:r>
        <w:fldChar w:fldCharType="begin"/>
      </w:r>
      <w:r>
        <w:instrText xml:space="preserve"> PAGEREF _Toc195259771 \h </w:instrText>
      </w:r>
      <w:r>
        <w:fldChar w:fldCharType="separate"/>
      </w:r>
      <w:r>
        <w:t>42</w:t>
      </w:r>
      <w:r>
        <w:fldChar w:fldCharType="end"/>
      </w:r>
    </w:p>
    <w:p>
      <w:pPr>
        <w:pStyle w:val="TOC8"/>
        <w:rPr>
          <w:rFonts w:asciiTheme="minorHAnsi" w:eastAsiaTheme="minorEastAsia" w:hAnsiTheme="minorHAnsi" w:cstheme="minorBidi"/>
          <w:szCs w:val="22"/>
        </w:rPr>
      </w:pPr>
      <w:r>
        <w:t>4A.</w:t>
      </w:r>
      <w:r>
        <w:tab/>
        <w:t>Term of office: Member directors</w:t>
      </w:r>
      <w:r>
        <w:tab/>
      </w:r>
      <w:r>
        <w:fldChar w:fldCharType="begin"/>
      </w:r>
      <w:r>
        <w:instrText xml:space="preserve"> PAGEREF _Toc195259772 \h </w:instrText>
      </w:r>
      <w:r>
        <w:fldChar w:fldCharType="separate"/>
      </w:r>
      <w:r>
        <w:t>42</w:t>
      </w:r>
      <w:r>
        <w:fldChar w:fldCharType="end"/>
      </w:r>
    </w:p>
    <w:p>
      <w:pPr>
        <w:pStyle w:val="TOC8"/>
        <w:rPr>
          <w:rFonts w:asciiTheme="minorHAnsi" w:eastAsiaTheme="minorEastAsia" w:hAnsiTheme="minorHAnsi" w:cstheme="minorBidi"/>
          <w:szCs w:val="22"/>
        </w:rPr>
      </w:pPr>
      <w:r>
        <w:t>5.</w:t>
      </w:r>
      <w:r>
        <w:tab/>
        <w:t>Directors are part</w:t>
      </w:r>
      <w:r>
        <w:noBreakHyphen/>
        <w:t>time</w:t>
      </w:r>
      <w:r>
        <w:tab/>
      </w:r>
      <w:r>
        <w:fldChar w:fldCharType="begin"/>
      </w:r>
      <w:r>
        <w:instrText xml:space="preserve"> PAGEREF _Toc195259773 \h </w:instrText>
      </w:r>
      <w:r>
        <w:fldChar w:fldCharType="separate"/>
      </w:r>
      <w:r>
        <w:t>43</w:t>
      </w:r>
      <w:r>
        <w:fldChar w:fldCharType="end"/>
      </w:r>
    </w:p>
    <w:p>
      <w:pPr>
        <w:pStyle w:val="TOC8"/>
        <w:rPr>
          <w:rFonts w:asciiTheme="minorHAnsi" w:eastAsiaTheme="minorEastAsia" w:hAnsiTheme="minorHAnsi" w:cstheme="minorBidi"/>
          <w:szCs w:val="22"/>
        </w:rPr>
      </w:pPr>
      <w:r>
        <w:t>6.</w:t>
      </w:r>
      <w:r>
        <w:tab/>
        <w:t>Casual vacancies</w:t>
      </w:r>
      <w:r>
        <w:tab/>
      </w:r>
      <w:r>
        <w:fldChar w:fldCharType="begin"/>
      </w:r>
      <w:r>
        <w:instrText xml:space="preserve"> PAGEREF _Toc195259774 \h </w:instrText>
      </w:r>
      <w:r>
        <w:fldChar w:fldCharType="separate"/>
      </w:r>
      <w:r>
        <w:t>43</w:t>
      </w:r>
      <w:r>
        <w:fldChar w:fldCharType="end"/>
      </w:r>
    </w:p>
    <w:p>
      <w:pPr>
        <w:pStyle w:val="TOC8"/>
        <w:rPr>
          <w:rFonts w:asciiTheme="minorHAnsi" w:eastAsiaTheme="minorEastAsia" w:hAnsiTheme="minorHAnsi" w:cstheme="minorBidi"/>
          <w:szCs w:val="22"/>
        </w:rPr>
      </w:pPr>
      <w:r>
        <w:t>6A.</w:t>
      </w:r>
      <w:r>
        <w:tab/>
        <w:t>Acting directors</w:t>
      </w:r>
      <w:r>
        <w:tab/>
      </w:r>
      <w:r>
        <w:fldChar w:fldCharType="begin"/>
      </w:r>
      <w:r>
        <w:instrText xml:space="preserve"> PAGEREF _Toc195259775 \h </w:instrText>
      </w:r>
      <w:r>
        <w:fldChar w:fldCharType="separate"/>
      </w:r>
      <w:r>
        <w:t>44</w:t>
      </w:r>
      <w:r>
        <w:fldChar w:fldCharType="end"/>
      </w:r>
    </w:p>
    <w:p>
      <w:pPr>
        <w:pStyle w:val="TOC8"/>
        <w:rPr>
          <w:rFonts w:asciiTheme="minorHAnsi" w:eastAsiaTheme="minorEastAsia" w:hAnsiTheme="minorHAnsi" w:cstheme="minorBidi"/>
          <w:szCs w:val="22"/>
        </w:rPr>
      </w:pPr>
      <w:r>
        <w:t>7.</w:t>
      </w:r>
      <w:r>
        <w:tab/>
        <w:t>Remuneration and allowances</w:t>
      </w:r>
      <w:r>
        <w:tab/>
      </w:r>
      <w:r>
        <w:fldChar w:fldCharType="begin"/>
      </w:r>
      <w:r>
        <w:instrText xml:space="preserve"> PAGEREF _Toc195259776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2 — Meetings and procedures</w:t>
      </w:r>
    </w:p>
    <w:p>
      <w:pPr>
        <w:pStyle w:val="TOC8"/>
        <w:rPr>
          <w:rFonts w:asciiTheme="minorHAnsi" w:eastAsiaTheme="minorEastAsia" w:hAnsiTheme="minorHAnsi" w:cstheme="minorBidi"/>
          <w:szCs w:val="22"/>
        </w:rPr>
      </w:pPr>
      <w:r>
        <w:t>1.</w:t>
      </w:r>
      <w:r>
        <w:tab/>
        <w:t>Board to determine own procedure</w:t>
      </w:r>
      <w:r>
        <w:tab/>
      </w:r>
      <w:r>
        <w:fldChar w:fldCharType="begin"/>
      </w:r>
      <w:r>
        <w:instrText xml:space="preserve"> PAGEREF _Toc195259778 \h </w:instrText>
      </w:r>
      <w:r>
        <w:fldChar w:fldCharType="separate"/>
      </w:r>
      <w:r>
        <w:t>46</w:t>
      </w:r>
      <w:r>
        <w:fldChar w:fldCharType="end"/>
      </w:r>
    </w:p>
    <w:p>
      <w:pPr>
        <w:pStyle w:val="TOC8"/>
        <w:rPr>
          <w:rFonts w:asciiTheme="minorHAnsi" w:eastAsiaTheme="minorEastAsia" w:hAnsiTheme="minorHAnsi" w:cstheme="minorBidi"/>
          <w:szCs w:val="22"/>
        </w:rPr>
      </w:pPr>
      <w:r>
        <w:t>2.</w:t>
      </w:r>
      <w:r>
        <w:tab/>
        <w:t>Quorum</w:t>
      </w:r>
      <w:r>
        <w:tab/>
      </w:r>
      <w:r>
        <w:fldChar w:fldCharType="begin"/>
      </w:r>
      <w:r>
        <w:instrText xml:space="preserve"> PAGEREF _Toc195259779 \h </w:instrText>
      </w:r>
      <w:r>
        <w:fldChar w:fldCharType="separate"/>
      </w:r>
      <w:r>
        <w:t>46</w:t>
      </w:r>
      <w:r>
        <w:fldChar w:fldCharType="end"/>
      </w:r>
    </w:p>
    <w:p>
      <w:pPr>
        <w:pStyle w:val="TOC8"/>
        <w:rPr>
          <w:rFonts w:asciiTheme="minorHAnsi" w:eastAsiaTheme="minorEastAsia" w:hAnsiTheme="minorHAnsi" w:cstheme="minorBidi"/>
          <w:szCs w:val="22"/>
        </w:rPr>
      </w:pPr>
      <w:r>
        <w:t>3.</w:t>
      </w:r>
      <w:r>
        <w:tab/>
        <w:t>Presiding director</w:t>
      </w:r>
      <w:r>
        <w:tab/>
      </w:r>
      <w:r>
        <w:fldChar w:fldCharType="begin"/>
      </w:r>
      <w:r>
        <w:instrText xml:space="preserve"> PAGEREF _Toc195259780 \h </w:instrText>
      </w:r>
      <w:r>
        <w:fldChar w:fldCharType="separate"/>
      </w:r>
      <w:r>
        <w:t>46</w:t>
      </w:r>
      <w:r>
        <w:fldChar w:fldCharType="end"/>
      </w:r>
    </w:p>
    <w:p>
      <w:pPr>
        <w:pStyle w:val="TOC8"/>
        <w:rPr>
          <w:rFonts w:asciiTheme="minorHAnsi" w:eastAsiaTheme="minorEastAsia" w:hAnsiTheme="minorHAnsi" w:cstheme="minorBidi"/>
          <w:szCs w:val="22"/>
        </w:rPr>
      </w:pPr>
      <w:r>
        <w:t>4.</w:t>
      </w:r>
      <w:r>
        <w:tab/>
        <w:t>Voting</w:t>
      </w:r>
      <w:r>
        <w:tab/>
      </w:r>
      <w:r>
        <w:fldChar w:fldCharType="begin"/>
      </w:r>
      <w:r>
        <w:instrText xml:space="preserve"> PAGEREF _Toc195259781 \h </w:instrText>
      </w:r>
      <w:r>
        <w:fldChar w:fldCharType="separate"/>
      </w:r>
      <w:r>
        <w:t>46</w:t>
      </w:r>
      <w:r>
        <w:fldChar w:fldCharType="end"/>
      </w:r>
    </w:p>
    <w:p>
      <w:pPr>
        <w:pStyle w:val="TOC8"/>
        <w:rPr>
          <w:rFonts w:asciiTheme="minorHAnsi" w:eastAsiaTheme="minorEastAsia" w:hAnsiTheme="minorHAnsi" w:cstheme="minorBidi"/>
          <w:szCs w:val="22"/>
        </w:rPr>
      </w:pPr>
      <w:r>
        <w:lastRenderedPageBreak/>
        <w:t>5.</w:t>
      </w:r>
      <w:r>
        <w:tab/>
        <w:t>Minutes</w:t>
      </w:r>
      <w:r>
        <w:tab/>
      </w:r>
      <w:r>
        <w:fldChar w:fldCharType="begin"/>
      </w:r>
      <w:r>
        <w:instrText xml:space="preserve"> PAGEREF _Toc195259782 \h </w:instrText>
      </w:r>
      <w:r>
        <w:fldChar w:fldCharType="separate"/>
      </w:r>
      <w:r>
        <w:t>46</w:t>
      </w:r>
      <w:r>
        <w:fldChar w:fldCharType="end"/>
      </w:r>
    </w:p>
    <w:p>
      <w:pPr>
        <w:pStyle w:val="TOC8"/>
        <w:rPr>
          <w:rFonts w:asciiTheme="minorHAnsi" w:eastAsiaTheme="minorEastAsia" w:hAnsiTheme="minorHAnsi" w:cstheme="minorBidi"/>
          <w:szCs w:val="22"/>
        </w:rPr>
      </w:pPr>
      <w:r>
        <w:t xml:space="preserve">6. </w:t>
      </w:r>
      <w:r>
        <w:tab/>
        <w:t>Resolution without meeting</w:t>
      </w:r>
      <w:r>
        <w:tab/>
      </w:r>
      <w:r>
        <w:fldChar w:fldCharType="begin"/>
      </w:r>
      <w:r>
        <w:instrText xml:space="preserve"> PAGEREF _Toc195259783 \h </w:instrText>
      </w:r>
      <w:r>
        <w:fldChar w:fldCharType="separate"/>
      </w:r>
      <w:r>
        <w:t>47</w:t>
      </w:r>
      <w:r>
        <w:fldChar w:fldCharType="end"/>
      </w:r>
    </w:p>
    <w:p>
      <w:pPr>
        <w:pStyle w:val="TOC8"/>
        <w:rPr>
          <w:rFonts w:asciiTheme="minorHAnsi" w:eastAsiaTheme="minorEastAsia" w:hAnsiTheme="minorHAnsi" w:cstheme="minorBidi"/>
          <w:szCs w:val="22"/>
        </w:rPr>
      </w:pPr>
      <w:r>
        <w:t xml:space="preserve">7. </w:t>
      </w:r>
      <w:r>
        <w:tab/>
        <w:t>Telephone or video attendance at meetings</w:t>
      </w:r>
      <w:r>
        <w:tab/>
      </w:r>
      <w:r>
        <w:fldChar w:fldCharType="begin"/>
      </w:r>
      <w:r>
        <w:instrText xml:space="preserve"> PAGEREF _Toc195259784 \h </w:instrText>
      </w:r>
      <w:r>
        <w:fldChar w:fldCharType="separate"/>
      </w:r>
      <w:r>
        <w:t>47</w:t>
      </w:r>
      <w:r>
        <w:fldChar w:fldCharType="end"/>
      </w:r>
    </w:p>
    <w:p>
      <w:pPr>
        <w:pStyle w:val="TOC8"/>
        <w:rPr>
          <w:rFonts w:asciiTheme="minorHAnsi" w:eastAsiaTheme="minorEastAsia" w:hAnsiTheme="minorHAnsi" w:cstheme="minorBidi"/>
          <w:szCs w:val="22"/>
        </w:rPr>
      </w:pPr>
      <w:r>
        <w:t xml:space="preserve">8. </w:t>
      </w:r>
      <w:r>
        <w:tab/>
        <w:t>Committees</w:t>
      </w:r>
      <w:r>
        <w:tab/>
      </w:r>
      <w:r>
        <w:fldChar w:fldCharType="begin"/>
      </w:r>
      <w:r>
        <w:instrText xml:space="preserve"> PAGEREF _Toc195259785 \h </w:instrText>
      </w:r>
      <w:r>
        <w:fldChar w:fldCharType="separate"/>
      </w:r>
      <w:r>
        <w:t>47</w:t>
      </w:r>
      <w:r>
        <w:fldChar w:fldCharType="end"/>
      </w:r>
    </w:p>
    <w:p>
      <w:pPr>
        <w:pStyle w:val="TOC8"/>
        <w:rPr>
          <w:rFonts w:asciiTheme="minorHAnsi" w:eastAsiaTheme="minorEastAsia" w:hAnsiTheme="minorHAnsi" w:cstheme="minorBidi"/>
          <w:szCs w:val="22"/>
        </w:rPr>
      </w:pPr>
      <w:r>
        <w:t>9.</w:t>
      </w:r>
      <w:r>
        <w:tab/>
        <w:t>Material interest</w:t>
      </w:r>
      <w:r>
        <w:tab/>
      </w:r>
      <w:r>
        <w:fldChar w:fldCharType="begin"/>
      </w:r>
      <w:r>
        <w:instrText xml:space="preserve"> PAGEREF _Toc195259786 \h </w:instrText>
      </w:r>
      <w:r>
        <w:fldChar w:fldCharType="separate"/>
      </w:r>
      <w:r>
        <w:t>47</w:t>
      </w:r>
      <w:r>
        <w:fldChar w:fldCharType="end"/>
      </w:r>
    </w:p>
    <w:p>
      <w:pPr>
        <w:pStyle w:val="TOC8"/>
        <w:rPr>
          <w:rFonts w:asciiTheme="minorHAnsi" w:eastAsiaTheme="minorEastAsia" w:hAnsiTheme="minorHAnsi" w:cstheme="minorBidi"/>
          <w:szCs w:val="22"/>
        </w:rPr>
      </w:pPr>
      <w:r>
        <w:t>10.</w:t>
      </w:r>
      <w:r>
        <w:tab/>
        <w:t>Material interests to be disclosed etc.</w:t>
      </w:r>
      <w:r>
        <w:tab/>
      </w:r>
      <w:r>
        <w:fldChar w:fldCharType="begin"/>
      </w:r>
      <w:r>
        <w:instrText xml:space="preserve"> PAGEREF _Toc195259787 \h </w:instrText>
      </w:r>
      <w:r>
        <w:fldChar w:fldCharType="separate"/>
      </w:r>
      <w:r>
        <w:t>48</w:t>
      </w:r>
      <w:r>
        <w:fldChar w:fldCharType="end"/>
      </w:r>
    </w:p>
    <w:p>
      <w:pPr>
        <w:pStyle w:val="TOC8"/>
        <w:rPr>
          <w:rFonts w:asciiTheme="minorHAnsi" w:eastAsiaTheme="minorEastAsia" w:hAnsiTheme="minorHAnsi" w:cstheme="minorBidi"/>
          <w:szCs w:val="22"/>
        </w:rPr>
      </w:pPr>
      <w:r>
        <w:t>11.</w:t>
      </w:r>
      <w:r>
        <w:tab/>
        <w:t>Director etc. with material interest not to vote etc.</w:t>
      </w:r>
      <w:r>
        <w:tab/>
      </w:r>
      <w:r>
        <w:fldChar w:fldCharType="begin"/>
      </w:r>
      <w:r>
        <w:instrText xml:space="preserve"> PAGEREF _Toc195259788 \h </w:instrText>
      </w:r>
      <w:r>
        <w:fldChar w:fldCharType="separate"/>
      </w:r>
      <w:r>
        <w:t>49</w:t>
      </w:r>
      <w:r>
        <w:fldChar w:fldCharType="end"/>
      </w:r>
    </w:p>
    <w:p>
      <w:pPr>
        <w:pStyle w:val="TOC8"/>
        <w:rPr>
          <w:rFonts w:asciiTheme="minorHAnsi" w:eastAsiaTheme="minorEastAsia" w:hAnsiTheme="minorHAnsi" w:cstheme="minorBidi"/>
          <w:szCs w:val="22"/>
        </w:rPr>
      </w:pPr>
      <w:r>
        <w:t>12.</w:t>
      </w:r>
      <w:r>
        <w:tab/>
        <w:t>Clause 11 may be disapplied</w:t>
      </w:r>
      <w:r>
        <w:tab/>
      </w:r>
      <w:r>
        <w:fldChar w:fldCharType="begin"/>
      </w:r>
      <w:r>
        <w:instrText xml:space="preserve"> PAGEREF _Toc195259789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constitution of subsidiary</w:t>
      </w:r>
    </w:p>
    <w:p>
      <w:pPr>
        <w:pStyle w:val="TOC8"/>
        <w:rPr>
          <w:rFonts w:asciiTheme="minorHAnsi" w:eastAsiaTheme="minorEastAsia" w:hAnsiTheme="minorHAnsi" w:cstheme="minorBidi"/>
          <w:szCs w:val="22"/>
        </w:rPr>
      </w:pPr>
      <w:r>
        <w:t>1.</w:t>
      </w:r>
      <w:r>
        <w:tab/>
        <w:t>Term used: prior approval</w:t>
      </w:r>
      <w:r>
        <w:tab/>
      </w:r>
      <w:r>
        <w:fldChar w:fldCharType="begin"/>
      </w:r>
      <w:r>
        <w:instrText xml:space="preserve"> PAGEREF _Toc195259791 \h </w:instrText>
      </w:r>
      <w:r>
        <w:fldChar w:fldCharType="separate"/>
      </w:r>
      <w:r>
        <w:t>51</w:t>
      </w:r>
      <w:r>
        <w:fldChar w:fldCharType="end"/>
      </w:r>
    </w:p>
    <w:p>
      <w:pPr>
        <w:pStyle w:val="TOC8"/>
        <w:rPr>
          <w:rFonts w:asciiTheme="minorHAnsi" w:eastAsiaTheme="minorEastAsia" w:hAnsiTheme="minorHAnsi" w:cstheme="minorBidi"/>
          <w:szCs w:val="22"/>
        </w:rPr>
      </w:pPr>
      <w:r>
        <w:t>2.</w:t>
      </w:r>
      <w:r>
        <w:tab/>
        <w:t>Disposal of shares</w:t>
      </w:r>
      <w:r>
        <w:tab/>
      </w:r>
      <w:r>
        <w:fldChar w:fldCharType="begin"/>
      </w:r>
      <w:r>
        <w:instrText xml:space="preserve"> PAGEREF _Toc195259792 \h </w:instrText>
      </w:r>
      <w:r>
        <w:fldChar w:fldCharType="separate"/>
      </w:r>
      <w:r>
        <w:t>51</w:t>
      </w:r>
      <w:r>
        <w:fldChar w:fldCharType="end"/>
      </w:r>
    </w:p>
    <w:p>
      <w:pPr>
        <w:pStyle w:val="TOC8"/>
        <w:rPr>
          <w:rFonts w:asciiTheme="minorHAnsi" w:eastAsiaTheme="minorEastAsia" w:hAnsiTheme="minorHAnsi" w:cstheme="minorBidi"/>
          <w:szCs w:val="22"/>
        </w:rPr>
      </w:pPr>
      <w:r>
        <w:t>3.</w:t>
      </w:r>
      <w:r>
        <w:tab/>
        <w:t>Directors</w:t>
      </w:r>
      <w:r>
        <w:tab/>
      </w:r>
      <w:r>
        <w:fldChar w:fldCharType="begin"/>
      </w:r>
      <w:r>
        <w:instrText xml:space="preserve"> PAGEREF _Toc195259793 \h </w:instrText>
      </w:r>
      <w:r>
        <w:fldChar w:fldCharType="separate"/>
      </w:r>
      <w:r>
        <w:t>51</w:t>
      </w:r>
      <w:r>
        <w:fldChar w:fldCharType="end"/>
      </w:r>
    </w:p>
    <w:p>
      <w:pPr>
        <w:pStyle w:val="TOC8"/>
        <w:rPr>
          <w:rFonts w:asciiTheme="minorHAnsi" w:eastAsiaTheme="minorEastAsia" w:hAnsiTheme="minorHAnsi" w:cstheme="minorBidi"/>
          <w:szCs w:val="22"/>
        </w:rPr>
      </w:pPr>
      <w:r>
        <w:t>4.</w:t>
      </w:r>
      <w:r>
        <w:tab/>
        <w:t>Further shares</w:t>
      </w:r>
      <w:r>
        <w:tab/>
      </w:r>
      <w:r>
        <w:fldChar w:fldCharType="begin"/>
      </w:r>
      <w:r>
        <w:instrText xml:space="preserve"> PAGEREF _Toc195259794 \h </w:instrText>
      </w:r>
      <w:r>
        <w:fldChar w:fldCharType="separate"/>
      </w:r>
      <w:r>
        <w:t>52</w:t>
      </w:r>
      <w:r>
        <w:fldChar w:fldCharType="end"/>
      </w:r>
    </w:p>
    <w:p>
      <w:pPr>
        <w:pStyle w:val="TOC8"/>
        <w:rPr>
          <w:rFonts w:asciiTheme="minorHAnsi" w:eastAsiaTheme="minorEastAsia" w:hAnsiTheme="minorHAnsi" w:cstheme="minorBidi"/>
          <w:szCs w:val="22"/>
        </w:rPr>
      </w:pPr>
      <w:r>
        <w:t>5.</w:t>
      </w:r>
      <w:r>
        <w:tab/>
        <w:t>Alteration of constitution</w:t>
      </w:r>
      <w:r>
        <w:tab/>
      </w:r>
      <w:r>
        <w:fldChar w:fldCharType="begin"/>
      </w:r>
      <w:r>
        <w:instrText xml:space="preserve"> PAGEREF _Toc195259795 \h </w:instrText>
      </w:r>
      <w:r>
        <w:fldChar w:fldCharType="separate"/>
      </w:r>
      <w:r>
        <w:t>52</w:t>
      </w:r>
      <w:r>
        <w:fldChar w:fldCharType="end"/>
      </w:r>
    </w:p>
    <w:p>
      <w:pPr>
        <w:pStyle w:val="TOC8"/>
        <w:rPr>
          <w:rFonts w:asciiTheme="minorHAnsi" w:eastAsiaTheme="minorEastAsia" w:hAnsiTheme="minorHAnsi" w:cstheme="minorBidi"/>
          <w:szCs w:val="22"/>
        </w:rPr>
      </w:pPr>
      <w:r>
        <w:t>6.</w:t>
      </w:r>
      <w:r>
        <w:tab/>
        <w:t>Subsidiaries of subsidiary</w:t>
      </w:r>
      <w:r>
        <w:tab/>
      </w:r>
      <w:r>
        <w:fldChar w:fldCharType="begin"/>
      </w:r>
      <w:r>
        <w:instrText xml:space="preserve"> PAGEREF _Toc195259796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_Toc195259798 \h </w:instrText>
      </w:r>
      <w:r>
        <w:fldChar w:fldCharType="separate"/>
      </w:r>
      <w:r>
        <w:t>53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_Toc195259799 \h </w:instrText>
      </w:r>
      <w:r>
        <w:fldChar w:fldCharType="separate"/>
      </w:r>
      <w:r>
        <w:t>55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_Toc195259800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keepLines/>
        <w:suppressLineNumbers/>
        <w:spacing w:before="720"/>
        <w:ind w:right="284"/>
      </w:pPr>
      <w:r>
        <w:t>State Superannuation Act 2000</w:t>
      </w:r>
    </w:p>
    <w:p>
      <w:pPr>
        <w:pStyle w:val="LongTitle"/>
        <w:keepLines/>
        <w:suppressLineNumbers/>
        <w:spacing w:before="600"/>
        <w:outlineLvl w:val="0"/>
      </w:pPr>
      <w:r>
        <w:t>An Act to provide for superannuation contributions and superannuation schemes for and in respect of people working or formerly working in the public sector and for related purposes.</w:t>
      </w:r>
    </w:p>
    <w:p>
      <w:pPr>
        <w:pStyle w:val="Footnotelongtitle"/>
      </w:pPr>
      <w:r>
        <w:tab/>
        <w:t>[Long title inserted: No. 35 of 2011 s. 5.]</w:t>
      </w:r>
    </w:p>
    <w:p>
      <w:pPr>
        <w:pStyle w:val="Heading2"/>
        <w:keepLines/>
      </w:pPr>
      <w:bookmarkStart w:id="2" w:name="_Toc195190910"/>
      <w:bookmarkStart w:id="3" w:name="_Toc195193980"/>
      <w:bookmarkStart w:id="4" w:name="_Toc195196114"/>
      <w:bookmarkStart w:id="5" w:name="_Toc195259707"/>
      <w:r>
        <w:rPr>
          <w:rStyle w:val="CharPartNo"/>
        </w:rPr>
        <w:lastRenderedPageBreak/>
        <w:t>Part 1</w:t>
      </w:r>
      <w:r>
        <w:t xml:space="preserve"> — </w:t>
      </w:r>
      <w:r>
        <w:rPr>
          <w:rStyle w:val="CharPartText"/>
        </w:rPr>
        <w:t>Preliminary</w:t>
      </w:r>
      <w:bookmarkEnd w:id="2"/>
      <w:bookmarkEnd w:id="3"/>
      <w:bookmarkEnd w:id="4"/>
      <w:bookmarkEnd w:id="5"/>
    </w:p>
    <w:p>
      <w:pPr>
        <w:pStyle w:val="Heading5"/>
        <w:suppressLineNumbers/>
      </w:pPr>
      <w:bookmarkStart w:id="6" w:name="_Toc195259708"/>
      <w:r>
        <w:rPr>
          <w:rStyle w:val="CharSectno"/>
        </w:rPr>
        <w:t>1</w:t>
      </w:r>
      <w:r>
        <w:t>.</w:t>
      </w:r>
      <w:r>
        <w:tab/>
        <w:t>Short title</w:t>
      </w:r>
      <w:bookmarkEnd w:id="6"/>
    </w:p>
    <w:p>
      <w:pPr>
        <w:pStyle w:val="Subsection"/>
        <w:keepLines/>
        <w:suppressLineNumbers/>
      </w:pPr>
      <w:r>
        <w:tab/>
      </w:r>
      <w:r>
        <w:tab/>
        <w:t xml:space="preserve">This Act may be cited as the </w:t>
      </w:r>
      <w:r>
        <w:rPr>
          <w:i/>
        </w:rPr>
        <w:t>State Superannuation Act 2000</w:t>
      </w:r>
      <w:r>
        <w:t xml:space="preserve">. </w:t>
      </w:r>
    </w:p>
    <w:p>
      <w:pPr>
        <w:pStyle w:val="Heading5"/>
      </w:pPr>
      <w:bookmarkStart w:id="7" w:name="_Toc195259709"/>
      <w:r>
        <w:rPr>
          <w:rStyle w:val="CharSectno"/>
        </w:rPr>
        <w:t>2</w:t>
      </w:r>
      <w:r>
        <w:t>.</w:t>
      </w:r>
      <w:r>
        <w:tab/>
        <w:t>Commencement</w:t>
      </w:r>
      <w:bookmarkEnd w:id="7"/>
    </w:p>
    <w:p>
      <w:pPr>
        <w:pStyle w:val="Subsection"/>
        <w:keepLines/>
      </w:pPr>
      <w:r>
        <w:tab/>
      </w:r>
      <w:r>
        <w:tab/>
        <w:t>This Act comes into operation on a day fixed by proclamation.</w:t>
      </w:r>
    </w:p>
    <w:p>
      <w:pPr>
        <w:pStyle w:val="Heading5"/>
      </w:pPr>
      <w:bookmarkStart w:id="8" w:name="_Toc195259710"/>
      <w:r>
        <w:rPr>
          <w:rStyle w:val="CharSectno"/>
        </w:rPr>
        <w:t>3</w:t>
      </w:r>
      <w:r>
        <w:t>.</w:t>
      </w:r>
      <w:r>
        <w:tab/>
        <w:t>Terms used</w:t>
      </w:r>
      <w:bookmarkEnd w:id="8"/>
    </w:p>
    <w:p>
      <w:pPr>
        <w:pStyle w:val="Subsection"/>
      </w:pPr>
      <w:r>
        <w:tab/>
        <w:t>(1)</w:t>
      </w:r>
      <w:r>
        <w:tab/>
        <w:t>In this Act — </w:t>
      </w:r>
    </w:p>
    <w:p>
      <w:pPr>
        <w:pStyle w:val="Defstart"/>
      </w:pPr>
      <w:r>
        <w:tab/>
      </w:r>
      <w:r>
        <w:rPr>
          <w:rStyle w:val="CharDefText"/>
        </w:rPr>
        <w:t>actuary</w:t>
      </w:r>
      <w:r>
        <w:t xml:space="preserve"> means a fellow or accredited member of the Institute of Actuaries of Australia, or any other person with actuarial knowledge and experience who is approved by the </w:t>
      </w:r>
      <w:r>
        <w:rPr>
          <w:szCs w:val="24"/>
        </w:rPr>
        <w:t>Treasurer</w:t>
      </w:r>
      <w:r>
        <w:t xml:space="preserve">; </w:t>
      </w:r>
    </w:p>
    <w:p>
      <w:pPr>
        <w:pStyle w:val="Defstart"/>
      </w:pPr>
      <w:r>
        <w:tab/>
      </w:r>
      <w:r>
        <w:rPr>
          <w:rStyle w:val="CharDefText"/>
        </w:rPr>
        <w:t>benefit</w:t>
      </w:r>
      <w:r>
        <w:t xml:space="preserve"> means a benefit paid or payable under a scheme, whether paid or payable as a lump sum, pension, allowance or annuity or in any other form;</w:t>
      </w:r>
    </w:p>
    <w:p>
      <w:pPr>
        <w:pStyle w:val="Defstart"/>
      </w:pPr>
      <w:r>
        <w:tab/>
      </w:r>
      <w:r>
        <w:rPr>
          <w:rStyle w:val="CharDefText"/>
        </w:rPr>
        <w:t>Board</w:t>
      </w:r>
      <w:r>
        <w:t xml:space="preserve"> means the Government Employees Superannuation Board under section 5;</w:t>
      </w:r>
    </w:p>
    <w:p>
      <w:pPr>
        <w:pStyle w:val="Defstart"/>
      </w:pPr>
      <w:r>
        <w:tab/>
      </w:r>
      <w:r>
        <w:rPr>
          <w:rStyle w:val="CharDefText"/>
        </w:rPr>
        <w:t>Corporations Act</w:t>
      </w:r>
      <w:r>
        <w:t xml:space="preserve"> means the </w:t>
      </w:r>
      <w:r>
        <w:rPr>
          <w:i/>
          <w:iCs/>
        </w:rPr>
        <w:t>Corporations Act 2001</w:t>
      </w:r>
      <w:r>
        <w:t xml:space="preserve"> (Commonwealth);</w:t>
      </w:r>
    </w:p>
    <w:p>
      <w:pPr>
        <w:pStyle w:val="Defstart"/>
        <w:outlineLvl w:val="0"/>
      </w:pPr>
      <w:r>
        <w:tab/>
      </w:r>
      <w:r>
        <w:rPr>
          <w:rStyle w:val="CharDefText"/>
        </w:rPr>
        <w:t>Employer</w:t>
      </w:r>
      <w:r>
        <w:t xml:space="preserve"> means — </w:t>
      </w:r>
    </w:p>
    <w:p>
      <w:pPr>
        <w:pStyle w:val="Defpara"/>
      </w:pPr>
      <w:r>
        <w:tab/>
        <w:t>(a)</w:t>
      </w:r>
      <w:r>
        <w:tab/>
        <w:t>the Crown; or</w:t>
      </w:r>
    </w:p>
    <w:p>
      <w:pPr>
        <w:pStyle w:val="Defpara"/>
      </w:pPr>
      <w:r>
        <w:tab/>
        <w:t>(b)</w:t>
      </w:r>
      <w:r>
        <w:tab/>
        <w:t>the Government of Western Australia; or</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rStyle w:val="CharDefText"/>
        </w:rPr>
        <w:t>Fund</w:t>
      </w:r>
      <w:r>
        <w:t xml:space="preserve"> means the Government Employees Superannuation Fund under section 14;</w:t>
      </w:r>
    </w:p>
    <w:p>
      <w:pPr>
        <w:pStyle w:val="Defstart"/>
      </w:pPr>
      <w:r>
        <w:tab/>
      </w:r>
      <w:r>
        <w:rPr>
          <w:rStyle w:val="CharDefText"/>
        </w:rPr>
        <w:t>GES Act</w:t>
      </w:r>
      <w:r>
        <w:t xml:space="preserve"> means the </w:t>
      </w:r>
      <w:r>
        <w:rPr>
          <w:i/>
        </w:rPr>
        <w:t xml:space="preserve">Government Employees Superannuation Act 1987 </w:t>
      </w:r>
      <w:r>
        <w:t>as in force immediately before this Act came into operation;</w:t>
      </w:r>
    </w:p>
    <w:p>
      <w:pPr>
        <w:pStyle w:val="Defstart"/>
      </w:pPr>
      <w:r>
        <w:tab/>
      </w:r>
      <w:r>
        <w:rPr>
          <w:rStyle w:val="CharDefText"/>
        </w:rPr>
        <w:t>Member</w:t>
      </w:r>
      <w:r>
        <w:t xml:space="preserve"> means a member of a scheme;</w:t>
      </w:r>
    </w:p>
    <w:p>
      <w:pPr>
        <w:pStyle w:val="Defstart"/>
      </w:pPr>
      <w:r>
        <w:lastRenderedPageBreak/>
        <w:tab/>
      </w:r>
      <w:r>
        <w:rPr>
          <w:rStyle w:val="CharDefText"/>
        </w:rPr>
        <w:t>non</w:t>
      </w:r>
      <w:r>
        <w:rPr>
          <w:rStyle w:val="CharDefText"/>
        </w:rPr>
        <w:noBreakHyphen/>
        <w:t>government contributor</w:t>
      </w:r>
      <w:r>
        <w:t xml:space="preserve"> has the meaning given in section 37(1);</w:t>
      </w:r>
    </w:p>
    <w:p>
      <w:pPr>
        <w:pStyle w:val="Defstart"/>
      </w:pPr>
      <w:r>
        <w:tab/>
      </w:r>
      <w:r>
        <w:rPr>
          <w:rStyle w:val="CharDefText"/>
        </w:rPr>
        <w:t>scheme</w:t>
      </w:r>
      <w:r>
        <w:t>, except in section 30, means a superannuation scheme established or continued under this Act;</w:t>
      </w:r>
    </w:p>
    <w:p>
      <w:pPr>
        <w:pStyle w:val="Defstart"/>
      </w:pPr>
      <w:r>
        <w:tab/>
      </w:r>
      <w:r>
        <w:rPr>
          <w:rStyle w:val="CharDefText"/>
        </w:rPr>
        <w:t>SGA Act</w:t>
      </w:r>
      <w:r>
        <w:t xml:space="preserve"> means the </w:t>
      </w:r>
      <w:r>
        <w:rPr>
          <w:i/>
        </w:rPr>
        <w:t>Superannuation Guarantee (Administration) Act 1992</w:t>
      </w:r>
      <w:r>
        <w:t xml:space="preserve"> (Commonwealth);</w:t>
      </w:r>
    </w:p>
    <w:p>
      <w:pPr>
        <w:pStyle w:val="Defstart"/>
      </w:pPr>
      <w:r>
        <w:tab/>
      </w:r>
      <w:r>
        <w:rPr>
          <w:rStyle w:val="CharDefText"/>
        </w:rPr>
        <w:t>subsidiary</w:t>
      </w:r>
      <w:r>
        <w:t xml:space="preserve"> means a body determined under subsection (3) to be a subsidiary of the Board;</w:t>
      </w:r>
    </w:p>
    <w:p>
      <w:pPr>
        <w:pStyle w:val="Defstart"/>
      </w:pPr>
      <w:r>
        <w:tab/>
      </w:r>
      <w:r>
        <w:rPr>
          <w:rStyle w:val="CharDefText"/>
        </w:rPr>
        <w:t>Treasurer’s guidelines</w:t>
      </w:r>
      <w:r>
        <w:t xml:space="preserve"> means guidelines issued by the Treasurer under section 33(2).</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Subsection"/>
      </w:pPr>
      <w:r>
        <w:tab/>
        <w:t>(3)</w:t>
      </w:r>
      <w:r>
        <w:tab/>
        <w:t>Part 1.2 Division 6 of the Corporations Act applies for the purpose of determining whether a body is a subsidiary of the Board.</w:t>
      </w:r>
    </w:p>
    <w:p>
      <w:pPr>
        <w:pStyle w:val="Footnotesection"/>
      </w:pPr>
      <w:r>
        <w:tab/>
        <w:t>[Section 3 amended: No. 18 of 2006 s. 6; No. 25 of 2007 s. 5 and 19(2); No. 35 of 2011 s. 6 and 31; No. 50 of 2024 s. 4.]</w:t>
      </w:r>
    </w:p>
    <w:p>
      <w:pPr>
        <w:pStyle w:val="Heading5"/>
      </w:pPr>
      <w:bookmarkStart w:id="9" w:name="_Toc195259711"/>
      <w:r>
        <w:rPr>
          <w:rStyle w:val="CharSectno"/>
        </w:rPr>
        <w:t>4</w:t>
      </w:r>
      <w:r>
        <w:t>.</w:t>
      </w:r>
      <w:r>
        <w:tab/>
        <w:t>Act binds Crown</w:t>
      </w:r>
      <w:bookmarkEnd w:id="9"/>
    </w:p>
    <w:p>
      <w:pPr>
        <w:pStyle w:val="Subsection"/>
      </w:pPr>
      <w:r>
        <w:tab/>
      </w:r>
      <w:r>
        <w:tab/>
        <w:t>This Act binds the Crown.</w:t>
      </w:r>
    </w:p>
    <w:p>
      <w:pPr>
        <w:pStyle w:val="Heading2"/>
      </w:pPr>
      <w:bookmarkStart w:id="10" w:name="_Toc195190915"/>
      <w:bookmarkStart w:id="11" w:name="_Toc195193985"/>
      <w:bookmarkStart w:id="12" w:name="_Toc195196119"/>
      <w:bookmarkStart w:id="13" w:name="_Toc195259712"/>
      <w:r>
        <w:rPr>
          <w:rStyle w:val="CharPartNo"/>
        </w:rPr>
        <w:lastRenderedPageBreak/>
        <w:t>Part 2A</w:t>
      </w:r>
      <w:r>
        <w:rPr>
          <w:rStyle w:val="CharDivNo"/>
        </w:rPr>
        <w:t> </w:t>
      </w:r>
      <w:r>
        <w:t>—</w:t>
      </w:r>
      <w:r>
        <w:rPr>
          <w:rStyle w:val="CharDivText"/>
        </w:rPr>
        <w:t> </w:t>
      </w:r>
      <w:r>
        <w:rPr>
          <w:rStyle w:val="CharPartText"/>
        </w:rPr>
        <w:t>Employer contribution obligation</w:t>
      </w:r>
      <w:bookmarkEnd w:id="10"/>
      <w:bookmarkEnd w:id="11"/>
      <w:bookmarkEnd w:id="12"/>
      <w:bookmarkEnd w:id="13"/>
    </w:p>
    <w:p>
      <w:pPr>
        <w:pStyle w:val="Footnoteheading"/>
      </w:pPr>
      <w:r>
        <w:tab/>
        <w:t>[Heading inserted: No. 35 of 2011 s. 50.]</w:t>
      </w:r>
    </w:p>
    <w:p>
      <w:pPr>
        <w:pStyle w:val="Heading5"/>
      </w:pPr>
      <w:bookmarkStart w:id="14" w:name="_Toc195259713"/>
      <w:r>
        <w:rPr>
          <w:rStyle w:val="CharSectno"/>
        </w:rPr>
        <w:t>4A</w:t>
      </w:r>
      <w:r>
        <w:t>.</w:t>
      </w:r>
      <w:r>
        <w:tab/>
        <w:t>Terms used</w:t>
      </w:r>
      <w:bookmarkEnd w:id="14"/>
    </w:p>
    <w:p>
      <w:pPr>
        <w:pStyle w:val="Subsection"/>
      </w:pPr>
      <w:r>
        <w:tab/>
        <w:t>(1)</w:t>
      </w:r>
      <w:r>
        <w:tab/>
        <w:t>In this Part —</w:t>
      </w:r>
    </w:p>
    <w:p>
      <w:pPr>
        <w:pStyle w:val="Defstart"/>
      </w:pPr>
      <w:r>
        <w:tab/>
      </w:r>
      <w:r>
        <w:rPr>
          <w:rStyle w:val="CharDefText"/>
        </w:rPr>
        <w:t>chosen fund</w:t>
      </w:r>
      <w:r>
        <w:t xml:space="preserve"> means a fund chosen by an employee in accordance with the SGA Act Part 3A Division 4;</w:t>
      </w:r>
    </w:p>
    <w:p>
      <w:pPr>
        <w:pStyle w:val="Defstart"/>
      </w:pPr>
      <w:r>
        <w:tab/>
      </w:r>
      <w:r>
        <w:rPr>
          <w:rStyle w:val="CharDefText"/>
        </w:rPr>
        <w:t>default fund</w:t>
      </w:r>
      <w:r>
        <w:t xml:space="preserve"> means — </w:t>
      </w:r>
    </w:p>
    <w:p>
      <w:pPr>
        <w:pStyle w:val="Defpara"/>
      </w:pPr>
      <w:r>
        <w:tab/>
        <w:t>(a)</w:t>
      </w:r>
      <w:r>
        <w:tab/>
        <w:t>in relation to an employee who is not an exempt employee, a fund prescribed by the regulations as the default fund for that employee; and</w:t>
      </w:r>
    </w:p>
    <w:p>
      <w:pPr>
        <w:pStyle w:val="Defpara"/>
      </w:pPr>
      <w:r>
        <w:tab/>
        <w:t>(b)</w:t>
      </w:r>
      <w:r>
        <w:tab/>
        <w:t>in relation to an exempt employee, a fund named by the Employer of that employee, with the approval of the Treasurer, as the default fund for that employee;</w:t>
      </w:r>
    </w:p>
    <w:p>
      <w:pPr>
        <w:pStyle w:val="Defstart"/>
      </w:pPr>
      <w:r>
        <w:tab/>
      </w:r>
      <w:r>
        <w:rPr>
          <w:rStyle w:val="CharDefText"/>
        </w:rPr>
        <w:t>employee</w:t>
      </w:r>
      <w:r>
        <w:t xml:space="preserve"> has the meaning given in the SGA Act section 12;</w:t>
      </w:r>
    </w:p>
    <w:p>
      <w:pPr>
        <w:pStyle w:val="Defstart"/>
      </w:pPr>
      <w:r>
        <w:tab/>
      </w:r>
      <w:r>
        <w:rPr>
          <w:rStyle w:val="CharDefText"/>
        </w:rPr>
        <w:t>exempt employee</w:t>
      </w:r>
      <w:r>
        <w:t xml:space="preserve"> means an employee for whom an Employer, in accordance with section 30(1), makes or may make superannuation contributions to a fund that is not a scheme under this Act;</w:t>
      </w:r>
    </w:p>
    <w:p>
      <w:pPr>
        <w:pStyle w:val="Defstart"/>
      </w:pPr>
      <w:r>
        <w:tab/>
      </w:r>
      <w:r>
        <w:rPr>
          <w:rStyle w:val="CharDefText"/>
        </w:rPr>
        <w:t>fund</w:t>
      </w:r>
      <w:r>
        <w:t xml:space="preserve"> has the meaning given in the SGA Act section 32E;</w:t>
      </w:r>
    </w:p>
    <w:p>
      <w:pPr>
        <w:pStyle w:val="Defstart"/>
      </w:pPr>
      <w:r>
        <w:tab/>
      </w:r>
      <w:r>
        <w:rPr>
          <w:rStyle w:val="CharDefText"/>
        </w:rPr>
        <w:t>individual superannuation guarantee shortfall</w:t>
      </w:r>
      <w:r>
        <w:t xml:space="preserve"> has the meaning given in the SGA Act section 19;</w:t>
      </w:r>
    </w:p>
    <w:p>
      <w:pPr>
        <w:pStyle w:val="Defstart"/>
      </w:pPr>
      <w:r>
        <w:tab/>
      </w:r>
      <w:r>
        <w:rPr>
          <w:rStyle w:val="CharDefText"/>
        </w:rPr>
        <w:t>superannuation guarantee charge</w:t>
      </w:r>
      <w:r>
        <w:t xml:space="preserve"> means the charge imposed by the </w:t>
      </w:r>
      <w:r>
        <w:rPr>
          <w:i/>
          <w:iCs/>
        </w:rPr>
        <w:t xml:space="preserve">Superannuation Guarantee Charge Act 1992 </w:t>
      </w:r>
      <w:r>
        <w:t>(Commonwealth).</w:t>
      </w:r>
    </w:p>
    <w:p>
      <w:pPr>
        <w:pStyle w:val="Subsection"/>
      </w:pPr>
      <w:r>
        <w:tab/>
        <w:t>(2)</w:t>
      </w:r>
      <w:r>
        <w:tab/>
        <w:t>For the purposes of this Part an employee is to be regarded as an employee of the person or body prescribed by the regulations for that employee.</w:t>
      </w:r>
    </w:p>
    <w:p>
      <w:pPr>
        <w:pStyle w:val="Footnotesection"/>
      </w:pPr>
      <w:r>
        <w:tab/>
        <w:t>[Section 4A inserted: No. 35 of 2011 s. 50; amended: No. 50 of 2024 s. 5(1) and (3).]</w:t>
      </w:r>
    </w:p>
    <w:p>
      <w:pPr>
        <w:pStyle w:val="Heading5"/>
      </w:pPr>
      <w:bookmarkStart w:id="15" w:name="_Toc195259714"/>
      <w:r>
        <w:rPr>
          <w:rStyle w:val="CharSectno"/>
        </w:rPr>
        <w:lastRenderedPageBreak/>
        <w:t>4B</w:t>
      </w:r>
      <w:r>
        <w:t>.</w:t>
      </w:r>
      <w:r>
        <w:tab/>
        <w:t>Employer contributions, duty to make etc.</w:t>
      </w:r>
      <w:bookmarkEnd w:id="15"/>
    </w:p>
    <w:p>
      <w:pPr>
        <w:pStyle w:val="Subsection"/>
      </w:pPr>
      <w:r>
        <w:tab/>
        <w:t>(1)</w:t>
      </w:r>
      <w:r>
        <w:tab/>
        <w:t>An Employer must make superannuation contributions such that the Employer will avoid incurring an individual superannuation guarantee shortfall for any of its employees.</w:t>
      </w:r>
    </w:p>
    <w:p>
      <w:pPr>
        <w:pStyle w:val="Subsection"/>
      </w:pPr>
      <w:r>
        <w:tab/>
        <w:t>(2)</w:t>
      </w:r>
      <w:r>
        <w:tab/>
        <w:t>Where subsection (1) requires an Employer to make contributions for an employee, the Employer must pay the contributions to —</w:t>
      </w:r>
    </w:p>
    <w:p>
      <w:pPr>
        <w:pStyle w:val="Indenta"/>
      </w:pPr>
      <w:r>
        <w:tab/>
        <w:t>(a)</w:t>
      </w:r>
      <w:r>
        <w:tab/>
        <w:t>a chosen fund for the employee; or</w:t>
      </w:r>
    </w:p>
    <w:p>
      <w:pPr>
        <w:pStyle w:val="Indenta"/>
      </w:pPr>
      <w:r>
        <w:tab/>
        <w:t>(b)</w:t>
      </w:r>
      <w:r>
        <w:tab/>
        <w:t>if at the time the contribution is paid there is no chosen fund for the employee, the default fund.</w:t>
      </w:r>
    </w:p>
    <w:p>
      <w:pPr>
        <w:pStyle w:val="Subsection"/>
      </w:pPr>
      <w:r>
        <w:tab/>
        <w:t>(3)</w:t>
      </w:r>
      <w:r>
        <w:tab/>
        <w:t>Except as prescribed in the regulations, an Employer must comply with the requirements of the SGA Act Part 3A Division 6, even if it is not required by that Act to do so.</w:t>
      </w:r>
    </w:p>
    <w:p>
      <w:pPr>
        <w:pStyle w:val="Subsection"/>
      </w:pPr>
      <w:r>
        <w:tab/>
        <w:t>(4)</w:t>
      </w:r>
      <w:r>
        <w:tab/>
        <w:t>If an Employer becomes liable to pay the superannuation guarantee charge as a result of incurring an individual superannuation guarantee shortfall for an employee for a period, the Employer has no obligation under subsection (1) to make contributions in respect of that employee for that period.</w:t>
      </w:r>
    </w:p>
    <w:p>
      <w:pPr>
        <w:pStyle w:val="Subsection"/>
      </w:pPr>
      <w:r>
        <w:tab/>
        <w:t>(5)</w:t>
      </w:r>
      <w:r>
        <w:tab/>
        <w:t>This section does not apply in relation to an employee who is in a class of employees prescribed by the regulations.</w:t>
      </w:r>
    </w:p>
    <w:p>
      <w:pPr>
        <w:pStyle w:val="Footnotesection"/>
      </w:pPr>
      <w:r>
        <w:tab/>
        <w:t>[Section 4B inserted: No. 35 of 2011 s. 50.]</w:t>
      </w:r>
    </w:p>
    <w:p>
      <w:pPr>
        <w:pStyle w:val="Heading5"/>
      </w:pPr>
      <w:bookmarkStart w:id="16" w:name="_Toc195259715"/>
      <w:r>
        <w:rPr>
          <w:rStyle w:val="CharSectno"/>
        </w:rPr>
        <w:t>4C</w:t>
      </w:r>
      <w:r>
        <w:t>.</w:t>
      </w:r>
      <w:r>
        <w:tab/>
        <w:t>Regulations may require extra contributions</w:t>
      </w:r>
      <w:bookmarkEnd w:id="16"/>
    </w:p>
    <w:p>
      <w:pPr>
        <w:pStyle w:val="Subsection"/>
      </w:pPr>
      <w:r>
        <w:tab/>
        <w:t>(1)</w:t>
      </w:r>
      <w:r>
        <w:tab/>
        <w:t>Subject to subsection (2), the regulations may require an Employer to make superannuation contributions which exceed any contributions the Employer is required to make under section 4B or any other written law.</w:t>
      </w:r>
    </w:p>
    <w:p>
      <w:pPr>
        <w:pStyle w:val="Subsection"/>
      </w:pPr>
      <w:r>
        <w:tab/>
        <w:t>(2)</w:t>
      </w:r>
      <w:r>
        <w:tab/>
        <w:t xml:space="preserve">Regulations which require an Employer to make contributions to a fund must either — </w:t>
      </w:r>
    </w:p>
    <w:p>
      <w:pPr>
        <w:pStyle w:val="Indenta"/>
      </w:pPr>
      <w:r>
        <w:tab/>
        <w:t>(a)</w:t>
      </w:r>
      <w:r>
        <w:tab/>
        <w:t>specify the amount or rate of contributions to be made; or</w:t>
      </w:r>
    </w:p>
    <w:p>
      <w:pPr>
        <w:pStyle w:val="Indenta"/>
      </w:pPr>
      <w:r>
        <w:lastRenderedPageBreak/>
        <w:tab/>
        <w:t>(b)</w:t>
      </w:r>
      <w:r>
        <w:tab/>
        <w:t>specify the way in which the amount or rate of contributions is to be determined, in which case the regulations must provide that the determination of the rate or amount of contributions is to be subject to the approval of the Treasurer.</w:t>
      </w:r>
    </w:p>
    <w:p>
      <w:pPr>
        <w:pStyle w:val="Footnotesection"/>
      </w:pPr>
      <w:r>
        <w:tab/>
        <w:t>[Section 4C inserted: No. 35 of 2011 s. 50.]</w:t>
      </w:r>
    </w:p>
    <w:p>
      <w:pPr>
        <w:pStyle w:val="Ednotepart"/>
      </w:pPr>
      <w:r>
        <w:t>[Heading deleted: No. 35 of 2011 s. 7.]</w:t>
      </w:r>
    </w:p>
    <w:p>
      <w:pPr>
        <w:pStyle w:val="Ednotepart"/>
      </w:pPr>
      <w:r>
        <w:t>[Division 1 (s. 4E) deleted: No. 35 of 2011 s. 8.]</w:t>
      </w:r>
    </w:p>
    <w:p>
      <w:pPr>
        <w:pStyle w:val="Heading2"/>
      </w:pPr>
      <w:bookmarkStart w:id="17" w:name="_Toc195190919"/>
      <w:bookmarkStart w:id="18" w:name="_Toc195193989"/>
      <w:bookmarkStart w:id="19" w:name="_Toc195196123"/>
      <w:bookmarkStart w:id="20" w:name="_Toc195259716"/>
      <w:r>
        <w:rPr>
          <w:rStyle w:val="CharPartNo"/>
        </w:rPr>
        <w:lastRenderedPageBreak/>
        <w:t>Part 2</w:t>
      </w:r>
      <w:r>
        <w:rPr>
          <w:rStyle w:val="CharDivNo"/>
        </w:rPr>
        <w:t> </w:t>
      </w:r>
      <w:r>
        <w:t>—</w:t>
      </w:r>
      <w:r>
        <w:rPr>
          <w:rStyle w:val="CharDivText"/>
        </w:rPr>
        <w:t> </w:t>
      </w:r>
      <w:r>
        <w:rPr>
          <w:rStyle w:val="CharPartText"/>
        </w:rPr>
        <w:t>Government Employees Superannuation Board</w:t>
      </w:r>
      <w:bookmarkEnd w:id="17"/>
      <w:bookmarkEnd w:id="18"/>
      <w:bookmarkEnd w:id="19"/>
      <w:bookmarkEnd w:id="20"/>
    </w:p>
    <w:p>
      <w:pPr>
        <w:pStyle w:val="Footnoteheading"/>
      </w:pPr>
      <w:r>
        <w:tab/>
        <w:t>[Heading inserted: No. 35 of 2011 s. 9.]</w:t>
      </w:r>
    </w:p>
    <w:p>
      <w:pPr>
        <w:pStyle w:val="Heading5"/>
      </w:pPr>
      <w:bookmarkStart w:id="21" w:name="_Toc195259717"/>
      <w:r>
        <w:rPr>
          <w:rStyle w:val="CharSectno"/>
        </w:rPr>
        <w:t>5</w:t>
      </w:r>
      <w:r>
        <w:t>.</w:t>
      </w:r>
      <w:r>
        <w:tab/>
        <w:t>Board established and nature of</w:t>
      </w:r>
      <w:bookmarkEnd w:id="21"/>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22" w:name="_Toc195259718"/>
      <w:r>
        <w:rPr>
          <w:rStyle w:val="CharSectno"/>
        </w:rPr>
        <w:t>6</w:t>
      </w:r>
      <w:r>
        <w:t>.</w:t>
      </w:r>
      <w:r>
        <w:tab/>
        <w:t>Functions</w:t>
      </w:r>
      <w:bookmarkEnd w:id="22"/>
    </w:p>
    <w:p>
      <w:pPr>
        <w:pStyle w:val="Subsection"/>
      </w:pPr>
      <w:r>
        <w:tab/>
        <w:t>(1)</w:t>
      </w:r>
      <w:r>
        <w:tab/>
        <w:t>The functions of the Board are to —</w:t>
      </w:r>
    </w:p>
    <w:p>
      <w:pPr>
        <w:pStyle w:val="Indenta"/>
      </w:pPr>
      <w:r>
        <w:tab/>
        <w:t>(a)</w:t>
      </w:r>
      <w:r>
        <w:tab/>
        <w:t>assist the Treasurer in the administration of this Act;</w:t>
      </w:r>
    </w:p>
    <w:p>
      <w:pPr>
        <w:pStyle w:val="Indenta"/>
      </w:pPr>
      <w:r>
        <w:tab/>
        <w:t>(ba)</w:t>
      </w:r>
      <w:r>
        <w:tab/>
        <w:t xml:space="preserve">if so agreed with the Treasurer, provide a service of receiving superannuation contributions paid by Employers and — </w:t>
      </w:r>
    </w:p>
    <w:p>
      <w:pPr>
        <w:pStyle w:val="Indenti"/>
      </w:pPr>
      <w:r>
        <w:tab/>
        <w:t>(i)</w:t>
      </w:r>
      <w:r>
        <w:tab/>
        <w:t xml:space="preserve">crediting them to the Fund; or </w:t>
      </w:r>
    </w:p>
    <w:p>
      <w:pPr>
        <w:pStyle w:val="Indenti"/>
      </w:pPr>
      <w:r>
        <w:tab/>
        <w:t>(ii)</w:t>
      </w:r>
      <w:r>
        <w:tab/>
        <w:t>remitting them on behalf of the Employers to other funds,</w:t>
      </w:r>
    </w:p>
    <w:p>
      <w:pPr>
        <w:pStyle w:val="Indenta"/>
      </w:pPr>
      <w:r>
        <w:tab/>
      </w:r>
      <w:r>
        <w:tab/>
        <w:t>in accordance with Part 2A; and</w:t>
      </w:r>
    </w:p>
    <w:p>
      <w:pPr>
        <w:pStyle w:val="Indenta"/>
      </w:pPr>
      <w:r>
        <w:tab/>
        <w:t>(b)</w:t>
      </w:r>
      <w:r>
        <w:tab/>
        <w:t xml:space="preserve">manage the Fund; and </w:t>
      </w:r>
    </w:p>
    <w:p>
      <w:pPr>
        <w:pStyle w:val="Indenta"/>
      </w:pPr>
      <w:r>
        <w:tab/>
        <w:t>(c)</w:t>
      </w:r>
      <w:r>
        <w:tab/>
        <w:t>administer the schemes or, in accordance with any relevant Treasurer’s guidelines, select and appoint external administrators of the schemes and monitor their administration; and</w:t>
      </w:r>
    </w:p>
    <w:p>
      <w:pPr>
        <w:pStyle w:val="Indenta"/>
      </w:pPr>
      <w:r>
        <w:lastRenderedPageBreak/>
        <w:tab/>
        <w:t>(d)</w:t>
      </w:r>
      <w:r>
        <w:tab/>
        <w:t xml:space="preserve">provide information, advice and assistance to the Treasurer on matters relating to superannuation; and </w:t>
      </w:r>
    </w:p>
    <w:p>
      <w:pPr>
        <w:pStyle w:val="Indenta"/>
      </w:pPr>
      <w:r>
        <w:tab/>
        <w:t>(ea)</w:t>
      </w:r>
      <w:r>
        <w:tab/>
        <w:t>so far as practicable, provide information to Members regarding their rights and entitlements under the schemes; and</w:t>
      </w:r>
    </w:p>
    <w:p>
      <w:pPr>
        <w:pStyle w:val="Indenta"/>
      </w:pPr>
      <w:r>
        <w:tab/>
        <w:t>(e)</w:t>
      </w:r>
      <w:r>
        <w:tab/>
        <w:t xml:space="preserve">provide, or facilitate the provision of, products and services to — </w:t>
      </w:r>
    </w:p>
    <w:p>
      <w:pPr>
        <w:pStyle w:val="Indenti"/>
      </w:pPr>
      <w:r>
        <w:tab/>
        <w:t>(i)</w:t>
      </w:r>
      <w:r>
        <w:tab/>
        <w:t>members of the schemes; and</w:t>
      </w:r>
    </w:p>
    <w:p>
      <w:pPr>
        <w:pStyle w:val="Indenti"/>
      </w:pPr>
      <w:r>
        <w:tab/>
        <w:t>(ii)</w:t>
      </w:r>
      <w:r>
        <w:tab/>
        <w:t>Employers;</w:t>
      </w:r>
    </w:p>
    <w:p>
      <w:pPr>
        <w:pStyle w:val="Indenta"/>
      </w:pPr>
      <w:r>
        <w:tab/>
      </w:r>
      <w:r>
        <w:tab/>
        <w:t>and</w:t>
      </w:r>
    </w:p>
    <w:p>
      <w:pPr>
        <w:pStyle w:val="Indenta"/>
      </w:pPr>
      <w:r>
        <w:tab/>
        <w:t>(f)</w:t>
      </w:r>
      <w:r>
        <w:tab/>
        <w:t>perform any other functions conferred under this Act or any other written law.</w:t>
      </w:r>
    </w:p>
    <w:p>
      <w:pPr>
        <w:pStyle w:val="Subsection"/>
        <w:keepNext/>
      </w:pPr>
      <w:r>
        <w:tab/>
        <w:t>(2)</w:t>
      </w:r>
      <w:r>
        <w:tab/>
        <w:t>In carrying out its functions the Board is to, as far as practicable — </w:t>
      </w:r>
    </w:p>
    <w:p>
      <w:pPr>
        <w:pStyle w:val="Indenta"/>
      </w:pPr>
      <w:r>
        <w:tab/>
        <w:t>(a)</w:t>
      </w:r>
      <w:r>
        <w:tab/>
        <w:t>act in the best interests of Members; and</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 6 amended: No. 18 of 2006 s. 7; No. 25 of 2007 s. 6(5) and 19(1); No. 35 of 2011 s. 10, 32, 40 and 51; No. 50 of 2024 s. 9.]</w:t>
      </w:r>
    </w:p>
    <w:p>
      <w:pPr>
        <w:pStyle w:val="Heading5"/>
        <w:rPr>
          <w:snapToGrid w:val="0"/>
        </w:rPr>
      </w:pPr>
      <w:bookmarkStart w:id="23" w:name="_Toc195259719"/>
      <w:r>
        <w:rPr>
          <w:rStyle w:val="CharSectno"/>
        </w:rPr>
        <w:t>7</w:t>
      </w:r>
      <w:r>
        <w:rPr>
          <w:snapToGrid w:val="0"/>
        </w:rPr>
        <w:t>.</w:t>
      </w:r>
      <w:r>
        <w:rPr>
          <w:snapToGrid w:val="0"/>
        </w:rPr>
        <w:tab/>
        <w:t>Powers</w:t>
      </w:r>
      <w:bookmarkEnd w:id="23"/>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keepNext/>
        <w:rPr>
          <w:snapToGrid w:val="0"/>
        </w:rPr>
      </w:pPr>
      <w:r>
        <w:rPr>
          <w:snapToGrid w:val="0"/>
        </w:rPr>
        <w:lastRenderedPageBreak/>
        <w:tab/>
        <w:t>(2)</w:t>
      </w:r>
      <w:r>
        <w:rPr>
          <w:snapToGrid w:val="0"/>
        </w:rPr>
        <w:tab/>
        <w:t>Without limiting subsection (1), the Board may —</w:t>
      </w:r>
    </w:p>
    <w:p>
      <w:pPr>
        <w:pStyle w:val="Indenta"/>
        <w:spacing w:before="60"/>
      </w:pPr>
      <w:r>
        <w:rPr>
          <w:snapToGrid w:val="0"/>
        </w:rPr>
        <w:tab/>
        <w:t>(a)</w:t>
      </w:r>
      <w:r>
        <w:rPr>
          <w:snapToGrid w:val="0"/>
        </w:rPr>
        <w:tab/>
      </w:r>
      <w:r>
        <w:t>acquire, hold, deal with and dispose of property of any sort; and</w:t>
      </w:r>
    </w:p>
    <w:p>
      <w:pPr>
        <w:pStyle w:val="Indenta"/>
        <w:spacing w:before="60"/>
        <w:rPr>
          <w:snapToGrid w:val="0"/>
        </w:rPr>
      </w:pPr>
      <w:r>
        <w:rPr>
          <w:snapToGrid w:val="0"/>
        </w:rPr>
        <w:tab/>
        <w:t>(b)</w:t>
      </w:r>
      <w:r>
        <w:rPr>
          <w:snapToGrid w:val="0"/>
        </w:rPr>
        <w:tab/>
      </w:r>
      <w:r>
        <w:t xml:space="preserve">in accordance with any relevant Treasurer’s guidelines, enter into a </w:t>
      </w:r>
      <w:r>
        <w:rPr>
          <w:snapToGrid w:val="0"/>
        </w:rPr>
        <w:t>contract or arrangement with any person under which that person is to —</w:t>
      </w:r>
    </w:p>
    <w:p>
      <w:pPr>
        <w:pStyle w:val="Indenti"/>
        <w:spacing w:before="60"/>
      </w:pPr>
      <w:r>
        <w:rPr>
          <w:snapToGrid w:val="0"/>
        </w:rPr>
        <w:tab/>
        <w:t>(i)</w:t>
      </w:r>
      <w:r>
        <w:rPr>
          <w:snapToGrid w:val="0"/>
        </w:rPr>
        <w:tab/>
        <w:t>provide professional, technical or other assistance to the Board; or</w:t>
      </w:r>
    </w:p>
    <w:p>
      <w:pPr>
        <w:pStyle w:val="Indenti"/>
        <w:keepNext/>
        <w:spacing w:before="60"/>
        <w:rPr>
          <w:snapToGrid w:val="0"/>
        </w:rPr>
      </w:pPr>
      <w:r>
        <w:rPr>
          <w:snapToGrid w:val="0"/>
        </w:rPr>
        <w:tab/>
        <w:t>(ii)</w:t>
      </w:r>
      <w:r>
        <w:rPr>
          <w:snapToGrid w:val="0"/>
        </w:rPr>
        <w:tab/>
        <w:t>do for the Board anything that the Board could do,</w:t>
      </w:r>
    </w:p>
    <w:p>
      <w:pPr>
        <w:pStyle w:val="Indenta"/>
        <w:spacing w:before="60"/>
      </w:pPr>
      <w:r>
        <w:rPr>
          <w:snapToGrid w:val="0"/>
        </w:rPr>
        <w:tab/>
      </w:r>
      <w:r>
        <w:rPr>
          <w:snapToGrid w:val="0"/>
        </w:rPr>
        <w:tab/>
        <w:t xml:space="preserve">and </w:t>
      </w:r>
      <w:r>
        <w:t>pay out of the Fund fees charged by the person in accordance with the contract or arrangement; and</w:t>
      </w:r>
    </w:p>
    <w:p>
      <w:pPr>
        <w:pStyle w:val="Indenta"/>
        <w:spacing w:before="60"/>
        <w:rPr>
          <w:snapToGrid w:val="0"/>
        </w:rPr>
      </w:pPr>
      <w:r>
        <w:rPr>
          <w:snapToGrid w:val="0"/>
        </w:rPr>
        <w:tab/>
        <w:t>(c)</w:t>
      </w:r>
      <w:r>
        <w:rPr>
          <w:snapToGrid w:val="0"/>
        </w:rPr>
        <w:tab/>
      </w:r>
      <w:r>
        <w:t xml:space="preserve">in accordance with any relevant Treasurer’s guidelines, 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spacing w:before="60"/>
      </w:pPr>
      <w:r>
        <w:tab/>
        <w:t>(ca)</w:t>
      </w:r>
      <w:r>
        <w:tab/>
        <w:t>subject to section 7A, form or acquire a subsidiary; and</w:t>
      </w:r>
    </w:p>
    <w:p>
      <w:pPr>
        <w:pStyle w:val="Indenta"/>
        <w:spacing w:before="60"/>
      </w:pPr>
      <w:r>
        <w:rPr>
          <w:snapToGrid w:val="0"/>
        </w:rPr>
        <w:tab/>
        <w:t>(d)</w:t>
      </w:r>
      <w:r>
        <w:rPr>
          <w:snapToGrid w:val="0"/>
        </w:rPr>
        <w:tab/>
      </w:r>
      <w:r>
        <w:t>promote and market the Board, its activities, products and services; and</w:t>
      </w:r>
    </w:p>
    <w:p>
      <w:pPr>
        <w:pStyle w:val="Indenta"/>
        <w:spacing w:before="60"/>
        <w:rPr>
          <w:snapToGrid w:val="0"/>
        </w:rPr>
      </w:pPr>
      <w:r>
        <w:rPr>
          <w:snapToGrid w:val="0"/>
        </w:rPr>
        <w:tab/>
        <w:t>(e)</w:t>
      </w:r>
      <w:r>
        <w:rPr>
          <w:snapToGrid w:val="0"/>
        </w:rPr>
        <w:tab/>
        <w:t xml:space="preserve">conduct research; </w:t>
      </w:r>
      <w:r>
        <w:t>and</w:t>
      </w:r>
    </w:p>
    <w:p>
      <w:pPr>
        <w:pStyle w:val="Indenta"/>
        <w:spacing w:before="60"/>
        <w:rPr>
          <w:snapToGrid w:val="0"/>
        </w:rPr>
      </w:pPr>
      <w:r>
        <w:rPr>
          <w:snapToGrid w:val="0"/>
        </w:rPr>
        <w:tab/>
        <w:t>(f)</w:t>
      </w:r>
      <w:r>
        <w:rPr>
          <w:snapToGrid w:val="0"/>
        </w:rPr>
        <w:tab/>
        <w:t>produce and publish information; and</w:t>
      </w:r>
    </w:p>
    <w:p>
      <w:pPr>
        <w:pStyle w:val="Indenta"/>
        <w:spacing w:before="60"/>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pPr>
      <w:r>
        <w:tab/>
        <w:t>[Section 7 amended: No. 18 of 2006 s. 8; No. 35 of 2011 s. 41.]</w:t>
      </w:r>
    </w:p>
    <w:p>
      <w:pPr>
        <w:pStyle w:val="Heading5"/>
      </w:pPr>
      <w:bookmarkStart w:id="24" w:name="_Toc195259720"/>
      <w:r>
        <w:rPr>
          <w:rStyle w:val="CharSectno"/>
        </w:rPr>
        <w:t>7A</w:t>
      </w:r>
      <w:r>
        <w:t>.</w:t>
      </w:r>
      <w:r>
        <w:tab/>
        <w:t>Subsidiary, formation or acquisition of</w:t>
      </w:r>
      <w:bookmarkEnd w:id="24"/>
    </w:p>
    <w:p>
      <w:pPr>
        <w:pStyle w:val="Subsection"/>
      </w:pPr>
      <w:r>
        <w:tab/>
        <w:t>(1)</w:t>
      </w:r>
      <w:r>
        <w:tab/>
        <w:t xml:space="preserve">The Board must obtain the approval of the </w:t>
      </w:r>
      <w:r>
        <w:rPr>
          <w:szCs w:val="24"/>
        </w:rPr>
        <w:t>Treasurer</w:t>
      </w:r>
      <w:r>
        <w:t xml:space="preserve"> before it forms or acquires a subsidiary.</w:t>
      </w:r>
    </w:p>
    <w:p>
      <w:pPr>
        <w:pStyle w:val="Ednotesubsection"/>
      </w:pPr>
      <w:r>
        <w:tab/>
        <w:t>[(2)</w:t>
      </w:r>
      <w:r>
        <w:tab/>
        <w:t>deleted]</w:t>
      </w:r>
    </w:p>
    <w:p>
      <w:pPr>
        <w:pStyle w:val="Subsection"/>
      </w:pPr>
      <w:r>
        <w:lastRenderedPageBreak/>
        <w:tab/>
        <w:t>(3)</w:t>
      </w:r>
      <w:r>
        <w:tab/>
        <w:t xml:space="preserve">When seeking approval under subsection (1) the Board must give to the </w:t>
      </w:r>
      <w:r>
        <w:rPr>
          <w:szCs w:val="24"/>
        </w:rPr>
        <w:t xml:space="preserve">Treasurer </w:t>
      </w:r>
      <w:r>
        <w:t>a copy of the subsidiary’s constitution or proposed constitution, as the case requires.</w:t>
      </w:r>
    </w:p>
    <w:p>
      <w:pPr>
        <w:pStyle w:val="Footnotesection"/>
      </w:pPr>
      <w:r>
        <w:tab/>
        <w:t>[Section 7A inserted: No. 18 of 2006 s. 9; amended: No. 35 of 2011 s. 31 and 33.]</w:t>
      </w:r>
    </w:p>
    <w:p>
      <w:pPr>
        <w:pStyle w:val="Heading5"/>
      </w:pPr>
      <w:bookmarkStart w:id="25" w:name="_Toc195259721"/>
      <w:r>
        <w:rPr>
          <w:rStyle w:val="CharSectno"/>
        </w:rPr>
        <w:t>7B</w:t>
      </w:r>
      <w:r>
        <w:t>.</w:t>
      </w:r>
      <w:r>
        <w:tab/>
        <w:t>Subsidiary, constitution of etc.</w:t>
      </w:r>
      <w:bookmarkEnd w:id="25"/>
    </w:p>
    <w:p>
      <w:pPr>
        <w:pStyle w:val="Ednotesubsection"/>
      </w:pPr>
      <w:r>
        <w:tab/>
        <w:t>[(1)</w:t>
      </w:r>
      <w:r>
        <w:tab/>
        <w:t>deleted]</w:t>
      </w:r>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makes it inconsistent with this Act.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The provisions of this Act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keepNext/>
      </w:pPr>
      <w:r>
        <w:tab/>
        <w:t>(b)</w:t>
      </w:r>
      <w:r>
        <w:tab/>
        <w:t>provisions referred to in subsection (2)(a) included in the constitution of a subsidiary,</w:t>
      </w:r>
    </w:p>
    <w:p>
      <w:pPr>
        <w:pStyle w:val="Subsection"/>
      </w:pPr>
      <w:r>
        <w:tab/>
      </w:r>
      <w:r>
        <w:tab/>
        <w:t xml:space="preserve">make the Board or the </w:t>
      </w:r>
      <w:r>
        <w:rPr>
          <w:szCs w:val="24"/>
        </w:rPr>
        <w:t>Treasurer</w:t>
      </w:r>
      <w:r>
        <w:t xml:space="preserve"> a director of a subsidiary for the purposes of the Corporations Act.</w:t>
      </w:r>
    </w:p>
    <w:p>
      <w:pPr>
        <w:pStyle w:val="Subsection"/>
        <w:keepNext/>
      </w:pPr>
      <w:r>
        <w:tab/>
        <w:t>(6)</w:t>
      </w:r>
      <w:r>
        <w:tab/>
        <w:t xml:space="preserve">Subsections (2) to (5) and Schedule 3 are declared to be Corporations legislation displacement provisions for the purposes of section 5G of the Corporations Act in relation to the </w:t>
      </w:r>
      <w:r>
        <w:lastRenderedPageBreak/>
        <w:t>Corporations legislation as defined in section 9 of the Corporations Act.</w:t>
      </w:r>
    </w:p>
    <w:p>
      <w:pPr>
        <w:pStyle w:val="Footnotesection"/>
      </w:pPr>
      <w:r>
        <w:tab/>
        <w:t>[Section 7B inserted: No. 18 of 2006 s. 9; amended: No. 25 of 2007 s. 6(5) and 7; No. 35 of 2011 s. 11 and 31.]</w:t>
      </w:r>
    </w:p>
    <w:p>
      <w:pPr>
        <w:pStyle w:val="Heading5"/>
      </w:pPr>
      <w:bookmarkStart w:id="26" w:name="_Toc195259722"/>
      <w:r>
        <w:rPr>
          <w:rStyle w:val="CharSectno"/>
        </w:rPr>
        <w:t>8</w:t>
      </w:r>
      <w:r>
        <w:t>.</w:t>
      </w:r>
      <w:r>
        <w:tab/>
        <w:t>Composition of Board</w:t>
      </w:r>
      <w:bookmarkEnd w:id="26"/>
    </w:p>
    <w:p>
      <w:pPr>
        <w:pStyle w:val="Subsection"/>
        <w:keepNext/>
      </w:pPr>
      <w:r>
        <w:tab/>
        <w:t>(1)</w:t>
      </w:r>
      <w:r>
        <w:tab/>
        <w:t>The Board comprises 7 directors of whom — </w:t>
      </w:r>
    </w:p>
    <w:p>
      <w:pPr>
        <w:pStyle w:val="Indenta"/>
        <w:spacing w:before="60"/>
      </w:pPr>
      <w:r>
        <w:tab/>
        <w:t>(a)</w:t>
      </w:r>
      <w:r>
        <w:tab/>
        <w:t xml:space="preserve">one is to be appointed by the Governor as </w:t>
      </w:r>
      <w:r>
        <w:rPr>
          <w:szCs w:val="24"/>
        </w:rPr>
        <w:t>chairperson</w:t>
      </w:r>
      <w:r>
        <w:t xml:space="preserve"> on the nomination of the </w:t>
      </w:r>
      <w:r>
        <w:rPr>
          <w:szCs w:val="24"/>
        </w:rPr>
        <w:t>Treasurer</w:t>
      </w:r>
      <w:r>
        <w:t>; and</w:t>
      </w:r>
    </w:p>
    <w:p>
      <w:pPr>
        <w:pStyle w:val="Indenta"/>
        <w:spacing w:before="60"/>
        <w:rPr>
          <w:shd w:val="clear" w:color="auto" w:fill="00FF00"/>
        </w:rPr>
      </w:pPr>
      <w:r>
        <w:tab/>
        <w:t>(b)</w:t>
      </w:r>
      <w:r>
        <w:tab/>
        <w:t xml:space="preserve">3 are to be appointed by the Governor as Employer directors; and </w:t>
      </w:r>
    </w:p>
    <w:p>
      <w:pPr>
        <w:pStyle w:val="Indenta"/>
        <w:spacing w:before="60"/>
      </w:pPr>
      <w:r>
        <w:tab/>
        <w:t>(c)</w:t>
      </w:r>
      <w:r>
        <w:tab/>
        <w:t xml:space="preserve">3 are to be elected in accordance with the regulations as Member directors. </w:t>
      </w:r>
    </w:p>
    <w:p>
      <w:pPr>
        <w:pStyle w:val="Subsection"/>
      </w:pPr>
      <w:r>
        <w:tab/>
        <w:t>(2)</w:t>
      </w:r>
      <w:r>
        <w:tab/>
        <w:t>Schedule 1 has effect.</w:t>
      </w:r>
    </w:p>
    <w:p>
      <w:pPr>
        <w:pStyle w:val="Footnotesection"/>
      </w:pPr>
      <w:r>
        <w:tab/>
        <w:t>[Section 8 amended: No. 25 of 2007 s. 19(1); No. 35 of 2011 s. 31; No. 50 of 2024 s. 27.]</w:t>
      </w:r>
    </w:p>
    <w:p>
      <w:pPr>
        <w:pStyle w:val="Heading5"/>
      </w:pPr>
      <w:bookmarkStart w:id="27" w:name="_Toc195259723"/>
      <w:r>
        <w:rPr>
          <w:rStyle w:val="CharSectno"/>
        </w:rPr>
        <w:t>9</w:t>
      </w:r>
      <w:r>
        <w:t>.</w:t>
      </w:r>
      <w:r>
        <w:tab/>
        <w:t>Protection from personal liability</w:t>
      </w:r>
      <w:bookmarkEnd w:id="27"/>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Act.</w:t>
      </w:r>
    </w:p>
    <w:p>
      <w:pPr>
        <w:pStyle w:val="Subsection"/>
      </w:pPr>
      <w:r>
        <w:tab/>
        <w:t>(2)</w:t>
      </w:r>
      <w:r>
        <w:tab/>
        <w:t>The protection given by this section applies even if the person would have been capable of doing the act if this Act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w:t>
      </w:r>
      <w:r>
        <w:lastRenderedPageBreak/>
        <w:t xml:space="preserve">by the Board, it is a defence for the defendant to prove that the investment was made in accordance with the investment strategy formulated under section 19(1). </w:t>
      </w:r>
    </w:p>
    <w:p>
      <w:pPr>
        <w:pStyle w:val="Footnotesection"/>
      </w:pPr>
      <w:r>
        <w:tab/>
        <w:t>[Section 9 amended: No. 25 of 2007 s. 6(5); No. 35 of 2011 s. 12.]</w:t>
      </w:r>
    </w:p>
    <w:p>
      <w:pPr>
        <w:pStyle w:val="Heading5"/>
      </w:pPr>
      <w:bookmarkStart w:id="28" w:name="_Toc195259724"/>
      <w:r>
        <w:rPr>
          <w:rStyle w:val="CharSectno"/>
        </w:rPr>
        <w:t>10</w:t>
      </w:r>
      <w:r>
        <w:t>.</w:t>
      </w:r>
      <w:r>
        <w:tab/>
        <w:t>Meetings and procedures (Sch. 2) and common seal</w:t>
      </w:r>
      <w:bookmarkEnd w:id="28"/>
    </w:p>
    <w:p>
      <w:pPr>
        <w:pStyle w:val="Subsection"/>
      </w:pPr>
      <w:r>
        <w:tab/>
        <w:t>(1)</w:t>
      </w:r>
      <w:r>
        <w:tab/>
        <w:t>Schedule 2 has effect.</w:t>
      </w:r>
    </w:p>
    <w:p>
      <w:pPr>
        <w:pStyle w:val="Subsection"/>
      </w:pPr>
      <w:r>
        <w:tab/>
        <w:t>(2)</w:t>
      </w:r>
      <w:r>
        <w:tab/>
        <w:t xml:space="preserve">The common seal of the Board is to be — </w:t>
      </w:r>
    </w:p>
    <w:p>
      <w:pPr>
        <w:pStyle w:val="Indenta"/>
        <w:spacing w:before="60"/>
      </w:pPr>
      <w:r>
        <w:tab/>
        <w:t>(a)</w:t>
      </w:r>
      <w:r>
        <w:tab/>
        <w:t>in a form determined by the Board; and</w:t>
      </w:r>
    </w:p>
    <w:p>
      <w:pPr>
        <w:pStyle w:val="Indenta"/>
        <w:spacing w:before="60"/>
      </w:pPr>
      <w:r>
        <w:tab/>
        <w:t>(b)</w:t>
      </w:r>
      <w:r>
        <w:tab/>
        <w:t>kept in safe custody as the Board directs; and</w:t>
      </w:r>
    </w:p>
    <w:p>
      <w:pPr>
        <w:pStyle w:val="Indenta"/>
        <w:spacing w:before="60"/>
      </w:pPr>
      <w:r>
        <w:tab/>
        <w:t>(c)</w:t>
      </w:r>
      <w:r>
        <w:tab/>
        <w:t>used only as authorised by the Board.</w:t>
      </w:r>
    </w:p>
    <w:p>
      <w:pPr>
        <w:pStyle w:val="Footnotesection"/>
      </w:pPr>
      <w:r>
        <w:tab/>
        <w:t>[Section 10 amended: No. 25 of 2007 s. 19(1).]</w:t>
      </w:r>
    </w:p>
    <w:p>
      <w:pPr>
        <w:pStyle w:val="Heading5"/>
      </w:pPr>
      <w:bookmarkStart w:id="29" w:name="_Toc195259725"/>
      <w:r>
        <w:rPr>
          <w:rStyle w:val="CharSectno"/>
        </w:rPr>
        <w:t>11</w:t>
      </w:r>
      <w:r>
        <w:t>.</w:t>
      </w:r>
      <w:r>
        <w:tab/>
        <w:t>Staff</w:t>
      </w:r>
      <w:bookmarkEnd w:id="29"/>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The Board may appoint or employ other persons on terms and conditions determined by the Board on the advice of the Public Sector Commissioner.</w:t>
      </w:r>
    </w:p>
    <w:p>
      <w:pPr>
        <w:pStyle w:val="Subsection"/>
      </w:pPr>
      <w:r>
        <w:tab/>
        <w:t>(3)</w:t>
      </w:r>
      <w:r>
        <w:tab/>
        <w:t xml:space="preserve">If the Board appoints an external administrator to conduct the administration of a scheme or schemes and in connection with that appointment the external administrator makes an offer of employment to a person appointed or employed by the Board under subsection (1) or (2) (a </w:t>
      </w:r>
      <w:r>
        <w:rPr>
          <w:rStyle w:val="CharDefText"/>
        </w:rPr>
        <w:t>Board officer</w:t>
      </w:r>
      <w:r>
        <w:t xml:space="preserve">), the Board may enter into an agreement with the Board officer on terms approved by the Public Sector Commissioner providing for — </w:t>
      </w:r>
    </w:p>
    <w:p>
      <w:pPr>
        <w:pStyle w:val="Indenta"/>
        <w:spacing w:before="60"/>
      </w:pPr>
      <w:r>
        <w:tab/>
        <w:t>(a)</w:t>
      </w:r>
      <w:r>
        <w:tab/>
        <w:t xml:space="preserve">in the case of a Board officer who is a permanent public service officer appointed or employed under subsection (1) — </w:t>
      </w:r>
    </w:p>
    <w:p>
      <w:pPr>
        <w:pStyle w:val="Indenti"/>
        <w:spacing w:before="60"/>
      </w:pPr>
      <w:r>
        <w:lastRenderedPageBreak/>
        <w:tab/>
        <w:t>(i)</w:t>
      </w:r>
      <w:r>
        <w:tab/>
        <w:t>the right of the Board officer, during a stated period, to resume appointment or employment under subsection (1); and</w:t>
      </w:r>
    </w:p>
    <w:p>
      <w:pPr>
        <w:pStyle w:val="Indenti"/>
        <w:spacing w:before="60"/>
      </w:pPr>
      <w:r>
        <w:tab/>
        <w:t>(ii)</w:t>
      </w:r>
      <w:r>
        <w:tab/>
        <w:t>the making by the Board of a payment to the Board officer if the offer of employment is accepted and the right of election under subparagraph (i) expires without being exercised;</w:t>
      </w:r>
    </w:p>
    <w:p>
      <w:pPr>
        <w:pStyle w:val="Indenta"/>
        <w:spacing w:before="60"/>
      </w:pPr>
      <w:r>
        <w:tab/>
      </w:r>
      <w:r>
        <w:tab/>
        <w:t>and</w:t>
      </w:r>
    </w:p>
    <w:p>
      <w:pPr>
        <w:pStyle w:val="Indenta"/>
        <w:spacing w:before="60"/>
      </w:pPr>
      <w:r>
        <w:tab/>
        <w:t>(b)</w:t>
      </w:r>
      <w:r>
        <w:tab/>
        <w:t xml:space="preserve">in the case of any other Board officer, </w:t>
      </w:r>
      <w:r>
        <w:rPr>
          <w:snapToGrid w:val="0"/>
        </w:rPr>
        <w:t>the making by the Board of a payment to the Board officer if the offer of employment is accepted.</w:t>
      </w:r>
    </w:p>
    <w:p>
      <w:pPr>
        <w:pStyle w:val="Footnotesection"/>
      </w:pPr>
      <w:r>
        <w:tab/>
        <w:t>[Section 11 amended: No. 35 of 2011 s. 42.]</w:t>
      </w:r>
    </w:p>
    <w:p>
      <w:pPr>
        <w:pStyle w:val="Heading5"/>
      </w:pPr>
      <w:bookmarkStart w:id="30" w:name="_Toc195259726"/>
      <w:r>
        <w:rPr>
          <w:rStyle w:val="CharSectno"/>
        </w:rPr>
        <w:t>12</w:t>
      </w:r>
      <w:r>
        <w:rPr>
          <w:snapToGrid w:val="0"/>
        </w:rPr>
        <w:t>.</w:t>
      </w:r>
      <w:r>
        <w:rPr>
          <w:snapToGrid w:val="0"/>
        </w:rPr>
        <w:tab/>
        <w:t>Delegation by Board</w:t>
      </w:r>
      <w:bookmarkEnd w:id="30"/>
    </w:p>
    <w:p>
      <w:pPr>
        <w:pStyle w:val="Subsection"/>
      </w:pPr>
      <w:r>
        <w:tab/>
        <w:t>(1)</w:t>
      </w:r>
      <w:r>
        <w:tab/>
        <w:t>Subject to section 23 the Board may, in writing, delegate the performance of any of its functions, except this power of delegation, to —</w:t>
      </w:r>
    </w:p>
    <w:p>
      <w:pPr>
        <w:pStyle w:val="Indenta"/>
        <w:spacing w:before="60"/>
      </w:pPr>
      <w:r>
        <w:tab/>
        <w:t>(a)</w:t>
      </w:r>
      <w:r>
        <w:tab/>
        <w:t xml:space="preserve">any person; or </w:t>
      </w:r>
    </w:p>
    <w:p>
      <w:pPr>
        <w:pStyle w:val="Indenta"/>
        <w:spacing w:before="60"/>
      </w:pPr>
      <w:r>
        <w:tab/>
        <w:t>(b)</w:t>
      </w:r>
      <w:r>
        <w:tab/>
        <w:t xml:space="preserve">a committee appointed under clause 8 of Schedule 2.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31" w:name="_Toc195259727"/>
      <w:r>
        <w:rPr>
          <w:rStyle w:val="CharSectno"/>
        </w:rPr>
        <w:t>13</w:t>
      </w:r>
      <w:r>
        <w:rPr>
          <w:snapToGrid w:val="0"/>
        </w:rPr>
        <w:t>.</w:t>
      </w:r>
      <w:r>
        <w:rPr>
          <w:snapToGrid w:val="0"/>
        </w:rPr>
        <w:tab/>
        <w:t>Board decisions, review of</w:t>
      </w:r>
      <w:bookmarkEnd w:id="31"/>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lastRenderedPageBreak/>
        <w:tab/>
        <w:t>(3)</w:t>
      </w:r>
      <w:r>
        <w:rPr>
          <w:snapToGrid w:val="0"/>
        </w:rPr>
        <w:tab/>
        <w:t>A person aggrieved by a decision of the Board on a review under subsection (1) may —</w:t>
      </w:r>
    </w:p>
    <w:p>
      <w:pPr>
        <w:pStyle w:val="Indenta"/>
        <w:spacing w:before="60"/>
      </w:pPr>
      <w:r>
        <w:rPr>
          <w:snapToGrid w:val="0"/>
        </w:rPr>
        <w:tab/>
        <w:t>(a)</w:t>
      </w:r>
      <w:r>
        <w:rPr>
          <w:snapToGrid w:val="0"/>
        </w:rPr>
        <w:tab/>
        <w:t xml:space="preserve">if the decision relates to a superannuation scheme continued by section 29(1)(c) or (d), </w:t>
      </w:r>
      <w:r>
        <w:t xml:space="preserve">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 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No. 55 of 2004 s. 1104; No. 25 of 2007 s. 8.]</w:t>
      </w:r>
    </w:p>
    <w:p>
      <w:pPr>
        <w:pStyle w:val="Heading2"/>
      </w:pPr>
      <w:bookmarkStart w:id="32" w:name="_Toc195190931"/>
      <w:bookmarkStart w:id="33" w:name="_Toc195194001"/>
      <w:bookmarkStart w:id="34" w:name="_Toc195196135"/>
      <w:bookmarkStart w:id="35" w:name="_Toc195259728"/>
      <w:r>
        <w:rPr>
          <w:rStyle w:val="CharPartNo"/>
        </w:rPr>
        <w:lastRenderedPageBreak/>
        <w:t>Part 3</w:t>
      </w:r>
      <w:r>
        <w:rPr>
          <w:rStyle w:val="CharDivNo"/>
        </w:rPr>
        <w:t> </w:t>
      </w:r>
      <w:r>
        <w:t>—</w:t>
      </w:r>
      <w:r>
        <w:rPr>
          <w:rStyle w:val="CharDivText"/>
        </w:rPr>
        <w:t> </w:t>
      </w:r>
      <w:r>
        <w:rPr>
          <w:rStyle w:val="CharPartText"/>
        </w:rPr>
        <w:t>Government Employees Superannuation Fund</w:t>
      </w:r>
      <w:bookmarkEnd w:id="32"/>
      <w:bookmarkEnd w:id="33"/>
      <w:bookmarkEnd w:id="34"/>
      <w:bookmarkEnd w:id="35"/>
    </w:p>
    <w:p>
      <w:pPr>
        <w:pStyle w:val="Footnoteheading"/>
      </w:pPr>
      <w:r>
        <w:tab/>
        <w:t>[Heading inserted: No. 35 of 2011 s. 13.]</w:t>
      </w:r>
    </w:p>
    <w:p>
      <w:pPr>
        <w:pStyle w:val="Heading5"/>
      </w:pPr>
      <w:bookmarkStart w:id="36" w:name="_Toc195259729"/>
      <w:r>
        <w:rPr>
          <w:rStyle w:val="CharSectno"/>
        </w:rPr>
        <w:t>14</w:t>
      </w:r>
      <w:r>
        <w:t>.</w:t>
      </w:r>
      <w:r>
        <w:tab/>
        <w:t>Fund established and nature of</w:t>
      </w:r>
      <w:bookmarkEnd w:id="36"/>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Footnotesection"/>
      </w:pPr>
      <w:r>
        <w:tab/>
        <w:t>[Section 14 amended: No. 25 of 2007 s. 68; No. 35 of 2011 s. 14.]</w:t>
      </w:r>
    </w:p>
    <w:p>
      <w:pPr>
        <w:pStyle w:val="Heading5"/>
      </w:pPr>
      <w:bookmarkStart w:id="37" w:name="_Toc195259730"/>
      <w:r>
        <w:rPr>
          <w:rStyle w:val="CharSectno"/>
        </w:rPr>
        <w:t>15</w:t>
      </w:r>
      <w:r>
        <w:t>.</w:t>
      </w:r>
      <w:r>
        <w:tab/>
        <w:t>Fund, content and purposes of</w:t>
      </w:r>
      <w:bookmarkEnd w:id="37"/>
    </w:p>
    <w:p>
      <w:pPr>
        <w:pStyle w:val="Subsection"/>
      </w:pPr>
      <w:r>
        <w:tab/>
        <w:t>(1)</w:t>
      </w:r>
      <w:r>
        <w:tab/>
        <w:t>The Board is to credit to the Fund —</w:t>
      </w:r>
    </w:p>
    <w:p>
      <w:pPr>
        <w:pStyle w:val="Indenta"/>
      </w:pPr>
      <w:r>
        <w:tab/>
        <w:t>(a)</w:t>
      </w:r>
      <w:r>
        <w:tab/>
        <w:t>contributions made under this Act; and</w:t>
      </w:r>
    </w:p>
    <w:p>
      <w:pPr>
        <w:pStyle w:val="Indenta"/>
      </w:pPr>
      <w:r>
        <w:tab/>
        <w:t>(b)</w:t>
      </w:r>
      <w:r>
        <w:tab/>
        <w:t>amounts transferred to the Fund from other superannuation funds; and</w:t>
      </w:r>
    </w:p>
    <w:p>
      <w:pPr>
        <w:pStyle w:val="Indenta"/>
      </w:pPr>
      <w:r>
        <w:tab/>
        <w:t>(c)</w:t>
      </w:r>
      <w:r>
        <w:tab/>
        <w:t>earnings derived from the investment of the Fund; and</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pPr>
      <w:r>
        <w:tab/>
        <w:t>(aa)</w:t>
      </w:r>
      <w:r>
        <w:tab/>
        <w:t>amounts transferred from the Fund to other superannuation funds; and</w:t>
      </w:r>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lastRenderedPageBreak/>
        <w:tab/>
        <w:t>(c)</w:t>
      </w:r>
      <w:r>
        <w:tab/>
        <w:t>other amounts lawfully paid by the Board or charged to the Fund.</w:t>
      </w:r>
    </w:p>
    <w:p>
      <w:pPr>
        <w:pStyle w:val="Footnotesection"/>
      </w:pPr>
      <w:r>
        <w:tab/>
        <w:t>[Section 15 amended: No. 18 of 2006 s. 10; No. 25 of 2007 s. 6(5) and 19(1); No. 35 of 2011 s. 15 and 52.]</w:t>
      </w:r>
    </w:p>
    <w:p>
      <w:pPr>
        <w:pStyle w:val="Heading5"/>
        <w:keepLines w:val="0"/>
      </w:pPr>
      <w:bookmarkStart w:id="38" w:name="_Toc195259731"/>
      <w:r>
        <w:rPr>
          <w:rStyle w:val="CharSectno"/>
        </w:rPr>
        <w:t>16</w:t>
      </w:r>
      <w:r>
        <w:t>.</w:t>
      </w:r>
      <w:r>
        <w:tab/>
        <w:t>Accounting records, Board to keep etc.</w:t>
      </w:r>
      <w:bookmarkEnd w:id="38"/>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39" w:name="_Toc195259732"/>
      <w:r>
        <w:rPr>
          <w:rStyle w:val="CharSectno"/>
        </w:rPr>
        <w:t>17</w:t>
      </w:r>
      <w:r>
        <w:t>.</w:t>
      </w:r>
      <w:r>
        <w:tab/>
        <w:t>Actuarial investigations, Board to obtain periodically</w:t>
      </w:r>
      <w:bookmarkEnd w:id="39"/>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40" w:name="_Toc195259733"/>
      <w:r>
        <w:rPr>
          <w:rStyle w:val="CharSectno"/>
        </w:rPr>
        <w:t>18</w:t>
      </w:r>
      <w:r>
        <w:t>.</w:t>
      </w:r>
      <w:r>
        <w:tab/>
        <w:t>Investing Fund’s assets</w:t>
      </w:r>
      <w:bookmarkEnd w:id="40"/>
    </w:p>
    <w:p>
      <w:pPr>
        <w:pStyle w:val="Subsection"/>
      </w:pPr>
      <w:r>
        <w:tab/>
        <w:t>(1)</w:t>
      </w:r>
      <w:r>
        <w:tab/>
        <w:t>The Board may invest the assets of the Fund in any form of investment that is, or is of a kind that is, approved by the Treasurer.</w:t>
      </w:r>
    </w:p>
    <w:p>
      <w:pPr>
        <w:pStyle w:val="Ednotesubsection"/>
      </w:pPr>
      <w:r>
        <w:tab/>
        <w:t>[(2)</w:t>
      </w:r>
      <w:r>
        <w:tab/>
        <w:t>deleted]</w:t>
      </w:r>
    </w:p>
    <w:p>
      <w:pPr>
        <w:pStyle w:val="Subsection"/>
      </w:pPr>
      <w:r>
        <w:tab/>
        <w:t>(3)</w:t>
      </w:r>
      <w:r>
        <w:tab/>
        <w:t>The Board may —</w:t>
      </w:r>
    </w:p>
    <w:p>
      <w:pPr>
        <w:pStyle w:val="Indenta"/>
      </w:pPr>
      <w:r>
        <w:tab/>
        <w:t>(a)</w:t>
      </w:r>
      <w:r>
        <w:tab/>
        <w:t xml:space="preserve">deal with its investments; and </w:t>
      </w:r>
    </w:p>
    <w:p>
      <w:pPr>
        <w:pStyle w:val="Indenta"/>
        <w:keepNext/>
      </w:pPr>
      <w:r>
        <w:lastRenderedPageBreak/>
        <w:tab/>
        <w:t>(b)</w:t>
      </w:r>
      <w:r>
        <w:tab/>
        <w:t>deal with or exercise, or choose not to exercise, any rights or obligations that are attendant on ownership of an investment.</w:t>
      </w:r>
    </w:p>
    <w:p>
      <w:pPr>
        <w:pStyle w:val="Subsection"/>
      </w:pPr>
      <w:r>
        <w:tab/>
        <w:t>(4)</w:t>
      </w:r>
      <w:r>
        <w:tab/>
        <w:t xml:space="preserve">Any procurement of services by the Board that is made in connection with the performance of its functions under this section is excluded from the application of the </w:t>
      </w:r>
      <w:r>
        <w:rPr>
          <w:i/>
          <w:iCs/>
        </w:rPr>
        <w:t>Procurement Act 2020</w:t>
      </w:r>
      <w:r>
        <w:t>.</w:t>
      </w:r>
    </w:p>
    <w:p>
      <w:pPr>
        <w:pStyle w:val="Footnotesection"/>
      </w:pPr>
      <w:r>
        <w:tab/>
        <w:t>[Section 18 amended: No. 35 of 2011 s. 43; No. 50 of 2024 s. 10.]</w:t>
      </w:r>
    </w:p>
    <w:p>
      <w:pPr>
        <w:pStyle w:val="Heading5"/>
      </w:pPr>
      <w:bookmarkStart w:id="41" w:name="_Toc195259734"/>
      <w:r>
        <w:rPr>
          <w:rStyle w:val="CharSectno"/>
        </w:rPr>
        <w:t>19</w:t>
      </w:r>
      <w:r>
        <w:t>.</w:t>
      </w:r>
      <w:r>
        <w:tab/>
        <w:t>Investment strategy for Fund, Board’s duties as to</w:t>
      </w:r>
      <w:bookmarkEnd w:id="41"/>
    </w:p>
    <w:p>
      <w:pPr>
        <w:pStyle w:val="Subsection"/>
      </w:pPr>
      <w:r>
        <w:tab/>
        <w:t>(1)</w:t>
      </w:r>
      <w:r>
        <w:tab/>
        <w:t>The Board is to formulate a strategy for the Fund.</w:t>
      </w:r>
    </w:p>
    <w:p>
      <w:pPr>
        <w:pStyle w:val="Subsection"/>
      </w:pPr>
      <w:r>
        <w:tab/>
        <w:t>(2A)</w:t>
      </w:r>
      <w:r>
        <w:tab/>
        <w:t>The Board’s investment strategy for the Fund is to be consistent with any relevant Treasurer’s guidelines.</w:t>
      </w:r>
    </w:p>
    <w:p>
      <w:pPr>
        <w:pStyle w:val="Subsection"/>
      </w:pPr>
      <w:r>
        <w:tab/>
        <w:t>(2)</w:t>
      </w:r>
      <w:r>
        <w:tab/>
        <w:t>In formulating its investment strategy the Board is to have regard to all of the circumstances of the Fund including —</w:t>
      </w:r>
    </w:p>
    <w:p>
      <w:pPr>
        <w:pStyle w:val="Indenta"/>
      </w:pPr>
      <w:r>
        <w:tab/>
        <w:t>(a)</w:t>
      </w:r>
      <w:r>
        <w:tab/>
        <w:t>the need to exercise care and prudence to maintain the integrity of the Fund; and</w:t>
      </w:r>
    </w:p>
    <w:p>
      <w:pPr>
        <w:pStyle w:val="Indenta"/>
      </w:pPr>
      <w:r>
        <w:tab/>
        <w:t>(b)</w:t>
      </w:r>
      <w:r>
        <w:tab/>
        <w:t>the —</w:t>
      </w:r>
    </w:p>
    <w:p>
      <w:pPr>
        <w:pStyle w:val="Indenti"/>
      </w:pPr>
      <w:r>
        <w:tab/>
        <w:t>(i)</w:t>
      </w:r>
      <w:r>
        <w:tab/>
        <w:t>nature of; and</w:t>
      </w:r>
    </w:p>
    <w:p>
      <w:pPr>
        <w:pStyle w:val="Indenti"/>
      </w:pPr>
      <w:r>
        <w:tab/>
        <w:t>(ii)</w:t>
      </w:r>
      <w:r>
        <w:tab/>
        <w:t>potential for capital appreciation and income return from; and</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different investments and different kinds of investments; and</w:t>
      </w:r>
    </w:p>
    <w:p>
      <w:pPr>
        <w:pStyle w:val="Indenta"/>
      </w:pPr>
      <w:r>
        <w:tab/>
        <w:t>(c)</w:t>
      </w:r>
      <w:r>
        <w:tab/>
        <w:t>the desirability of diversifying its investments; and</w:t>
      </w:r>
    </w:p>
    <w:p>
      <w:pPr>
        <w:pStyle w:val="Indenta"/>
      </w:pPr>
      <w:r>
        <w:tab/>
        <w:t>(d)</w:t>
      </w:r>
      <w:r>
        <w:tab/>
        <w:t>the liquidity of the Fund; and</w:t>
      </w:r>
    </w:p>
    <w:p>
      <w:pPr>
        <w:pStyle w:val="Indenta"/>
      </w:pPr>
      <w:r>
        <w:tab/>
        <w:t>(e)</w:t>
      </w:r>
      <w:r>
        <w:tab/>
        <w:t>its expected cash flow requirements; and</w:t>
      </w:r>
    </w:p>
    <w:p>
      <w:pPr>
        <w:pStyle w:val="Indenta"/>
      </w:pPr>
      <w:r>
        <w:tab/>
        <w:t>(f)</w:t>
      </w:r>
      <w:r>
        <w:tab/>
        <w:t>the level of existing and prospective liabilities.</w:t>
      </w:r>
    </w:p>
    <w:p>
      <w:pPr>
        <w:pStyle w:val="Subsection"/>
      </w:pPr>
      <w:r>
        <w:lastRenderedPageBreak/>
        <w:tab/>
        <w:t>(3)</w:t>
      </w:r>
      <w:r>
        <w:tab/>
        <w:t>The Board is to review —</w:t>
      </w:r>
    </w:p>
    <w:p>
      <w:pPr>
        <w:pStyle w:val="Indenta"/>
      </w:pPr>
      <w:r>
        <w:tab/>
        <w:t>(a)</w:t>
      </w:r>
      <w:r>
        <w:tab/>
        <w:t xml:space="preserve">its investment strategy; and </w:t>
      </w:r>
    </w:p>
    <w:p>
      <w:pPr>
        <w:pStyle w:val="Indenta"/>
        <w:keepNext/>
      </w:pPr>
      <w:r>
        <w:tab/>
        <w:t>(b)</w:t>
      </w:r>
      <w:r>
        <w:tab/>
        <w:t>the management and performance of its investments,</w:t>
      </w:r>
    </w:p>
    <w:p>
      <w:pPr>
        <w:pStyle w:val="Subsection"/>
      </w:pPr>
      <w:r>
        <w:tab/>
      </w:r>
      <w:r>
        <w:tab/>
        <w:t>from time to time in accordance with any relevant Treasurer’s guidelines.</w:t>
      </w:r>
    </w:p>
    <w:p>
      <w:pPr>
        <w:pStyle w:val="Subsection"/>
      </w:pPr>
      <w:r>
        <w:tab/>
        <w:t>(4)</w:t>
      </w:r>
      <w:r>
        <w:tab/>
        <w:t xml:space="preserve">In exercising its powers under section 18 the Board is to — </w:t>
      </w:r>
    </w:p>
    <w:p>
      <w:pPr>
        <w:pStyle w:val="Indenta"/>
      </w:pPr>
      <w:r>
        <w:tab/>
        <w:t>(a)</w:t>
      </w:r>
      <w:r>
        <w:tab/>
        <w:t>act in accordance with any relevant Treasurer’s guidelines; and</w:t>
      </w:r>
    </w:p>
    <w:p>
      <w:pPr>
        <w:pStyle w:val="Indenta"/>
      </w:pPr>
      <w:r>
        <w:tab/>
        <w:t>(b)</w:t>
      </w:r>
      <w:r>
        <w:tab/>
        <w:t>act so as to give effect to its investment strategy.</w:t>
      </w:r>
    </w:p>
    <w:p>
      <w:pPr>
        <w:pStyle w:val="Footnotesection"/>
      </w:pPr>
      <w:r>
        <w:tab/>
        <w:t>[Section 19 amended: No. 25 of 2007 s. 19(1); No. 35 of 2011 s. 44.]</w:t>
      </w:r>
    </w:p>
    <w:p>
      <w:pPr>
        <w:pStyle w:val="Heading5"/>
      </w:pPr>
      <w:bookmarkStart w:id="42" w:name="_Toc195259735"/>
      <w:r>
        <w:rPr>
          <w:rStyle w:val="CharSectno"/>
        </w:rPr>
        <w:t>20A</w:t>
      </w:r>
      <w:r>
        <w:t>.</w:t>
      </w:r>
      <w:r>
        <w:tab/>
        <w:t>Reserves in Fund and reserving strategy, Board’s functions as to</w:t>
      </w:r>
      <w:bookmarkEnd w:id="42"/>
    </w:p>
    <w:p>
      <w:pPr>
        <w:pStyle w:val="Subsection"/>
      </w:pPr>
      <w:r>
        <w:tab/>
        <w:t>(1)</w:t>
      </w:r>
      <w:r>
        <w:tab/>
        <w:t>The Board may maintain reserves within the Fund.</w:t>
      </w:r>
    </w:p>
    <w:p>
      <w:pPr>
        <w:pStyle w:val="Subsection"/>
      </w:pPr>
      <w:r>
        <w:tab/>
        <w:t>(2)</w:t>
      </w:r>
      <w:r>
        <w:tab/>
        <w:t>The Board is to formulate a reserving strategy for the Fund.</w:t>
      </w:r>
    </w:p>
    <w:p>
      <w:pPr>
        <w:pStyle w:val="Subsection"/>
      </w:pPr>
      <w:r>
        <w:tab/>
        <w:t>(3)</w:t>
      </w:r>
      <w:r>
        <w:tab/>
        <w:t xml:space="preserve">The Board’s reserving strategy for the Fund is to be consistent with — </w:t>
      </w:r>
    </w:p>
    <w:p>
      <w:pPr>
        <w:pStyle w:val="Indenta"/>
      </w:pPr>
      <w:r>
        <w:tab/>
        <w:t>(a)</w:t>
      </w:r>
      <w:r>
        <w:tab/>
        <w:t>the Board’s capacity to discharge the liabilities of the Fund, actual and contingent, as they fall due; and</w:t>
      </w:r>
    </w:p>
    <w:p>
      <w:pPr>
        <w:pStyle w:val="Indenta"/>
      </w:pPr>
      <w:r>
        <w:tab/>
        <w:t>(b)</w:t>
      </w:r>
      <w:r>
        <w:tab/>
        <w:t>any relevant Treasurer’s guidelines.</w:t>
      </w:r>
    </w:p>
    <w:p>
      <w:pPr>
        <w:pStyle w:val="Subsection"/>
      </w:pPr>
      <w:r>
        <w:tab/>
        <w:t>(4)</w:t>
      </w:r>
      <w:r>
        <w:tab/>
        <w:t>The Board is to review its reserving strategy from time to time in accordance with any relevant Treasurer’s guidelines.</w:t>
      </w:r>
    </w:p>
    <w:p>
      <w:pPr>
        <w:pStyle w:val="Subsection"/>
      </w:pPr>
      <w:r>
        <w:tab/>
        <w:t>(5)</w:t>
      </w:r>
      <w:r>
        <w:tab/>
        <w:t xml:space="preserve">In exercising its power under subsection (1) the Board is to — </w:t>
      </w:r>
    </w:p>
    <w:p>
      <w:pPr>
        <w:pStyle w:val="Indenta"/>
      </w:pPr>
      <w:r>
        <w:tab/>
        <w:t>(a)</w:t>
      </w:r>
      <w:r>
        <w:tab/>
        <w:t>act in accordance with any relevant Treasurer’s guidelines; and</w:t>
      </w:r>
    </w:p>
    <w:p>
      <w:pPr>
        <w:pStyle w:val="Indenta"/>
      </w:pPr>
      <w:r>
        <w:tab/>
        <w:t>(b)</w:t>
      </w:r>
      <w:r>
        <w:tab/>
        <w:t>act so as to give effect to the Fund reserving strategy.</w:t>
      </w:r>
    </w:p>
    <w:p>
      <w:pPr>
        <w:pStyle w:val="Footnotesection"/>
      </w:pPr>
      <w:r>
        <w:tab/>
        <w:t>[Section 20A inserted: No. 35 of 2011 s. 45.]</w:t>
      </w:r>
    </w:p>
    <w:p>
      <w:pPr>
        <w:pStyle w:val="Heading5"/>
        <w:keepLines w:val="0"/>
      </w:pPr>
      <w:bookmarkStart w:id="43" w:name="_Toc195259736"/>
      <w:r>
        <w:rPr>
          <w:rStyle w:val="CharSectno"/>
        </w:rPr>
        <w:lastRenderedPageBreak/>
        <w:t>20</w:t>
      </w:r>
      <w:r>
        <w:rPr>
          <w:snapToGrid w:val="0"/>
        </w:rPr>
        <w:t>.</w:t>
      </w:r>
      <w:r>
        <w:rPr>
          <w:snapToGrid w:val="0"/>
        </w:rPr>
        <w:tab/>
        <w:t>Certain investments, restrictions on making</w:t>
      </w:r>
      <w:bookmarkEnd w:id="43"/>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44" w:name="_Toc195259737"/>
      <w:r>
        <w:rPr>
          <w:rStyle w:val="CharSectno"/>
        </w:rPr>
        <w:t>21</w:t>
      </w:r>
      <w:r>
        <w:rPr>
          <w:snapToGrid w:val="0"/>
        </w:rPr>
        <w:t>.</w:t>
      </w:r>
      <w:r>
        <w:rPr>
          <w:snapToGrid w:val="0"/>
        </w:rPr>
        <w:tab/>
        <w:t>Loans to Members prohibited</w:t>
      </w:r>
      <w:bookmarkEnd w:id="44"/>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pPr>
      <w:bookmarkStart w:id="45" w:name="_Toc195259738"/>
      <w:r>
        <w:rPr>
          <w:rStyle w:val="CharSectno"/>
        </w:rPr>
        <w:t>22</w:t>
      </w:r>
      <w:r>
        <w:t>.</w:t>
      </w:r>
      <w:r>
        <w:tab/>
        <w:t>Allocation of Fund’s earnings and costs</w:t>
      </w:r>
      <w:bookmarkEnd w:id="45"/>
    </w:p>
    <w:p>
      <w:pPr>
        <w:pStyle w:val="Subsection"/>
      </w:pPr>
      <w:r>
        <w:tab/>
        <w:t>(1)</w:t>
      </w:r>
      <w:r>
        <w:tab/>
        <w:t xml:space="preserve">The Board is to allocate — </w:t>
      </w:r>
    </w:p>
    <w:p>
      <w:pPr>
        <w:pStyle w:val="Indenta"/>
      </w:pPr>
      <w:r>
        <w:tab/>
        <w:t>(a)</w:t>
      </w:r>
      <w:r>
        <w:tab/>
        <w:t>earnings derived from the investment of the Fund; and</w:t>
      </w:r>
    </w:p>
    <w:p>
      <w:pPr>
        <w:pStyle w:val="Indenta"/>
      </w:pPr>
      <w:r>
        <w:tab/>
        <w:t>(b)</w:t>
      </w:r>
      <w:r>
        <w:tab/>
        <w:t>the costs of managing and administering the Fund and the schemes,</w:t>
      </w:r>
    </w:p>
    <w:p>
      <w:pPr>
        <w:pStyle w:val="Subsection"/>
      </w:pPr>
      <w:r>
        <w:tab/>
      </w:r>
      <w:r>
        <w:tab/>
        <w:t>between the schemes and where appropriate between Members.</w:t>
      </w:r>
    </w:p>
    <w:p>
      <w:pPr>
        <w:pStyle w:val="Subsection"/>
      </w:pPr>
      <w:r>
        <w:tab/>
        <w:t>(2)</w:t>
      </w:r>
      <w:r>
        <w:tab/>
        <w:t xml:space="preserve">In allocating earnings and costs under subsection (1) the Board is to — </w:t>
      </w:r>
    </w:p>
    <w:p>
      <w:pPr>
        <w:pStyle w:val="Indenta"/>
      </w:pPr>
      <w:r>
        <w:tab/>
        <w:t>(a)</w:t>
      </w:r>
      <w:r>
        <w:tab/>
        <w:t>ensure compliance with any relevant guidelines; and</w:t>
      </w:r>
    </w:p>
    <w:p>
      <w:pPr>
        <w:pStyle w:val="Indenta"/>
      </w:pPr>
      <w:r>
        <w:tab/>
        <w:t>(b)</w:t>
      </w:r>
      <w:r>
        <w:tab/>
        <w:t>otherwise act in accordance with section 6(2).</w:t>
      </w:r>
    </w:p>
    <w:p>
      <w:pPr>
        <w:pStyle w:val="Footnotesection"/>
      </w:pPr>
      <w:r>
        <w:tab/>
        <w:t>[Section 22 inserted: No. 35 of 2011 s. 46.]</w:t>
      </w:r>
    </w:p>
    <w:p>
      <w:pPr>
        <w:pStyle w:val="Heading5"/>
        <w:keepLines w:val="0"/>
      </w:pPr>
      <w:bookmarkStart w:id="46" w:name="_Toc195259739"/>
      <w:r>
        <w:rPr>
          <w:rStyle w:val="CharSectno"/>
        </w:rPr>
        <w:lastRenderedPageBreak/>
        <w:t>23</w:t>
      </w:r>
      <w:r>
        <w:t>.</w:t>
      </w:r>
      <w:r>
        <w:tab/>
        <w:t>Appointment of investment manager</w:t>
      </w:r>
      <w:bookmarkEnd w:id="46"/>
    </w:p>
    <w:p>
      <w:pPr>
        <w:pStyle w:val="Subsection"/>
      </w:pPr>
      <w:r>
        <w:tab/>
        <w:t>(1)</w:t>
      </w:r>
      <w:r>
        <w:tab/>
        <w:t>The Board may appoint an employee of the Board or any other person as an investment manager on terms determined by the Board.</w:t>
      </w:r>
    </w:p>
    <w:p>
      <w:pPr>
        <w:pStyle w:val="Subsection"/>
      </w:pPr>
      <w:r>
        <w:tab/>
        <w:t>(2)</w:t>
      </w:r>
      <w:r>
        <w:tab/>
        <w:t xml:space="preserve">Subject to any relevant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pPr>
        <w:pStyle w:val="Footnotesection"/>
      </w:pPr>
      <w:r>
        <w:tab/>
        <w:t>[Section 23 amended: No. 35 of 2011 s. 47; No. 50 of 2024 s. 11.]</w:t>
      </w:r>
    </w:p>
    <w:p>
      <w:pPr>
        <w:pStyle w:val="Heading5"/>
        <w:keepLines w:val="0"/>
      </w:pPr>
      <w:bookmarkStart w:id="47" w:name="_Toc195259740"/>
      <w:r>
        <w:rPr>
          <w:rStyle w:val="CharSectno"/>
        </w:rPr>
        <w:t>24</w:t>
      </w:r>
      <w:r>
        <w:t>.</w:t>
      </w:r>
      <w:r>
        <w:tab/>
        <w:t>Borrowing by Board</w:t>
      </w:r>
      <w:bookmarkEnd w:id="47"/>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r>
      <w:r>
        <w:tab/>
        <w:t>and</w:t>
      </w:r>
    </w:p>
    <w:p>
      <w:pPr>
        <w:pStyle w:val="Indenta"/>
      </w:pPr>
      <w:r>
        <w:tab/>
        <w:t>(b)</w:t>
      </w:r>
      <w:r>
        <w:tab/>
        <w:t xml:space="preserve">the terms of the borrowing have been approved by the Treasurer; and </w:t>
      </w:r>
    </w:p>
    <w:p>
      <w:pPr>
        <w:pStyle w:val="Indenta"/>
      </w:pPr>
      <w:r>
        <w:tab/>
        <w:t>(c)</w:t>
      </w:r>
      <w:r>
        <w:tab/>
        <w:t>the borrowing complies with any relevant Treasurer’s guidelines.</w:t>
      </w:r>
    </w:p>
    <w:p>
      <w:pPr>
        <w:pStyle w:val="Subsection"/>
      </w:pPr>
      <w:r>
        <w:tab/>
        <w:t>(2)</w:t>
      </w:r>
      <w:r>
        <w:tab/>
        <w:t>When borrowing money the Board may give any security it considers appropriate.</w:t>
      </w:r>
    </w:p>
    <w:p>
      <w:pPr>
        <w:pStyle w:val="Subsection"/>
        <w:keepNext/>
      </w:pPr>
      <w:r>
        <w:lastRenderedPageBreak/>
        <w:tab/>
        <w:t>(3)</w:t>
      </w:r>
      <w:r>
        <w:tab/>
        <w:t>In this section —</w:t>
      </w:r>
    </w:p>
    <w:p>
      <w:pPr>
        <w:pStyle w:val="Defstart"/>
        <w:keepNext/>
      </w:pPr>
      <w:r>
        <w:tab/>
      </w:r>
      <w:r>
        <w:rPr>
          <w:rStyle w:val="CharDefText"/>
        </w:rPr>
        <w:t>borrow money</w:t>
      </w:r>
      <w:r>
        <w:t xml:space="preserve"> means borrow or raise money, or arrange for other financial accommodation, and includes to re</w:t>
      </w:r>
      <w:r>
        <w:noBreakHyphen/>
        <w:t>borrow or obtain advances.</w:t>
      </w:r>
    </w:p>
    <w:p>
      <w:pPr>
        <w:pStyle w:val="Footnotesection"/>
      </w:pPr>
      <w:r>
        <w:tab/>
        <w:t>[Section 24 amended: No. 25 of 2007 s. 19(1); No. 35 of 2011 s. 48; No. 50 of 2024 s. 12.]</w:t>
      </w:r>
    </w:p>
    <w:p>
      <w:pPr>
        <w:pStyle w:val="Heading5"/>
        <w:keepNext w:val="0"/>
        <w:keepLines w:val="0"/>
      </w:pPr>
      <w:bookmarkStart w:id="48" w:name="_Toc195259741"/>
      <w:r>
        <w:rPr>
          <w:rStyle w:val="CharSectno"/>
        </w:rPr>
        <w:t>25</w:t>
      </w:r>
      <w:r>
        <w:t>.</w:t>
      </w:r>
      <w:r>
        <w:tab/>
        <w:t>Interest on money owed to Fund</w:t>
      </w:r>
      <w:bookmarkEnd w:id="48"/>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49" w:name="_Toc195259742"/>
      <w:r>
        <w:rPr>
          <w:rStyle w:val="CharSectno"/>
        </w:rPr>
        <w:t>26</w:t>
      </w:r>
      <w:r>
        <w:t>.</w:t>
      </w:r>
      <w:r>
        <w:tab/>
      </w:r>
      <w:r>
        <w:rPr>
          <w:snapToGrid w:val="0"/>
        </w:rPr>
        <w:t>Recovering money owed to Fund</w:t>
      </w:r>
      <w:bookmarkEnd w:id="49"/>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as a debt in a court of competent jurisdiction; or</w:t>
      </w:r>
    </w:p>
    <w:p>
      <w:pPr>
        <w:pStyle w:val="Indenta"/>
        <w:rPr>
          <w:snapToGrid w:val="0"/>
        </w:rPr>
      </w:pPr>
      <w:r>
        <w:rPr>
          <w:snapToGrid w:val="0"/>
        </w:rPr>
        <w:tab/>
        <w:t>(b)</w:t>
      </w:r>
      <w:r>
        <w:rPr>
          <w:snapToGrid w:val="0"/>
        </w:rPr>
        <w:tab/>
        <w:t>by deducting the amount owing from any amount that is, or becomes, payable from the Fund to the debtor; 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rPr>
          <w:snapToGrid w:val="0"/>
        </w:rPr>
      </w:pPr>
      <w:r>
        <w:rPr>
          <w:snapToGrid w:val="0"/>
        </w:rPr>
        <w:tab/>
      </w:r>
      <w:r>
        <w:rPr>
          <w:snapToGrid w:val="0"/>
        </w:rPr>
        <w:tab/>
        <w:t>and the Employer must comply with the direction.</w:t>
      </w:r>
    </w:p>
    <w:p>
      <w:pPr>
        <w:pStyle w:val="Footnotesection"/>
      </w:pPr>
      <w:r>
        <w:tab/>
        <w:t>[Section 26 amended: No. 25 of 2007 s. 19(2).]</w:t>
      </w:r>
    </w:p>
    <w:p>
      <w:pPr>
        <w:pStyle w:val="Ednotesection"/>
      </w:pPr>
      <w:r>
        <w:lastRenderedPageBreak/>
        <w:t>[</w:t>
      </w:r>
      <w:r>
        <w:rPr>
          <w:b/>
          <w:bCs/>
        </w:rPr>
        <w:t>27.</w:t>
      </w:r>
      <w:r>
        <w:rPr>
          <w:b/>
          <w:bCs/>
        </w:rPr>
        <w:tab/>
      </w:r>
      <w:r>
        <w:t>Deleted: No. 50 of 2024 s. 13.]</w:t>
      </w:r>
    </w:p>
    <w:p>
      <w:pPr>
        <w:pStyle w:val="Heading2"/>
      </w:pPr>
      <w:bookmarkStart w:id="50" w:name="_Toc195190947"/>
      <w:bookmarkStart w:id="51" w:name="_Toc195194016"/>
      <w:bookmarkStart w:id="52" w:name="_Toc195196150"/>
      <w:bookmarkStart w:id="53" w:name="_Toc195259743"/>
      <w:r>
        <w:rPr>
          <w:rStyle w:val="CharPartNo"/>
        </w:rPr>
        <w:lastRenderedPageBreak/>
        <w:t>Part 4</w:t>
      </w:r>
      <w:r>
        <w:rPr>
          <w:rStyle w:val="CharDivNo"/>
        </w:rPr>
        <w:t> </w:t>
      </w:r>
      <w:r>
        <w:t>—</w:t>
      </w:r>
      <w:r>
        <w:rPr>
          <w:rStyle w:val="CharDivText"/>
        </w:rPr>
        <w:t> </w:t>
      </w:r>
      <w:r>
        <w:rPr>
          <w:rStyle w:val="CharPartText"/>
        </w:rPr>
        <w:t>Superannuation schemes</w:t>
      </w:r>
      <w:bookmarkEnd w:id="50"/>
      <w:bookmarkEnd w:id="51"/>
      <w:bookmarkEnd w:id="52"/>
      <w:bookmarkEnd w:id="53"/>
    </w:p>
    <w:p>
      <w:pPr>
        <w:pStyle w:val="Footnoteheading"/>
      </w:pPr>
      <w:r>
        <w:tab/>
        <w:t>[Heading inserted: No. 35 of 2011 s. 16.]</w:t>
      </w:r>
    </w:p>
    <w:p>
      <w:pPr>
        <w:pStyle w:val="Heading5"/>
        <w:keepNext w:val="0"/>
        <w:keepLines w:val="0"/>
      </w:pPr>
      <w:bookmarkStart w:id="54" w:name="_Toc195259744"/>
      <w:r>
        <w:rPr>
          <w:rStyle w:val="CharSectno"/>
        </w:rPr>
        <w:t>28</w:t>
      </w:r>
      <w:r>
        <w:t>.</w:t>
      </w:r>
      <w:r>
        <w:tab/>
        <w:t>Superannuation schemes, establishing by regulations etc.</w:t>
      </w:r>
      <w:bookmarkEnd w:id="54"/>
    </w:p>
    <w:p>
      <w:pPr>
        <w:pStyle w:val="Subsection"/>
      </w:pPr>
      <w:r>
        <w:tab/>
        <w:t>(1)</w:t>
      </w:r>
      <w:r>
        <w:tab/>
        <w:t xml:space="preserve">The Governor may, by regulations, establish superannuation schemes for persons who are working, or have worked, for Employers. </w:t>
      </w:r>
    </w:p>
    <w:p>
      <w:pPr>
        <w:pStyle w:val="Subsection"/>
      </w:pPr>
      <w:r>
        <w:tab/>
        <w:t>(2)</w:t>
      </w:r>
      <w:r>
        <w:tab/>
        <w:t xml:space="preserve">Subject to subsection (2A), a scheme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pPr>
      <w:r>
        <w:tab/>
        <w:t>(2A)</w:t>
      </w:r>
      <w:r>
        <w:tab/>
        <w:t>A scheme continued by section 29(1)(b), (c) or (d) may only provide for the matters referred to in subsection (2) by regulations made in accordance with section 38(5A)(a).</w:t>
      </w:r>
    </w:p>
    <w:p>
      <w:pPr>
        <w:pStyle w:val="Subsection"/>
      </w:pPr>
      <w:r>
        <w:tab/>
        <w:t>(3)</w:t>
      </w:r>
      <w:r>
        <w:tab/>
        <w:t>In subsection (2) —</w:t>
      </w:r>
    </w:p>
    <w:p>
      <w:pPr>
        <w:pStyle w:val="Defstart"/>
      </w:pPr>
      <w:r>
        <w:rPr>
          <w:b/>
        </w:rPr>
        <w:tab/>
      </w:r>
      <w:r>
        <w:rPr>
          <w:rStyle w:val="CharDefText"/>
        </w:rPr>
        <w:t>benefits</w:t>
      </w:r>
      <w:r>
        <w:t xml:space="preserve"> has the meaning given to that term in section 28(1) of the </w:t>
      </w:r>
      <w:r>
        <w:rPr>
          <w:i/>
          <w:iCs/>
        </w:rPr>
        <w:t>Parliamentary Superannuation Act 1970</w:t>
      </w:r>
      <w:r>
        <w:t>;</w:t>
      </w:r>
    </w:p>
    <w:p>
      <w:pPr>
        <w:pStyle w:val="Defstart"/>
      </w:pPr>
      <w:r>
        <w:tab/>
      </w:r>
      <w:r>
        <w:rPr>
          <w:rStyle w:val="CharDefText"/>
        </w:rPr>
        <w:t>spouse</w:t>
      </w:r>
      <w:r>
        <w:t>, in relation to a person, includes a de facto partner of that person.</w:t>
      </w:r>
    </w:p>
    <w:p>
      <w:pPr>
        <w:pStyle w:val="Footnotesection"/>
      </w:pPr>
      <w:r>
        <w:tab/>
        <w:t>[Section 28 amended: No. 3 of 2002 s. 102; No. 18 of 2006 s. 11; No. 25 of 2007 s. 9; No. 50 of 2024 s. 14.]</w:t>
      </w:r>
    </w:p>
    <w:p>
      <w:pPr>
        <w:pStyle w:val="Heading5"/>
        <w:keepNext w:val="0"/>
      </w:pPr>
      <w:bookmarkStart w:id="55" w:name="_Toc195259745"/>
      <w:r>
        <w:rPr>
          <w:rStyle w:val="CharSectno"/>
        </w:rPr>
        <w:t>29</w:t>
      </w:r>
      <w:r>
        <w:t>.</w:t>
      </w:r>
      <w:r>
        <w:tab/>
        <w:t>Certain schemes become superannuation schemes under this Act on 17 Feb 2001</w:t>
      </w:r>
      <w:bookmarkEnd w:id="55"/>
    </w:p>
    <w:p>
      <w:pPr>
        <w:pStyle w:val="Subsection"/>
      </w:pPr>
      <w:r>
        <w:tab/>
        <w:t>(1)</w:t>
      </w:r>
      <w:r>
        <w:tab/>
        <w:t>On 17 February 2001 the following superannuation schemes become superannuation schemes under this Act —</w:t>
      </w:r>
    </w:p>
    <w:p>
      <w:pPr>
        <w:pStyle w:val="Indenta"/>
      </w:pPr>
      <w:r>
        <w:tab/>
        <w:t>(a)</w:t>
      </w:r>
      <w:r>
        <w:tab/>
        <w:t xml:space="preserve">the superannuation scheme that was provided for in the </w:t>
      </w:r>
      <w:r>
        <w:rPr>
          <w:i/>
          <w:iCs/>
        </w:rPr>
        <w:t>Government Employees Superannuation Act 1987</w:t>
      </w:r>
      <w:r>
        <w:rPr>
          <w:iCs/>
        </w:rPr>
        <w:t xml:space="preserve"> </w:t>
      </w:r>
      <w:r>
        <w:rPr>
          <w:iCs/>
        </w:rPr>
        <w:lastRenderedPageBreak/>
        <w:t>Part </w:t>
      </w:r>
      <w:r>
        <w:t xml:space="preserve">VIIA immediately before its repeal by section 39 (referred to in that Act as the 1993 scheme); </w:t>
      </w:r>
    </w:p>
    <w:p>
      <w:pPr>
        <w:pStyle w:val="Indenta"/>
      </w:pPr>
      <w:r>
        <w:tab/>
        <w:t>(b)</w:t>
      </w:r>
      <w:r>
        <w:tab/>
        <w:t xml:space="preserve">the superannuation scheme that was provided for in the </w:t>
      </w:r>
      <w:r>
        <w:rPr>
          <w:i/>
          <w:iCs/>
        </w:rPr>
        <w:t>Government Employees Superannuation Act 1987</w:t>
      </w:r>
      <w:r>
        <w:rPr>
          <w:iCs/>
        </w:rPr>
        <w:t xml:space="preserve"> </w:t>
      </w:r>
      <w:r>
        <w:t>Parts IV, V, VI and VII immediately before its repeal by section 39 (referred to in that Act as the 1987 scheme);</w:t>
      </w:r>
    </w:p>
    <w:p>
      <w:pPr>
        <w:pStyle w:val="Indenta"/>
      </w:pPr>
      <w:r>
        <w:tab/>
        <w:t>(c)</w:t>
      </w:r>
      <w:r>
        <w:tab/>
        <w:t xml:space="preserve">the superannuation scheme that was provided for in the </w:t>
      </w:r>
      <w:r>
        <w:rPr>
          <w:i/>
          <w:iCs/>
        </w:rPr>
        <w:t>Superannuation and Family Benefits Act 1938</w:t>
      </w:r>
      <w:r>
        <w:t xml:space="preserve"> Parts IV, V and VB immediately before its repeal by section 39;</w:t>
      </w:r>
    </w:p>
    <w:p>
      <w:pPr>
        <w:pStyle w:val="Indenta"/>
      </w:pPr>
      <w:r>
        <w:tab/>
        <w:t>(d)</w:t>
      </w:r>
      <w:r>
        <w:tab/>
        <w:t xml:space="preserve">the superannuation scheme that was provided for in the </w:t>
      </w:r>
      <w:r>
        <w:rPr>
          <w:i/>
          <w:iCs/>
        </w:rPr>
        <w:t>Superannuation and Family Benefits Act 1938</w:t>
      </w:r>
      <w:r>
        <w:rPr>
          <w:iCs/>
        </w:rPr>
        <w:t xml:space="preserve"> </w:t>
      </w:r>
      <w:r>
        <w:t>Parts VA and VB immediately before its repeal by section 39.</w:t>
      </w:r>
    </w:p>
    <w:p>
      <w:pPr>
        <w:pStyle w:val="Ednotesubsection"/>
      </w:pPr>
      <w:r>
        <w:tab/>
        <w:t>[(2)</w:t>
      </w:r>
      <w:r>
        <w:tab/>
        <w:t>deleted]</w:t>
      </w:r>
    </w:p>
    <w:p>
      <w:pPr>
        <w:pStyle w:val="Footnotesection"/>
      </w:pPr>
      <w:r>
        <w:tab/>
        <w:t>[Section 29 amended: No. 25 of 2007 s. 6(3), 10 and 69; No. 35 of 2011 s. 17.]</w:t>
      </w:r>
    </w:p>
    <w:p>
      <w:pPr>
        <w:pStyle w:val="Heading5"/>
        <w:keepLines w:val="0"/>
        <w:rPr>
          <w:snapToGrid w:val="0"/>
        </w:rPr>
      </w:pPr>
      <w:bookmarkStart w:id="56" w:name="_Toc195259746"/>
      <w:r>
        <w:rPr>
          <w:rStyle w:val="CharSectno"/>
        </w:rPr>
        <w:t>30</w:t>
      </w:r>
      <w:r>
        <w:t>.</w:t>
      </w:r>
      <w:r>
        <w:tab/>
        <w:t>S</w:t>
      </w:r>
      <w:r>
        <w:rPr>
          <w:snapToGrid w:val="0"/>
        </w:rPr>
        <w:t>uperannuation schemes etc., establishment of etc. by Employer</w:t>
      </w:r>
      <w:bookmarkEnd w:id="56"/>
    </w:p>
    <w:p>
      <w:pPr>
        <w:pStyle w:val="Subsection"/>
        <w:rPr>
          <w:snapToGrid w:val="0"/>
        </w:rPr>
      </w:pPr>
      <w:r>
        <w:rPr>
          <w:snapToGrid w:val="0"/>
        </w:rPr>
        <w:tab/>
        <w:t>(1)</w:t>
      </w:r>
      <w:r>
        <w:rPr>
          <w:snapToGrid w:val="0"/>
        </w:rPr>
        <w:tab/>
        <w:t xml:space="preserve">An Employer may establish a superannuation scheme or fund for the benefit of persons who work for the Employer, if and only if the </w:t>
      </w:r>
      <w:r>
        <w:t>Treasurer has</w:t>
      </w:r>
      <w:r>
        <w:rPr>
          <w:snapToGrid w:val="0"/>
        </w:rPr>
        <w:t xml:space="preserve"> approved the establishment of that scheme or fund.</w:t>
      </w:r>
    </w:p>
    <w:p>
      <w:pPr>
        <w:pStyle w:val="Ednotesubsection"/>
      </w:pPr>
      <w:r>
        <w:tab/>
        <w:t>[(2), (3A)</w:t>
      </w:r>
      <w:r>
        <w:tab/>
        <w:t>deleted]</w:t>
      </w:r>
    </w:p>
    <w:p>
      <w:pPr>
        <w:pStyle w:val="Subsection"/>
      </w:pPr>
      <w:r>
        <w:tab/>
        <w:t>(3)</w:t>
      </w:r>
      <w:r>
        <w:tab/>
        <w:t>An approval given by the Treasurer under this section must be in writing and may relate to —</w:t>
      </w:r>
    </w:p>
    <w:p>
      <w:pPr>
        <w:pStyle w:val="Indenta"/>
      </w:pPr>
      <w:r>
        <w:tab/>
        <w:t>(a)</w:t>
      </w:r>
      <w:r>
        <w:tab/>
        <w:t>a particular Employer or class of Employers; or</w:t>
      </w:r>
    </w:p>
    <w:p>
      <w:pPr>
        <w:pStyle w:val="Ednotepara"/>
      </w:pPr>
      <w:r>
        <w:tab/>
        <w:t>[(b)</w:t>
      </w:r>
      <w:r>
        <w:tab/>
        <w:t>deleted]</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Footnotesection"/>
      </w:pPr>
      <w:r>
        <w:tab/>
        <w:t>[Section 30 amended: No. 25 of 2007 s. 6(5); No. 35 of 2011 s. 18, 34 and 53; No. 17 of 2014 s. 40; No. 50 of 2024 s. 15.]</w:t>
      </w:r>
    </w:p>
    <w:p>
      <w:pPr>
        <w:pStyle w:val="Heading2"/>
      </w:pPr>
      <w:bookmarkStart w:id="57" w:name="_Toc195190951"/>
      <w:bookmarkStart w:id="58" w:name="_Toc195194020"/>
      <w:bookmarkStart w:id="59" w:name="_Toc195196154"/>
      <w:bookmarkStart w:id="60" w:name="_Toc195259747"/>
      <w:r>
        <w:rPr>
          <w:rStyle w:val="CharPartNo"/>
        </w:rPr>
        <w:lastRenderedPageBreak/>
        <w:t>Part 5</w:t>
      </w:r>
      <w:r>
        <w:rPr>
          <w:rStyle w:val="CharDivNo"/>
        </w:rPr>
        <w:t> </w:t>
      </w:r>
      <w:r>
        <w:t>—</w:t>
      </w:r>
      <w:r>
        <w:rPr>
          <w:rStyle w:val="CharDivText"/>
        </w:rPr>
        <w:t> </w:t>
      </w:r>
      <w:r>
        <w:rPr>
          <w:rStyle w:val="CharPartText"/>
        </w:rPr>
        <w:t>Government guarantees and appropriation of the Consolidated Account</w:t>
      </w:r>
      <w:bookmarkEnd w:id="57"/>
      <w:bookmarkEnd w:id="58"/>
      <w:bookmarkEnd w:id="59"/>
      <w:bookmarkEnd w:id="60"/>
    </w:p>
    <w:p>
      <w:pPr>
        <w:pStyle w:val="Footnoteheading"/>
      </w:pPr>
      <w:r>
        <w:tab/>
        <w:t>[Heading inserted: No. 35 of 2011 s. 19.]</w:t>
      </w:r>
    </w:p>
    <w:p>
      <w:pPr>
        <w:pStyle w:val="Heading5"/>
        <w:keepNext w:val="0"/>
        <w:keepLines w:val="0"/>
      </w:pPr>
      <w:bookmarkStart w:id="61" w:name="_Toc195259748"/>
      <w:r>
        <w:rPr>
          <w:rStyle w:val="CharSectno"/>
        </w:rPr>
        <w:t>31</w:t>
      </w:r>
      <w:r>
        <w:t>.</w:t>
      </w:r>
      <w:r>
        <w:tab/>
        <w:t>Guarantee by Crown of scheme benefits etc.</w:t>
      </w:r>
      <w:bookmarkEnd w:id="61"/>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w:t>
      </w:r>
      <w:r>
        <w:t xml:space="preserve">this Act </w:t>
      </w:r>
      <w:r>
        <w:rPr>
          <w:snapToGrid w:val="0"/>
        </w:rPr>
        <w:t>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Account, and the Consolidated Account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Account. </w:t>
      </w:r>
    </w:p>
    <w:p>
      <w:pPr>
        <w:pStyle w:val="Footnotesection"/>
      </w:pPr>
      <w:r>
        <w:tab/>
        <w:t>[Section 31 amended: No. 77 of 2006 s. 4; No. 25 of 2007 s. 6(5); No. 35 of 2011 s. 20.]</w:t>
      </w:r>
    </w:p>
    <w:p>
      <w:pPr>
        <w:pStyle w:val="Heading5"/>
        <w:keepLines w:val="0"/>
      </w:pPr>
      <w:bookmarkStart w:id="62" w:name="_Toc195259749"/>
      <w:r>
        <w:rPr>
          <w:rStyle w:val="CharSectno"/>
        </w:rPr>
        <w:t>32</w:t>
      </w:r>
      <w:r>
        <w:rPr>
          <w:snapToGrid w:val="0"/>
        </w:rPr>
        <w:t>.</w:t>
      </w:r>
      <w:r>
        <w:rPr>
          <w:snapToGrid w:val="0"/>
        </w:rPr>
        <w:tab/>
        <w:t>Appropriation to meet contribution etc. obligations</w:t>
      </w:r>
      <w:bookmarkEnd w:id="62"/>
    </w:p>
    <w:p>
      <w:pPr>
        <w:pStyle w:val="Subsection"/>
        <w:rPr>
          <w:snapToGrid w:val="0"/>
        </w:rPr>
      </w:pPr>
      <w:r>
        <w:tab/>
      </w:r>
      <w:r>
        <w:tab/>
        <w:t xml:space="preserve">The </w:t>
      </w:r>
      <w:r>
        <w:rPr>
          <w:snapToGrid w:val="0"/>
        </w:rPr>
        <w:t>Consolidated Account</w:t>
      </w:r>
      <w:r>
        <w:t xml:space="preserve"> is appropriated to the extent necessary to meet the payment of contributions and other amounts required by </w:t>
      </w:r>
      <w:r>
        <w:rPr>
          <w:snapToGrid w:val="0"/>
        </w:rPr>
        <w:t xml:space="preserve">regulations under this Act to be paid by the Crown to the Fund on or after </w:t>
      </w:r>
      <w:r>
        <w:t>17 February 2001.</w:t>
      </w:r>
    </w:p>
    <w:p>
      <w:pPr>
        <w:pStyle w:val="Footnotesection"/>
      </w:pPr>
      <w:r>
        <w:tab/>
        <w:t>[Section 32 amended: No. 77 of 2006 s. 4; No. 25 of 2007 s. 6(4).]</w:t>
      </w:r>
    </w:p>
    <w:p>
      <w:pPr>
        <w:pStyle w:val="Heading2"/>
      </w:pPr>
      <w:bookmarkStart w:id="63" w:name="_Toc195190954"/>
      <w:bookmarkStart w:id="64" w:name="_Toc195194023"/>
      <w:bookmarkStart w:id="65" w:name="_Toc195196157"/>
      <w:bookmarkStart w:id="66" w:name="_Toc195259750"/>
      <w:r>
        <w:rPr>
          <w:rStyle w:val="CharPartNo"/>
        </w:rPr>
        <w:lastRenderedPageBreak/>
        <w:t>Part 6</w:t>
      </w:r>
      <w:r>
        <w:rPr>
          <w:rStyle w:val="CharDivNo"/>
        </w:rPr>
        <w:t> </w:t>
      </w:r>
      <w:r>
        <w:t>—</w:t>
      </w:r>
      <w:r>
        <w:rPr>
          <w:rStyle w:val="CharDivText"/>
        </w:rPr>
        <w:t> </w:t>
      </w:r>
      <w:r>
        <w:rPr>
          <w:rStyle w:val="CharPartText"/>
        </w:rPr>
        <w:t>Miscellaneous</w:t>
      </w:r>
      <w:bookmarkEnd w:id="63"/>
      <w:bookmarkEnd w:id="64"/>
      <w:bookmarkEnd w:id="65"/>
      <w:bookmarkEnd w:id="66"/>
    </w:p>
    <w:p>
      <w:pPr>
        <w:pStyle w:val="Footnoteheading"/>
      </w:pPr>
      <w:r>
        <w:tab/>
        <w:t>[Heading inserted: No. 35 of 2011 s. 21.]</w:t>
      </w:r>
    </w:p>
    <w:p>
      <w:pPr>
        <w:pStyle w:val="Heading5"/>
        <w:keepLines w:val="0"/>
      </w:pPr>
      <w:bookmarkStart w:id="67" w:name="_Toc195259751"/>
      <w:r>
        <w:rPr>
          <w:rStyle w:val="CharSectno"/>
        </w:rPr>
        <w:t>33</w:t>
      </w:r>
      <w:r>
        <w:t>.</w:t>
      </w:r>
      <w:r>
        <w:tab/>
        <w:t>Treasurer’s approvals and guidelines</w:t>
      </w:r>
      <w:bookmarkEnd w:id="67"/>
    </w:p>
    <w:p>
      <w:pPr>
        <w:pStyle w:val="Subsection"/>
      </w:pPr>
      <w:r>
        <w:tab/>
        <w:t>(1)</w:t>
      </w:r>
      <w:r>
        <w:tab/>
        <w:t>An approval given by the Treasurer —</w:t>
      </w:r>
    </w:p>
    <w:p>
      <w:pPr>
        <w:pStyle w:val="Indenta"/>
        <w:spacing w:before="70"/>
      </w:pPr>
      <w:r>
        <w:tab/>
        <w:t>(a)</w:t>
      </w:r>
      <w:r>
        <w:tab/>
        <w:t>must be in writing; and</w:t>
      </w:r>
    </w:p>
    <w:p>
      <w:pPr>
        <w:pStyle w:val="Indenta"/>
        <w:spacing w:before="70"/>
      </w:pPr>
      <w:r>
        <w:tab/>
        <w:t>(b)</w:t>
      </w:r>
      <w:r>
        <w:tab/>
        <w:t>may be given when and how the Treasurer determines; and</w:t>
      </w:r>
    </w:p>
    <w:p>
      <w:pPr>
        <w:pStyle w:val="Indenta"/>
        <w:spacing w:before="70"/>
      </w:pPr>
      <w:r>
        <w:tab/>
        <w:t>(c)</w:t>
      </w:r>
      <w:r>
        <w:tab/>
        <w:t>may be given in relation to a particular matter or matters of a particular kind.</w:t>
      </w:r>
    </w:p>
    <w:p>
      <w:pPr>
        <w:pStyle w:val="Subsection"/>
      </w:pPr>
      <w:r>
        <w:tab/>
        <w:t>(2)</w:t>
      </w:r>
      <w:r>
        <w:tab/>
        <w:t>The Treasurer may, after consulting the Board, issue written guidelines to be followed by the Board in relation to —</w:t>
      </w:r>
    </w:p>
    <w:p>
      <w:pPr>
        <w:pStyle w:val="Indenta"/>
        <w:spacing w:before="66"/>
      </w:pPr>
      <w:r>
        <w:tab/>
        <w:t>(aa)</w:t>
      </w:r>
      <w:r>
        <w:tab/>
        <w:t>the exercise by the Board of its powers under section 6(1)(c) to select and appoint external administrators of the schemes and monitor their administration; and</w:t>
      </w:r>
    </w:p>
    <w:p>
      <w:pPr>
        <w:pStyle w:val="Indenta"/>
        <w:spacing w:before="66"/>
      </w:pPr>
      <w:r>
        <w:tab/>
        <w:t>(a)</w:t>
      </w:r>
      <w:r>
        <w:tab/>
        <w:t>the information, advice and assistance to be provided by the Board under section 6(1)(d); and</w:t>
      </w:r>
    </w:p>
    <w:p>
      <w:pPr>
        <w:pStyle w:val="Indenta"/>
        <w:spacing w:before="66"/>
      </w:pPr>
      <w:r>
        <w:tab/>
        <w:t>(b)</w:t>
      </w:r>
      <w:r>
        <w:tab/>
        <w:t>the provision by the Board of, or the facilitation by the Board of the provision of, products and services under section 6(1)(e); and</w:t>
      </w:r>
    </w:p>
    <w:p>
      <w:pPr>
        <w:pStyle w:val="Indenta"/>
        <w:spacing w:before="66"/>
      </w:pPr>
      <w:r>
        <w:tab/>
        <w:t>(ca)</w:t>
      </w:r>
      <w:r>
        <w:tab/>
        <w:t>the exercise by the Board of its powers under section 7(2)(b) and (c); and</w:t>
      </w:r>
    </w:p>
    <w:p>
      <w:pPr>
        <w:pStyle w:val="Indenta"/>
        <w:spacing w:before="66"/>
      </w:pPr>
      <w:r>
        <w:tab/>
        <w:t>(c)</w:t>
      </w:r>
      <w:r>
        <w:tab/>
        <w:t>the carrying out of actuarial investigations under section 17; and</w:t>
      </w:r>
    </w:p>
    <w:p>
      <w:pPr>
        <w:pStyle w:val="Indenta"/>
        <w:spacing w:before="66"/>
      </w:pPr>
      <w:r>
        <w:tab/>
        <w:t>(d)</w:t>
      </w:r>
      <w:r>
        <w:tab/>
        <w:t>the exercise of the Board’s powers under section 18; and</w:t>
      </w:r>
    </w:p>
    <w:p>
      <w:pPr>
        <w:pStyle w:val="Indenta"/>
        <w:spacing w:before="66"/>
      </w:pPr>
      <w:r>
        <w:tab/>
        <w:t>(e)</w:t>
      </w:r>
      <w:r>
        <w:tab/>
        <w:t>the submission of matters to the Treasurer for approval under sections 18, 23, 24 and 38(5); and</w:t>
      </w:r>
    </w:p>
    <w:p>
      <w:pPr>
        <w:pStyle w:val="Indenta"/>
        <w:spacing w:before="66"/>
      </w:pPr>
      <w:r>
        <w:tab/>
        <w:t>(fa)</w:t>
      </w:r>
      <w:r>
        <w:tab/>
        <w:t>the formulation and review of an investment strategy under section 19; and</w:t>
      </w:r>
    </w:p>
    <w:p>
      <w:pPr>
        <w:pStyle w:val="Indenta"/>
        <w:spacing w:before="66"/>
      </w:pPr>
      <w:r>
        <w:lastRenderedPageBreak/>
        <w:tab/>
        <w:t>(f)</w:t>
      </w:r>
      <w:r>
        <w:tab/>
        <w:t>the review by the Board of its investment strategy and the management and performance of its investments under section 19(3); and</w:t>
      </w:r>
    </w:p>
    <w:p>
      <w:pPr>
        <w:pStyle w:val="Indenta"/>
        <w:spacing w:before="60"/>
      </w:pPr>
      <w:r>
        <w:tab/>
        <w:t>(ga)</w:t>
      </w:r>
      <w:r>
        <w:tab/>
        <w:t>the maintenance of reserves and the formulation and review of a reserving strategy under section 20A; and</w:t>
      </w:r>
    </w:p>
    <w:p>
      <w:pPr>
        <w:pStyle w:val="Indenta"/>
        <w:spacing w:before="60"/>
      </w:pPr>
      <w:r>
        <w:tab/>
        <w:t>(g)</w:t>
      </w:r>
      <w:r>
        <w:tab/>
        <w:t>the allocation of investment earnings and costs of managing and administering the Fund and the schemes under section 22; and</w:t>
      </w:r>
    </w:p>
    <w:p>
      <w:pPr>
        <w:pStyle w:val="Indenta"/>
        <w:spacing w:before="60"/>
      </w:pPr>
      <w:r>
        <w:tab/>
        <w:t>(h)</w:t>
      </w:r>
      <w:r>
        <w:tab/>
        <w:t>the appointment of investment managers under section 23(1); and</w:t>
      </w:r>
    </w:p>
    <w:p>
      <w:pPr>
        <w:pStyle w:val="Indenta"/>
        <w:spacing w:before="60"/>
      </w:pPr>
      <w:r>
        <w:tab/>
        <w:t>(i)</w:t>
      </w:r>
      <w:r>
        <w:tab/>
        <w:t xml:space="preserve">the delegation of functions to investment managers under section 23(2); and </w:t>
      </w:r>
    </w:p>
    <w:p>
      <w:pPr>
        <w:pStyle w:val="Indenta"/>
        <w:spacing w:before="60"/>
      </w:pPr>
      <w:r>
        <w:tab/>
        <w:t>(j)</w:t>
      </w:r>
      <w:r>
        <w:tab/>
        <w:t>borrowing under section 24.</w:t>
      </w:r>
    </w:p>
    <w:p>
      <w:pPr>
        <w:pStyle w:val="Subsection"/>
        <w:spacing w:before="140"/>
      </w:pPr>
      <w:r>
        <w:tab/>
        <w:t>(3)</w:t>
      </w:r>
      <w:r>
        <w:tab/>
        <w:t xml:space="preserve">Guidelines issued under subsection (2) are not subsidiary legislation for the purposes of the </w:t>
      </w:r>
      <w:r>
        <w:rPr>
          <w:i/>
        </w:rPr>
        <w:t>Interpretation Act 1984</w:t>
      </w:r>
      <w:r>
        <w:t>.</w:t>
      </w:r>
    </w:p>
    <w:p>
      <w:pPr>
        <w:pStyle w:val="Subsection"/>
        <w:spacing w:before="140"/>
      </w:pPr>
      <w:r>
        <w:tab/>
        <w:t>(4A)</w:t>
      </w:r>
      <w:r>
        <w:tab/>
        <w:t>Where guidelines are issued under subsection (2), the Treasurer must publish the guidelines on a website maintained by the Department.</w:t>
      </w:r>
    </w:p>
    <w:p>
      <w:pPr>
        <w:pStyle w:val="Subsection"/>
        <w:spacing w:before="140"/>
      </w:pPr>
      <w:r>
        <w:tab/>
        <w:t>(4B)</w:t>
      </w:r>
      <w:r>
        <w:tab/>
        <w:t xml:space="preserve">In subsection (4A) — </w:t>
      </w:r>
    </w:p>
    <w:p>
      <w:pPr>
        <w:pStyle w:val="Defstart"/>
      </w:pPr>
      <w:r>
        <w:tab/>
      </w:r>
      <w:r>
        <w:rPr>
          <w:rStyle w:val="CharDefText"/>
        </w:rPr>
        <w:t>Department</w:t>
      </w:r>
      <w:r>
        <w:t xml:space="preserve"> means the department of the Public Service principally assisting in the administration of the </w:t>
      </w:r>
      <w:r>
        <w:rPr>
          <w:i/>
        </w:rPr>
        <w:t>Financial Management Act 2006</w:t>
      </w:r>
      <w:r>
        <w:t>.</w:t>
      </w:r>
    </w:p>
    <w:p>
      <w:pPr>
        <w:pStyle w:val="Subsection"/>
        <w:spacing w:before="140"/>
      </w:pPr>
      <w:r>
        <w:tab/>
        <w:t>(4)</w:t>
      </w:r>
      <w:r>
        <w:tab/>
        <w:t>If there is any inconsistency between guidelines issued under subsection (2) and a direction given under section 35, the guidelines prevail.</w:t>
      </w:r>
    </w:p>
    <w:p>
      <w:pPr>
        <w:pStyle w:val="Footnotesection"/>
        <w:spacing w:before="100"/>
        <w:ind w:left="890" w:hanging="890"/>
      </w:pPr>
      <w:r>
        <w:tab/>
        <w:t>[Section 33 amended: No. 18 of 2006 s. 12; No. 25 of 2007 s. 19(1); No. 35 of 2011 s. 49; No. 50 of 2024 s. 16.]</w:t>
      </w:r>
    </w:p>
    <w:p>
      <w:pPr>
        <w:pStyle w:val="Heading5"/>
        <w:spacing w:before="200"/>
      </w:pPr>
      <w:bookmarkStart w:id="68" w:name="_Toc195259752"/>
      <w:r>
        <w:rPr>
          <w:rStyle w:val="CharSectno"/>
        </w:rPr>
        <w:lastRenderedPageBreak/>
        <w:t>33A</w:t>
      </w:r>
      <w:r>
        <w:t>.</w:t>
      </w:r>
      <w:r>
        <w:tab/>
        <w:t>Board to observe certain policy instruments</w:t>
      </w:r>
      <w:bookmarkEnd w:id="68"/>
    </w:p>
    <w:p>
      <w:pPr>
        <w:pStyle w:val="Subsection"/>
        <w:keepNext/>
        <w:spacing w:before="140"/>
      </w:pPr>
      <w:r>
        <w:tab/>
      </w:r>
      <w:r>
        <w:tab/>
        <w:t>The Board is to perform its functions in accordance with its strategic development plan and its statement of corporate intent as existing from time to time.</w:t>
      </w:r>
    </w:p>
    <w:p>
      <w:pPr>
        <w:pStyle w:val="Footnotesection"/>
        <w:spacing w:before="100"/>
        <w:ind w:left="890" w:hanging="890"/>
      </w:pPr>
      <w:r>
        <w:tab/>
        <w:t>[Section 33A inserted: No. 28 of 2006 s. 434.]</w:t>
      </w:r>
    </w:p>
    <w:p>
      <w:pPr>
        <w:pStyle w:val="Heading5"/>
      </w:pPr>
      <w:bookmarkStart w:id="69" w:name="_Toc195259753"/>
      <w:r>
        <w:rPr>
          <w:rStyle w:val="CharSectno"/>
        </w:rPr>
        <w:t>33B</w:t>
      </w:r>
      <w:r>
        <w:t>.</w:t>
      </w:r>
      <w:r>
        <w:tab/>
        <w:t>Strategic development plan and statement of corporate intent</w:t>
      </w:r>
      <w:bookmarkEnd w:id="69"/>
    </w:p>
    <w:p>
      <w:pPr>
        <w:pStyle w:val="Subsection"/>
      </w:pPr>
      <w:r>
        <w:tab/>
        <w:t>(1)</w:t>
      </w:r>
      <w:r>
        <w:tab/>
        <w:t xml:space="preserve">The Board must, at the prescribed times, prepare and submit to the </w:t>
      </w:r>
      <w:r>
        <w:rPr>
          <w:szCs w:val="24"/>
        </w:rPr>
        <w:t>Treasurer</w:t>
      </w:r>
      <w:r>
        <w:t xml:space="preserve"> — </w:t>
      </w:r>
    </w:p>
    <w:p>
      <w:pPr>
        <w:pStyle w:val="Indenta"/>
      </w:pPr>
      <w:r>
        <w:tab/>
        <w:t>(a)</w:t>
      </w:r>
      <w:r>
        <w:tab/>
        <w:t>a strategic development plan for the Board; and</w:t>
      </w:r>
    </w:p>
    <w:p>
      <w:pPr>
        <w:pStyle w:val="Indenta"/>
      </w:pPr>
      <w:r>
        <w:tab/>
        <w:t>(b)</w:t>
      </w:r>
      <w:r>
        <w:tab/>
        <w:t>a statement of corporate intent for the Board.</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w:t>
      </w:r>
      <w:r>
        <w:rPr>
          <w:szCs w:val="24"/>
        </w:rPr>
        <w:t>Treasurer</w:t>
      </w:r>
      <w:r>
        <w:t xml:space="preserve"> to give directions to the Board, the </w:t>
      </w:r>
      <w:r>
        <w:rPr>
          <w:szCs w:val="24"/>
        </w:rPr>
        <w:t>Treasurer</w:t>
      </w:r>
      <w:r>
        <w:t xml:space="preserve"> must cause a copy of a direction given under the regulation to be laid before each House of Parliament or be dealt with in accordance with section 36A —</w:t>
      </w:r>
    </w:p>
    <w:p>
      <w:pPr>
        <w:pStyle w:val="Indenta"/>
      </w:pPr>
      <w:r>
        <w:tab/>
        <w:t>(a)</w:t>
      </w:r>
      <w:r>
        <w:tab/>
        <w:t>within 14 days after the direction is given; or</w:t>
      </w:r>
    </w:p>
    <w:p>
      <w:pPr>
        <w:pStyle w:val="Indenta"/>
      </w:pPr>
      <w:r>
        <w:lastRenderedPageBreak/>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Ednotesubsection"/>
      </w:pPr>
      <w:r>
        <w:tab/>
        <w:t>[(4)</w:t>
      </w:r>
      <w:r>
        <w:tab/>
        <w:t>deleted]</w:t>
      </w:r>
    </w:p>
    <w:p>
      <w:pPr>
        <w:pStyle w:val="Subsection"/>
      </w:pPr>
      <w:r>
        <w:tab/>
        <w:t>(5)</w:t>
      </w:r>
      <w:r>
        <w:tab/>
        <w:t xml:space="preserve">The text of a direction referred to in subsection (3) is to be included in the annual report submitted by the accountable authority of the Board under the </w:t>
      </w:r>
      <w:r>
        <w:rPr>
          <w:i/>
          <w:iCs/>
        </w:rPr>
        <w:t>Financial Management Act 2006</w:t>
      </w:r>
      <w:r>
        <w:t xml:space="preserve"> Part 5.</w:t>
      </w:r>
    </w:p>
    <w:p>
      <w:pPr>
        <w:pStyle w:val="Footnotesection"/>
      </w:pPr>
      <w:r>
        <w:tab/>
        <w:t>[Section 33B inserted: No. 28 of 2006 s. 434; amended: No. 25 of 2007 s. 11; No. 35 of 2011 s. 22, 31 and 35.]</w:t>
      </w:r>
    </w:p>
    <w:p>
      <w:pPr>
        <w:pStyle w:val="Ednotesection"/>
      </w:pPr>
      <w:r>
        <w:t>[</w:t>
      </w:r>
      <w:r>
        <w:rPr>
          <w:b/>
          <w:bCs/>
        </w:rPr>
        <w:t>33C.</w:t>
      </w:r>
      <w:r>
        <w:rPr>
          <w:b/>
          <w:bCs/>
        </w:rPr>
        <w:tab/>
      </w:r>
      <w:r>
        <w:t>Deleted: No. 25 of 2007 s. 12.]</w:t>
      </w:r>
    </w:p>
    <w:p>
      <w:pPr>
        <w:pStyle w:val="Heading5"/>
        <w:keepLines w:val="0"/>
        <w:rPr>
          <w:snapToGrid w:val="0"/>
        </w:rPr>
      </w:pPr>
      <w:bookmarkStart w:id="70" w:name="_Toc195259754"/>
      <w:r>
        <w:rPr>
          <w:rStyle w:val="CharSectno"/>
        </w:rPr>
        <w:t>34</w:t>
      </w:r>
      <w:r>
        <w:rPr>
          <w:snapToGrid w:val="0"/>
        </w:rPr>
        <w:t>.</w:t>
      </w:r>
      <w:r>
        <w:rPr>
          <w:snapToGrid w:val="0"/>
        </w:rPr>
        <w:tab/>
        <w:t>Directions to Employers as to practice and procedure</w:t>
      </w:r>
      <w:bookmarkEnd w:id="70"/>
    </w:p>
    <w:p>
      <w:pPr>
        <w:pStyle w:val="Subsection"/>
        <w:rPr>
          <w:snapToGrid w:val="0"/>
        </w:rPr>
      </w:pPr>
      <w:r>
        <w:rPr>
          <w:snapToGrid w:val="0"/>
        </w:rPr>
        <w:tab/>
        <w:t>(1)</w:t>
      </w:r>
      <w:r>
        <w:rPr>
          <w:snapToGrid w:val="0"/>
        </w:rPr>
        <w:tab/>
        <w:t xml:space="preserve">The Board or the </w:t>
      </w:r>
      <w:r>
        <w:rPr>
          <w:szCs w:val="24"/>
        </w:rPr>
        <w:t>Treasurer</w:t>
      </w:r>
      <w:r>
        <w:rPr>
          <w:snapToGrid w:val="0"/>
        </w:rPr>
        <w:t xml:space="preserve"> may give written directions to Employers about the practices and procedures to be observed by Employers for the efficient operation of </w:t>
      </w:r>
      <w:r>
        <w:t xml:space="preserve">this Act </w:t>
      </w:r>
      <w:r>
        <w:rPr>
          <w:snapToGrid w:val="0"/>
        </w:rPr>
        <w:t xml:space="preserve">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apply at all times, at a particular time, or for a particular period; or</w:t>
      </w:r>
    </w:p>
    <w:p>
      <w:pPr>
        <w:pStyle w:val="Indenta"/>
        <w:rPr>
          <w:snapToGrid w:val="0"/>
        </w:rPr>
      </w:pPr>
      <w:r>
        <w:rPr>
          <w:snapToGrid w:val="0"/>
        </w:rPr>
        <w:tab/>
        <w:t>(b)</w:t>
      </w:r>
      <w:r>
        <w:rPr>
          <w:snapToGrid w:val="0"/>
        </w:rPr>
        <w:tab/>
        <w:t>apply to all Employers, to a particular Employer, or to Employers in a particular class; or</w:t>
      </w:r>
    </w:p>
    <w:p>
      <w:pPr>
        <w:pStyle w:val="Indenta"/>
        <w:rPr>
          <w:snapToGrid w:val="0"/>
        </w:rPr>
      </w:pPr>
      <w:r>
        <w:rPr>
          <w:snapToGrid w:val="0"/>
        </w:rPr>
        <w:tab/>
        <w:t>(c)</w:t>
      </w:r>
      <w:r>
        <w:rPr>
          <w:snapToGrid w:val="0"/>
        </w:rPr>
        <w:tab/>
        <w:t>direct something to be done in a particular manner; or</w:t>
      </w:r>
    </w:p>
    <w:p>
      <w:pPr>
        <w:pStyle w:val="Indenta"/>
        <w:rPr>
          <w:snapToGrid w:val="0"/>
        </w:rPr>
      </w:pPr>
      <w:r>
        <w:rPr>
          <w:snapToGrid w:val="0"/>
        </w:rPr>
        <w:lastRenderedPageBreak/>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Footnotesection"/>
      </w:pPr>
      <w:r>
        <w:tab/>
        <w:t>[Section 34 amended: No. 25 of 2007 s. 6(5) and 19(2); No. 35 of 2011 s. 23 and 31.]</w:t>
      </w:r>
    </w:p>
    <w:p>
      <w:pPr>
        <w:pStyle w:val="Heading5"/>
        <w:keepLines w:val="0"/>
        <w:rPr>
          <w:snapToGrid w:val="0"/>
        </w:rPr>
      </w:pPr>
      <w:bookmarkStart w:id="71" w:name="_Toc195259755"/>
      <w:r>
        <w:rPr>
          <w:rStyle w:val="CharSectno"/>
        </w:rPr>
        <w:t>35</w:t>
      </w:r>
      <w:r>
        <w:t>.</w:t>
      </w:r>
      <w:r>
        <w:tab/>
      </w:r>
      <w:r>
        <w:rPr>
          <w:snapToGrid w:val="0"/>
        </w:rPr>
        <w:t>Treasurer may give Board directions</w:t>
      </w:r>
      <w:bookmarkEnd w:id="71"/>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w:t>
      </w:r>
      <w:r>
        <w:rPr>
          <w:szCs w:val="24"/>
        </w:rPr>
        <w:t>Treasurer</w:t>
      </w:r>
      <w:r>
        <w:rPr>
          <w:snapToGrid w:val="0"/>
        </w:rPr>
        <w:t xml:space="preserve">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w:t>
      </w:r>
      <w:r>
        <w:rPr>
          <w:szCs w:val="24"/>
        </w:rPr>
        <w:t>Treasurer</w:t>
      </w:r>
      <w:r>
        <w:rPr>
          <w:snapToGrid w:val="0"/>
        </w:rPr>
        <w:t xml:space="preserve">. </w:t>
      </w:r>
    </w:p>
    <w:p>
      <w:pPr>
        <w:pStyle w:val="Subsection"/>
      </w:pPr>
      <w:r>
        <w:tab/>
        <w:t>(3)</w:t>
      </w:r>
      <w:r>
        <w:tab/>
        <w:t>Subject to subsections (5) and (6), a direction becomes effective on the expiry of 7 days after the Board receives it or of such longer period as the Treasurer may, at the Board’s request, determine.</w:t>
      </w:r>
    </w:p>
    <w:p>
      <w:pPr>
        <w:pStyle w:val="Subsection"/>
      </w:pPr>
      <w:r>
        <w:tab/>
        <w:t>(4)</w:t>
      </w:r>
      <w:r>
        <w:tab/>
        <w:t>If the Board asks the Treasurer to extend the 7 day period under subsection (3), the Treasurer must decide whether or not to agree to the request and notify the Board of that decision before the 7 day period has expired.</w:t>
      </w:r>
    </w:p>
    <w:p>
      <w:pPr>
        <w:pStyle w:val="Subsection"/>
      </w:pPr>
      <w:r>
        <w:tab/>
        <w:t>(5)</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p>
    <w:p>
      <w:pPr>
        <w:pStyle w:val="Subsection"/>
      </w:pPr>
      <w:r>
        <w:tab/>
        <w:t>(6)</w:t>
      </w:r>
      <w:r>
        <w:tab/>
        <w:t xml:space="preserve">Despite the </w:t>
      </w:r>
      <w:r>
        <w:rPr>
          <w:i/>
          <w:iCs/>
        </w:rPr>
        <w:t>Statutory Corporations (Liability of Directors) Act 1996</w:t>
      </w:r>
      <w:r>
        <w:t xml:space="preserve"> section 17(4), the Treasurer may, when confirming a direction under that section, extend the time for the direction to become effective and is to notify the Board of the extension.</w:t>
      </w:r>
    </w:p>
    <w:p>
      <w:pPr>
        <w:pStyle w:val="Subsection"/>
      </w:pPr>
      <w:r>
        <w:lastRenderedPageBreak/>
        <w:tab/>
        <w:t>(7)</w:t>
      </w:r>
      <w:r>
        <w:tab/>
        <w:t>The Treasurer must cause a copy of a direction to be laid before each House of Parliament or dealt with under section 36A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(8)</w:t>
      </w:r>
      <w:r>
        <w:tab/>
        <w:t xml:space="preserve">The text of a direction is to be included in the annual report submitted by the accountable authority of the Board under the </w:t>
      </w:r>
      <w:r>
        <w:rPr>
          <w:i/>
          <w:iCs/>
        </w:rPr>
        <w:t>Financial Management Act 2006</w:t>
      </w:r>
      <w:r>
        <w:t xml:space="preserve"> Part 5.</w:t>
      </w:r>
    </w:p>
    <w:p>
      <w:pPr>
        <w:pStyle w:val="Footnotesection"/>
      </w:pPr>
      <w:r>
        <w:tab/>
        <w:t>[Section 35 amended: No. 77 of 2006 Sch. 1 cl. 160(2); No. 25 of 2007 s. 13; No. 35 of 2011 s. 24 and 31.]</w:t>
      </w:r>
    </w:p>
    <w:p>
      <w:pPr>
        <w:pStyle w:val="Heading5"/>
      </w:pPr>
      <w:bookmarkStart w:id="72" w:name="_Toc195259756"/>
      <w:r>
        <w:rPr>
          <w:rStyle w:val="CharSectno"/>
        </w:rPr>
        <w:t>36A</w:t>
      </w:r>
      <w:r>
        <w:t>.</w:t>
      </w:r>
      <w:r>
        <w:tab/>
        <w:t>Laying documents before Parliament, procedure for if House not sitting etc.</w:t>
      </w:r>
      <w:bookmarkEnd w:id="72"/>
    </w:p>
    <w:p>
      <w:pPr>
        <w:pStyle w:val="Subsection"/>
      </w:pPr>
      <w:r>
        <w:tab/>
        <w:t>(1)</w:t>
      </w:r>
      <w:r>
        <w:tab/>
        <w:t>If a provision of this Act requires a person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person is of the opinion that the House will not sit during that period,</w:t>
      </w:r>
    </w:p>
    <w:p>
      <w:pPr>
        <w:pStyle w:val="Subsection"/>
      </w:pPr>
      <w:r>
        <w:tab/>
      </w:r>
      <w:r>
        <w:tab/>
        <w:t>the person must transmit a copy of the document to the Clerk of that House.</w:t>
      </w:r>
    </w:p>
    <w:p>
      <w:pPr>
        <w:pStyle w:val="Subsection"/>
      </w:pPr>
      <w:r>
        <w:tab/>
        <w:t>(2)</w:t>
      </w:r>
      <w:r>
        <w:tab/>
        <w:t>A copy of a direction transmitted to the Clerk of a House is to be taken to have been laid before that House.</w:t>
      </w:r>
    </w:p>
    <w:p>
      <w:pPr>
        <w:pStyle w:val="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Footnotesection"/>
      </w:pPr>
      <w:r>
        <w:tab/>
        <w:t>[Section 36A inserted: No. 35 of 2011 s. 25.]</w:t>
      </w:r>
    </w:p>
    <w:p>
      <w:pPr>
        <w:pStyle w:val="Heading5"/>
        <w:keepLines w:val="0"/>
        <w:rPr>
          <w:snapToGrid w:val="0"/>
        </w:rPr>
      </w:pPr>
      <w:bookmarkStart w:id="73" w:name="_Toc195259757"/>
      <w:r>
        <w:rPr>
          <w:rStyle w:val="CharSectno"/>
        </w:rPr>
        <w:lastRenderedPageBreak/>
        <w:t>36</w:t>
      </w:r>
      <w:r>
        <w:rPr>
          <w:snapToGrid w:val="0"/>
        </w:rPr>
        <w:t>.</w:t>
      </w:r>
      <w:r>
        <w:rPr>
          <w:snapToGrid w:val="0"/>
        </w:rPr>
        <w:tab/>
      </w:r>
      <w:r>
        <w:rPr>
          <w:szCs w:val="24"/>
        </w:rPr>
        <w:t>Treasurer</w:t>
      </w:r>
      <w:r>
        <w:rPr>
          <w:snapToGrid w:val="0"/>
          <w:szCs w:val="24"/>
        </w:rPr>
        <w:t xml:space="preserve"> to have</w:t>
      </w:r>
      <w:r>
        <w:rPr>
          <w:snapToGrid w:val="0"/>
        </w:rPr>
        <w:t xml:space="preserve"> access to information</w:t>
      </w:r>
      <w:bookmarkEnd w:id="73"/>
      <w:r>
        <w:rPr>
          <w:snapToGrid w:val="0"/>
        </w:rPr>
        <w:t xml:space="preserve"> </w:t>
      </w:r>
    </w:p>
    <w:p>
      <w:pPr>
        <w:pStyle w:val="Subsection"/>
        <w:rPr>
          <w:snapToGrid w:val="0"/>
        </w:rPr>
      </w:pPr>
      <w:r>
        <w:rPr>
          <w:snapToGrid w:val="0"/>
        </w:rPr>
        <w:tab/>
        <w:t>(1)</w:t>
      </w:r>
      <w:r>
        <w:rPr>
          <w:snapToGrid w:val="0"/>
        </w:rPr>
        <w:tab/>
        <w:t xml:space="preserve">For parliamentary purposes or for the proper conduct of the </w:t>
      </w:r>
      <w:r>
        <w:t>Treasurer’s</w:t>
      </w:r>
      <w:r>
        <w:rPr>
          <w:snapToGrid w:val="0"/>
        </w:rPr>
        <w:t xml:space="preserve"> public business, the </w:t>
      </w:r>
      <w:r>
        <w:rPr>
          <w:szCs w:val="24"/>
        </w:rPr>
        <w:t>Treasurer</w:t>
      </w:r>
      <w:r>
        <w:rPr>
          <w:snapToGrid w:val="0"/>
        </w:rPr>
        <w:t xml:space="preserve">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 xml:space="preserve">For the purposes of subsection (1) the </w:t>
      </w:r>
      <w:r>
        <w:rPr>
          <w:szCs w:val="24"/>
        </w:rPr>
        <w:t>Treasurer</w:t>
      </w:r>
      <w:r>
        <w:rPr>
          <w:snapToGrid w:val="0"/>
        </w:rPr>
        <w:t xml:space="preserve"> may, in writing, request the Board to — </w:t>
      </w:r>
    </w:p>
    <w:p>
      <w:pPr>
        <w:pStyle w:val="Indenta"/>
        <w:rPr>
          <w:snapToGrid w:val="0"/>
        </w:rPr>
      </w:pPr>
      <w:r>
        <w:rPr>
          <w:snapToGrid w:val="0"/>
        </w:rPr>
        <w:tab/>
        <w:t>(a)</w:t>
      </w:r>
      <w:r>
        <w:rPr>
          <w:snapToGrid w:val="0"/>
        </w:rPr>
        <w:tab/>
        <w:t xml:space="preserve">give the </w:t>
      </w:r>
      <w:r>
        <w:rPr>
          <w:szCs w:val="24"/>
        </w:rPr>
        <w:t>Treasurer</w:t>
      </w:r>
      <w:r>
        <w:rPr>
          <w:snapToGrid w:val="0"/>
        </w:rPr>
        <w:t xml:space="preserve"> information or access to information; and </w:t>
      </w:r>
    </w:p>
    <w:p>
      <w:pPr>
        <w:pStyle w:val="Indenta"/>
        <w:keepNext/>
        <w:rPr>
          <w:snapToGrid w:val="0"/>
        </w:rPr>
      </w:pPr>
      <w:r>
        <w:rPr>
          <w:snapToGrid w:val="0"/>
        </w:rPr>
        <w:tab/>
        <w:t>(b)</w:t>
      </w:r>
      <w:r>
        <w:rPr>
          <w:snapToGrid w:val="0"/>
        </w:rPr>
        <w:tab/>
        <w:t xml:space="preserve">make its staff and facilities available to enable the </w:t>
      </w:r>
      <w:r>
        <w:rPr>
          <w:szCs w:val="24"/>
        </w:rPr>
        <w:t>Treasurer</w:t>
      </w:r>
      <w:r>
        <w:rPr>
          <w:snapToGrid w:val="0"/>
        </w:rPr>
        <w:t xml:space="preserve"> to access information, </w:t>
      </w:r>
    </w:p>
    <w:p>
      <w:pPr>
        <w:pStyle w:val="Subsection"/>
        <w:rPr>
          <w:snapToGrid w:val="0"/>
        </w:rPr>
      </w:pPr>
      <w:r>
        <w:rPr>
          <w:snapToGrid w:val="0"/>
        </w:rPr>
        <w:tab/>
      </w:r>
      <w:r>
        <w:rPr>
          <w:snapToGrid w:val="0"/>
        </w:rPr>
        <w:tab/>
        <w:t>and the Board is to comply with that request.</w:t>
      </w:r>
    </w:p>
    <w:p>
      <w:pPr>
        <w:pStyle w:val="Subsection"/>
        <w:rPr>
          <w:snapToGrid w:val="0"/>
        </w:rPr>
      </w:pPr>
      <w:r>
        <w:rPr>
          <w:snapToGrid w:val="0"/>
        </w:rPr>
        <w:tab/>
        <w:t>(3)</w:t>
      </w:r>
      <w:r>
        <w:rPr>
          <w:snapToGrid w:val="0"/>
        </w:rPr>
        <w:tab/>
        <w:t xml:space="preserve">This section does not entitle the </w:t>
      </w:r>
      <w:r>
        <w:rPr>
          <w:szCs w:val="24"/>
        </w:rPr>
        <w:t>Treasurer</w:t>
      </w:r>
      <w:r>
        <w:rPr>
          <w:snapToGrid w:val="0"/>
        </w:rPr>
        <w:t xml:space="preserve">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spacing w:before="140"/>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authorised by the beneficiary; or</w:t>
      </w:r>
    </w:p>
    <w:p>
      <w:pPr>
        <w:pStyle w:val="Indenta"/>
      </w:pPr>
      <w:r>
        <w:tab/>
        <w:t>(d)</w:t>
      </w:r>
      <w:r>
        <w:tab/>
        <w:t>authorised or required by a written law.</w:t>
      </w:r>
    </w:p>
    <w:p>
      <w:pPr>
        <w:pStyle w:val="Subsection"/>
        <w:keepNext/>
        <w:rPr>
          <w:snapToGrid w:val="0"/>
        </w:rPr>
      </w:pPr>
      <w:r>
        <w:rPr>
          <w:snapToGrid w:val="0"/>
        </w:rPr>
        <w:tab/>
        <w:t>(4)</w:t>
      </w:r>
      <w:r>
        <w:rPr>
          <w:snapToGrid w:val="0"/>
        </w:rPr>
        <w:tab/>
        <w:t>In this section — </w:t>
      </w:r>
    </w:p>
    <w:p>
      <w:pPr>
        <w:pStyle w:val="Defstart"/>
      </w:pPr>
      <w:r>
        <w:tab/>
      </w:r>
      <w:r>
        <w:rPr>
          <w:rStyle w:val="CharDefText"/>
        </w:rPr>
        <w:t>beneficiary</w:t>
      </w:r>
      <w:r>
        <w:t xml:space="preserve"> means —</w:t>
      </w:r>
    </w:p>
    <w:p>
      <w:pPr>
        <w:pStyle w:val="Defpara"/>
      </w:pPr>
      <w:r>
        <w:tab/>
        <w:t>(a)</w:t>
      </w:r>
      <w:r>
        <w:tab/>
        <w:t>a Member; or</w:t>
      </w:r>
    </w:p>
    <w:p>
      <w:pPr>
        <w:pStyle w:val="Defpara"/>
      </w:pPr>
      <w:r>
        <w:tab/>
        <w:t>(b)</w:t>
      </w:r>
      <w:r>
        <w:tab/>
        <w:t>a former Member; or</w:t>
      </w:r>
    </w:p>
    <w:p>
      <w:pPr>
        <w:pStyle w:val="Defpara"/>
        <w:keepNext/>
      </w:pPr>
      <w:r>
        <w:lastRenderedPageBreak/>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rStyle w:val="CharDefText"/>
        </w:rPr>
        <w:t>document</w:t>
      </w:r>
      <w:r>
        <w:t xml:space="preserve"> includes any tape, disc or other device or medium on which data is recorded or stored mechanically, photographically, electronically or otherwise;</w:t>
      </w:r>
    </w:p>
    <w:p>
      <w:pPr>
        <w:pStyle w:val="Defstart"/>
      </w:pPr>
      <w:r>
        <w:tab/>
      </w:r>
      <w:r>
        <w:rPr>
          <w:rStyle w:val="CharDefText"/>
        </w:rPr>
        <w:t>information</w:t>
      </w:r>
      <w:r>
        <w:t xml:space="preserve"> means information specified, or of a description specified, by the </w:t>
      </w:r>
      <w:r>
        <w:rPr>
          <w:szCs w:val="24"/>
        </w:rPr>
        <w:t>Treasurer</w:t>
      </w:r>
      <w:r>
        <w:t xml:space="preserve"> that relates to the functions or powers of the Board;</w:t>
      </w:r>
    </w:p>
    <w:p>
      <w:pPr>
        <w:pStyle w:val="Defstart"/>
      </w:pPr>
      <w:r>
        <w:tab/>
      </w:r>
      <w:r>
        <w:rPr>
          <w:rStyle w:val="CharDefText"/>
        </w:rPr>
        <w:t>parliamentary purposes</w:t>
      </w:r>
      <w:r>
        <w:t xml:space="preserve"> means the purpose of — </w:t>
      </w:r>
    </w:p>
    <w:p>
      <w:pPr>
        <w:pStyle w:val="Defpara"/>
        <w:spacing w:before="60"/>
      </w:pPr>
      <w:r>
        <w:tab/>
        <w:t>(a)</w:t>
      </w:r>
      <w:r>
        <w:tab/>
        <w:t>answering a question asked in a House of Parliament; or</w:t>
      </w:r>
    </w:p>
    <w:p>
      <w:pPr>
        <w:pStyle w:val="Defpara"/>
        <w:spacing w:before="60"/>
      </w:pPr>
      <w:r>
        <w:tab/>
        <w:t>(b)</w:t>
      </w:r>
      <w:r>
        <w:tab/>
        <w:t xml:space="preserve">complying with a written law, or an order or resolution of a House of Parliament, that requires information to be furnished to a House of Parliament. </w:t>
      </w:r>
    </w:p>
    <w:p>
      <w:pPr>
        <w:pStyle w:val="Footnotesection"/>
      </w:pPr>
      <w:r>
        <w:tab/>
        <w:t>[Section 36 amended: No. 18 of 2006 s. 13; No. 25 of 2007 s. 19(2); No. 35 of 2011 s. 31 and 36.]</w:t>
      </w:r>
    </w:p>
    <w:p>
      <w:pPr>
        <w:pStyle w:val="Heading5"/>
        <w:rPr>
          <w:snapToGrid w:val="0"/>
        </w:rPr>
      </w:pPr>
      <w:bookmarkStart w:id="74" w:name="_Toc184390308"/>
      <w:bookmarkStart w:id="75" w:name="_Toc195259758"/>
      <w:r>
        <w:rPr>
          <w:rStyle w:val="CharSectno"/>
        </w:rPr>
        <w:t>37</w:t>
      </w:r>
      <w:r>
        <w:rPr>
          <w:snapToGrid w:val="0"/>
        </w:rPr>
        <w:t>.</w:t>
      </w:r>
      <w:r>
        <w:rPr>
          <w:snapToGrid w:val="0"/>
        </w:rPr>
        <w:tab/>
        <w:t>Superannuation contributions made by non</w:t>
      </w:r>
      <w:r>
        <w:rPr>
          <w:snapToGrid w:val="0"/>
        </w:rPr>
        <w:noBreakHyphen/>
        <w:t>government contributors</w:t>
      </w:r>
      <w:bookmarkEnd w:id="74"/>
      <w:bookmarkEnd w:id="75"/>
    </w:p>
    <w:p>
      <w:pPr>
        <w:pStyle w:val="Subsection"/>
      </w:pPr>
      <w:r>
        <w:rPr>
          <w:snapToGrid w:val="0"/>
        </w:rPr>
        <w:tab/>
        <w:t>(1)</w:t>
      </w:r>
      <w:r>
        <w:rPr>
          <w:snapToGrid w:val="0"/>
        </w:rPr>
        <w:tab/>
        <w:t xml:space="preserve">In this section — </w:t>
      </w:r>
    </w:p>
    <w:p>
      <w:pPr>
        <w:pStyle w:val="Defstart"/>
      </w:pPr>
      <w:r>
        <w:tab/>
      </w:r>
      <w:r>
        <w:rPr>
          <w:rStyle w:val="CharDefText"/>
        </w:rPr>
        <w:t>employee</w:t>
      </w:r>
      <w:r>
        <w:t xml:space="preserve"> has the meaning given in the SGA Act section 12;</w:t>
      </w:r>
    </w:p>
    <w:p>
      <w:pPr>
        <w:pStyle w:val="Defstart"/>
      </w:pPr>
      <w:r>
        <w:tab/>
      </w:r>
      <w:r>
        <w:rPr>
          <w:rStyle w:val="CharDefText"/>
        </w:rPr>
        <w:t>non</w:t>
      </w:r>
      <w:r>
        <w:rPr>
          <w:rStyle w:val="CharDefText"/>
        </w:rPr>
        <w:noBreakHyphen/>
        <w:t>government contributor</w:t>
      </w:r>
      <w:r>
        <w:t xml:space="preserve"> means a person, other than an Employer, who makes a superannuation contribution for the benefit of an employee of the person.</w:t>
      </w:r>
    </w:p>
    <w:p>
      <w:pPr>
        <w:pStyle w:val="Subsection"/>
      </w:pPr>
      <w:r>
        <w:tab/>
        <w:t>(2)</w:t>
      </w:r>
      <w:r>
        <w:tab/>
        <w:t>The Board may, with the written approval of the Treasurer —</w:t>
      </w:r>
    </w:p>
    <w:p>
      <w:pPr>
        <w:pStyle w:val="Indenta"/>
      </w:pPr>
      <w:r>
        <w:tab/>
        <w:t>(a)</w:t>
      </w:r>
      <w:r>
        <w:tab/>
        <w:t>provide a service of receiving superannuation contributions that are made by non</w:t>
      </w:r>
      <w:r>
        <w:noBreakHyphen/>
        <w:t xml:space="preserve">government contributors; and </w:t>
      </w:r>
    </w:p>
    <w:p>
      <w:pPr>
        <w:pStyle w:val="Indenta"/>
      </w:pPr>
      <w:r>
        <w:tab/>
        <w:t>(b)</w:t>
      </w:r>
      <w:r>
        <w:tab/>
        <w:t xml:space="preserve">credit the superannuation contributions to the Fund. </w:t>
      </w:r>
    </w:p>
    <w:p>
      <w:pPr>
        <w:pStyle w:val="Subsection"/>
      </w:pPr>
      <w:r>
        <w:lastRenderedPageBreak/>
        <w:tab/>
        <w:t>(3)</w:t>
      </w:r>
      <w:r>
        <w:tab/>
        <w:t>The Treasurer’s approval may be of a general nature or limited to a particular non</w:t>
      </w:r>
      <w:r>
        <w:noBreakHyphen/>
        <w:t>government contributor or class of non</w:t>
      </w:r>
      <w:r>
        <w:noBreakHyphen/>
        <w:t>government contributors.</w:t>
      </w:r>
    </w:p>
    <w:p>
      <w:pPr>
        <w:pStyle w:val="Subsection"/>
      </w:pPr>
      <w:r>
        <w:tab/>
        <w:t>(4)</w:t>
      </w:r>
      <w:r>
        <w:tab/>
        <w:t>The Board may accept a superannuation contribution made by a non</w:t>
      </w:r>
      <w:r>
        <w:noBreakHyphen/>
        <w:t>government contributor only if the contribution is made for the benefit of an employee of the non</w:t>
      </w:r>
      <w:r>
        <w:noBreakHyphen/>
        <w:t>government contributor who is a member of a scheme.</w:t>
      </w:r>
    </w:p>
    <w:p>
      <w:pPr>
        <w:pStyle w:val="Subsection"/>
      </w:pPr>
      <w:r>
        <w:tab/>
        <w:t>(5)</w:t>
      </w:r>
      <w:r>
        <w:tab/>
        <w:t>The Board must not credit a superannuation contribution made by a non</w:t>
      </w:r>
      <w:r>
        <w:noBreakHyphen/>
        <w:t>government contributor to an account that is kept for a scheme continued by section 29.</w:t>
      </w:r>
    </w:p>
    <w:p>
      <w:pPr>
        <w:pStyle w:val="Ednotesection"/>
      </w:pPr>
      <w:r>
        <w:tab/>
        <w:t>[Section 37 inserted: No. 50 of 2024 s. 17.]</w:t>
      </w:r>
    </w:p>
    <w:p>
      <w:pPr>
        <w:pStyle w:val="Heading5"/>
        <w:keepLines w:val="0"/>
      </w:pPr>
      <w:bookmarkStart w:id="76" w:name="_Toc195259759"/>
      <w:r>
        <w:rPr>
          <w:rStyle w:val="CharSectno"/>
        </w:rPr>
        <w:t>38</w:t>
      </w:r>
      <w:r>
        <w:rPr>
          <w:snapToGrid w:val="0"/>
        </w:rPr>
        <w:t>.</w:t>
      </w:r>
      <w:r>
        <w:rPr>
          <w:snapToGrid w:val="0"/>
        </w:rPr>
        <w:tab/>
        <w:t>Regulations</w:t>
      </w:r>
      <w:bookmarkEnd w:id="76"/>
    </w:p>
    <w:p>
      <w:pPr>
        <w:pStyle w:val="Subsection"/>
      </w:pPr>
      <w:r>
        <w:tab/>
        <w:t>(1)</w:t>
      </w:r>
      <w:r>
        <w:tab/>
        <w:t xml:space="preserve">Subject to subsections (3) to (8), the Governor may make regulations prescribing all matters that are required or permitted by this Act or the </w:t>
      </w:r>
      <w:r>
        <w:rPr>
          <w:i/>
          <w:iCs/>
        </w:rPr>
        <w:t xml:space="preserve">State Superannuation (Transitional and Consequential Provisions) Act 2000 </w:t>
      </w:r>
      <w:r>
        <w:t>section 26 to be prescribed, or are necessary or convenient to be prescribed for giving effect to the purposes of this Act.</w:t>
      </w:r>
    </w:p>
    <w:p>
      <w:pPr>
        <w:pStyle w:val="Subsection"/>
        <w:rPr>
          <w:snapToGrid w:val="0"/>
        </w:rPr>
      </w:pPr>
      <w:r>
        <w:tab/>
        <w:t>(2)</w:t>
      </w:r>
      <w:r>
        <w:tab/>
        <w:t xml:space="preserve">Without limiting the generality of subsection (1), regulations may be made under subsection (1)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tab/>
        <w:t>(c)</w:t>
      </w:r>
      <w:r>
        <w:tab/>
        <w:t>contributions and transfers of money to the Fund and other funding of the Fund; and</w:t>
      </w:r>
    </w:p>
    <w:p>
      <w:pPr>
        <w:pStyle w:val="Indenta"/>
      </w:pPr>
      <w:r>
        <w:tab/>
        <w:t>(ca)</w:t>
      </w:r>
      <w:r>
        <w:tab/>
        <w:t>contributions by non</w:t>
      </w:r>
      <w:r>
        <w:noBreakHyphen/>
        <w:t>government contributors; and</w:t>
      </w:r>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lastRenderedPageBreak/>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under subsection (1) if they reduce the amount of a benefit that —</w:t>
      </w:r>
    </w:p>
    <w:p>
      <w:pPr>
        <w:pStyle w:val="Indenta"/>
      </w:pPr>
      <w:r>
        <w:tab/>
        <w:t>(a)</w:t>
      </w:r>
      <w:r>
        <w:tab/>
        <w:t>accrued or became payable before the regulations came into operation; or</w:t>
      </w:r>
    </w:p>
    <w:p>
      <w:pPr>
        <w:pStyle w:val="Indenta"/>
      </w:pPr>
      <w:r>
        <w:tab/>
        <w:t>(b)</w:t>
      </w:r>
      <w:r>
        <w:tab/>
        <w:t>is, or may become, payable in relation to a period before the regulations came into operation.</w:t>
      </w:r>
    </w:p>
    <w:p>
      <w:pPr>
        <w:pStyle w:val="Subsection"/>
      </w:pPr>
      <w:r>
        <w:tab/>
        <w:t>(4)</w:t>
      </w:r>
      <w:r>
        <w:tab/>
        <w:t>Subsection (3) does not apply if —</w:t>
      </w:r>
    </w:p>
    <w:p>
      <w:pPr>
        <w:pStyle w:val="Indenta"/>
      </w:pPr>
      <w:r>
        <w:tab/>
        <w:t>(a)</w:t>
      </w:r>
      <w:r>
        <w:tab/>
        <w:t>the Treasurer has certified that the Treasurer is satisfied that the change to be made by the regulations is a change that, if each scheme affected by the regulations were a regulated superannuation fund, would be required or permitted under Commonwealth legislation; or</w:t>
      </w:r>
    </w:p>
    <w:p>
      <w:pPr>
        <w:pStyle w:val="Indenta"/>
      </w:pPr>
      <w:r>
        <w:tab/>
        <w:t>(b)</w:t>
      </w:r>
      <w:r>
        <w:tab/>
        <w:t>the reduction would apply only in respect of Members who agree with the Board that the reduction is to apply in relation to them.</w:t>
      </w:r>
    </w:p>
    <w:p>
      <w:pPr>
        <w:pStyle w:val="Subsection"/>
      </w:pPr>
      <w:r>
        <w:tab/>
        <w:t>(5A)</w:t>
      </w:r>
      <w:r>
        <w:tab/>
        <w:t>Regulations cannot be made under subsection (1) in relation to the superannuation schemes continued by section 29(1)(a), (b) or (c) unless —</w:t>
      </w:r>
    </w:p>
    <w:p>
      <w:pPr>
        <w:pStyle w:val="Indenta"/>
      </w:pPr>
      <w:r>
        <w:tab/>
        <w:t>(a)</w:t>
      </w:r>
      <w:r>
        <w:tab/>
        <w:t>the Treasurer has certified that the Treasurer is satisfied that the change to be made by the regulations is a change that, if each scheme affected by the regulations were a regulated superannuation fund, would be required or permitted under Commonwealth legislation; or</w:t>
      </w:r>
    </w:p>
    <w:p>
      <w:pPr>
        <w:pStyle w:val="Indenta"/>
      </w:pPr>
      <w:r>
        <w:lastRenderedPageBreak/>
        <w:tab/>
        <w:t>(b)</w:t>
      </w:r>
      <w:r>
        <w:tab/>
        <w:t>an actuary appointed by the Board has certified that the proposed regulations will not reduce, or have the same effect as reducing —</w:t>
      </w:r>
    </w:p>
    <w:p>
      <w:pPr>
        <w:pStyle w:val="Indenti"/>
      </w:pPr>
      <w:r>
        <w:tab/>
        <w:t>(i)</w:t>
      </w:r>
      <w:r>
        <w:tab/>
        <w:t>in the case of a scheme continued by section 29(1)(a) or (b), the multiplying factor for any relevant benefit; or</w:t>
      </w:r>
    </w:p>
    <w:p>
      <w:pPr>
        <w:pStyle w:val="Indenti"/>
      </w:pPr>
      <w:r>
        <w:tab/>
        <w:t>(ii)</w:t>
      </w:r>
      <w:r>
        <w:tab/>
        <w:t>in the case of the scheme continued by section 29(1)(c), the pension value factor for any Member of that scheme,</w:t>
      </w:r>
    </w:p>
    <w:p>
      <w:pPr>
        <w:pStyle w:val="Indenta"/>
      </w:pPr>
      <w:r>
        <w:tab/>
      </w:r>
      <w:r>
        <w:tab/>
        <w:t>to less than it was immediately before 17 February 2001; or</w:t>
      </w:r>
    </w:p>
    <w:p>
      <w:pPr>
        <w:pStyle w:val="Indenta"/>
      </w:pPr>
      <w:r>
        <w:tab/>
        <w:t>(c)</w:t>
      </w:r>
      <w:r>
        <w:tab/>
        <w:t>any reduction of the kind referred to in paragraph (b) will apply only in respect of Members who have agreed with the Board that the reduction is to apply in the calculation of their benefit.</w:t>
      </w:r>
    </w:p>
    <w:p>
      <w:pPr>
        <w:pStyle w:val="Subsection"/>
      </w:pPr>
      <w:r>
        <w:tab/>
        <w:t>(5B)</w:t>
      </w:r>
      <w:r>
        <w:tab/>
        <w:t>In subsection (5A) and in this subsection —</w:t>
      </w:r>
    </w:p>
    <w:p>
      <w:pPr>
        <w:pStyle w:val="Defstart"/>
      </w:pPr>
      <w:r>
        <w:tab/>
      </w:r>
      <w:r>
        <w:rPr>
          <w:rStyle w:val="CharDefText"/>
        </w:rPr>
        <w:t>multiplying factor</w:t>
      </w:r>
      <w:r>
        <w:t>, in relation to a relevant benefit, means the components of the benefit formula by which the Member’s salary is to be multiplied in order to calculate the benefit;</w:t>
      </w:r>
    </w:p>
    <w:p>
      <w:pPr>
        <w:pStyle w:val="Defstart"/>
      </w:pPr>
      <w:r>
        <w:tab/>
      </w:r>
      <w:r>
        <w:rPr>
          <w:rStyle w:val="CharDefText"/>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rStyle w:val="CharDefText"/>
        </w:rPr>
        <w:t>relevant benefit</w:t>
      </w:r>
      <w:r>
        <w:t xml:space="preserve"> means a benefit, or part of a benefit, the amount of which was, immediately before 17 February 2001, calculated as a multiple of a Member’s salary.</w:t>
      </w:r>
    </w:p>
    <w:p>
      <w:pPr>
        <w:pStyle w:val="Ednotesubsection"/>
      </w:pPr>
      <w:r>
        <w:tab/>
        <w:t>[(5C)</w:t>
      </w:r>
      <w:r>
        <w:noBreakHyphen/>
        <w:t>(5F)</w:t>
      </w:r>
      <w:r>
        <w:tab/>
        <w:t>deleted]</w:t>
      </w:r>
    </w:p>
    <w:p>
      <w:pPr>
        <w:pStyle w:val="Subsection"/>
        <w:keepNext/>
        <w:keepLines/>
      </w:pPr>
      <w:r>
        <w:lastRenderedPageBreak/>
        <w:tab/>
        <w:t>(5)</w:t>
      </w:r>
      <w:r>
        <w:tab/>
        <w:t>Regulations cannot be made under subsection (1), unless they have been approved by the Treasurer, if they —</w:t>
      </w:r>
    </w:p>
    <w:p>
      <w:pPr>
        <w:pStyle w:val="Indenta"/>
        <w:keepNext/>
      </w:pPr>
      <w:r>
        <w:tab/>
        <w:t>(a)</w:t>
      </w:r>
      <w:r>
        <w:tab/>
        <w:t xml:space="preserve">will or may affect the financial rights or obligations of the Crown under this Act and the value of that effect will or may exceed the prescribed amount; or </w:t>
      </w:r>
    </w:p>
    <w:p>
      <w:pPr>
        <w:pStyle w:val="Indenta"/>
        <w:keepNext/>
      </w:pPr>
      <w:r>
        <w:tab/>
        <w:t>(b)</w:t>
      </w:r>
      <w:r>
        <w:tab/>
        <w:t>relate to a matter referred to in subsection (2)(j).</w:t>
      </w:r>
    </w:p>
    <w:p>
      <w:pPr>
        <w:pStyle w:val="Ednotesubsection"/>
      </w:pPr>
      <w:r>
        <w:tab/>
        <w:t>[(6A)</w:t>
      </w:r>
      <w:r>
        <w:tab/>
        <w:t>deleted]</w:t>
      </w:r>
    </w:p>
    <w:p>
      <w:pPr>
        <w:pStyle w:val="Subsection"/>
      </w:pPr>
      <w:r>
        <w:tab/>
        <w:t>(6)</w:t>
      </w:r>
      <w:r>
        <w:tab/>
        <w:t xml:space="preserve">Regulations that prescribe an authority, body or person for the purposes of the definition of </w:t>
      </w:r>
      <w:r>
        <w:rPr>
          <w:b/>
          <w:bCs/>
          <w:i/>
          <w:iCs/>
        </w:rPr>
        <w:t>Employer</w:t>
      </w:r>
      <w:r>
        <w:t xml:space="preserve"> in section 3 may specify as the day on which they come into operation a day that is earlier than the day on which they are published in accordance with the </w:t>
      </w:r>
      <w:r>
        <w:rPr>
          <w:i/>
        </w:rPr>
        <w:t xml:space="preserve">Interpretation Act 1984 </w:t>
      </w:r>
      <w:r>
        <w:t>section 41(1)(a)</w:t>
      </w:r>
      <w:r>
        <w:rPr>
          <w:iCs/>
        </w:rPr>
        <w:t>.</w:t>
      </w:r>
    </w:p>
    <w:p>
      <w:pPr>
        <w:pStyle w:val="Subsection"/>
      </w:pPr>
      <w:r>
        <w:tab/>
        <w:t>(7)</w:t>
      </w:r>
      <w:r>
        <w:tab/>
        <w:t>Regulations of the kind referred to in subsection (6) cannot be made if they will or may affect a person, except the Crown or an Employer, by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Subsection"/>
      </w:pPr>
      <w:r>
        <w:rPr>
          <w:snapToGrid w:val="0"/>
        </w:rPr>
        <w:tab/>
        <w:t>(8)</w:t>
      </w:r>
      <w:r>
        <w:rPr>
          <w:snapToGrid w:val="0"/>
        </w:rPr>
        <w:tab/>
        <w:t xml:space="preserve">Regulations prescribing an amount for the purposes of subsection (5)(a) may </w:t>
      </w:r>
      <w:r>
        <w:t>prescribe an amount or a method of determining an amount.</w:t>
      </w:r>
    </w:p>
    <w:p>
      <w:pPr>
        <w:pStyle w:val="Ednotesubsection"/>
      </w:pPr>
      <w:r>
        <w:tab/>
        <w:t>[(9)</w:t>
      </w:r>
      <w:r>
        <w:tab/>
        <w:t>deleted]</w:t>
      </w:r>
    </w:p>
    <w:p>
      <w:pPr>
        <w:pStyle w:val="Footnotesection"/>
      </w:pPr>
      <w:r>
        <w:tab/>
        <w:t>[Section 38 amended: No. 55 of 2004 s. 1105; No. 18 of 2006 s. 14; No. 25 of 2007 s. 14; No. 35 of 2011 s. 26; No. 22 of 2014 s. 7; No. 50 of 2024 s. 18.]</w:t>
      </w:r>
    </w:p>
    <w:p>
      <w:pPr>
        <w:pStyle w:val="Heading5"/>
        <w:keepLines w:val="0"/>
      </w:pPr>
      <w:bookmarkStart w:id="77" w:name="_Toc195259760"/>
      <w:r>
        <w:rPr>
          <w:rStyle w:val="CharSectno"/>
        </w:rPr>
        <w:t>39</w:t>
      </w:r>
      <w:r>
        <w:t>.</w:t>
      </w:r>
      <w:r>
        <w:tab/>
        <w:t>Repeals</w:t>
      </w:r>
      <w:bookmarkEnd w:id="77"/>
    </w:p>
    <w:p>
      <w:pPr>
        <w:pStyle w:val="Subsection"/>
      </w:pPr>
      <w:r>
        <w:tab/>
      </w:r>
      <w:r>
        <w:tab/>
        <w:t xml:space="preserve">The </w:t>
      </w:r>
      <w:r>
        <w:rPr>
          <w:i/>
        </w:rPr>
        <w:t>Government Employees Superannuation Act 1987</w:t>
      </w:r>
      <w:r>
        <w:rPr>
          <w:iCs/>
          <w:vertAlign w:val="superscript"/>
        </w:rPr>
        <w:t> 1</w:t>
      </w:r>
      <w:r>
        <w:rPr>
          <w:i/>
        </w:rPr>
        <w:t xml:space="preserve"> </w:t>
      </w:r>
      <w:r>
        <w:t xml:space="preserve">and the </w:t>
      </w:r>
      <w:r>
        <w:rPr>
          <w:i/>
        </w:rPr>
        <w:t>Superannuation and Family Benefits Act 1938</w:t>
      </w:r>
      <w:r>
        <w:t xml:space="preserve"> are repealed.</w:t>
      </w:r>
    </w:p>
    <w:p>
      <w:pPr>
        <w:pStyle w:val="Heading5"/>
      </w:pPr>
      <w:bookmarkStart w:id="78" w:name="_Toc195259761"/>
      <w:r>
        <w:rPr>
          <w:rStyle w:val="CharSectno"/>
        </w:rPr>
        <w:lastRenderedPageBreak/>
        <w:t>40</w:t>
      </w:r>
      <w:r>
        <w:t>.</w:t>
      </w:r>
      <w:r>
        <w:tab/>
      </w:r>
      <w:r>
        <w:rPr>
          <w:i/>
          <w:iCs/>
        </w:rPr>
        <w:t>Administration Act 1903</w:t>
      </w:r>
      <w:r>
        <w:rPr>
          <w:iCs/>
        </w:rPr>
        <w:t xml:space="preserve"> s. 10 affected by this Act</w:t>
      </w:r>
      <w:bookmarkEnd w:id="78"/>
    </w:p>
    <w:p>
      <w:pPr>
        <w:pStyle w:val="Subsection"/>
      </w:pPr>
      <w:r>
        <w:tab/>
      </w:r>
      <w:r>
        <w:tab/>
        <w:t xml:space="preserve">The provisions of this Act and the regulations made or applying under it that deal with the payment of benefits under a scheme prevail over section 10 of the </w:t>
      </w:r>
      <w:r>
        <w:rPr>
          <w:i/>
          <w:iCs/>
        </w:rPr>
        <w:t>Administration Act 1903</w:t>
      </w:r>
      <w:r>
        <w:t xml:space="preserve"> to the extent of any inconsistency.</w:t>
      </w:r>
    </w:p>
    <w:p>
      <w:pPr>
        <w:pStyle w:val="Footnotesection"/>
      </w:pPr>
      <w:r>
        <w:tab/>
        <w:t>[Section 40 inserted: No. 18 of 2006 s. 15; amended: No. 25 of 2007 s. 15; No. 35 of 2011 s. 27.]</w:t>
      </w:r>
    </w:p>
    <w:p>
      <w:pPr>
        <w:pStyle w:val="Heading2"/>
      </w:pPr>
      <w:bookmarkStart w:id="79" w:name="_Toc184390236"/>
      <w:bookmarkStart w:id="80" w:name="_Toc184390273"/>
      <w:bookmarkStart w:id="81" w:name="_Toc184390311"/>
      <w:bookmarkStart w:id="82" w:name="_Toc195194035"/>
      <w:bookmarkStart w:id="83" w:name="_Toc195196169"/>
      <w:bookmarkStart w:id="84" w:name="_Toc195259762"/>
      <w:r>
        <w:rPr>
          <w:rStyle w:val="CharPartNo"/>
        </w:rPr>
        <w:lastRenderedPageBreak/>
        <w:t>Part 7 </w:t>
      </w:r>
      <w:r>
        <w:t>—</w:t>
      </w:r>
      <w:r>
        <w:rPr>
          <w:rStyle w:val="CharPartText"/>
        </w:rPr>
        <w:t> Savings and transitional provisions</w:t>
      </w:r>
      <w:bookmarkEnd w:id="79"/>
      <w:bookmarkEnd w:id="80"/>
      <w:bookmarkEnd w:id="81"/>
      <w:bookmarkEnd w:id="82"/>
      <w:bookmarkEnd w:id="83"/>
      <w:bookmarkEnd w:id="84"/>
    </w:p>
    <w:p>
      <w:pPr>
        <w:pStyle w:val="Footnoteheading"/>
      </w:pPr>
      <w:bookmarkStart w:id="85" w:name="_Toc184390312"/>
      <w:r>
        <w:tab/>
        <w:t>[Heading inserted: No. 50 of 2024 s. 19.]</w:t>
      </w:r>
    </w:p>
    <w:p>
      <w:pPr>
        <w:pStyle w:val="Heading5"/>
      </w:pPr>
      <w:bookmarkStart w:id="86" w:name="_Toc195259763"/>
      <w:r>
        <w:rPr>
          <w:rStyle w:val="CharSectno"/>
        </w:rPr>
        <w:t>41</w:t>
      </w:r>
      <w:r>
        <w:t>.</w:t>
      </w:r>
      <w:r>
        <w:tab/>
        <w:t>Default fund for employee</w:t>
      </w:r>
      <w:bookmarkEnd w:id="85"/>
      <w:bookmarkEnd w:id="86"/>
      <w:r>
        <w:t xml:space="preserve"> </w:t>
      </w:r>
    </w:p>
    <w:p>
      <w:pPr>
        <w:pStyle w:val="Subsection"/>
      </w:pPr>
      <w:r>
        <w:tab/>
        <w:t>(1)</w:t>
      </w:r>
      <w:r>
        <w:tab/>
        <w:t xml:space="preserve">If, immediately before the day on which the </w:t>
      </w:r>
      <w:r>
        <w:rPr>
          <w:i/>
        </w:rPr>
        <w:t>State Superannuation Amendment Act 2024</w:t>
      </w:r>
      <w:r>
        <w:t xml:space="preserve"> section 15(1) comes into operation, superannuation contributions were being made by an Employer in relation to an employee to a superannuation fund or scheme in accordance with the approval of the Treasurer under section 30(2) —</w:t>
      </w:r>
    </w:p>
    <w:p>
      <w:pPr>
        <w:pStyle w:val="Indenta"/>
      </w:pPr>
      <w:r>
        <w:tab/>
        <w:t>(a)</w:t>
      </w:r>
      <w:r>
        <w:tab/>
        <w:t>the employee continues to be an exempt employee, for the purposes of Part 2A, in relation to that Employer; and</w:t>
      </w:r>
    </w:p>
    <w:p>
      <w:pPr>
        <w:pStyle w:val="Indenta"/>
      </w:pPr>
      <w:r>
        <w:tab/>
        <w:t>(b)</w:t>
      </w:r>
      <w:r>
        <w:tab/>
        <w:t>the fund or scheme to which the contributions were being made continues to be the default fund in relation to that exempt employee for the purposes of Part 2A.</w:t>
      </w:r>
    </w:p>
    <w:p>
      <w:pPr>
        <w:pStyle w:val="Subsection"/>
      </w:pPr>
      <w:r>
        <w:tab/>
        <w:t>(2)</w:t>
      </w:r>
      <w:r>
        <w:tab/>
        <w:t>Subsection (1) ceases to apply if the Treasurer revokes approval of the fund as the default fund for the employee.</w:t>
      </w:r>
    </w:p>
    <w:p>
      <w:pPr>
        <w:pStyle w:val="Footnotesection"/>
      </w:pPr>
      <w:bookmarkStart w:id="87" w:name="_Toc184390313"/>
      <w:r>
        <w:tab/>
        <w:t>[Section 41 inserted: No. 50 of 2024 s. 19.]</w:t>
      </w:r>
    </w:p>
    <w:p>
      <w:pPr>
        <w:pStyle w:val="Heading5"/>
      </w:pPr>
      <w:bookmarkStart w:id="88" w:name="_Toc195259764"/>
      <w:r>
        <w:rPr>
          <w:rStyle w:val="CharSectno"/>
        </w:rPr>
        <w:t>42</w:t>
      </w:r>
      <w:r>
        <w:t>.</w:t>
      </w:r>
      <w:r>
        <w:tab/>
        <w:t>Maximum period of service for directors</w:t>
      </w:r>
      <w:bookmarkEnd w:id="87"/>
      <w:bookmarkEnd w:id="88"/>
    </w:p>
    <w:p>
      <w:pPr>
        <w:pStyle w:val="Subsection"/>
      </w:pPr>
      <w:r>
        <w:tab/>
        <w:t>(1)</w:t>
      </w:r>
      <w:r>
        <w:tab/>
        <w:t xml:space="preserve">A term of office of a chairperson of the Board or an Employer director that commenced before the day on which the </w:t>
      </w:r>
      <w:r>
        <w:rPr>
          <w:i/>
        </w:rPr>
        <w:t>State Superannuation Amendment Act 2024</w:t>
      </w:r>
      <w:r>
        <w:t xml:space="preserve"> section 21(2) comes into operation does not count towards the maximum period of service of the chairperson or Employer director.</w:t>
      </w:r>
    </w:p>
    <w:p>
      <w:pPr>
        <w:pStyle w:val="Subsection"/>
      </w:pPr>
      <w:r>
        <w:tab/>
        <w:t>(2)</w:t>
      </w:r>
      <w:r>
        <w:tab/>
        <w:t xml:space="preserve">A term of office of an elected director that commenced before the day on which the </w:t>
      </w:r>
      <w:r>
        <w:rPr>
          <w:i/>
        </w:rPr>
        <w:t>State Superannuation Amendment Act 2024</w:t>
      </w:r>
      <w:r>
        <w:t xml:space="preserve"> section 22 comes into operation does not count towards the maximum period of service of the elected director.</w:t>
      </w:r>
    </w:p>
    <w:p>
      <w:pPr>
        <w:pStyle w:val="Footnotesection"/>
      </w:pPr>
      <w:bookmarkStart w:id="89" w:name="_Toc184390314"/>
      <w:r>
        <w:tab/>
        <w:t>[Section 42 inserted: No. 50 of 2024 s. 19.]</w:t>
      </w:r>
    </w:p>
    <w:p>
      <w:pPr>
        <w:pStyle w:val="Heading5"/>
      </w:pPr>
      <w:bookmarkStart w:id="90" w:name="_Toc195259765"/>
      <w:r>
        <w:rPr>
          <w:rStyle w:val="CharSectno"/>
        </w:rPr>
        <w:lastRenderedPageBreak/>
        <w:t>43</w:t>
      </w:r>
      <w:r>
        <w:t>.</w:t>
      </w:r>
      <w:r>
        <w:tab/>
        <w:t>Changes to regulation</w:t>
      </w:r>
      <w:r>
        <w:noBreakHyphen/>
        <w:t>making power</w:t>
      </w:r>
      <w:bookmarkEnd w:id="89"/>
      <w:bookmarkEnd w:id="90"/>
    </w:p>
    <w:p>
      <w:pPr>
        <w:pStyle w:val="Subsection"/>
      </w:pPr>
      <w:r>
        <w:tab/>
      </w:r>
      <w:r>
        <w:tab/>
        <w:t xml:space="preserve">The amendment of section 38 by the </w:t>
      </w:r>
      <w:r>
        <w:rPr>
          <w:i/>
        </w:rPr>
        <w:t>State Superannuation Amendment Act 2024</w:t>
      </w:r>
      <w:r>
        <w:t xml:space="preserve"> section 18 does not affect the validity of any regulation in effect immediately before section 18 comes into operation.</w:t>
      </w:r>
    </w:p>
    <w:p>
      <w:pPr>
        <w:pStyle w:val="Footnotesection"/>
      </w:pPr>
      <w:r>
        <w:tab/>
        <w:t>[Section 43 inserted: No. 50 of 2024 s. 19.]</w:t>
      </w:r>
    </w:p>
    <w:p>
      <w:pPr>
        <w:pStyle w:val="Ednotesection"/>
      </w:pPr>
      <w:r>
        <w:t>[</w:t>
      </w:r>
      <w:r>
        <w:rPr>
          <w:b/>
        </w:rPr>
        <w:t>44-79.</w:t>
      </w:r>
      <w:r>
        <w:tab/>
        <w:t>Deleted: No. 35 of 2011 s. 28.]</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ind w:left="285" w:right="256"/>
      </w:pPr>
      <w:bookmarkStart w:id="91" w:name="_Toc195190965"/>
      <w:bookmarkStart w:id="92" w:name="_Toc195194039"/>
      <w:bookmarkStart w:id="93" w:name="_Toc195196173"/>
      <w:bookmarkStart w:id="94" w:name="_Toc195259766"/>
      <w:r>
        <w:rPr>
          <w:rStyle w:val="CharSchNo"/>
        </w:rPr>
        <w:lastRenderedPageBreak/>
        <w:t>Schedule 1</w:t>
      </w:r>
      <w:r>
        <w:t> — </w:t>
      </w:r>
      <w:r>
        <w:rPr>
          <w:rStyle w:val="CharSchText"/>
        </w:rPr>
        <w:t>Government Employees Superannuation Board</w:t>
      </w:r>
      <w:bookmarkEnd w:id="91"/>
      <w:bookmarkEnd w:id="92"/>
      <w:bookmarkEnd w:id="93"/>
      <w:bookmarkEnd w:id="94"/>
    </w:p>
    <w:p>
      <w:pPr>
        <w:pStyle w:val="yShoulderClause"/>
      </w:pPr>
      <w:r>
        <w:t>[s. 8(2)]</w:t>
      </w:r>
    </w:p>
    <w:p>
      <w:pPr>
        <w:pStyle w:val="yHeading5"/>
      </w:pPr>
      <w:bookmarkStart w:id="95" w:name="_Toc184390316"/>
      <w:bookmarkStart w:id="96" w:name="_Toc195259767"/>
      <w:r>
        <w:rPr>
          <w:rStyle w:val="CharSClsNo"/>
        </w:rPr>
        <w:t>1A</w:t>
      </w:r>
      <w:r>
        <w:t>.</w:t>
      </w:r>
      <w:r>
        <w:tab/>
        <w:t>Terms used</w:t>
      </w:r>
      <w:bookmarkEnd w:id="95"/>
      <w:bookmarkEnd w:id="96"/>
    </w:p>
    <w:p>
      <w:pPr>
        <w:pStyle w:val="ySubsection"/>
      </w:pPr>
      <w:r>
        <w:tab/>
      </w:r>
      <w:r>
        <w:tab/>
        <w:t xml:space="preserve">In this Schedule — </w:t>
      </w:r>
    </w:p>
    <w:p>
      <w:pPr>
        <w:pStyle w:val="yDefstart"/>
      </w:pPr>
      <w:r>
        <w:tab/>
      </w:r>
      <w:r>
        <w:rPr>
          <w:rStyle w:val="CharDefText"/>
        </w:rPr>
        <w:t>Employer director</w:t>
      </w:r>
      <w:r>
        <w:t xml:space="preserve"> means a director appointed under section 8(1)(b);</w:t>
      </w:r>
    </w:p>
    <w:p>
      <w:pPr>
        <w:pStyle w:val="yDefstart"/>
      </w:pPr>
      <w:r>
        <w:tab/>
      </w:r>
      <w:r>
        <w:rPr>
          <w:rStyle w:val="CharDefText"/>
        </w:rPr>
        <w:t>Member director</w:t>
      </w:r>
      <w:r>
        <w:t xml:space="preserve"> means a director elected under section 8(1)(c). </w:t>
      </w:r>
    </w:p>
    <w:p>
      <w:pPr>
        <w:pStyle w:val="yFootnotesection"/>
      </w:pPr>
      <w:r>
        <w:tab/>
        <w:t>[Clause 1A inserted: No. 50 of 2024 s. 20.]</w:t>
      </w:r>
    </w:p>
    <w:p>
      <w:pPr>
        <w:pStyle w:val="yHeading5"/>
      </w:pPr>
      <w:bookmarkStart w:id="97" w:name="_Toc195259768"/>
      <w:r>
        <w:rPr>
          <w:rStyle w:val="CharSClsNo"/>
        </w:rPr>
        <w:t>1</w:t>
      </w:r>
      <w:r>
        <w:t>.</w:t>
      </w:r>
      <w:r>
        <w:tab/>
        <w:t>Nomination of chairperson</w:t>
      </w:r>
      <w:bookmarkEnd w:id="97"/>
    </w:p>
    <w:p>
      <w:pPr>
        <w:pStyle w:val="ySubsection"/>
      </w:pPr>
      <w:r>
        <w:tab/>
        <w:t>(1)</w:t>
      </w:r>
      <w:r>
        <w:tab/>
        <w:t xml:space="preserve">Before making a nomination under section 8(1)(a) the </w:t>
      </w:r>
      <w:r>
        <w:rPr>
          <w:szCs w:val="22"/>
        </w:rPr>
        <w:t>Treasurer</w:t>
      </w:r>
      <w:r>
        <w:t xml:space="preserve"> is to consult with unions or associations of unions that appear to the Treasurer to be broadly representative of persons who work for Employers. </w:t>
      </w:r>
    </w:p>
    <w:p>
      <w:pPr>
        <w:pStyle w:val="ySubsection"/>
      </w:pPr>
      <w:r>
        <w:tab/>
        <w:t>(2)</w:t>
      </w:r>
      <w:r>
        <w:tab/>
        <w:t>The Treasurer must not nominate as chairperson a person who is an officer or employee of the Board.</w:t>
      </w:r>
    </w:p>
    <w:p>
      <w:pPr>
        <w:pStyle w:val="yFootnotesection"/>
      </w:pPr>
      <w:r>
        <w:tab/>
        <w:t>[Clause 1 amended: No. 35 of 2011 s. 31; No. 50 of 2024 s. 27.]</w:t>
      </w:r>
    </w:p>
    <w:p>
      <w:pPr>
        <w:pStyle w:val="yHeading5"/>
      </w:pPr>
      <w:bookmarkStart w:id="98" w:name="_Toc195259769"/>
      <w:r>
        <w:rPr>
          <w:rStyle w:val="CharSClsNo"/>
        </w:rPr>
        <w:t>2</w:t>
      </w:r>
      <w:r>
        <w:t>.</w:t>
      </w:r>
      <w:r>
        <w:tab/>
        <w:t>Appointment of deputy chairperson</w:t>
      </w:r>
      <w:bookmarkEnd w:id="98"/>
    </w:p>
    <w:p>
      <w:pPr>
        <w:pStyle w:val="ySubsection"/>
      </w:pPr>
      <w:r>
        <w:tab/>
        <w:t>(1)</w:t>
      </w:r>
      <w:r>
        <w:tab/>
        <w:t>The Governor may from time to time appoint a director, nominated by the Treasurer, to be deputy chairperson.</w:t>
      </w:r>
    </w:p>
    <w:p>
      <w:pPr>
        <w:pStyle w:val="ySubsection"/>
      </w:pPr>
      <w:r>
        <w:tab/>
        <w:t>(2)</w:t>
      </w:r>
      <w:r>
        <w:tab/>
        <w:t>The Treasurer must not nominate as deputy chairperson a person who is an officer or employee of the Board.</w:t>
      </w:r>
    </w:p>
    <w:p>
      <w:pPr>
        <w:pStyle w:val="ySubsection"/>
      </w:pPr>
      <w:r>
        <w:tab/>
        <w:t>(3)</w:t>
      </w:r>
      <w:r>
        <w:tab/>
        <w:t>In the absence of the chairperson, the deputy chairperson —</w:t>
      </w:r>
    </w:p>
    <w:p>
      <w:pPr>
        <w:pStyle w:val="yIndenta"/>
      </w:pPr>
      <w:r>
        <w:tab/>
        <w:t>(a)</w:t>
      </w:r>
      <w:r>
        <w:tab/>
        <w:t>is to act in the place of the chairperson; and</w:t>
      </w:r>
    </w:p>
    <w:p>
      <w:pPr>
        <w:pStyle w:val="yIndenta"/>
      </w:pPr>
      <w:r>
        <w:tab/>
        <w:t>(b)</w:t>
      </w:r>
      <w:r>
        <w:tab/>
        <w:t xml:space="preserve">while so acting, has all the functions of, and is taken to be, the chairperson. </w:t>
      </w:r>
    </w:p>
    <w:p>
      <w:pPr>
        <w:pStyle w:val="ySubsection"/>
        <w:spacing w:before="120"/>
      </w:pPr>
      <w:r>
        <w:tab/>
        <w:t>(4)</w:t>
      </w:r>
      <w:r>
        <w:tab/>
        <w:t xml:space="preserve">No act or omission of a deputy chairperson is to be questioned on the ground that the occasion for the acting had not arisen or had ceased. </w:t>
      </w:r>
    </w:p>
    <w:p>
      <w:pPr>
        <w:pStyle w:val="yFootnotesection"/>
      </w:pPr>
      <w:r>
        <w:tab/>
        <w:t>[Clause 2 amended: No. 35 of 2011 s. 31; No. 50 of 2024 s. 27.]</w:t>
      </w:r>
    </w:p>
    <w:p>
      <w:pPr>
        <w:pStyle w:val="yHeading5"/>
      </w:pPr>
      <w:bookmarkStart w:id="99" w:name="_Toc195259770"/>
      <w:r>
        <w:rPr>
          <w:rStyle w:val="CharSClsNo"/>
        </w:rPr>
        <w:lastRenderedPageBreak/>
        <w:t>3</w:t>
      </w:r>
      <w:r>
        <w:t>.</w:t>
      </w:r>
      <w:r>
        <w:tab/>
        <w:t>Election of member directors</w:t>
      </w:r>
      <w:bookmarkEnd w:id="99"/>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pPr>
      <w:bookmarkStart w:id="100" w:name="_Toc195259771"/>
      <w:r>
        <w:rPr>
          <w:rStyle w:val="CharSClsNo"/>
        </w:rPr>
        <w:t>4</w:t>
      </w:r>
      <w:r>
        <w:t>.</w:t>
      </w:r>
      <w:r>
        <w:tab/>
        <w:t>Term of office: chairperson and Employer directors</w:t>
      </w:r>
      <w:bookmarkEnd w:id="100"/>
    </w:p>
    <w:p>
      <w:pPr>
        <w:pStyle w:val="ySubsection"/>
      </w:pPr>
      <w:r>
        <w:tab/>
        <w:t>(1)</w:t>
      </w:r>
      <w:r>
        <w:tab/>
        <w:t xml:space="preserve">The term for which a person is appointed to be the chairperson or is appointed as an Employer director is to be fixed in the instrument of appointment and is not to be longer than 5 years. </w:t>
      </w:r>
    </w:p>
    <w:p>
      <w:pPr>
        <w:pStyle w:val="ySubsection"/>
      </w:pPr>
      <w:r>
        <w:tab/>
        <w:t>(2)</w:t>
      </w:r>
      <w:r>
        <w:tab/>
        <w:t>A person appointed as chairperson or an Employer director is eligible (if otherwise qualified) for re</w:t>
      </w:r>
      <w:r>
        <w:noBreakHyphen/>
        <w:t xml:space="preserve">appointment. </w:t>
      </w:r>
    </w:p>
    <w:p>
      <w:pPr>
        <w:pStyle w:val="ySubsection"/>
      </w:pPr>
      <w:r>
        <w:tab/>
        <w:t>(3)</w:t>
      </w:r>
      <w:r>
        <w:tab/>
        <w:t xml:space="preserve">The maximum period for which a person is eligible to serve as chairperson or an Employer director is 10 years. </w:t>
      </w:r>
    </w:p>
    <w:p>
      <w:pPr>
        <w:pStyle w:val="ySubsection"/>
      </w:pPr>
      <w:r>
        <w:tab/>
        <w:t>(4)</w:t>
      </w:r>
      <w:r>
        <w:tab/>
        <w:t>However, the Treasurer may appoint a person as chairperson or an Employer director for 1 term of office that exceeds the maximum period.</w:t>
      </w:r>
    </w:p>
    <w:p>
      <w:pPr>
        <w:pStyle w:val="yFootnotesection"/>
      </w:pPr>
      <w:r>
        <w:tab/>
        <w:t>[Clause 4 amended: No. 50 of 2024 s. 21.]</w:t>
      </w:r>
    </w:p>
    <w:p>
      <w:pPr>
        <w:pStyle w:val="yHeading5"/>
      </w:pPr>
      <w:bookmarkStart w:id="101" w:name="_Toc184390319"/>
      <w:bookmarkStart w:id="102" w:name="_Toc195259772"/>
      <w:r>
        <w:rPr>
          <w:rStyle w:val="CharSClsNo"/>
        </w:rPr>
        <w:t>4A</w:t>
      </w:r>
      <w:r>
        <w:t>.</w:t>
      </w:r>
      <w:r>
        <w:tab/>
        <w:t>Term of office: Member directors</w:t>
      </w:r>
      <w:bookmarkEnd w:id="101"/>
      <w:bookmarkEnd w:id="102"/>
    </w:p>
    <w:p>
      <w:pPr>
        <w:pStyle w:val="ySubsection"/>
      </w:pPr>
      <w:r>
        <w:tab/>
        <w:t>(1)</w:t>
      </w:r>
      <w:r>
        <w:tab/>
        <w:t>The term of office for which a Member director is elected is 3 years.</w:t>
      </w:r>
    </w:p>
    <w:p>
      <w:pPr>
        <w:pStyle w:val="ySubsection"/>
      </w:pPr>
      <w:r>
        <w:tab/>
        <w:t>(2)</w:t>
      </w:r>
      <w:r>
        <w:tab/>
        <w:t>A person elected as a Member director is eligible (if otherwise qualified) for re</w:t>
      </w:r>
      <w:r>
        <w:noBreakHyphen/>
        <w:t xml:space="preserve">election. </w:t>
      </w:r>
    </w:p>
    <w:p>
      <w:pPr>
        <w:pStyle w:val="ySubsection"/>
      </w:pPr>
      <w:r>
        <w:tab/>
        <w:t>(3)</w:t>
      </w:r>
      <w:r>
        <w:tab/>
        <w:t xml:space="preserve">The maximum period for which a person is eligible to serve as a Member director is 3 terms. </w:t>
      </w:r>
    </w:p>
    <w:p>
      <w:pPr>
        <w:pStyle w:val="ySubsection"/>
      </w:pPr>
      <w:r>
        <w:tab/>
        <w:t>(4)</w:t>
      </w:r>
      <w:r>
        <w:tab/>
        <w:t>However, a person is eligible to serve a 4</w:t>
      </w:r>
      <w:r>
        <w:rPr>
          <w:vertAlign w:val="superscript"/>
        </w:rPr>
        <w:t>th</w:t>
      </w:r>
      <w:r>
        <w:t> term as a Member director if the Treasurer permits the person to serve a 4</w:t>
      </w:r>
      <w:r>
        <w:rPr>
          <w:vertAlign w:val="superscript"/>
        </w:rPr>
        <w:t>th</w:t>
      </w:r>
      <w:r>
        <w:t> term under subsection (5).</w:t>
      </w:r>
    </w:p>
    <w:p>
      <w:pPr>
        <w:pStyle w:val="ySubsection"/>
      </w:pPr>
      <w:r>
        <w:tab/>
        <w:t>(5)</w:t>
      </w:r>
      <w:r>
        <w:tab/>
        <w:t>The Treasurer may, by instrument in writing made at the request of the Board, permit a specified person to serve a 4</w:t>
      </w:r>
      <w:r>
        <w:rPr>
          <w:vertAlign w:val="superscript"/>
        </w:rPr>
        <w:t>th</w:t>
      </w:r>
      <w:r>
        <w:t> term of office as a Member director.</w:t>
      </w:r>
    </w:p>
    <w:p>
      <w:pPr>
        <w:pStyle w:val="ySubsection"/>
      </w:pPr>
      <w:r>
        <w:lastRenderedPageBreak/>
        <w:tab/>
        <w:t>(6)</w:t>
      </w:r>
      <w:r>
        <w:tab/>
        <w:t>The Treasurer must consult with unions or associations of unions that appear to the Treasurer to be broadly representative of persons who work for Employers before permitting a person to serve a 4</w:t>
      </w:r>
      <w:r>
        <w:rPr>
          <w:vertAlign w:val="superscript"/>
        </w:rPr>
        <w:t>th</w:t>
      </w:r>
      <w:r>
        <w:t> term as a Member director.</w:t>
      </w:r>
    </w:p>
    <w:p>
      <w:pPr>
        <w:pStyle w:val="yFootnotesection"/>
      </w:pPr>
      <w:r>
        <w:tab/>
        <w:t>[Clause 4A inserted: No. 50 of 2024 s. 22.]</w:t>
      </w:r>
    </w:p>
    <w:p>
      <w:pPr>
        <w:pStyle w:val="yHeading5"/>
      </w:pPr>
      <w:bookmarkStart w:id="103" w:name="_Toc195259773"/>
      <w:r>
        <w:rPr>
          <w:rStyle w:val="CharSClsNo"/>
        </w:rPr>
        <w:t>5</w:t>
      </w:r>
      <w:r>
        <w:t>.</w:t>
      </w:r>
      <w:r>
        <w:tab/>
        <w:t>Directors are part</w:t>
      </w:r>
      <w:r>
        <w:noBreakHyphen/>
        <w:t>time</w:t>
      </w:r>
      <w:bookmarkEnd w:id="103"/>
    </w:p>
    <w:p>
      <w:pPr>
        <w:pStyle w:val="ySubsection"/>
      </w:pPr>
      <w:r>
        <w:tab/>
      </w:r>
      <w:r>
        <w:tab/>
        <w:t>All directors hold their offices on a part</w:t>
      </w:r>
      <w:r>
        <w:noBreakHyphen/>
        <w:t xml:space="preserve">time basis. </w:t>
      </w:r>
    </w:p>
    <w:p>
      <w:pPr>
        <w:pStyle w:val="yHeading5"/>
      </w:pPr>
      <w:bookmarkStart w:id="104" w:name="_Toc195259774"/>
      <w:r>
        <w:rPr>
          <w:rStyle w:val="CharSClsNo"/>
        </w:rPr>
        <w:t>6</w:t>
      </w:r>
      <w:r>
        <w:t>.</w:t>
      </w:r>
      <w:r>
        <w:tab/>
        <w:t>Casual vacancies</w:t>
      </w:r>
      <w:bookmarkEnd w:id="104"/>
      <w:r>
        <w:t xml:space="preserve"> </w:t>
      </w:r>
    </w:p>
    <w:p>
      <w:pPr>
        <w:pStyle w:val="ySubsection"/>
      </w:pPr>
      <w:r>
        <w:tab/>
        <w:t>(1)</w:t>
      </w:r>
      <w:r>
        <w:tab/>
        <w:t>A casual vacancy in the office of a director occurs if the director —</w:t>
      </w:r>
    </w:p>
    <w:p>
      <w:pPr>
        <w:pStyle w:val="yIndenta"/>
      </w:pPr>
      <w:r>
        <w:tab/>
        <w:t>(a)</w:t>
      </w:r>
      <w:r>
        <w:tab/>
        <w:t>dies; or</w:t>
      </w:r>
    </w:p>
    <w:p>
      <w:pPr>
        <w:pStyle w:val="yIndenta"/>
      </w:pPr>
      <w:r>
        <w:tab/>
        <w:t>(b)</w:t>
      </w:r>
      <w:r>
        <w:tab/>
        <w:t>resigns by notice to the Treasurer; or</w:t>
      </w:r>
    </w:p>
    <w:p>
      <w:pPr>
        <w:pStyle w:val="yIndenta"/>
      </w:pPr>
      <w:r>
        <w:tab/>
        <w:t>(c)</w:t>
      </w:r>
      <w:r>
        <w:tab/>
        <w:t>is an insolvent under administration as defined in the Corporations Act; or</w:t>
      </w:r>
    </w:p>
    <w:p>
      <w:pPr>
        <w:pStyle w:val="yIndenta"/>
      </w:pPr>
      <w:r>
        <w:tab/>
        <w:t>(d)</w:t>
      </w:r>
      <w:r>
        <w:tab/>
        <w:t>is removed from office by the Treasurer under subclause (2).</w:t>
      </w:r>
    </w:p>
    <w:p>
      <w:pPr>
        <w:pStyle w:val="ySubsection"/>
        <w:keepNext/>
      </w:pPr>
      <w:r>
        <w:tab/>
        <w:t>(2)</w:t>
      </w:r>
      <w:r>
        <w:tab/>
        <w:t xml:space="preserve">The Treasurer may remove a director from office if the Treasurer is satisfied that the director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has contravened clause 10 or 11 of Schedule 2; or</w:t>
      </w:r>
    </w:p>
    <w:p>
      <w:pPr>
        <w:pStyle w:val="yIndenta"/>
      </w:pPr>
      <w:r>
        <w:tab/>
        <w:t>(e)</w:t>
      </w:r>
      <w:r>
        <w:tab/>
        <w:t>is suffering from mental or physical incapacity impairing the performance of his or her functions under this Act; or</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tab/>
        <w:t>(3)</w:t>
      </w:r>
      <w:r>
        <w:tab/>
        <w:t xml:space="preserve">If a casual vacancy occurs in the office of a Member director, the Treasurer may appoint a person to fill the vacancy until a new director is elected. </w:t>
      </w:r>
    </w:p>
    <w:p>
      <w:pPr>
        <w:pStyle w:val="ySubsection"/>
        <w:keepLines/>
      </w:pPr>
      <w:r>
        <w:lastRenderedPageBreak/>
        <w:tab/>
        <w:t>(4)</w:t>
      </w:r>
      <w:r>
        <w:tab/>
        <w:t xml:space="preserve">Before appointing a person under subclause (3) the Treasurer is to consult with unions or associations of unions that appear to the Treasurer to be broadly representative of persons who work for Employers. </w:t>
      </w:r>
    </w:p>
    <w:p>
      <w:pPr>
        <w:pStyle w:val="ySubsection"/>
      </w:pPr>
      <w:r>
        <w:tab/>
        <w:t>(5)</w:t>
      </w:r>
      <w:r>
        <w:tab/>
        <w:t>The term of office for which a Member director is appointed under subclause (3) to fill a casual vacancy does not count towards the maximum period for which the person is eligible to serve as a Member director.</w:t>
      </w:r>
    </w:p>
    <w:p>
      <w:pPr>
        <w:pStyle w:val="yFootnotesection"/>
      </w:pPr>
      <w:r>
        <w:tab/>
        <w:t>[Clause 6 amended: No. 10 of 2001 s. 220; No. 25 of 2007 s. 6(6), 17 and 19(2); No. 35 of 2011 s. 29 and 31; No. 50 of 2024 s. 23.]</w:t>
      </w:r>
    </w:p>
    <w:p>
      <w:pPr>
        <w:pStyle w:val="yHeading5"/>
      </w:pPr>
      <w:bookmarkStart w:id="105" w:name="_Toc184390322"/>
      <w:bookmarkStart w:id="106" w:name="_Toc195259775"/>
      <w:r>
        <w:rPr>
          <w:rStyle w:val="CharSClsNo"/>
        </w:rPr>
        <w:t>6A</w:t>
      </w:r>
      <w:r>
        <w:t>.</w:t>
      </w:r>
      <w:r>
        <w:tab/>
        <w:t>Acting directors</w:t>
      </w:r>
      <w:bookmarkEnd w:id="105"/>
      <w:bookmarkEnd w:id="106"/>
    </w:p>
    <w:p>
      <w:pPr>
        <w:pStyle w:val="ySubsection"/>
      </w:pPr>
      <w:r>
        <w:tab/>
        <w:t>(1)</w:t>
      </w:r>
      <w:r>
        <w:tab/>
        <w:t>The Treasurer may appoint a person to act in the office of an Employer director or Member director during any period, in the director’s term of office, in which the director is absent because of illness or on leave granted by the Board.</w:t>
      </w:r>
    </w:p>
    <w:p>
      <w:pPr>
        <w:pStyle w:val="ySubsection"/>
      </w:pPr>
      <w:r>
        <w:tab/>
        <w:t>(2)</w:t>
      </w:r>
      <w:r>
        <w:tab/>
        <w:t xml:space="preserve">Before appointing a person to act in the office of a Member director, the Treasurer must consult with unions or associations of unions that appear to the Treasurer to be broadly representative of persons who work for Employers. </w:t>
      </w:r>
    </w:p>
    <w:p>
      <w:pPr>
        <w:pStyle w:val="ySubsection"/>
      </w:pPr>
      <w:r>
        <w:tab/>
        <w:t>(3)</w:t>
      </w:r>
      <w:r>
        <w:tab/>
        <w:t>A person who is appointed to act in the office of an Employer director or Member director has all the functions of the director and is taken to be a director.</w:t>
      </w:r>
    </w:p>
    <w:p>
      <w:pPr>
        <w:pStyle w:val="ySubsection"/>
      </w:pPr>
      <w:r>
        <w:tab/>
        <w:t>(4)</w:t>
      </w:r>
      <w:r>
        <w:tab/>
        <w:t xml:space="preserve">An act or omission of a person appointed to act in the office of a director cannot be questioned on the grounds that the occasion for the appointment had not arisen or had ceased. </w:t>
      </w:r>
    </w:p>
    <w:p>
      <w:pPr>
        <w:pStyle w:val="ySubsection"/>
      </w:pPr>
      <w:r>
        <w:tab/>
        <w:t>(5)</w:t>
      </w:r>
      <w:r>
        <w:tab/>
        <w:t>A period in which a person acts in the office of an Employer director or Member director does not count towards the maximum period for which the person is eligible to serve as an Employer director or Member director.</w:t>
      </w:r>
    </w:p>
    <w:p>
      <w:pPr>
        <w:pStyle w:val="yFootnotesection"/>
      </w:pPr>
      <w:r>
        <w:tab/>
        <w:t>[Clause 6A inserted: No. 50 of 2024 s. 24.]</w:t>
      </w:r>
    </w:p>
    <w:p>
      <w:pPr>
        <w:pStyle w:val="yHeading5"/>
      </w:pPr>
      <w:bookmarkStart w:id="107" w:name="_Toc195259776"/>
      <w:r>
        <w:rPr>
          <w:rStyle w:val="CharSClsNo"/>
        </w:rPr>
        <w:lastRenderedPageBreak/>
        <w:t>7</w:t>
      </w:r>
      <w:r>
        <w:t>.</w:t>
      </w:r>
      <w:r>
        <w:tab/>
        <w:t>Remuneration and allowances</w:t>
      </w:r>
      <w:bookmarkEnd w:id="107"/>
    </w:p>
    <w:p>
      <w:pPr>
        <w:pStyle w:val="ySubsection"/>
        <w:keepNext/>
      </w:pPr>
      <w:r>
        <w:tab/>
      </w:r>
      <w:r>
        <w:tab/>
        <w:t>A director is entitled to the remuneration and allowances(if any) determined by the Treasurer on the recommendation of the Public Sector Commissioner.</w:t>
      </w:r>
    </w:p>
    <w:p>
      <w:pPr>
        <w:pStyle w:val="yFootnotesection"/>
      </w:pPr>
      <w:r>
        <w:tab/>
        <w:t>[Clause 7 amended: No. 39 of 2010 s. 89; No. 35 of 2011 s. 38; No. 50 of 2024 s. 25.]</w:t>
      </w:r>
    </w:p>
    <w:p>
      <w:pPr>
        <w:pStyle w:val="yScheduleHeading"/>
        <w:outlineLvl w:val="0"/>
      </w:pPr>
      <w:bookmarkStart w:id="108" w:name="_Toc195190973"/>
      <w:bookmarkStart w:id="109" w:name="_Toc195194050"/>
      <w:bookmarkStart w:id="110" w:name="_Toc195196184"/>
      <w:bookmarkStart w:id="111" w:name="_Toc195259777"/>
      <w:r>
        <w:rPr>
          <w:rStyle w:val="CharSchNo"/>
        </w:rPr>
        <w:lastRenderedPageBreak/>
        <w:t>Schedule 2</w:t>
      </w:r>
      <w:r>
        <w:t> — </w:t>
      </w:r>
      <w:r>
        <w:rPr>
          <w:rStyle w:val="CharSchText"/>
        </w:rPr>
        <w:t>Meetings and procedures</w:t>
      </w:r>
      <w:bookmarkEnd w:id="108"/>
      <w:bookmarkEnd w:id="109"/>
      <w:bookmarkEnd w:id="110"/>
      <w:bookmarkEnd w:id="111"/>
    </w:p>
    <w:p>
      <w:pPr>
        <w:pStyle w:val="yShoulderClause"/>
      </w:pPr>
      <w:r>
        <w:t>[s. 10(1)]</w:t>
      </w:r>
    </w:p>
    <w:p>
      <w:pPr>
        <w:pStyle w:val="yHeading5"/>
      </w:pPr>
      <w:bookmarkStart w:id="112" w:name="_Toc195259778"/>
      <w:r>
        <w:rPr>
          <w:rStyle w:val="CharSClsNo"/>
        </w:rPr>
        <w:t>1</w:t>
      </w:r>
      <w:r>
        <w:t>.</w:t>
      </w:r>
      <w:r>
        <w:tab/>
        <w:t>Board to determine own procedure</w:t>
      </w:r>
      <w:bookmarkEnd w:id="112"/>
    </w:p>
    <w:p>
      <w:pPr>
        <w:pStyle w:val="ySubsection"/>
      </w:pPr>
      <w:r>
        <w:tab/>
      </w:r>
      <w:r>
        <w:tab/>
        <w:t>The Board may determine its own procedure for calling and conducting Board meetings except to the extent that it is prescribed under this Act.</w:t>
      </w:r>
    </w:p>
    <w:p>
      <w:pPr>
        <w:pStyle w:val="yFootnotesection"/>
      </w:pPr>
      <w:r>
        <w:tab/>
        <w:t>[Clause 1 amended: No. No. 25 of 2007 s. 6(7); No. 35 of 2011 s. 30.]</w:t>
      </w:r>
    </w:p>
    <w:p>
      <w:pPr>
        <w:pStyle w:val="yHeading5"/>
      </w:pPr>
      <w:bookmarkStart w:id="113" w:name="_Toc195259779"/>
      <w:r>
        <w:rPr>
          <w:rStyle w:val="CharSClsNo"/>
        </w:rPr>
        <w:t>2</w:t>
      </w:r>
      <w:r>
        <w:t>.</w:t>
      </w:r>
      <w:r>
        <w:tab/>
        <w:t>Quorum</w:t>
      </w:r>
      <w:bookmarkEnd w:id="113"/>
      <w:r>
        <w:t xml:space="preserve"> </w:t>
      </w:r>
    </w:p>
    <w:p>
      <w:pPr>
        <w:pStyle w:val="ySubsection"/>
      </w:pPr>
      <w:r>
        <w:tab/>
      </w:r>
      <w:r>
        <w:tab/>
        <w:t xml:space="preserve">The quorum at a Board meeting is 5 directors. </w:t>
      </w:r>
    </w:p>
    <w:p>
      <w:pPr>
        <w:pStyle w:val="yHeading5"/>
      </w:pPr>
      <w:bookmarkStart w:id="114" w:name="_Toc195259780"/>
      <w:r>
        <w:rPr>
          <w:rStyle w:val="CharSClsNo"/>
        </w:rPr>
        <w:t>3</w:t>
      </w:r>
      <w:r>
        <w:t>.</w:t>
      </w:r>
      <w:r>
        <w:tab/>
        <w:t>Presiding director</w:t>
      </w:r>
      <w:bookmarkEnd w:id="114"/>
      <w:r>
        <w:t xml:space="preserve"> </w:t>
      </w:r>
    </w:p>
    <w:p>
      <w:pPr>
        <w:pStyle w:val="ySubsection"/>
      </w:pPr>
      <w:r>
        <w:tab/>
      </w:r>
      <w:r>
        <w:tab/>
        <w:t>A Board meeting is to be presided over by — </w:t>
      </w:r>
    </w:p>
    <w:p>
      <w:pPr>
        <w:pStyle w:val="yIndenta"/>
      </w:pPr>
      <w:r>
        <w:tab/>
        <w:t>(a)</w:t>
      </w:r>
      <w:r>
        <w:tab/>
        <w:t>the chairperson; or</w:t>
      </w:r>
    </w:p>
    <w:p>
      <w:pPr>
        <w:pStyle w:val="yIndenta"/>
      </w:pPr>
      <w:r>
        <w:tab/>
        <w:t>(b)</w:t>
      </w:r>
      <w:r>
        <w:tab/>
        <w:t>in the absence of the chairperson, the deputy chairperson (if one has been appointed); or</w:t>
      </w:r>
    </w:p>
    <w:p>
      <w:pPr>
        <w:pStyle w:val="yIndenta"/>
      </w:pPr>
      <w:r>
        <w:tab/>
        <w:t>(c)</w:t>
      </w:r>
      <w:r>
        <w:tab/>
        <w:t>in the absence of the chairperson and deputy chairperson, a director chosen by the directors present at the meeting.</w:t>
      </w:r>
    </w:p>
    <w:p>
      <w:pPr>
        <w:pStyle w:val="yFootnotesection"/>
      </w:pPr>
      <w:r>
        <w:tab/>
        <w:t>[Clause 3 amended: No. 25 of 2007 s. 19(2); No. 50 of 2024 s. 27.]</w:t>
      </w:r>
    </w:p>
    <w:p>
      <w:pPr>
        <w:pStyle w:val="yHeading5"/>
      </w:pPr>
      <w:bookmarkStart w:id="115" w:name="_Toc195259781"/>
      <w:r>
        <w:rPr>
          <w:rStyle w:val="CharSClsNo"/>
        </w:rPr>
        <w:t>4</w:t>
      </w:r>
      <w:r>
        <w:t>.</w:t>
      </w:r>
      <w:r>
        <w:tab/>
        <w:t>Voting</w:t>
      </w:r>
      <w:bookmarkEnd w:id="115"/>
      <w:r>
        <w:t xml:space="preserve"> </w:t>
      </w:r>
    </w:p>
    <w:p>
      <w:pPr>
        <w:pStyle w:val="ySubsection"/>
        <w:keepNext/>
      </w:pPr>
      <w:r>
        <w:tab/>
      </w:r>
      <w:r>
        <w:tab/>
        <w:t>At a Board meeting —</w:t>
      </w:r>
    </w:p>
    <w:p>
      <w:pPr>
        <w:pStyle w:val="yIndenta"/>
      </w:pPr>
      <w:r>
        <w:tab/>
        <w:t>(a)</w:t>
      </w:r>
      <w:r>
        <w:tab/>
        <w:t>each director has one vote; and</w:t>
      </w:r>
    </w:p>
    <w:p>
      <w:pPr>
        <w:pStyle w:val="yIndenta"/>
      </w:pPr>
      <w:r>
        <w:tab/>
        <w:t>(b)</w:t>
      </w:r>
      <w:r>
        <w:tab/>
        <w:t>the person presiding does not have a casting vote; and</w:t>
      </w:r>
    </w:p>
    <w:p>
      <w:pPr>
        <w:pStyle w:val="yIndenta"/>
      </w:pPr>
      <w:r>
        <w:tab/>
        <w:t>(c)</w:t>
      </w:r>
      <w:r>
        <w:tab/>
        <w:t>a resolution is passed if 5 or more directors vote in favour of it.</w:t>
      </w:r>
    </w:p>
    <w:p>
      <w:pPr>
        <w:pStyle w:val="yFootnotesection"/>
      </w:pPr>
      <w:r>
        <w:tab/>
        <w:t>[Clause 4 amended: No. 25 of 2007 s. 19(1).]</w:t>
      </w:r>
    </w:p>
    <w:p>
      <w:pPr>
        <w:pStyle w:val="yHeading5"/>
      </w:pPr>
      <w:bookmarkStart w:id="116" w:name="_Toc195259782"/>
      <w:r>
        <w:rPr>
          <w:rStyle w:val="CharSClsNo"/>
        </w:rPr>
        <w:t>5</w:t>
      </w:r>
      <w:r>
        <w:t>.</w:t>
      </w:r>
      <w:r>
        <w:tab/>
        <w:t>Minutes</w:t>
      </w:r>
      <w:bookmarkEnd w:id="116"/>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pPr>
      <w:bookmarkStart w:id="117" w:name="_Toc195259783"/>
      <w:r>
        <w:rPr>
          <w:rStyle w:val="CharSClsNo"/>
        </w:rPr>
        <w:lastRenderedPageBreak/>
        <w:t>6</w:t>
      </w:r>
      <w:r>
        <w:t xml:space="preserve">. </w:t>
      </w:r>
      <w:r>
        <w:tab/>
        <w:t>Resolution without meeting</w:t>
      </w:r>
      <w:bookmarkEnd w:id="117"/>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pPr>
      <w:bookmarkStart w:id="118" w:name="_Toc195259784"/>
      <w:r>
        <w:rPr>
          <w:rStyle w:val="CharSClsNo"/>
        </w:rPr>
        <w:t>7</w:t>
      </w:r>
      <w:r>
        <w:t xml:space="preserve">. </w:t>
      </w:r>
      <w:r>
        <w:tab/>
        <w:t>Telephone or video attendance at meetings</w:t>
      </w:r>
      <w:bookmarkEnd w:id="118"/>
      <w:r>
        <w:t xml:space="preserve"> </w:t>
      </w:r>
    </w:p>
    <w:p>
      <w:pPr>
        <w:pStyle w:val="ySubsection"/>
      </w:pPr>
      <w:r>
        <w:tab/>
      </w:r>
      <w:r>
        <w:tab/>
        <w:t>A director may attend a Board meeting by telephone, audio</w:t>
      </w:r>
      <w:r>
        <w:noBreakHyphen/>
        <w:t>visual link</w:t>
      </w:r>
      <w:r>
        <w:noBreakHyphen/>
        <w:t xml:space="preserve">up or any other form of instantaneous communication if all directors attending the meeting are simultaneously in contact with each other. </w:t>
      </w:r>
    </w:p>
    <w:p>
      <w:pPr>
        <w:pStyle w:val="yHeading5"/>
      </w:pPr>
      <w:bookmarkStart w:id="119" w:name="_Toc195259785"/>
      <w:r>
        <w:rPr>
          <w:rStyle w:val="CharSClsNo"/>
        </w:rPr>
        <w:t>8</w:t>
      </w:r>
      <w:r>
        <w:t xml:space="preserve">. </w:t>
      </w:r>
      <w:r>
        <w:tab/>
        <w:t>Committees</w:t>
      </w:r>
      <w:bookmarkEnd w:id="119"/>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pPr>
      <w:bookmarkStart w:id="120" w:name="_Toc195259786"/>
      <w:r>
        <w:rPr>
          <w:rStyle w:val="CharSClsNo"/>
        </w:rPr>
        <w:t>9</w:t>
      </w:r>
      <w:r>
        <w:t>.</w:t>
      </w:r>
      <w:r>
        <w:tab/>
        <w:t>Material interest</w:t>
      </w:r>
      <w:bookmarkEnd w:id="120"/>
    </w:p>
    <w:p>
      <w:pPr>
        <w:pStyle w:val="ySubsection"/>
      </w:pPr>
      <w:r>
        <w:tab/>
        <w:t>(1)</w:t>
      </w:r>
      <w:r>
        <w:tab/>
        <w:t>For the purposes of this Schedule a person has a material interest in a matter if the person —</w:t>
      </w:r>
    </w:p>
    <w:p>
      <w:pPr>
        <w:pStyle w:val="yIndenta"/>
      </w:pPr>
      <w:r>
        <w:tab/>
        <w:t>(a)</w:t>
      </w:r>
      <w:r>
        <w:tab/>
        <w:t>subject to subclauses (2) and (3) has a direct or indirect pecuniary interest in the matter; or</w:t>
      </w:r>
    </w:p>
    <w:p>
      <w:pPr>
        <w:pStyle w:val="yIndenta"/>
      </w:pPr>
      <w:r>
        <w:tab/>
        <w:t>(b)</w:t>
      </w:r>
      <w:r>
        <w:tab/>
        <w:t>has given advice for remuneration in relation to the matter to the Board; or</w:t>
      </w:r>
    </w:p>
    <w:p>
      <w:pPr>
        <w:pStyle w:val="yIndenta"/>
      </w:pPr>
      <w:r>
        <w:tab/>
        <w:t>(c)</w:t>
      </w:r>
      <w:r>
        <w:tab/>
        <w:t>subject to subclauses (2) and (3) has a non</w:t>
      </w:r>
      <w:r>
        <w:noBreakHyphen/>
        <w:t>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 or</w:t>
      </w:r>
    </w:p>
    <w:p>
      <w:pPr>
        <w:pStyle w:val="yIndenta"/>
      </w:pPr>
      <w:r>
        <w:tab/>
        <w:t>(b)</w:t>
      </w:r>
      <w:r>
        <w:tab/>
        <w:t>a person who works for an Employer or a non</w:t>
      </w:r>
      <w:r>
        <w:noBreakHyphen/>
        <w:t>government contributor; or</w:t>
      </w:r>
    </w:p>
    <w:p>
      <w:pPr>
        <w:pStyle w:val="yIndenta"/>
      </w:pPr>
      <w:r>
        <w:lastRenderedPageBreak/>
        <w:tab/>
        <w:t>(c)</w:t>
      </w:r>
      <w:r>
        <w:tab/>
        <w:t>an Employer or a non</w:t>
      </w:r>
      <w:r>
        <w:noBreakHyphen/>
        <w:t>government contributor or a member of the board or other body responsible for the control or direction of an Employer or a non</w:t>
      </w:r>
      <w:r>
        <w:noBreakHyphen/>
        <w:t>government contributor; or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Corporations Act) in Australia,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 No. 21 of 2003 s. 34; No. 25 of 2007 s. 18 and 19(2); No. 50 of 2024 s. 26.]</w:t>
      </w:r>
    </w:p>
    <w:p>
      <w:pPr>
        <w:pStyle w:val="yHeading5"/>
      </w:pPr>
      <w:bookmarkStart w:id="121" w:name="_Toc195259787"/>
      <w:r>
        <w:rPr>
          <w:rStyle w:val="CharSClsNo"/>
        </w:rPr>
        <w:t>10</w:t>
      </w:r>
      <w:r>
        <w:t>.</w:t>
      </w:r>
      <w:r>
        <w:tab/>
        <w:t>Material interests to be disclosed etc.</w:t>
      </w:r>
      <w:bookmarkEnd w:id="121"/>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 or</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keepNext/>
      </w:pPr>
      <w:r>
        <w:lastRenderedPageBreak/>
        <w:tab/>
        <w:t>(4)</w:t>
      </w:r>
      <w:r>
        <w:tab/>
        <w:t>A contravention of this clause by a person does not invalidate a decision of the Board or committee.</w:t>
      </w:r>
    </w:p>
    <w:p>
      <w:pPr>
        <w:pStyle w:val="yFootnotesection"/>
      </w:pPr>
      <w:r>
        <w:tab/>
        <w:t>[Clause 10 amended: No. 25 of 2007 s. 19(2).]</w:t>
      </w:r>
    </w:p>
    <w:p>
      <w:pPr>
        <w:pStyle w:val="yHeading5"/>
      </w:pPr>
      <w:bookmarkStart w:id="122" w:name="_Toc195259788"/>
      <w:r>
        <w:rPr>
          <w:rStyle w:val="CharSClsNo"/>
        </w:rPr>
        <w:t>11</w:t>
      </w:r>
      <w:r>
        <w:t>.</w:t>
      </w:r>
      <w:r>
        <w:tab/>
        <w:t>Director etc. with material interest not to vote etc.</w:t>
      </w:r>
      <w:bookmarkEnd w:id="122"/>
    </w:p>
    <w:p>
      <w:pPr>
        <w:pStyle w:val="ySubsection"/>
      </w:pPr>
      <w:r>
        <w:tab/>
        <w:t>(1)</w:t>
      </w:r>
      <w:r>
        <w:tab/>
        <w:t xml:space="preserve">A director or committee member who has a material interest in a matter being considered by the Board or committee — </w:t>
      </w:r>
    </w:p>
    <w:p>
      <w:pPr>
        <w:pStyle w:val="yIndenta"/>
        <w:spacing w:before="60"/>
      </w:pPr>
      <w:r>
        <w:tab/>
        <w:t>(a)</w:t>
      </w:r>
      <w:r>
        <w:tab/>
        <w:t>must not be present while the matter is being considered at a meeting of the Board or committee; and</w:t>
      </w:r>
    </w:p>
    <w:p>
      <w:pPr>
        <w:pStyle w:val="yIndenta"/>
        <w:spacing w:before="60"/>
      </w:pPr>
      <w:r>
        <w:tab/>
        <w:t>(b)</w:t>
      </w:r>
      <w:r>
        <w:tab/>
        <w:t>must not vote on the matter, whether at a meeting or otherwise.</w:t>
      </w:r>
    </w:p>
    <w:p>
      <w:pPr>
        <w:pStyle w:val="ySubsection"/>
      </w:pPr>
      <w:r>
        <w:tab/>
        <w:t>(2)</w:t>
      </w:r>
      <w:r>
        <w:tab/>
        <w:t>If as a result of one or more directors being disqualified under subclause (1) the Board is unable to form a quorum in relation to a matter, the Treasurer may deal with the matter.</w:t>
      </w:r>
    </w:p>
    <w:p>
      <w:pPr>
        <w:pStyle w:val="yFootnotesection"/>
        <w:spacing w:before="100"/>
      </w:pPr>
      <w:r>
        <w:tab/>
        <w:t>[Clause 11 amended: No. 35 of 2011 s. 31.]</w:t>
      </w:r>
    </w:p>
    <w:p>
      <w:pPr>
        <w:pStyle w:val="yHeading5"/>
      </w:pPr>
      <w:bookmarkStart w:id="123" w:name="_Toc195259789"/>
      <w:r>
        <w:rPr>
          <w:rStyle w:val="CharSClsNo"/>
        </w:rPr>
        <w:t>12</w:t>
      </w:r>
      <w:r>
        <w:t>.</w:t>
      </w:r>
      <w:r>
        <w:tab/>
        <w:t>Clause 11 may be disapplied</w:t>
      </w:r>
      <w:bookmarkEnd w:id="123"/>
    </w:p>
    <w:p>
      <w:pPr>
        <w:pStyle w:val="ySubsection"/>
      </w:pPr>
      <w:r>
        <w:tab/>
        <w:t>(1)</w:t>
      </w:r>
      <w:r>
        <w:tab/>
        <w:t xml:space="preserve">Clause 11 does not apply if the Board has at any time passed a resolution that — </w:t>
      </w:r>
    </w:p>
    <w:p>
      <w:pPr>
        <w:pStyle w:val="yIndenta"/>
        <w:spacing w:before="60"/>
      </w:pPr>
      <w:r>
        <w:tab/>
        <w:t>(a)</w:t>
      </w:r>
      <w:r>
        <w:tab/>
        <w:t>specifies the director or committee member, the interest and the matter; and</w:t>
      </w:r>
    </w:p>
    <w:p>
      <w:pPr>
        <w:pStyle w:val="yIndenta"/>
        <w:spacing w:before="60"/>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spacing w:before="60"/>
      </w:pPr>
      <w:r>
        <w:tab/>
        <w:t>(a)</w:t>
      </w:r>
      <w:r>
        <w:tab/>
        <w:t>must not be present at a meeting of the Board while a proposed resolution under subclause (1) in relation to that matter is being considered; and</w:t>
      </w:r>
    </w:p>
    <w:p>
      <w:pPr>
        <w:pStyle w:val="yIndenta"/>
        <w:spacing w:before="60"/>
      </w:pPr>
      <w:r>
        <w:tab/>
        <w:t>(b)</w:t>
      </w:r>
      <w:r>
        <w:tab/>
        <w:t xml:space="preserve">must not vote, whether at a meeting or otherwise, on a proposed resolution under subclause (1) in relation to the matter, whether in relation to that or a different director. </w:t>
      </w:r>
    </w:p>
    <w:p>
      <w:pPr>
        <w:pStyle w:val="ySubsection"/>
        <w:spacing w:before="150"/>
      </w:pPr>
      <w:r>
        <w:tab/>
        <w:t>(3)</w:t>
      </w:r>
      <w:r>
        <w:tab/>
        <w:t>The Treasurer may by notice to the Board declare that clause 11 does not apply in relation to a specified matter either generally or in voting on particular resolutions.</w:t>
      </w:r>
    </w:p>
    <w:p>
      <w:pPr>
        <w:pStyle w:val="ySubsection"/>
        <w:spacing w:before="150"/>
      </w:pPr>
      <w:r>
        <w:lastRenderedPageBreak/>
        <w:tab/>
        <w:t>(4)</w:t>
      </w:r>
      <w:r>
        <w:tab/>
        <w:t xml:space="preserve">The text of any declaration received by the Board is to be included in the annual report submitted by the accountable authority of the Board under Part 5 of the </w:t>
      </w:r>
      <w:r>
        <w:rPr>
          <w:i/>
          <w:iCs/>
        </w:rPr>
        <w:t>Financial Management Act 2006</w:t>
      </w:r>
      <w:r>
        <w:t>.</w:t>
      </w:r>
    </w:p>
    <w:p>
      <w:pPr>
        <w:pStyle w:val="yFootnotesection"/>
        <w:spacing w:before="100"/>
      </w:pPr>
      <w:r>
        <w:tab/>
        <w:t>[Clause 12 amended: No. 77 of 2006 Sch. 1 cl. 160(3); No. 35 of 2011 s. 31.]</w:t>
      </w:r>
    </w:p>
    <w:p>
      <w:pPr>
        <w:pStyle w:val="yScheduleHeading"/>
      </w:pPr>
      <w:bookmarkStart w:id="124" w:name="_Toc195190986"/>
      <w:bookmarkStart w:id="125" w:name="_Toc195194063"/>
      <w:bookmarkStart w:id="126" w:name="_Toc195196198"/>
      <w:bookmarkStart w:id="127" w:name="_Toc195259790"/>
      <w:r>
        <w:rPr>
          <w:rStyle w:val="CharSchNo"/>
        </w:rPr>
        <w:lastRenderedPageBreak/>
        <w:t>Schedule 3</w:t>
      </w:r>
      <w:r>
        <w:t> — </w:t>
      </w:r>
      <w:r>
        <w:rPr>
          <w:rStyle w:val="CharSchText"/>
        </w:rPr>
        <w:t>Provisions to be included in constitution of subsidiary</w:t>
      </w:r>
      <w:bookmarkEnd w:id="124"/>
      <w:bookmarkEnd w:id="125"/>
      <w:bookmarkEnd w:id="126"/>
      <w:bookmarkEnd w:id="127"/>
    </w:p>
    <w:p>
      <w:pPr>
        <w:pStyle w:val="yShoulderClause"/>
        <w:spacing w:before="80"/>
      </w:pPr>
      <w:r>
        <w:t>[s. 7B]</w:t>
      </w:r>
    </w:p>
    <w:p>
      <w:pPr>
        <w:pStyle w:val="yFootnoteheading"/>
        <w:spacing w:before="80"/>
      </w:pPr>
      <w:r>
        <w:tab/>
        <w:t>[Heading inserted: No. 18 of 2006 s. 16.]</w:t>
      </w:r>
    </w:p>
    <w:p>
      <w:pPr>
        <w:pStyle w:val="yHeading5"/>
      </w:pPr>
      <w:bookmarkStart w:id="128" w:name="_Toc195259791"/>
      <w:r>
        <w:rPr>
          <w:rStyle w:val="CharSClsNo"/>
        </w:rPr>
        <w:t>1</w:t>
      </w:r>
      <w:r>
        <w:t>.</w:t>
      </w:r>
      <w:r>
        <w:tab/>
        <w:t>Term used: prior approval</w:t>
      </w:r>
      <w:bookmarkEnd w:id="128"/>
    </w:p>
    <w:p>
      <w:pPr>
        <w:pStyle w:val="ySubsection"/>
      </w:pPr>
      <w:r>
        <w:tab/>
      </w:r>
      <w:r>
        <w:tab/>
        <w:t xml:space="preserve">In this Schedule — </w:t>
      </w:r>
    </w:p>
    <w:p>
      <w:pPr>
        <w:pStyle w:val="yDefstart"/>
      </w:pPr>
      <w:r>
        <w:tab/>
      </w:r>
      <w:r>
        <w:rPr>
          <w:rStyle w:val="CharDefText"/>
        </w:rPr>
        <w:t>prior approval</w:t>
      </w:r>
      <w:r>
        <w:t xml:space="preserve"> means the prior written approval of the Treasurer.</w:t>
      </w:r>
    </w:p>
    <w:p>
      <w:pPr>
        <w:pStyle w:val="yFootnotesection"/>
        <w:spacing w:before="100"/>
      </w:pPr>
      <w:r>
        <w:tab/>
        <w:t>[Clause 1 inserted: No. 18 of 2006 s. 16; amended: No. 35 of 2011 s. 39.]</w:t>
      </w:r>
    </w:p>
    <w:p>
      <w:pPr>
        <w:pStyle w:val="yHeading5"/>
      </w:pPr>
      <w:bookmarkStart w:id="129" w:name="_Toc195259792"/>
      <w:r>
        <w:rPr>
          <w:rStyle w:val="CharSClsNo"/>
        </w:rPr>
        <w:t>2</w:t>
      </w:r>
      <w:r>
        <w:t>.</w:t>
      </w:r>
      <w:r>
        <w:tab/>
        <w:t>Disposal of shares</w:t>
      </w:r>
      <w:bookmarkEnd w:id="129"/>
    </w:p>
    <w:p>
      <w:pPr>
        <w:pStyle w:val="ySubsection"/>
      </w:pPr>
      <w:r>
        <w:tab/>
        <w:t>(1)</w:t>
      </w:r>
      <w:r>
        <w:tab/>
        <w:t>The Board must not sell or otherwise dispose of shares in the subsidiary without prior approval.</w:t>
      </w:r>
    </w:p>
    <w:p>
      <w:pPr>
        <w:pStyle w:val="ySubsection"/>
      </w:pPr>
      <w:r>
        <w:tab/>
        <w:t>(2)</w:t>
      </w:r>
      <w:r>
        <w:tab/>
        <w:t>The Treasurer is empowered to execute a transfer of any shares in the subsidiary held by the Board.</w:t>
      </w:r>
    </w:p>
    <w:p>
      <w:pPr>
        <w:pStyle w:val="yFootnotesection"/>
        <w:spacing w:before="100"/>
      </w:pPr>
      <w:r>
        <w:tab/>
        <w:t>[Clause 2 inserted: No. 18 of 2006 s. 16; amended: No. 35 of 2011 s. 31.]</w:t>
      </w:r>
    </w:p>
    <w:p>
      <w:pPr>
        <w:pStyle w:val="yHeading5"/>
      </w:pPr>
      <w:bookmarkStart w:id="130" w:name="_Toc195259793"/>
      <w:r>
        <w:rPr>
          <w:rStyle w:val="CharSClsNo"/>
        </w:rPr>
        <w:t>3</w:t>
      </w:r>
      <w:r>
        <w:t>.</w:t>
      </w:r>
      <w:r>
        <w:tab/>
        <w:t>Directors</w:t>
      </w:r>
      <w:bookmarkEnd w:id="130"/>
    </w:p>
    <w:p>
      <w:pPr>
        <w:pStyle w:val="ySubsection"/>
      </w:pPr>
      <w:r>
        <w:tab/>
        <w:t>(1)</w:t>
      </w:r>
      <w:r>
        <w:tab/>
        <w:t>The directors of the subsidiary are to be appointed by the Board, but no such director may be appointed without prior approval.</w:t>
      </w:r>
    </w:p>
    <w:p>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pPr>
        <w:pStyle w:val="ySubsection"/>
      </w:pPr>
      <w:r>
        <w:tab/>
        <w:t>(3)</w:t>
      </w:r>
      <w:r>
        <w:tab/>
        <w:t>The board of the subsidiary is accountable to the Treasurer in the manner set out in section 36 and in the constitution of the subsidiary.</w:t>
      </w:r>
    </w:p>
    <w:p>
      <w:pPr>
        <w:pStyle w:val="yFootnotesection"/>
        <w:spacing w:before="100"/>
      </w:pPr>
      <w:r>
        <w:tab/>
        <w:t>[Clause 3 inserted: No. 18 of 2006 s. 16; amended: No. 35 of 2011 s. 31.]</w:t>
      </w:r>
    </w:p>
    <w:p>
      <w:pPr>
        <w:pStyle w:val="yHeading5"/>
      </w:pPr>
      <w:bookmarkStart w:id="131" w:name="_Toc195259794"/>
      <w:r>
        <w:rPr>
          <w:rStyle w:val="CharSClsNo"/>
        </w:rPr>
        <w:lastRenderedPageBreak/>
        <w:t>4</w:t>
      </w:r>
      <w:r>
        <w:t>.</w:t>
      </w:r>
      <w:r>
        <w:tab/>
        <w:t>Further shares</w:t>
      </w:r>
      <w:bookmarkEnd w:id="131"/>
    </w:p>
    <w:p>
      <w:pPr>
        <w:pStyle w:val="ySubsection"/>
        <w:keepNext/>
      </w:pPr>
      <w:r>
        <w:tab/>
      </w:r>
      <w:r>
        <w:tab/>
        <w:t>Shares in the subsidiary must not be issued or transferred without prior approval.</w:t>
      </w:r>
    </w:p>
    <w:p>
      <w:pPr>
        <w:pStyle w:val="yFootnotesection"/>
        <w:spacing w:before="100"/>
      </w:pPr>
      <w:r>
        <w:tab/>
        <w:t>[Clause 4 inserted: No. 18 of 2006 s. 16.]</w:t>
      </w:r>
    </w:p>
    <w:p>
      <w:pPr>
        <w:pStyle w:val="yHeading5"/>
      </w:pPr>
      <w:bookmarkStart w:id="132" w:name="_Toc195259795"/>
      <w:r>
        <w:rPr>
          <w:rStyle w:val="CharSClsNo"/>
        </w:rPr>
        <w:t>5</w:t>
      </w:r>
      <w:r>
        <w:t>.</w:t>
      </w:r>
      <w:r>
        <w:tab/>
        <w:t>Alteration of constitution</w:t>
      </w:r>
      <w:bookmarkEnd w:id="132"/>
    </w:p>
    <w:p>
      <w:pPr>
        <w:pStyle w:val="ySubsection"/>
      </w:pPr>
      <w:r>
        <w:tab/>
      </w:r>
      <w:r>
        <w:tab/>
        <w:t>The constitution of the subsidiary must not be modified or replaced without prior approval.</w:t>
      </w:r>
    </w:p>
    <w:p>
      <w:pPr>
        <w:pStyle w:val="yFootnotesection"/>
      </w:pPr>
      <w:r>
        <w:tab/>
        <w:t>[Clause 5 inserted: No. 18 of 2006 s. 16.]</w:t>
      </w:r>
    </w:p>
    <w:p>
      <w:pPr>
        <w:pStyle w:val="yHeading5"/>
      </w:pPr>
      <w:bookmarkStart w:id="133" w:name="_Toc195259796"/>
      <w:r>
        <w:rPr>
          <w:rStyle w:val="CharSClsNo"/>
        </w:rPr>
        <w:t>6</w:t>
      </w:r>
      <w:r>
        <w:t>.</w:t>
      </w:r>
      <w:r>
        <w:tab/>
        <w:t>Subsidiaries of subsidiary</w:t>
      </w:r>
      <w:bookmarkEnd w:id="133"/>
    </w:p>
    <w:p>
      <w:pPr>
        <w:pStyle w:val="ySubsection"/>
      </w:pPr>
      <w:r>
        <w:tab/>
        <w:t>(1)</w:t>
      </w:r>
      <w:r>
        <w:tab/>
        <w:t>The subsidiary must not form or acquire any subsidiary without prior approval.</w:t>
      </w:r>
    </w:p>
    <w:p>
      <w:pPr>
        <w:pStyle w:val="ySubsection"/>
      </w:pPr>
      <w:r>
        <w:tab/>
        <w:t>(2)</w:t>
      </w:r>
      <w:r>
        <w:tab/>
        <w:t>The subsidiary must ensure that the constitution of each of its subsidiaries at all times complies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6 inserted: No. 18 of 2006 s. 16.]</w:t>
      </w: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4"/>
          <w:headerReference w:type="default" r:id="rId25"/>
          <w:headerReference w:type="first" r:id="rId26"/>
          <w:type w:val="continuous"/>
          <w:pgSz w:w="11907" w:h="16840" w:code="9"/>
          <w:pgMar w:top="2376" w:right="2405" w:bottom="3542" w:left="2405" w:header="706" w:footer="3544" w:gutter="0"/>
          <w:cols w:space="720"/>
          <w:noEndnote/>
          <w:docGrid w:linePitch="326"/>
        </w:sectPr>
      </w:pPr>
    </w:p>
    <w:p>
      <w:pPr>
        <w:pStyle w:val="nHeading2"/>
      </w:pPr>
      <w:bookmarkStart w:id="135" w:name="_Toc195190993"/>
      <w:bookmarkStart w:id="136" w:name="_Toc195194070"/>
      <w:bookmarkStart w:id="137" w:name="_Toc195196205"/>
      <w:bookmarkStart w:id="138" w:name="_Toc195259797"/>
      <w:r>
        <w:lastRenderedPageBreak/>
        <w:t>Notes</w:t>
      </w:r>
      <w:bookmarkEnd w:id="135"/>
      <w:bookmarkEnd w:id="136"/>
      <w:bookmarkEnd w:id="137"/>
      <w:bookmarkEnd w:id="138"/>
    </w:p>
    <w:p>
      <w:pPr>
        <w:pStyle w:val="nStatement"/>
      </w:pPr>
      <w:r>
        <w:t xml:space="preserve">This is a compilation of the </w:t>
      </w:r>
      <w:r>
        <w:rPr>
          <w:i/>
          <w:noProof/>
        </w:rPr>
        <w:t>State Superannuation Act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9" w:name="_Toc195259798"/>
      <w:r>
        <w:t>Compilation table</w:t>
      </w:r>
      <w:bookmarkEnd w:id="13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State Superannuation Act 2000</w:t>
            </w:r>
          </w:p>
        </w:tc>
        <w:tc>
          <w:tcPr>
            <w:tcW w:w="1134" w:type="dxa"/>
            <w:tcBorders>
              <w:top w:val="single" w:sz="8" w:space="0" w:color="auto"/>
            </w:tcBorders>
          </w:tcPr>
          <w:p>
            <w:pPr>
              <w:pStyle w:val="nTable"/>
              <w:spacing w:after="40"/>
            </w:pPr>
            <w:r>
              <w:t>42 of 2000</w:t>
            </w:r>
          </w:p>
        </w:tc>
        <w:tc>
          <w:tcPr>
            <w:tcW w:w="1134" w:type="dxa"/>
            <w:tcBorders>
              <w:top w:val="single" w:sz="8" w:space="0" w:color="auto"/>
            </w:tcBorders>
          </w:tcPr>
          <w:p>
            <w:pPr>
              <w:pStyle w:val="nTable"/>
              <w:spacing w:after="40"/>
            </w:pPr>
            <w:r>
              <w:t>2 Nov 2000</w:t>
            </w:r>
          </w:p>
        </w:tc>
        <w:tc>
          <w:tcPr>
            <w:tcW w:w="2552" w:type="dxa"/>
            <w:tcBorders>
              <w:top w:val="single" w:sz="8" w:space="0" w:color="auto"/>
            </w:tcBorders>
          </w:tcPr>
          <w:p>
            <w:pPr>
              <w:pStyle w:val="nTable"/>
              <w:spacing w:after="40"/>
            </w:pPr>
            <w:r>
              <w:t>s. 1 and 2: 2 Nov 2000;</w:t>
            </w:r>
            <w:r>
              <w:br/>
              <w:t xml:space="preserve">Act other than s. 1 and 2: 17 Feb 2001 (see s. 2 and </w:t>
            </w:r>
            <w:r>
              <w:rPr>
                <w:i/>
              </w:rPr>
              <w:t>Gazette</w:t>
            </w:r>
            <w:r>
              <w:t xml:space="preserve"> 16 Feb 2001 p. 903)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Corporations (Consequential Amendments) Act 2001</w:t>
            </w:r>
            <w:r>
              <w:rPr>
                <w:snapToGrid w:val="0"/>
              </w:rPr>
              <w:t xml:space="preserve"> </w:t>
            </w:r>
            <w:r>
              <w:t>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Acts Amendment (Lesbian and Gay Law Reform) Act 2002</w:t>
            </w:r>
            <w:r>
              <w:rPr>
                <w:snapToGrid w:val="0"/>
              </w:rPr>
              <w:t xml:space="preserve"> Pt. 19</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Corporations (Consequential Amendments) Act (No. 3) 2003</w:t>
            </w:r>
            <w:r>
              <w:rPr>
                <w:snapToGrid w:val="0"/>
              </w:rPr>
              <w:t xml:space="preserve"> Pt. 15</w:t>
            </w:r>
            <w:r>
              <w:rPr>
                <w:snapToGrid w:val="0"/>
                <w:vertAlign w:val="superscript"/>
              </w:rPr>
              <w:t xml:space="preserve">  2</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State Administrative Tribunal (Conferral of Jurisdiction) Amendment and Repeal Act 2004</w:t>
            </w:r>
            <w:r>
              <w:rPr>
                <w:iCs/>
                <w:snapToGrid w:val="0"/>
              </w:rPr>
              <w:t xml:space="preserve"> Pt. 2 Div. 120</w:t>
            </w:r>
            <w:r>
              <w:rPr>
                <w:iCs/>
                <w:snapToGrid w:val="0"/>
                <w:vertAlign w:val="superscript"/>
              </w:rPr>
              <w:t> 3</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Cs/>
                <w:vertAlign w:val="superscript"/>
              </w:rPr>
            </w:pPr>
            <w:r>
              <w:rPr>
                <w:i/>
              </w:rPr>
              <w:t>Superannuation Legislation Amendment and Validation Act 2006</w:t>
            </w:r>
            <w:r>
              <w:rPr>
                <w:iCs/>
              </w:rPr>
              <w:t xml:space="preserve"> Pt. 3</w:t>
            </w:r>
            <w:r>
              <w:rPr>
                <w:iCs/>
                <w:vertAlign w:val="superscript"/>
              </w:rPr>
              <w:t> 4</w:t>
            </w:r>
          </w:p>
        </w:tc>
        <w:tc>
          <w:tcPr>
            <w:tcW w:w="1134" w:type="dxa"/>
          </w:tcPr>
          <w:p>
            <w:pPr>
              <w:pStyle w:val="nTable"/>
              <w:spacing w:after="40"/>
            </w:pPr>
            <w:r>
              <w:t>18 of 2006</w:t>
            </w:r>
          </w:p>
        </w:tc>
        <w:tc>
          <w:tcPr>
            <w:tcW w:w="1134" w:type="dxa"/>
          </w:tcPr>
          <w:p>
            <w:pPr>
              <w:pStyle w:val="nTable"/>
              <w:spacing w:after="40"/>
            </w:pPr>
            <w:r>
              <w:t>31 May 2006</w:t>
            </w:r>
          </w:p>
        </w:tc>
        <w:tc>
          <w:tcPr>
            <w:tcW w:w="2552" w:type="dxa"/>
          </w:tcPr>
          <w:p>
            <w:pPr>
              <w:pStyle w:val="nTable"/>
              <w:spacing w:after="40"/>
            </w:pPr>
            <w:r>
              <w:t>31 May 2006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snapToGrid w:val="0"/>
              </w:rPr>
              <w:t>Machinery of Government (Miscellaneous Amendments) Act 2006</w:t>
            </w:r>
            <w:r>
              <w:rPr>
                <w:i/>
                <w:iCs/>
                <w:snapToGrid w:val="0"/>
              </w:rPr>
              <w:t xml:space="preserve"> </w:t>
            </w:r>
            <w:r>
              <w:rPr>
                <w:snapToGrid w:val="0"/>
              </w:rPr>
              <w:t>Pt. 17 Div. 9</w:t>
            </w:r>
          </w:p>
        </w:tc>
        <w:tc>
          <w:tcPr>
            <w:tcW w:w="1134" w:type="dxa"/>
          </w:tcPr>
          <w:p>
            <w:pPr>
              <w:pStyle w:val="nTable"/>
              <w:spacing w:after="40"/>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snapToGrid w:val="0"/>
              </w:rPr>
              <w:t xml:space="preserve">State Superannuation Act 2000 </w:t>
            </w:r>
            <w:r>
              <w:rPr>
                <w:b/>
                <w:bCs/>
                <w:iCs/>
                <w:snapToGrid w:val="0"/>
              </w:rPr>
              <w:t>as at 18 Aug 2006</w:t>
            </w:r>
            <w:r>
              <w:rPr>
                <w:iCs/>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iCs/>
                <w:snapToGrid w:val="0"/>
              </w:rPr>
            </w:pPr>
            <w:r>
              <w:rPr>
                <w:i/>
                <w:snapToGrid w:val="0"/>
              </w:rPr>
              <w:lastRenderedPageBreak/>
              <w:t xml:space="preserve">Financial Legislation Amendment and Repeal Act 2006 </w:t>
            </w:r>
            <w:r>
              <w:rPr>
                <w:iCs/>
                <w:snapToGrid w:val="0"/>
              </w:rPr>
              <w:t>s. 4 and Sch. 1 cl. 160</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vertAlign w:val="superscript"/>
              </w:rPr>
            </w:pPr>
            <w:r>
              <w:rPr>
                <w:i/>
                <w:snapToGrid w:val="0"/>
              </w:rPr>
              <w:t>State Superannuation Amendment Act 2007</w:t>
            </w:r>
            <w:r>
              <w:rPr>
                <w:iCs/>
                <w:snapToGrid w:val="0"/>
              </w:rPr>
              <w:t xml:space="preserve"> Pt. 1, 2 and 5 </w:t>
            </w:r>
            <w:r>
              <w:t>Div. 3 Subdiv. 1</w:t>
            </w:r>
            <w:r>
              <w:rPr>
                <w:iCs/>
                <w:snapToGrid w:val="0"/>
              </w:rPr>
              <w:t> </w:t>
            </w:r>
            <w:r>
              <w:rPr>
                <w:iCs/>
                <w:snapToGrid w:val="0"/>
                <w:vertAlign w:val="superscript"/>
              </w:rPr>
              <w:t>5</w:t>
            </w:r>
          </w:p>
        </w:tc>
        <w:tc>
          <w:tcPr>
            <w:tcW w:w="1134" w:type="dxa"/>
            <w:tcBorders>
              <w:top w:val="nil"/>
              <w:bottom w:val="nil"/>
            </w:tcBorders>
          </w:tcPr>
          <w:p>
            <w:pPr>
              <w:pStyle w:val="nTable"/>
              <w:spacing w:after="40"/>
              <w:rPr>
                <w:snapToGrid w:val="0"/>
              </w:rPr>
            </w:pPr>
            <w:r>
              <w:rPr>
                <w:snapToGrid w:val="0"/>
              </w:rPr>
              <w:t>25 of 2007</w:t>
            </w:r>
          </w:p>
        </w:tc>
        <w:tc>
          <w:tcPr>
            <w:tcW w:w="1134" w:type="dxa"/>
            <w:tcBorders>
              <w:top w:val="nil"/>
              <w:bottom w:val="nil"/>
            </w:tcBorders>
          </w:tcPr>
          <w:p>
            <w:pPr>
              <w:pStyle w:val="nTable"/>
              <w:spacing w:after="40"/>
              <w:rPr>
                <w:snapToGrid w:val="0"/>
              </w:rPr>
            </w:pPr>
            <w:r>
              <w:t>16 Oct 2007</w:t>
            </w:r>
          </w:p>
        </w:tc>
        <w:tc>
          <w:tcPr>
            <w:tcW w:w="2552" w:type="dxa"/>
            <w:tcBorders>
              <w:top w:val="nil"/>
              <w:bottom w:val="nil"/>
            </w:tcBorders>
          </w:tcPr>
          <w:p>
            <w:pPr>
              <w:pStyle w:val="nTable"/>
              <w:rPr>
                <w:snapToGrid w:val="0"/>
                <w:u w:val="words"/>
              </w:rPr>
            </w:pPr>
            <w:r>
              <w:t>Pt. 1: 16 Oct 2007 (see s. 2(1)(a));</w:t>
            </w:r>
            <w:r>
              <w:br/>
              <w:t xml:space="preserve">Pt. 2: 6 Dec 2007 (see s. 2(1)(b) and </w:t>
            </w:r>
            <w:r>
              <w:rPr>
                <w:i/>
                <w:iCs/>
              </w:rPr>
              <w:t>Gazette</w:t>
            </w:r>
            <w:r>
              <w:t xml:space="preserve"> 5 Dec 2007 p. 5973);</w:t>
            </w:r>
            <w:r>
              <w:br/>
              <w:t xml:space="preserve">Pt. 5 Div. 3 Subdiv. 1: 6 Dec 2007 (see s. 2(1)(e) and </w:t>
            </w:r>
            <w:r>
              <w:rPr>
                <w:i/>
                <w:iCs/>
              </w:rPr>
              <w:t>Gazette</w:t>
            </w:r>
            <w:r>
              <w:t xml:space="preserve"> 5 Dec 2007 p. 5973)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pPr>
            <w:r>
              <w:t>1 Oct 2010</w:t>
            </w:r>
          </w:p>
        </w:tc>
        <w:tc>
          <w:tcPr>
            <w:tcW w:w="2552" w:type="dxa"/>
            <w:tcBorders>
              <w:top w:val="nil"/>
              <w:bottom w:val="nil"/>
            </w:tcBorders>
          </w:tcPr>
          <w:p>
            <w:pPr>
              <w:pStyle w:val="nTable"/>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State Superannuation Amendment Act 2011</w:t>
            </w:r>
          </w:p>
        </w:tc>
        <w:tc>
          <w:tcPr>
            <w:tcW w:w="1134" w:type="dxa"/>
            <w:tcBorders>
              <w:top w:val="nil"/>
              <w:bottom w:val="nil"/>
            </w:tcBorders>
          </w:tcPr>
          <w:p>
            <w:pPr>
              <w:pStyle w:val="nTable"/>
              <w:spacing w:after="40"/>
              <w:rPr>
                <w:snapToGrid w:val="0"/>
              </w:rPr>
            </w:pPr>
            <w:r>
              <w:rPr>
                <w:snapToGrid w:val="0"/>
              </w:rPr>
              <w:t>35 of 2011</w:t>
            </w:r>
          </w:p>
        </w:tc>
        <w:tc>
          <w:tcPr>
            <w:tcW w:w="1134" w:type="dxa"/>
            <w:tcBorders>
              <w:top w:val="nil"/>
              <w:bottom w:val="nil"/>
            </w:tcBorders>
          </w:tcPr>
          <w:p>
            <w:pPr>
              <w:pStyle w:val="nTable"/>
              <w:spacing w:after="40"/>
            </w:pPr>
            <w:r>
              <w:t>12 Sep 2011</w:t>
            </w:r>
          </w:p>
        </w:tc>
        <w:tc>
          <w:tcPr>
            <w:tcW w:w="2552" w:type="dxa"/>
            <w:tcBorders>
              <w:top w:val="nil"/>
              <w:bottom w:val="nil"/>
            </w:tcBorders>
          </w:tcPr>
          <w:p>
            <w:pPr>
              <w:pStyle w:val="nTable"/>
              <w:rPr>
                <w:snapToGrid w:val="0"/>
              </w:rPr>
            </w:pPr>
            <w:r>
              <w:rPr>
                <w:snapToGrid w:val="0"/>
              </w:rPr>
              <w:t>s. 1 and 2: 12 Sep 2011 (see s. 2(a));</w:t>
            </w:r>
            <w:r>
              <w:rPr>
                <w:snapToGrid w:val="0"/>
              </w:rPr>
              <w:br/>
              <w:t xml:space="preserve">Act other than s. 1 and 2: 30 Mar 2012 (see s. 2(b) and </w:t>
            </w:r>
            <w:r>
              <w:rPr>
                <w:i/>
                <w:snapToGrid w:val="0"/>
              </w:rPr>
              <w:t>Gazette</w:t>
            </w:r>
            <w:r>
              <w:rPr>
                <w:snapToGrid w:val="0"/>
              </w:rPr>
              <w:t xml:space="preserve"> 16 Mar 2012 p. 1245)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iCs/>
                <w:snapToGrid w:val="0"/>
              </w:rPr>
              <w:t>Statutes (Repeals and Minor Amendments) Act 2011</w:t>
            </w:r>
            <w:r>
              <w:rPr>
                <w:iCs/>
                <w:snapToGrid w:val="0"/>
              </w:rPr>
              <w:t xml:space="preserve"> s. 27</w:t>
            </w:r>
          </w:p>
        </w:tc>
        <w:tc>
          <w:tcPr>
            <w:tcW w:w="1134" w:type="dxa"/>
            <w:tcBorders>
              <w:top w:val="nil"/>
              <w:bottom w:val="nil"/>
            </w:tcBorders>
          </w:tcPr>
          <w:p>
            <w:pPr>
              <w:pStyle w:val="nTable"/>
              <w:spacing w:after="40"/>
              <w:rPr>
                <w:snapToGrid w:val="0"/>
              </w:rPr>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rPr>
                <w:snapToGrid w:val="0"/>
              </w:rPr>
            </w:pPr>
            <w:r>
              <w:rPr>
                <w:snapToGrid w:val="0"/>
              </w:rPr>
              <w:t>26 Oct 2011 (see s. 2(b))</w:t>
            </w:r>
          </w:p>
        </w:tc>
      </w:tr>
      <w:tr>
        <w:tblPrEx>
          <w:tblBorders>
            <w:top w:val="single" w:sz="4" w:space="0" w:color="auto"/>
            <w:bottom w:val="single" w:sz="4" w:space="0" w:color="auto"/>
            <w:insideH w:val="single" w:sz="4" w:space="0" w:color="auto"/>
          </w:tblBorders>
        </w:tblPrEx>
        <w:tc>
          <w:tcPr>
            <w:tcW w:w="7088" w:type="dxa"/>
            <w:gridSpan w:val="4"/>
            <w:tcBorders>
              <w:top w:val="nil"/>
              <w:bottom w:val="nil"/>
            </w:tcBorders>
          </w:tcPr>
          <w:p>
            <w:pPr>
              <w:pStyle w:val="nTable"/>
              <w:rPr>
                <w:snapToGrid w:val="0"/>
              </w:rPr>
            </w:pPr>
            <w:r>
              <w:rPr>
                <w:b/>
                <w:bCs/>
              </w:rPr>
              <w:t xml:space="preserve">Reprint 2: The </w:t>
            </w:r>
            <w:r>
              <w:rPr>
                <w:b/>
                <w:bCs/>
                <w:i/>
                <w:snapToGrid w:val="0"/>
              </w:rPr>
              <w:t xml:space="preserve">State Superannuation Act 2000 </w:t>
            </w:r>
            <w:r>
              <w:rPr>
                <w:b/>
                <w:bCs/>
                <w:iCs/>
                <w:snapToGrid w:val="0"/>
              </w:rPr>
              <w:t>as at 11 May 2012</w:t>
            </w:r>
            <w:r>
              <w:rPr>
                <w:iCs/>
                <w:snapToGrid w:val="0"/>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iCs/>
                <w:snapToGrid w:val="0"/>
              </w:rPr>
              <w:t>Statutes (Repeals and Minor Amendments) Act 2014</w:t>
            </w:r>
            <w:r>
              <w:rPr>
                <w:iCs/>
                <w:snapToGrid w:val="0"/>
              </w:rPr>
              <w:t xml:space="preserve"> s. 40</w:t>
            </w:r>
          </w:p>
        </w:tc>
        <w:tc>
          <w:tcPr>
            <w:tcW w:w="1134" w:type="dxa"/>
            <w:tcBorders>
              <w:top w:val="nil"/>
              <w:bottom w:val="nil"/>
            </w:tcBorders>
          </w:tcPr>
          <w:p>
            <w:pPr>
              <w:pStyle w:val="nTable"/>
              <w:spacing w:after="40"/>
              <w:rPr>
                <w:snapToGrid w:val="0"/>
              </w:rPr>
            </w:pPr>
            <w:r>
              <w:rPr>
                <w:snapToGrid w:val="0"/>
              </w:rPr>
              <w:t>17 of 2014</w:t>
            </w:r>
          </w:p>
        </w:tc>
        <w:tc>
          <w:tcPr>
            <w:tcW w:w="1134" w:type="dxa"/>
            <w:tcBorders>
              <w:top w:val="nil"/>
              <w:bottom w:val="nil"/>
            </w:tcBorders>
          </w:tcPr>
          <w:p>
            <w:pPr>
              <w:pStyle w:val="nTable"/>
              <w:spacing w:after="40"/>
            </w:pPr>
            <w:r>
              <w:rPr>
                <w:snapToGrid w:val="0"/>
              </w:rPr>
              <w:t>2 Jul 2014</w:t>
            </w:r>
          </w:p>
        </w:tc>
        <w:tc>
          <w:tcPr>
            <w:tcW w:w="2552" w:type="dxa"/>
            <w:tcBorders>
              <w:top w:val="nil"/>
              <w:bottom w:val="nil"/>
            </w:tcBorders>
          </w:tcPr>
          <w:p>
            <w:pPr>
              <w:pStyle w:val="nTable"/>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Unclaimed Money (Superannuation and RSA Providers) Amendment and Expiry Act 2014</w:t>
            </w:r>
            <w:r>
              <w:rPr>
                <w:snapToGrid w:val="0"/>
              </w:rPr>
              <w:t xml:space="preserve"> Pt. 3</w:t>
            </w:r>
          </w:p>
        </w:tc>
        <w:tc>
          <w:tcPr>
            <w:tcW w:w="1134" w:type="dxa"/>
            <w:tcBorders>
              <w:top w:val="nil"/>
              <w:bottom w:val="nil"/>
            </w:tcBorders>
          </w:tcPr>
          <w:p>
            <w:pPr>
              <w:pStyle w:val="nTable"/>
              <w:spacing w:after="40"/>
              <w:rPr>
                <w:snapToGrid w:val="0"/>
              </w:rPr>
            </w:pPr>
            <w:r>
              <w:t>22 of 2014</w:t>
            </w:r>
          </w:p>
        </w:tc>
        <w:tc>
          <w:tcPr>
            <w:tcW w:w="1134" w:type="dxa"/>
            <w:tcBorders>
              <w:top w:val="nil"/>
              <w:bottom w:val="nil"/>
            </w:tcBorders>
          </w:tcPr>
          <w:p>
            <w:pPr>
              <w:pStyle w:val="nTable"/>
              <w:spacing w:after="40"/>
              <w:rPr>
                <w:snapToGrid w:val="0"/>
              </w:rPr>
            </w:pPr>
            <w:r>
              <w:t>29 Aug 2014</w:t>
            </w:r>
          </w:p>
        </w:tc>
        <w:tc>
          <w:tcPr>
            <w:tcW w:w="2552" w:type="dxa"/>
            <w:tcBorders>
              <w:top w:val="nil"/>
              <w:bottom w:val="nil"/>
            </w:tcBorders>
          </w:tcPr>
          <w:p>
            <w:pPr>
              <w:pStyle w:val="nTable"/>
              <w:rPr>
                <w:snapToGrid w:val="0"/>
              </w:rPr>
            </w:pPr>
            <w:r>
              <w:rPr>
                <w:snapToGrid w:val="0"/>
              </w:rPr>
              <w:t xml:space="preserve">7 Jan 2015 (see s. 2(b) and </w:t>
            </w:r>
            <w:r>
              <w:rPr>
                <w:i/>
                <w:snapToGrid w:val="0"/>
              </w:rPr>
              <w:t>Gazette</w:t>
            </w:r>
            <w:r>
              <w:rPr>
                <w:snapToGrid w:val="0"/>
              </w:rPr>
              <w:t xml:space="preserve"> 6 Jan 2015 p. 3)</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snapToGrid w:val="0"/>
              </w:rPr>
            </w:pPr>
            <w:r>
              <w:rPr>
                <w:i/>
              </w:rPr>
              <w:t>State Superannuation Amendment Act 2024</w:t>
            </w:r>
            <w:r>
              <w:rPr>
                <w:iCs/>
              </w:rPr>
              <w:t xml:space="preserve"> (other than s. 5(2) and 6</w:t>
            </w:r>
            <w:r>
              <w:rPr>
                <w:iCs/>
              </w:rPr>
              <w:noBreakHyphen/>
              <w:t>8)</w:t>
            </w:r>
          </w:p>
        </w:tc>
        <w:tc>
          <w:tcPr>
            <w:tcW w:w="1134" w:type="dxa"/>
            <w:tcBorders>
              <w:top w:val="nil"/>
              <w:bottom w:val="single" w:sz="4" w:space="0" w:color="auto"/>
            </w:tcBorders>
          </w:tcPr>
          <w:p>
            <w:pPr>
              <w:pStyle w:val="nTable"/>
              <w:spacing w:after="40"/>
            </w:pPr>
            <w:r>
              <w:t>50 of 2024</w:t>
            </w:r>
          </w:p>
        </w:tc>
        <w:tc>
          <w:tcPr>
            <w:tcW w:w="1134" w:type="dxa"/>
            <w:tcBorders>
              <w:top w:val="nil"/>
              <w:bottom w:val="single" w:sz="4" w:space="0" w:color="auto"/>
            </w:tcBorders>
          </w:tcPr>
          <w:p>
            <w:pPr>
              <w:pStyle w:val="nTable"/>
              <w:spacing w:after="40"/>
            </w:pPr>
            <w:r>
              <w:t>6 Dec 2024</w:t>
            </w:r>
          </w:p>
        </w:tc>
        <w:tc>
          <w:tcPr>
            <w:tcW w:w="2552" w:type="dxa"/>
            <w:tcBorders>
              <w:top w:val="nil"/>
              <w:bottom w:val="single" w:sz="4" w:space="0" w:color="auto"/>
            </w:tcBorders>
          </w:tcPr>
          <w:p>
            <w:pPr>
              <w:pStyle w:val="nTable"/>
              <w:rPr>
                <w:snapToGrid w:val="0"/>
              </w:rPr>
            </w:pPr>
            <w:r>
              <w:t>s. 1 and 2: 6 Dec 2024 (see s. 2(a));</w:t>
            </w:r>
            <w:r>
              <w:br/>
              <w:t>s. 3, 4, 5(1) and (3) and 9-27: 17 Apr 2025 (see s. 2(b) and</w:t>
            </w:r>
            <w:r>
              <w:rPr>
                <w:i/>
              </w:rPr>
              <w:t xml:space="preserve"> </w:t>
            </w:r>
            <w:r>
              <w:rPr>
                <w:iCs/>
              </w:rPr>
              <w:t>SL 2025/55 cl. 2</w:t>
            </w:r>
            <w:r>
              <w:t>)</w:t>
            </w:r>
          </w:p>
        </w:tc>
      </w:tr>
    </w:tbl>
    <w:p>
      <w:pPr>
        <w:pStyle w:val="nHeading3"/>
      </w:pPr>
      <w:bookmarkStart w:id="140" w:name="_Toc195259799"/>
      <w:r>
        <w:lastRenderedPageBreak/>
        <w:t>Uncommenced provisions table</w:t>
      </w:r>
      <w:bookmarkEnd w:id="14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48" w:type="dxa"/>
          </w:tcPr>
          <w:p>
            <w:pPr>
              <w:pStyle w:val="nTable"/>
              <w:spacing w:after="40"/>
              <w:rPr>
                <w:b/>
              </w:rPr>
            </w:pPr>
            <w:r>
              <w:rPr>
                <w:b/>
              </w:rPr>
              <w:t>Assent</w:t>
            </w:r>
          </w:p>
        </w:tc>
        <w:tc>
          <w:tcPr>
            <w:tcW w:w="2438" w:type="dxa"/>
          </w:tcPr>
          <w:p>
            <w:pPr>
              <w:pStyle w:val="nTable"/>
              <w:spacing w:after="40"/>
              <w:rPr>
                <w:b/>
              </w:rPr>
            </w:pPr>
            <w:r>
              <w:rPr>
                <w:b/>
              </w:rPr>
              <w:t>Commencement</w:t>
            </w:r>
          </w:p>
        </w:tc>
      </w:tr>
      <w:tr>
        <w:tc>
          <w:tcPr>
            <w:tcW w:w="2268" w:type="dxa"/>
          </w:tcPr>
          <w:p>
            <w:pPr>
              <w:pStyle w:val="nTable"/>
              <w:spacing w:after="40"/>
              <w:rPr>
                <w:iCs/>
              </w:rPr>
            </w:pPr>
            <w:r>
              <w:rPr>
                <w:i/>
              </w:rPr>
              <w:t>State Superannuation Amendment Act 2024</w:t>
            </w:r>
            <w:r>
              <w:rPr>
                <w:iCs/>
              </w:rPr>
              <w:t xml:space="preserve"> s. 5(2) and 6-8</w:t>
            </w:r>
          </w:p>
        </w:tc>
        <w:tc>
          <w:tcPr>
            <w:tcW w:w="1134" w:type="dxa"/>
          </w:tcPr>
          <w:p>
            <w:pPr>
              <w:pStyle w:val="nTable"/>
              <w:spacing w:after="40"/>
            </w:pPr>
            <w:r>
              <w:t>50 of 2024</w:t>
            </w:r>
          </w:p>
        </w:tc>
        <w:tc>
          <w:tcPr>
            <w:tcW w:w="1248" w:type="dxa"/>
          </w:tcPr>
          <w:p>
            <w:pPr>
              <w:pStyle w:val="nTable"/>
              <w:spacing w:after="40"/>
            </w:pPr>
            <w:r>
              <w:t>6 Dec 2024</w:t>
            </w:r>
          </w:p>
        </w:tc>
        <w:tc>
          <w:tcPr>
            <w:tcW w:w="2438" w:type="dxa"/>
          </w:tcPr>
          <w:p>
            <w:pPr>
              <w:pStyle w:val="nTable"/>
              <w:spacing w:after="40"/>
            </w:pPr>
            <w:r>
              <w:t>To be proclaimed (see s. 2(b))</w:t>
            </w:r>
          </w:p>
        </w:tc>
      </w:tr>
    </w:tbl>
    <w:p>
      <w:pPr>
        <w:pStyle w:val="nHeading3"/>
      </w:pPr>
      <w:bookmarkStart w:id="141" w:name="_Toc195259800"/>
      <w:r>
        <w:t>Other notes</w:t>
      </w:r>
      <w:bookmarkEnd w:id="141"/>
    </w:p>
    <w:p>
      <w:pPr>
        <w:pStyle w:val="nNote"/>
        <w:spacing w:before="120"/>
      </w:pPr>
      <w:r>
        <w:rPr>
          <w:vertAlign w:val="superscript"/>
        </w:rPr>
        <w:t>1</w:t>
      </w:r>
      <w:r>
        <w:tab/>
        <w:t>The</w:t>
      </w:r>
      <w:r>
        <w:rPr>
          <w:snapToGrid w:val="0"/>
        </w:rPr>
        <w:t xml:space="preserve"> </w:t>
      </w:r>
      <w:r>
        <w:rPr>
          <w:i/>
          <w:iCs/>
          <w:snapToGrid w:val="0"/>
        </w:rPr>
        <w:t>Superannuation and Family Benefits Act 1938</w:t>
      </w:r>
      <w:r>
        <w:rPr>
          <w:snapToGrid w:val="0"/>
        </w:rPr>
        <w:t xml:space="preserve"> was repealed by s. 39 of this Act.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spacing w:before="120"/>
      </w:pPr>
      <w:r>
        <w:rPr>
          <w:vertAlign w:val="superscript"/>
        </w:rPr>
        <w:t>2</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keepNext/>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spacing w:before="120"/>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lastRenderedPageBreak/>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Note"/>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keepNext/>
        <w:rPr>
          <w:iCs/>
        </w:rPr>
      </w:pPr>
      <w:r>
        <w:rPr>
          <w:iCs/>
          <w:vertAlign w:val="superscript"/>
        </w:rPr>
        <w:t>4</w:t>
      </w:r>
      <w:r>
        <w:rPr>
          <w:iCs/>
        </w:rPr>
        <w:tab/>
        <w:t xml:space="preserve">The </w:t>
      </w:r>
      <w:r>
        <w:rPr>
          <w:i/>
        </w:rPr>
        <w:t>Superannuation Legislation Amendment and Validation Act 2006</w:t>
      </w:r>
      <w:r>
        <w:rPr>
          <w:iCs/>
        </w:rPr>
        <w:t xml:space="preserve"> s. 17 and 18 read as follows:</w:t>
      </w:r>
    </w:p>
    <w:p>
      <w:pPr>
        <w:pStyle w:val="BlankOpen"/>
      </w:pPr>
    </w:p>
    <w:p>
      <w:pPr>
        <w:pStyle w:val="nzHeading5"/>
      </w:pPr>
      <w:r>
        <w:rPr>
          <w:rStyle w:val="CharSectno"/>
        </w:rPr>
        <w:t>17</w:t>
      </w:r>
      <w:r>
        <w:t>.</w:t>
      </w:r>
      <w:r>
        <w:tab/>
        <w:t>Validation of certain payments</w:t>
      </w:r>
    </w:p>
    <w:p>
      <w:pPr>
        <w:pStyle w:val="nzSubsection"/>
      </w:pPr>
      <w:r>
        <w:tab/>
        <w:t>(1)</w:t>
      </w:r>
      <w:r>
        <w:tab/>
        <w:t xml:space="preserve">In this section — </w:t>
      </w:r>
    </w:p>
    <w:p>
      <w:pPr>
        <w:pStyle w:val="nzDefstart"/>
      </w:pPr>
      <w:r>
        <w:rPr>
          <w:b/>
        </w:rPr>
        <w:tab/>
      </w:r>
      <w:r>
        <w:rPr>
          <w:rStyle w:val="CharDefText"/>
        </w:rPr>
        <w:t>Superannuation Act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lastRenderedPageBreak/>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pPr>
      <w:r>
        <w:rPr>
          <w:rStyle w:val="CharSectno"/>
        </w:rPr>
        <w:t>18</w:t>
      </w:r>
      <w:r>
        <w:t>.</w:t>
      </w:r>
      <w:r>
        <w:tab/>
        <w:t>Validation of contributions made for visiting medical practitioners</w:t>
      </w:r>
    </w:p>
    <w:p>
      <w:pPr>
        <w:pStyle w:val="nzSubsection"/>
        <w:keepNext/>
      </w:pPr>
      <w:r>
        <w:tab/>
        <w:t>(1)</w:t>
      </w:r>
      <w:r>
        <w:tab/>
        <w:t xml:space="preserve">In this section — </w:t>
      </w:r>
    </w:p>
    <w:p>
      <w:pPr>
        <w:pStyle w:val="nzDefstart"/>
      </w:pPr>
      <w:r>
        <w:rPr>
          <w:b/>
        </w:rPr>
        <w:tab/>
      </w:r>
      <w:r>
        <w:rPr>
          <w:rStyle w:val="CharDefText"/>
        </w:rPr>
        <w:t>Board</w:t>
      </w:r>
      <w:r>
        <w:t xml:space="preserve"> means the Government Employees Superannuation Board referred to in the </w:t>
      </w:r>
      <w:r>
        <w:rPr>
          <w:i/>
          <w:iCs/>
        </w:rPr>
        <w:t>State Superannuation Act 2000</w:t>
      </w:r>
      <w:r>
        <w:t xml:space="preserve"> section 5;</w:t>
      </w:r>
    </w:p>
    <w:p>
      <w:pPr>
        <w:pStyle w:val="nzDefstart"/>
      </w:pPr>
      <w:r>
        <w:rPr>
          <w:b/>
        </w:rPr>
        <w:tab/>
      </w:r>
      <w:r>
        <w:rPr>
          <w:rStyle w:val="CharDefText"/>
        </w:rPr>
        <w:t>visiting medical practitioner</w:t>
      </w:r>
      <w:r>
        <w:t xml:space="preserve"> means a medical practitioner engaged, other than as an employee, to provide services in a hospital.</w:t>
      </w:r>
    </w:p>
    <w:p>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pPr>
        <w:pStyle w:val="nzSubsection"/>
      </w:pPr>
      <w:r>
        <w:tab/>
        <w:t>(3)</w:t>
      </w:r>
      <w:r>
        <w:tab/>
        <w:t xml:space="preserve">A thing done, or purportedly done, by the Board in consequence of a superannuation contribution having been made, or purportedly made, in respect of a visiting medical practitioner is, and is to be taken always to have been, as valid and effective as if the </w:t>
      </w:r>
      <w:r>
        <w:lastRenderedPageBreak/>
        <w:t>contribution had been made in respect of a person who was a member of the relevant scheme.</w:t>
      </w:r>
    </w:p>
    <w:p>
      <w:pPr>
        <w:pStyle w:val="BlankClose"/>
      </w:pPr>
    </w:p>
    <w:p>
      <w:pPr>
        <w:pStyle w:val="nNote"/>
      </w:pPr>
      <w:r>
        <w:rPr>
          <w:vertAlign w:val="superscript"/>
        </w:rPr>
        <w:t>5</w:t>
      </w:r>
      <w:r>
        <w:tab/>
        <w:t xml:space="preserve">The </w:t>
      </w:r>
      <w:r>
        <w:rPr>
          <w:i/>
        </w:rPr>
        <w:t>State Superannuation Amendment Act 2007</w:t>
      </w:r>
      <w:r>
        <w:t xml:space="preserve"> Pt. 5 Div. 1 and 2 were repealed by the </w:t>
      </w:r>
      <w:r>
        <w:rPr>
          <w:i/>
        </w:rPr>
        <w:t>State Superannuation Amendment Act 2007</w:t>
      </w:r>
      <w:r>
        <w:t xml:space="preserve"> s. 2(8)(a) and Pt. 3, 4, 5 Div. 3 Subdiv. 2 and Pt. 6 Div. 2 were repealed by the </w:t>
      </w:r>
      <w:r>
        <w:rPr>
          <w:i/>
        </w:rPr>
        <w:t>State Superannuation Amendment Act 2011</w:t>
      </w:r>
      <w:r>
        <w:t xml:space="preserve"> s. 4 before they purported to come into operation.</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43" w:name="_Toc195259801"/>
      <w:r>
        <w:rPr>
          <w:sz w:val="28"/>
        </w:rPr>
        <w:lastRenderedPageBreak/>
        <w:t>Defined terms</w:t>
      </w:r>
      <w:bookmarkEnd w:id="1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actuary</w:t>
      </w:r>
      <w:r>
        <w:tab/>
        <w:t>3(1)</w:t>
      </w:r>
    </w:p>
    <w:p>
      <w:pPr>
        <w:pStyle w:val="DefinedTerms"/>
      </w:pPr>
      <w:r>
        <w:t>beneficiary</w:t>
      </w:r>
      <w:r>
        <w:tab/>
        <w:t>36(4)</w:t>
      </w:r>
    </w:p>
    <w:p>
      <w:pPr>
        <w:pStyle w:val="DefinedTerms"/>
      </w:pPr>
      <w:r>
        <w:t>benefit</w:t>
      </w:r>
      <w:r>
        <w:tab/>
        <w:t>3(1)</w:t>
      </w:r>
    </w:p>
    <w:p>
      <w:pPr>
        <w:pStyle w:val="DefinedTerms"/>
      </w:pPr>
      <w:r>
        <w:t>benefits</w:t>
      </w:r>
      <w:r>
        <w:tab/>
        <w:t>28(3)</w:t>
      </w:r>
    </w:p>
    <w:p>
      <w:pPr>
        <w:pStyle w:val="DefinedTerms"/>
      </w:pPr>
      <w:r>
        <w:t>Board</w:t>
      </w:r>
      <w:r>
        <w:tab/>
        <w:t>3(1)</w:t>
      </w:r>
    </w:p>
    <w:p>
      <w:pPr>
        <w:pStyle w:val="DefinedTerms"/>
      </w:pPr>
      <w:r>
        <w:t>Board officer</w:t>
      </w:r>
      <w:r>
        <w:tab/>
        <w:t>11(3)</w:t>
      </w:r>
    </w:p>
    <w:p>
      <w:pPr>
        <w:pStyle w:val="DefinedTerms"/>
      </w:pPr>
      <w:r>
        <w:t>borrow money</w:t>
      </w:r>
      <w:r>
        <w:tab/>
        <w:t>24(3)</w:t>
      </w:r>
    </w:p>
    <w:p>
      <w:pPr>
        <w:pStyle w:val="DefinedTerms"/>
      </w:pPr>
      <w:r>
        <w:t>chosen fund</w:t>
      </w:r>
      <w:r>
        <w:tab/>
        <w:t>4A(1)</w:t>
      </w:r>
    </w:p>
    <w:p>
      <w:pPr>
        <w:pStyle w:val="DefinedTerms"/>
      </w:pPr>
      <w:r>
        <w:t>Corporations Act</w:t>
      </w:r>
      <w:r>
        <w:tab/>
        <w:t>3(1)</w:t>
      </w:r>
    </w:p>
    <w:p>
      <w:pPr>
        <w:pStyle w:val="DefinedTerms"/>
      </w:pPr>
      <w:r>
        <w:t>default fund</w:t>
      </w:r>
      <w:r>
        <w:tab/>
        <w:t>4A(1)</w:t>
      </w:r>
    </w:p>
    <w:p>
      <w:pPr>
        <w:pStyle w:val="DefinedTerms"/>
      </w:pPr>
      <w:r>
        <w:t>Department</w:t>
      </w:r>
      <w:r>
        <w:tab/>
        <w:t>33(4B)</w:t>
      </w:r>
    </w:p>
    <w:p>
      <w:pPr>
        <w:pStyle w:val="DefinedTerms"/>
      </w:pPr>
      <w:r>
        <w:t>document</w:t>
      </w:r>
      <w:r>
        <w:tab/>
        <w:t>36(4)</w:t>
      </w:r>
    </w:p>
    <w:p>
      <w:pPr>
        <w:pStyle w:val="DefinedTerms"/>
      </w:pPr>
      <w:r>
        <w:t>employee</w:t>
      </w:r>
      <w:r>
        <w:tab/>
        <w:t>4A(1), 37(1)</w:t>
      </w:r>
    </w:p>
    <w:p>
      <w:pPr>
        <w:pStyle w:val="DefinedTerms"/>
      </w:pPr>
      <w:r>
        <w:t>Employer</w:t>
      </w:r>
      <w:r>
        <w:tab/>
        <w:t>3(1)</w:t>
      </w:r>
    </w:p>
    <w:p>
      <w:pPr>
        <w:pStyle w:val="DefinedTerms"/>
      </w:pPr>
      <w:r>
        <w:t>Employer director</w:t>
      </w:r>
      <w:r>
        <w:tab/>
        <w:t>Sch. 1 cl. 1A</w:t>
      </w:r>
    </w:p>
    <w:p>
      <w:pPr>
        <w:pStyle w:val="DefinedTerms"/>
      </w:pPr>
      <w:r>
        <w:t>exempt employee</w:t>
      </w:r>
      <w:r>
        <w:tab/>
        <w:t>4A(1)</w:t>
      </w:r>
    </w:p>
    <w:p>
      <w:pPr>
        <w:pStyle w:val="DefinedTerms"/>
      </w:pPr>
      <w:r>
        <w:t>Fund</w:t>
      </w:r>
      <w:r>
        <w:tab/>
        <w:t>3(1)</w:t>
      </w:r>
    </w:p>
    <w:p>
      <w:pPr>
        <w:pStyle w:val="DefinedTerms"/>
      </w:pPr>
      <w:r>
        <w:t>fund</w:t>
      </w:r>
      <w:r>
        <w:tab/>
        <w:t>4A(1)</w:t>
      </w:r>
    </w:p>
    <w:p>
      <w:pPr>
        <w:pStyle w:val="DefinedTerms"/>
      </w:pPr>
      <w:r>
        <w:t>GES Act</w:t>
      </w:r>
      <w:r>
        <w:tab/>
        <w:t>3(1)</w:t>
      </w:r>
    </w:p>
    <w:p>
      <w:pPr>
        <w:pStyle w:val="DefinedTerms"/>
      </w:pPr>
      <w:r>
        <w:t>individual superannuation guarantee shortfall</w:t>
      </w:r>
      <w:r>
        <w:tab/>
        <w:t>4A(1)</w:t>
      </w:r>
    </w:p>
    <w:p>
      <w:pPr>
        <w:pStyle w:val="DefinedTerms"/>
      </w:pPr>
      <w:r>
        <w:t>information</w:t>
      </w:r>
      <w:r>
        <w:tab/>
        <w:t>36(4)</w:t>
      </w:r>
    </w:p>
    <w:p>
      <w:pPr>
        <w:pStyle w:val="DefinedTerms"/>
      </w:pPr>
      <w:r>
        <w:t>Member</w:t>
      </w:r>
      <w:r>
        <w:tab/>
        <w:t>3(1)</w:t>
      </w:r>
    </w:p>
    <w:p>
      <w:pPr>
        <w:pStyle w:val="DefinedTerms"/>
      </w:pPr>
      <w:r>
        <w:t>Member director</w:t>
      </w:r>
      <w:r>
        <w:tab/>
        <w:t>Sch. 1 cl. 1A</w:t>
      </w:r>
    </w:p>
    <w:p>
      <w:pPr>
        <w:pStyle w:val="DefinedTerms"/>
      </w:pPr>
      <w:r>
        <w:t>multiplying factor</w:t>
      </w:r>
      <w:r>
        <w:tab/>
        <w:t>38(5B)</w:t>
      </w:r>
    </w:p>
    <w:p>
      <w:pPr>
        <w:pStyle w:val="DefinedTerms"/>
      </w:pPr>
      <w:r>
        <w:t>non-government contributor</w:t>
      </w:r>
      <w:r>
        <w:tab/>
        <w:t>3(1), 37(1)</w:t>
      </w:r>
    </w:p>
    <w:p>
      <w:pPr>
        <w:pStyle w:val="DefinedTerms"/>
      </w:pPr>
      <w:r>
        <w:t>parliamentary purposes</w:t>
      </w:r>
      <w:r>
        <w:tab/>
        <w:t>36(4)</w:t>
      </w:r>
    </w:p>
    <w:p>
      <w:pPr>
        <w:pStyle w:val="DefinedTerms"/>
      </w:pPr>
      <w:r>
        <w:t>pension value factor</w:t>
      </w:r>
      <w:r>
        <w:tab/>
        <w:t>38(5B)</w:t>
      </w:r>
    </w:p>
    <w:p>
      <w:pPr>
        <w:pStyle w:val="DefinedTerms"/>
      </w:pPr>
      <w:r>
        <w:t>prior approval</w:t>
      </w:r>
      <w:r>
        <w:tab/>
        <w:t>Sch. 3 cl. 1</w:t>
      </w:r>
    </w:p>
    <w:p>
      <w:pPr>
        <w:pStyle w:val="DefinedTerms"/>
      </w:pPr>
      <w:r>
        <w:t>relevant benefit</w:t>
      </w:r>
      <w:r>
        <w:tab/>
        <w:t>38(5B)</w:t>
      </w:r>
    </w:p>
    <w:p>
      <w:pPr>
        <w:pStyle w:val="DefinedTerms"/>
      </w:pPr>
      <w:r>
        <w:t>scheme</w:t>
      </w:r>
      <w:r>
        <w:tab/>
        <w:t>3(1)</w:t>
      </w:r>
    </w:p>
    <w:p>
      <w:pPr>
        <w:pStyle w:val="DefinedTerms"/>
      </w:pPr>
      <w:r>
        <w:t>SGA Act</w:t>
      </w:r>
      <w:r>
        <w:tab/>
        <w:t>3(1)</w:t>
      </w:r>
    </w:p>
    <w:p>
      <w:pPr>
        <w:pStyle w:val="DefinedTerms"/>
      </w:pPr>
      <w:r>
        <w:t>spouse</w:t>
      </w:r>
      <w:r>
        <w:tab/>
        <w:t>28(3)</w:t>
      </w:r>
    </w:p>
    <w:p>
      <w:pPr>
        <w:pStyle w:val="DefinedTerms"/>
      </w:pPr>
      <w:r>
        <w:t>subsidiary</w:t>
      </w:r>
      <w:r>
        <w:tab/>
        <w:t>3(1)</w:t>
      </w:r>
    </w:p>
    <w:p>
      <w:pPr>
        <w:pStyle w:val="DefinedTerms"/>
      </w:pPr>
      <w:r>
        <w:t>superannuation guarantee charge</w:t>
      </w:r>
      <w:r>
        <w:tab/>
        <w:t>4A(1)</w:t>
      </w:r>
    </w:p>
    <w:p>
      <w:pPr>
        <w:pStyle w:val="DefinedTerms"/>
      </w:pPr>
      <w:r>
        <w:t>Treasurer’s guidelines</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C96DC6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C96C79C" w14:textId="628B6E5B" w:rsidR="00B07F70" w:rsidRDefault="005254A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25C2F">
                        <w:rPr>
                          <w:sz w:val="16"/>
                        </w:rPr>
                        <w:t>2025</w:t>
                      </w:r>
                      <w:r>
                        <w:rPr>
                          <w:sz w:val="16"/>
                        </w:rPr>
                        <w:fldChar w:fldCharType="end"/>
                      </w:r>
                      <w:r>
                        <w:rPr>
                          <w:sz w:val="16"/>
                        </w:rPr>
                        <w:t>.</w:t>
                      </w:r>
                    </w:p>
                    <w:p w14:paraId="4F7481FD" w14:textId="77777777" w:rsidR="00B07F70" w:rsidRDefault="005254A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3ABAA57" w14:textId="4375DF43" w:rsidR="00B07F70" w:rsidRDefault="005254A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25C2F">
                        <w:rPr>
                          <w:sz w:val="16"/>
                        </w:rPr>
                        <w:t>2025</w:t>
                      </w:r>
                      <w:r>
                        <w:rPr>
                          <w:sz w:val="16"/>
                        </w:rPr>
                        <w:fldChar w:fldCharType="end"/>
                      </w:r>
                      <w:r>
                        <w:rPr>
                          <w:sz w:val="16"/>
                        </w:rPr>
                        <w:t>.</w:t>
                      </w:r>
                    </w:p>
                    <w:p w14:paraId="2BB2A6DF" w14:textId="77777777" w:rsidR="00B07F70" w:rsidRDefault="005254A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02-g0-01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02-g0-01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Superannuation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State Superannuation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64"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Borders>
            <w:bottom w:val="single" w:sz="4" w:space="0" w:color="auto"/>
          </w:tcBorders>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64" w:type="dxa"/>
          <w:tcBorders>
            <w:bottom w:val="single" w:sz="4" w:space="0" w:color="auto"/>
          </w:tcBorders>
        </w:tcPr>
        <w:p>
          <w:pPr>
            <w:pStyle w:val="Header"/>
            <w:spacing w:before="40"/>
          </w:pPr>
        </w:p>
      </w:tc>
    </w:tr>
  </w:tbl>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Borders>
            <w:bottom w:val="single" w:sz="4" w:space="0" w:color="auto"/>
          </w:tcBorders>
        </w:tcPr>
        <w:p>
          <w:pPr>
            <w:pStyle w:val="Header"/>
            <w:spacing w:before="40"/>
            <w:jc w:val="right"/>
          </w:pPr>
        </w:p>
      </w:tc>
      <w:tc>
        <w:tcPr>
          <w:tcW w:w="1548" w:type="dxa"/>
          <w:tcBorders>
            <w:bottom w:val="single" w:sz="4" w:space="0" w:color="auto"/>
          </w:tcBorders>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Pr>
    <w:bookmarkStart w:id="134" w:name="Schedule"/>
    <w:bookmarkEnd w:id="1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Superannuation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4" w:name="DefinedTerms"/>
    <w:bookmarkEnd w:id="14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5" w:name="Coversheet"/>
    <w:bookmarkEnd w:id="1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425"/>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10151938"/>
    <w:docVar w:name="WAFER_20140110162145" w:val="RemoveTocBookmarks,RemoveUnusedBookmarks,RemoveLanguageTags,UsedStyles,ResetPageSize,UpdateArrangement"/>
    <w:docVar w:name="WAFER_20140110162145_GUID" w:val="cd43cee8-f1ec-4ff0-89af-f7f90b7032a5"/>
    <w:docVar w:name="WAFER_20140110162422" w:val="RemoveTocBookmarks,RunningHeaders"/>
    <w:docVar w:name="WAFER_20140110162422_GUID" w:val="09788a88-6356-4b4a-a45b-07f1b8ca1094"/>
    <w:docVar w:name="WAFER_20150713103746" w:val="ResetPageSize,UpdateArrangement,UpdateNTable"/>
    <w:docVar w:name="WAFER_20150713103746_GUID" w:val="c760d952-89d9-4920-a4c2-794f92074064"/>
    <w:docVar w:name="WAFER_20151109175323" w:val="UpdateStyles,UsedStyles"/>
    <w:docVar w:name="WAFER_20151109175323_GUID" w:val="9ce2c577-d457-4cd7-b574-0f8d5e62f72c"/>
    <w:docVar w:name="WAFER_20241129092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41129092433_GUID" w:val="be0ee7a2-0a81-4cd8-8f23-b689e32c5a3e"/>
    <w:docVar w:name="WAFER_20250410151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410151938_GUID" w:val="b9387bea-ff40-435e-8faf-14cad35ea7e0"/>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o:shapelayout v:ext="edit">
      <o:idmap v:ext="edit" data="1"/>
    </o:shapelayout>
  </w:shapeDefaults>
  <w:decimalSymbol w:val="."/>
  <w:listSeparator w:val=","/>
  <w15:docId w15:val="{8FC9AFF8-77A6-4F12-ACE3-97D78B0F9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TableNAm">
    <w:name w:val="TableNAm"/>
    <w:qFormat/>
    <w:pPr>
      <w:tabs>
        <w:tab w:val="left" w:pos="567"/>
      </w:tabs>
      <w:spacing w:before="120"/>
    </w:pPr>
    <w:rPr>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13675</Words>
  <Characters>64684</Characters>
  <Application>Microsoft Office Word</Application>
  <DocSecurity>0</DocSecurity>
  <Lines>1848</Lines>
  <Paragraphs>1187</Paragraphs>
  <ScaleCrop>false</ScaleCrop>
  <HeadingPairs>
    <vt:vector size="2" baseType="variant">
      <vt:variant>
        <vt:lpstr>Title</vt:lpstr>
      </vt:variant>
      <vt:variant>
        <vt:i4>1</vt:i4>
      </vt:variant>
    </vt:vector>
  </HeadingPairs>
  <TitlesOfParts>
    <vt:vector size="1" baseType="lpstr">
      <vt:lpstr>State Superannuation Act 2000</vt:lpstr>
    </vt:vector>
  </TitlesOfParts>
  <Manager/>
  <Company/>
  <LinksUpToDate>false</LinksUpToDate>
  <CharactersWithSpaces>77172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2000 - 02-g0-01</dc:title>
  <dc:subject/>
  <dc:creator/>
  <cp:keywords/>
  <dc:description/>
  <cp:lastModifiedBy>Master Repository Process</cp:lastModifiedBy>
  <cp:revision>4</cp:revision>
  <cp:lastPrinted>2012-05-23T06:39:00Z</cp:lastPrinted>
  <dcterms:created xsi:type="dcterms:W3CDTF">2025-06-17T04:12:00Z</dcterms:created>
  <dcterms:modified xsi:type="dcterms:W3CDTF">2025-06-17T04:12:00Z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DocumentType">
    <vt:lpwstr>Act</vt:lpwstr>
  </property>
  <property fmtid="{D5CDD505-2E9C-101B-9397-08002B2CF9AE}" pid="4" name="OwlsUID">
    <vt:i4>2027</vt:i4>
  </property>
  <property fmtid="{D5CDD505-2E9C-101B-9397-08002B2CF9AE}" pid="5" name="ReprintNo">
    <vt:lpwstr>2</vt:lpwstr>
  </property>
  <property fmtid="{D5CDD505-2E9C-101B-9397-08002B2CF9AE}" pid="6" name="ReprintedAsAt">
    <vt:filetime>2012-05-10T16:00:00Z</vt:filetime>
  </property>
  <property fmtid="{D5CDD505-2E9C-101B-9397-08002B2CF9AE}" pid="7" name="AsAtDate">
    <vt:lpwstr>17 Apr 2025</vt:lpwstr>
  </property>
  <property fmtid="{D5CDD505-2E9C-101B-9397-08002B2CF9AE}" pid="8" name="Suffix">
    <vt:lpwstr>02-g0-01</vt:lpwstr>
  </property>
  <property fmtid="{D5CDD505-2E9C-101B-9397-08002B2CF9AE}" pid="9" name="Official">
    <vt:lpwstr/>
  </property>
  <property fmtid="{D5CDD505-2E9C-101B-9397-08002B2CF9AE}" pid="10" name="CommencementDate">
    <vt:lpwstr>20250417</vt:lpwstr>
  </property>
  <property fmtid="{D5CDD505-2E9C-101B-9397-08002B2CF9AE}" pid="11" name="CommencementAsAt">
    <vt:filetime>2025-04-16T16:00:00Z</vt:filetime>
  </property>
  <property fmtid="{D5CDD505-2E9C-101B-9397-08002B2CF9AE}" pid="12" name="CommencementYear">
    <vt:lpwstr>2025</vt:lpwstr>
  </property>
</Properties>
</file>