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6540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Dangerous Goods Safety Act 2004</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4"/>
        <w:tabs>
          <w:tab w:val="right" w:leader="dot" w:pos="7077"/>
        </w:tabs>
        <w:rPr>
          <w:rFonts w:asciiTheme="minorHAnsi" w:eastAsiaTheme="minorEastAsia" w:hAnsiTheme="minorHAnsi" w:cstheme="minorBidi"/>
          <w:b w:val="0"/>
          <w:szCs w:val="22"/>
        </w:rPr>
      </w:pPr>
      <w:r>
        <w:t>Division 1 — Introductory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_Toc194932884 \h </w:instrText>
      </w:r>
      <w:r>
        <w:fldChar w:fldCharType="separate"/>
      </w:r>
      <w:r>
        <w:t>14</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_Toc194932885 \h </w:instrText>
      </w:r>
      <w:r>
        <w:fldChar w:fldCharType="separate"/>
      </w:r>
      <w:r>
        <w:t>14</w:t>
      </w:r>
      <w:r>
        <w:fldChar w:fldCharType="end"/>
      </w:r>
    </w:p>
    <w:p>
      <w:pPr>
        <w:pStyle w:val="TOC8"/>
        <w:rPr>
          <w:rFonts w:asciiTheme="minorHAnsi" w:eastAsiaTheme="minorEastAsia" w:hAnsiTheme="minorHAnsi" w:cstheme="minorBidi"/>
          <w:szCs w:val="22"/>
        </w:rPr>
      </w:pPr>
      <w:r>
        <w:t>3.</w:t>
      </w:r>
      <w:r>
        <w:tab/>
        <w:t>Main objects</w:t>
      </w:r>
      <w:r>
        <w:tab/>
      </w:r>
      <w:r>
        <w:fldChar w:fldCharType="begin"/>
      </w:r>
      <w:r>
        <w:instrText xml:space="preserve"> PAGEREF _Toc194932886 \h </w:instrText>
      </w:r>
      <w:r>
        <w:fldChar w:fldCharType="separate"/>
      </w:r>
      <w:r>
        <w:t>14</w:t>
      </w:r>
      <w:r>
        <w:fldChar w:fldCharType="end"/>
      </w:r>
    </w:p>
    <w:p>
      <w:pPr>
        <w:pStyle w:val="TOC4"/>
        <w:tabs>
          <w:tab w:val="right" w:leader="dot" w:pos="7077"/>
        </w:tabs>
        <w:rPr>
          <w:rFonts w:asciiTheme="minorHAnsi" w:eastAsiaTheme="minorEastAsia" w:hAnsiTheme="minorHAnsi" w:cstheme="minorBidi"/>
          <w:b w:val="0"/>
          <w:szCs w:val="22"/>
        </w:rPr>
      </w:pPr>
      <w:r>
        <w:t>Division 2 — Interpretation</w:t>
      </w:r>
    </w:p>
    <w:p>
      <w:pPr>
        <w:pStyle w:val="TOC8"/>
        <w:rPr>
          <w:rFonts w:asciiTheme="minorHAnsi" w:eastAsiaTheme="minorEastAsia" w:hAnsiTheme="minorHAnsi" w:cstheme="minorBidi"/>
          <w:szCs w:val="22"/>
        </w:rPr>
      </w:pPr>
      <w:r>
        <w:t>4.</w:t>
      </w:r>
      <w:r>
        <w:tab/>
        <w:t>Terms used</w:t>
      </w:r>
      <w:r>
        <w:tab/>
      </w:r>
      <w:r>
        <w:fldChar w:fldCharType="begin"/>
      </w:r>
      <w:r>
        <w:instrText xml:space="preserve"> PAGEREF _Toc194932888 \h </w:instrText>
      </w:r>
      <w:r>
        <w:fldChar w:fldCharType="separate"/>
      </w:r>
      <w:r>
        <w:t>15</w:t>
      </w:r>
      <w:r>
        <w:fldChar w:fldCharType="end"/>
      </w:r>
    </w:p>
    <w:p>
      <w:pPr>
        <w:pStyle w:val="TOC8"/>
        <w:rPr>
          <w:rFonts w:asciiTheme="minorHAnsi" w:eastAsiaTheme="minorEastAsia" w:hAnsiTheme="minorHAnsi" w:cstheme="minorBidi"/>
          <w:szCs w:val="22"/>
        </w:rPr>
      </w:pPr>
      <w:r>
        <w:t>4A.</w:t>
      </w:r>
      <w:r>
        <w:tab/>
        <w:t>Meaning of ammonium nitrate explosion risk goods</w:t>
      </w:r>
      <w:r>
        <w:tab/>
      </w:r>
      <w:r>
        <w:fldChar w:fldCharType="begin"/>
      </w:r>
      <w:r>
        <w:instrText xml:space="preserve"> PAGEREF _Toc194932889 \h </w:instrText>
      </w:r>
      <w:r>
        <w:fldChar w:fldCharType="separate"/>
      </w:r>
      <w:r>
        <w:t>27</w:t>
      </w:r>
      <w:r>
        <w:fldChar w:fldCharType="end"/>
      </w:r>
    </w:p>
    <w:p>
      <w:pPr>
        <w:pStyle w:val="TOC8"/>
        <w:rPr>
          <w:rFonts w:asciiTheme="minorHAnsi" w:eastAsiaTheme="minorEastAsia" w:hAnsiTheme="minorHAnsi" w:cstheme="minorBidi"/>
          <w:szCs w:val="22"/>
        </w:rPr>
      </w:pPr>
      <w:r>
        <w:t>5.</w:t>
      </w:r>
      <w:r>
        <w:tab/>
        <w:t>Examples and notes in these regulations</w:t>
      </w:r>
      <w:r>
        <w:tab/>
      </w:r>
      <w:r>
        <w:fldChar w:fldCharType="begin"/>
      </w:r>
      <w:r>
        <w:instrText xml:space="preserve"> PAGEREF _Toc194932890 \h </w:instrText>
      </w:r>
      <w:r>
        <w:fldChar w:fldCharType="separate"/>
      </w:r>
      <w:r>
        <w:t>28</w:t>
      </w:r>
      <w:r>
        <w:fldChar w:fldCharType="end"/>
      </w:r>
    </w:p>
    <w:p>
      <w:pPr>
        <w:pStyle w:val="TOC8"/>
        <w:rPr>
          <w:rFonts w:asciiTheme="minorHAnsi" w:eastAsiaTheme="minorEastAsia" w:hAnsiTheme="minorHAnsi" w:cstheme="minorBidi"/>
          <w:szCs w:val="22"/>
        </w:rPr>
      </w:pPr>
      <w:r>
        <w:t>6.</w:t>
      </w:r>
      <w:r>
        <w:tab/>
        <w:t>References to determinations, exemptions, approvals and licences</w:t>
      </w:r>
      <w:r>
        <w:tab/>
      </w:r>
      <w:r>
        <w:fldChar w:fldCharType="begin"/>
      </w:r>
      <w:r>
        <w:instrText xml:space="preserve"> PAGEREF _Toc194932891 \h </w:instrText>
      </w:r>
      <w:r>
        <w:fldChar w:fldCharType="separate"/>
      </w:r>
      <w:r>
        <w:t>28</w:t>
      </w:r>
      <w:r>
        <w:fldChar w:fldCharType="end"/>
      </w:r>
    </w:p>
    <w:p>
      <w:pPr>
        <w:pStyle w:val="TOC8"/>
        <w:rPr>
          <w:rFonts w:asciiTheme="minorHAnsi" w:eastAsiaTheme="minorEastAsia" w:hAnsiTheme="minorHAnsi" w:cstheme="minorBidi"/>
          <w:szCs w:val="22"/>
        </w:rPr>
      </w:pPr>
      <w:r>
        <w:t>7.</w:t>
      </w:r>
      <w:r>
        <w:tab/>
        <w:t>References to variation of determinations, exemptions, approvals and licences</w:t>
      </w:r>
      <w:r>
        <w:tab/>
      </w:r>
      <w:r>
        <w:fldChar w:fldCharType="begin"/>
      </w:r>
      <w:r>
        <w:instrText xml:space="preserve"> PAGEREF _Toc194932892 \h </w:instrText>
      </w:r>
      <w:r>
        <w:fldChar w:fldCharType="separate"/>
      </w:r>
      <w:r>
        <w:t>28</w:t>
      </w:r>
      <w:r>
        <w:fldChar w:fldCharType="end"/>
      </w:r>
    </w:p>
    <w:p>
      <w:pPr>
        <w:pStyle w:val="TOC8"/>
        <w:rPr>
          <w:rFonts w:asciiTheme="minorHAnsi" w:eastAsiaTheme="minorEastAsia" w:hAnsiTheme="minorHAnsi" w:cstheme="minorBidi"/>
          <w:szCs w:val="22"/>
        </w:rPr>
      </w:pPr>
      <w:r>
        <w:t>8.</w:t>
      </w:r>
      <w:r>
        <w:tab/>
        <w:t>Inconsistency between these regulations and documents adopted</w:t>
      </w:r>
      <w:r>
        <w:tab/>
      </w:r>
      <w:r>
        <w:fldChar w:fldCharType="begin"/>
      </w:r>
      <w:r>
        <w:instrText xml:space="preserve"> PAGEREF _Toc194932893 \h </w:instrText>
      </w:r>
      <w:r>
        <w:fldChar w:fldCharType="separate"/>
      </w:r>
      <w:r>
        <w:t>29</w:t>
      </w:r>
      <w:r>
        <w:fldChar w:fldCharType="end"/>
      </w:r>
    </w:p>
    <w:p>
      <w:pPr>
        <w:pStyle w:val="TOC8"/>
        <w:rPr>
          <w:rFonts w:asciiTheme="minorHAnsi" w:eastAsiaTheme="minorEastAsia" w:hAnsiTheme="minorHAnsi" w:cstheme="minorBidi"/>
          <w:szCs w:val="22"/>
        </w:rPr>
      </w:pPr>
      <w:r>
        <w:t>9.</w:t>
      </w:r>
      <w:r>
        <w:tab/>
        <w:t>References in ADG Code</w:t>
      </w:r>
      <w:r>
        <w:tab/>
      </w:r>
      <w:r>
        <w:fldChar w:fldCharType="begin"/>
      </w:r>
      <w:r>
        <w:instrText xml:space="preserve"> PAGEREF _Toc194932894 \h </w:instrText>
      </w:r>
      <w:r>
        <w:fldChar w:fldCharType="separate"/>
      </w:r>
      <w:r>
        <w:t>29</w:t>
      </w:r>
      <w:r>
        <w:fldChar w:fldCharType="end"/>
      </w:r>
    </w:p>
    <w:p>
      <w:pPr>
        <w:pStyle w:val="TOC4"/>
        <w:tabs>
          <w:tab w:val="right" w:leader="dot" w:pos="7077"/>
        </w:tabs>
        <w:rPr>
          <w:rFonts w:asciiTheme="minorHAnsi" w:eastAsiaTheme="minorEastAsia" w:hAnsiTheme="minorHAnsi" w:cstheme="minorBidi"/>
          <w:b w:val="0"/>
          <w:szCs w:val="22"/>
        </w:rPr>
      </w:pPr>
      <w:r>
        <w:t>Division 3 — Application</w:t>
      </w:r>
    </w:p>
    <w:p>
      <w:pPr>
        <w:pStyle w:val="TOC8"/>
        <w:rPr>
          <w:rFonts w:asciiTheme="minorHAnsi" w:eastAsiaTheme="minorEastAsia" w:hAnsiTheme="minorHAnsi" w:cstheme="minorBidi"/>
          <w:szCs w:val="22"/>
        </w:rPr>
      </w:pPr>
      <w:r>
        <w:rPr>
          <w:color w:val="000000"/>
        </w:rPr>
        <w:t>10.</w:t>
      </w:r>
      <w:r>
        <w:rPr>
          <w:color w:val="000000"/>
        </w:rPr>
        <w:tab/>
        <w:t>Application to transport by road and rail</w:t>
      </w:r>
      <w:r>
        <w:tab/>
      </w:r>
      <w:r>
        <w:fldChar w:fldCharType="begin"/>
      </w:r>
      <w:r>
        <w:instrText xml:space="preserve"> PAGEREF _Toc194932896 \h </w:instrText>
      </w:r>
      <w:r>
        <w:fldChar w:fldCharType="separate"/>
      </w:r>
      <w:r>
        <w:t>30</w:t>
      </w:r>
      <w:r>
        <w:fldChar w:fldCharType="end"/>
      </w:r>
    </w:p>
    <w:p>
      <w:pPr>
        <w:pStyle w:val="TOC8"/>
        <w:rPr>
          <w:rFonts w:asciiTheme="minorHAnsi" w:eastAsiaTheme="minorEastAsia" w:hAnsiTheme="minorHAnsi" w:cstheme="minorBidi"/>
          <w:szCs w:val="22"/>
        </w:rPr>
      </w:pPr>
      <w:r>
        <w:t>11.</w:t>
      </w:r>
      <w:r>
        <w:tab/>
        <w:t>Dangerous situations</w:t>
      </w:r>
      <w:r>
        <w:tab/>
      </w:r>
      <w:r>
        <w:fldChar w:fldCharType="begin"/>
      </w:r>
      <w:r>
        <w:instrText xml:space="preserve"> PAGEREF _Toc194932897 \h </w:instrText>
      </w:r>
      <w:r>
        <w:fldChar w:fldCharType="separate"/>
      </w:r>
      <w:r>
        <w:t>30</w:t>
      </w:r>
      <w:r>
        <w:fldChar w:fldCharType="end"/>
      </w:r>
    </w:p>
    <w:p>
      <w:pPr>
        <w:pStyle w:val="TOC8"/>
        <w:rPr>
          <w:rFonts w:asciiTheme="minorHAnsi" w:eastAsiaTheme="minorEastAsia" w:hAnsiTheme="minorHAnsi" w:cstheme="minorBidi"/>
          <w:szCs w:val="22"/>
        </w:rPr>
      </w:pPr>
      <w:r>
        <w:rPr>
          <w:color w:val="000000"/>
        </w:rPr>
        <w:t>12.</w:t>
      </w:r>
      <w:r>
        <w:rPr>
          <w:color w:val="000000"/>
        </w:rPr>
        <w:tab/>
        <w:t>Exempt transport</w:t>
      </w:r>
      <w:r>
        <w:tab/>
      </w:r>
      <w:r>
        <w:fldChar w:fldCharType="begin"/>
      </w:r>
      <w:r>
        <w:instrText xml:space="preserve"> PAGEREF _Toc194932898 \h </w:instrText>
      </w:r>
      <w:r>
        <w:fldChar w:fldCharType="separate"/>
      </w:r>
      <w:r>
        <w:t>30</w:t>
      </w:r>
      <w:r>
        <w:fldChar w:fldCharType="end"/>
      </w:r>
    </w:p>
    <w:p>
      <w:pPr>
        <w:pStyle w:val="TOC8"/>
        <w:rPr>
          <w:rFonts w:asciiTheme="minorHAnsi" w:eastAsiaTheme="minorEastAsia" w:hAnsiTheme="minorHAnsi" w:cstheme="minorBidi"/>
          <w:szCs w:val="22"/>
        </w:rPr>
      </w:pPr>
      <w:r>
        <w:t>13.</w:t>
      </w:r>
      <w:r>
        <w:tab/>
        <w:t>Further</w:t>
      </w:r>
      <w:r>
        <w:rPr>
          <w:color w:val="000000"/>
        </w:rPr>
        <w:t xml:space="preserve"> exemptions</w:t>
      </w:r>
      <w:r>
        <w:tab/>
      </w:r>
      <w:r>
        <w:fldChar w:fldCharType="begin"/>
      </w:r>
      <w:r>
        <w:instrText xml:space="preserve"> PAGEREF _Toc194932899 \h </w:instrText>
      </w:r>
      <w:r>
        <w:fldChar w:fldCharType="separate"/>
      </w:r>
      <w:r>
        <w:t>31</w:t>
      </w:r>
      <w:r>
        <w:fldChar w:fldCharType="end"/>
      </w:r>
    </w:p>
    <w:p>
      <w:pPr>
        <w:pStyle w:val="TOC8"/>
        <w:rPr>
          <w:rFonts w:asciiTheme="minorHAnsi" w:eastAsiaTheme="minorEastAsia" w:hAnsiTheme="minorHAnsi" w:cstheme="minorBidi"/>
          <w:szCs w:val="22"/>
        </w:rPr>
      </w:pPr>
      <w:r>
        <w:t>13A.</w:t>
      </w:r>
      <w:r>
        <w:tab/>
        <w:t>Partial exemption for transport by complying MPU</w:t>
      </w:r>
      <w:r>
        <w:tab/>
      </w:r>
      <w:r>
        <w:fldChar w:fldCharType="begin"/>
      </w:r>
      <w:r>
        <w:instrText xml:space="preserve"> PAGEREF _Toc194932900 \h </w:instrText>
      </w:r>
      <w:r>
        <w:fldChar w:fldCharType="separate"/>
      </w:r>
      <w:r>
        <w:t>32</w:t>
      </w:r>
      <w:r>
        <w:fldChar w:fldCharType="end"/>
      </w:r>
    </w:p>
    <w:p>
      <w:pPr>
        <w:pStyle w:val="TOC8"/>
        <w:rPr>
          <w:rFonts w:asciiTheme="minorHAnsi" w:eastAsiaTheme="minorEastAsia" w:hAnsiTheme="minorHAnsi" w:cstheme="minorBidi"/>
          <w:szCs w:val="22"/>
        </w:rPr>
      </w:pPr>
      <w:r>
        <w:t>13B.</w:t>
      </w:r>
      <w:r>
        <w:tab/>
        <w:t>Special provisions for tools of trade and dangerous goods for private use</w:t>
      </w:r>
      <w:r>
        <w:tab/>
      </w:r>
      <w:r>
        <w:fldChar w:fldCharType="begin"/>
      </w:r>
      <w:r>
        <w:instrText xml:space="preserve"> PAGEREF _Toc194932901 \h </w:instrText>
      </w:r>
      <w:r>
        <w:fldChar w:fldCharType="separate"/>
      </w:r>
      <w:r>
        <w:t>33</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4 — Instruction and training</w:t>
      </w:r>
    </w:p>
    <w:p>
      <w:pPr>
        <w:pStyle w:val="TOC8"/>
        <w:rPr>
          <w:rFonts w:asciiTheme="minorHAnsi" w:eastAsiaTheme="minorEastAsia" w:hAnsiTheme="minorHAnsi" w:cstheme="minorBidi"/>
          <w:szCs w:val="22"/>
        </w:rPr>
      </w:pPr>
      <w:r>
        <w:rPr>
          <w:color w:val="000000"/>
        </w:rPr>
        <w:t>14.</w:t>
      </w:r>
      <w:r>
        <w:rPr>
          <w:color w:val="000000"/>
        </w:rPr>
        <w:tab/>
        <w:t>Instruction and training</w:t>
      </w:r>
      <w:r>
        <w:tab/>
      </w:r>
      <w:r>
        <w:fldChar w:fldCharType="begin"/>
      </w:r>
      <w:r>
        <w:instrText xml:space="preserve"> PAGEREF _Toc194932903 \h </w:instrText>
      </w:r>
      <w:r>
        <w:fldChar w:fldCharType="separate"/>
      </w:r>
      <w:r>
        <w:t>35</w:t>
      </w:r>
      <w:r>
        <w:fldChar w:fldCharType="end"/>
      </w:r>
    </w:p>
    <w:p>
      <w:pPr>
        <w:pStyle w:val="TOC8"/>
        <w:rPr>
          <w:rFonts w:asciiTheme="minorHAnsi" w:eastAsiaTheme="minorEastAsia" w:hAnsiTheme="minorHAnsi" w:cstheme="minorBidi"/>
          <w:szCs w:val="22"/>
        </w:rPr>
      </w:pPr>
      <w:r>
        <w:t>14A.</w:t>
      </w:r>
      <w:r>
        <w:tab/>
        <w:t>Transport of ammonium nitrate explosion risk goods — instruction and training</w:t>
      </w:r>
      <w:r>
        <w:tab/>
      </w:r>
      <w:r>
        <w:fldChar w:fldCharType="begin"/>
      </w:r>
      <w:r>
        <w:instrText xml:space="preserve"> PAGEREF _Toc194932904 \h </w:instrText>
      </w:r>
      <w:r>
        <w:fldChar w:fldCharType="separate"/>
      </w:r>
      <w:r>
        <w:t>36</w:t>
      </w:r>
      <w:r>
        <w:fldChar w:fldCharType="end"/>
      </w:r>
    </w:p>
    <w:p>
      <w:pPr>
        <w:pStyle w:val="TOC8"/>
        <w:rPr>
          <w:rFonts w:asciiTheme="minorHAnsi" w:eastAsiaTheme="minorEastAsia" w:hAnsiTheme="minorHAnsi" w:cstheme="minorBidi"/>
          <w:szCs w:val="22"/>
        </w:rPr>
      </w:pPr>
      <w:r>
        <w:rPr>
          <w:color w:val="000000"/>
        </w:rPr>
        <w:t>15.</w:t>
      </w:r>
      <w:r>
        <w:rPr>
          <w:color w:val="000000"/>
        </w:rPr>
        <w:tab/>
        <w:t>Approvals — tests and training courses for drivers</w:t>
      </w:r>
      <w:r>
        <w:tab/>
      </w:r>
      <w:r>
        <w:fldChar w:fldCharType="begin"/>
      </w:r>
      <w:r>
        <w:instrText xml:space="preserve"> PAGEREF _Toc194932905 \h </w:instrText>
      </w:r>
      <w:r>
        <w:fldChar w:fldCharType="separate"/>
      </w:r>
      <w:r>
        <w:t>36</w:t>
      </w:r>
      <w:r>
        <w:fldChar w:fldCharType="end"/>
      </w:r>
    </w:p>
    <w:p>
      <w:pPr>
        <w:pStyle w:val="TOC4"/>
        <w:tabs>
          <w:tab w:val="right" w:leader="dot" w:pos="7077"/>
        </w:tabs>
        <w:rPr>
          <w:rFonts w:asciiTheme="minorHAnsi" w:eastAsiaTheme="minorEastAsia" w:hAnsiTheme="minorHAnsi" w:cstheme="minorBidi"/>
          <w:b w:val="0"/>
          <w:szCs w:val="22"/>
        </w:rPr>
      </w:pPr>
      <w:r>
        <w:t>Division 5 — Goods suspected of being dangerous goods</w:t>
      </w:r>
    </w:p>
    <w:p>
      <w:pPr>
        <w:pStyle w:val="TOC8"/>
        <w:rPr>
          <w:rFonts w:asciiTheme="minorHAnsi" w:eastAsiaTheme="minorEastAsia" w:hAnsiTheme="minorHAnsi" w:cstheme="minorBidi"/>
          <w:szCs w:val="22"/>
        </w:rPr>
      </w:pPr>
      <w:r>
        <w:t>16.</w:t>
      </w:r>
      <w:r>
        <w:tab/>
      </w:r>
      <w:r>
        <w:rPr>
          <w:color w:val="000000"/>
        </w:rPr>
        <w:t>Goods suspected of being dangerous goods</w:t>
      </w:r>
      <w:r>
        <w:tab/>
      </w:r>
      <w:r>
        <w:fldChar w:fldCharType="begin"/>
      </w:r>
      <w:r>
        <w:instrText xml:space="preserve"> PAGEREF _Toc194932907 \h </w:instrText>
      </w:r>
      <w:r>
        <w:fldChar w:fldCharType="separate"/>
      </w:r>
      <w:r>
        <w:t>37</w:t>
      </w:r>
      <w:r>
        <w:fldChar w:fldCharType="end"/>
      </w:r>
    </w:p>
    <w:p>
      <w:pPr>
        <w:pStyle w:val="TOC4"/>
        <w:tabs>
          <w:tab w:val="right" w:leader="dot" w:pos="7077"/>
        </w:tabs>
        <w:rPr>
          <w:rFonts w:asciiTheme="minorHAnsi" w:eastAsiaTheme="minorEastAsia" w:hAnsiTheme="minorHAnsi" w:cstheme="minorBidi"/>
          <w:b w:val="0"/>
          <w:szCs w:val="22"/>
        </w:rPr>
      </w:pPr>
      <w:r>
        <w:t>Division 6 — Determinations</w:t>
      </w:r>
    </w:p>
    <w:p>
      <w:pPr>
        <w:pStyle w:val="TOC8"/>
        <w:rPr>
          <w:rFonts w:asciiTheme="minorHAnsi" w:eastAsiaTheme="minorEastAsia" w:hAnsiTheme="minorHAnsi" w:cstheme="minorBidi"/>
          <w:szCs w:val="22"/>
        </w:rPr>
      </w:pPr>
      <w:r>
        <w:rPr>
          <w:color w:val="000000"/>
        </w:rPr>
        <w:t>17.</w:t>
      </w:r>
      <w:r>
        <w:rPr>
          <w:color w:val="000000"/>
        </w:rPr>
        <w:tab/>
        <w:t>Determinations — dangerous goods</w:t>
      </w:r>
      <w:r>
        <w:tab/>
      </w:r>
      <w:r>
        <w:fldChar w:fldCharType="begin"/>
      </w:r>
      <w:r>
        <w:instrText xml:space="preserve"> PAGEREF _Toc194932909 \h </w:instrText>
      </w:r>
      <w:r>
        <w:fldChar w:fldCharType="separate"/>
      </w:r>
      <w:r>
        <w:t>37</w:t>
      </w:r>
      <w:r>
        <w:fldChar w:fldCharType="end"/>
      </w:r>
    </w:p>
    <w:p>
      <w:pPr>
        <w:pStyle w:val="TOC8"/>
        <w:rPr>
          <w:rFonts w:asciiTheme="minorHAnsi" w:eastAsiaTheme="minorEastAsia" w:hAnsiTheme="minorHAnsi" w:cstheme="minorBidi"/>
          <w:szCs w:val="22"/>
        </w:rPr>
      </w:pPr>
      <w:r>
        <w:rPr>
          <w:color w:val="000000"/>
        </w:rPr>
        <w:t>18.</w:t>
      </w:r>
      <w:r>
        <w:rPr>
          <w:color w:val="000000"/>
        </w:rPr>
        <w:tab/>
        <w:t>Determinations — packaging</w:t>
      </w:r>
      <w:r>
        <w:tab/>
      </w:r>
      <w:r>
        <w:fldChar w:fldCharType="begin"/>
      </w:r>
      <w:r>
        <w:instrText xml:space="preserve"> PAGEREF _Toc194932910 \h </w:instrText>
      </w:r>
      <w:r>
        <w:fldChar w:fldCharType="separate"/>
      </w:r>
      <w:r>
        <w:t>38</w:t>
      </w:r>
      <w:r>
        <w:fldChar w:fldCharType="end"/>
      </w:r>
    </w:p>
    <w:p>
      <w:pPr>
        <w:pStyle w:val="TOC8"/>
        <w:rPr>
          <w:rFonts w:asciiTheme="minorHAnsi" w:eastAsiaTheme="minorEastAsia" w:hAnsiTheme="minorHAnsi" w:cstheme="minorBidi"/>
          <w:szCs w:val="22"/>
        </w:rPr>
      </w:pPr>
      <w:r>
        <w:t>19.</w:t>
      </w:r>
      <w:r>
        <w:tab/>
        <w:t>Determinations — vehicles, routes, areas, times etc.</w:t>
      </w:r>
      <w:r>
        <w:tab/>
      </w:r>
      <w:r>
        <w:fldChar w:fldCharType="begin"/>
      </w:r>
      <w:r>
        <w:instrText xml:space="preserve"> PAGEREF _Toc194932911 \h </w:instrText>
      </w:r>
      <w:r>
        <w:fldChar w:fldCharType="separate"/>
      </w:r>
      <w:r>
        <w:t>38</w:t>
      </w:r>
      <w:r>
        <w:fldChar w:fldCharType="end"/>
      </w:r>
    </w:p>
    <w:p>
      <w:pPr>
        <w:pStyle w:val="TOC8"/>
        <w:rPr>
          <w:rFonts w:asciiTheme="minorHAnsi" w:eastAsiaTheme="minorEastAsia" w:hAnsiTheme="minorHAnsi" w:cstheme="minorBidi"/>
          <w:szCs w:val="22"/>
        </w:rPr>
      </w:pPr>
      <w:r>
        <w:t>20.</w:t>
      </w:r>
      <w:r>
        <w:tab/>
        <w:t>Determinations may be subject to conditions</w:t>
      </w:r>
      <w:r>
        <w:tab/>
      </w:r>
      <w:r>
        <w:fldChar w:fldCharType="begin"/>
      </w:r>
      <w:r>
        <w:instrText xml:space="preserve"> PAGEREF _Toc194932912 \h </w:instrText>
      </w:r>
      <w:r>
        <w:fldChar w:fldCharType="separate"/>
      </w:r>
      <w:r>
        <w:t>39</w:t>
      </w:r>
      <w:r>
        <w:fldChar w:fldCharType="end"/>
      </w:r>
    </w:p>
    <w:p>
      <w:pPr>
        <w:pStyle w:val="TOC8"/>
        <w:rPr>
          <w:rFonts w:asciiTheme="minorHAnsi" w:eastAsiaTheme="minorEastAsia" w:hAnsiTheme="minorHAnsi" w:cstheme="minorBidi"/>
          <w:szCs w:val="22"/>
        </w:rPr>
      </w:pPr>
      <w:r>
        <w:rPr>
          <w:color w:val="000000"/>
        </w:rPr>
        <w:t>21.</w:t>
      </w:r>
      <w:r>
        <w:rPr>
          <w:color w:val="000000"/>
        </w:rPr>
        <w:tab/>
        <w:t>Effect of determinations on contrary obligations under these regulations</w:t>
      </w:r>
      <w:r>
        <w:tab/>
      </w:r>
      <w:r>
        <w:fldChar w:fldCharType="begin"/>
      </w:r>
      <w:r>
        <w:instrText xml:space="preserve"> PAGEREF _Toc194932913 \h </w:instrText>
      </w:r>
      <w:r>
        <w:fldChar w:fldCharType="separate"/>
      </w:r>
      <w:r>
        <w:t>39</w:t>
      </w:r>
      <w:r>
        <w:fldChar w:fldCharType="end"/>
      </w:r>
    </w:p>
    <w:p>
      <w:pPr>
        <w:pStyle w:val="TOC8"/>
        <w:rPr>
          <w:rFonts w:asciiTheme="minorHAnsi" w:eastAsiaTheme="minorEastAsia" w:hAnsiTheme="minorHAnsi" w:cstheme="minorBidi"/>
          <w:szCs w:val="22"/>
        </w:rPr>
      </w:pPr>
      <w:r>
        <w:rPr>
          <w:color w:val="000000"/>
        </w:rPr>
        <w:t>22.</w:t>
      </w:r>
      <w:r>
        <w:rPr>
          <w:color w:val="000000"/>
        </w:rPr>
        <w:tab/>
        <w:t>Offence to do any thing prohibited by a determination</w:t>
      </w:r>
      <w:r>
        <w:tab/>
      </w:r>
      <w:r>
        <w:fldChar w:fldCharType="begin"/>
      </w:r>
      <w:r>
        <w:instrText xml:space="preserve"> PAGEREF _Toc194932914 \h </w:instrText>
      </w:r>
      <w:r>
        <w:fldChar w:fldCharType="separate"/>
      </w:r>
      <w:r>
        <w:t>39</w:t>
      </w:r>
      <w:r>
        <w:fldChar w:fldCharType="end"/>
      </w:r>
    </w:p>
    <w:p>
      <w:pPr>
        <w:pStyle w:val="TOC8"/>
        <w:rPr>
          <w:rFonts w:asciiTheme="minorHAnsi" w:eastAsiaTheme="minorEastAsia" w:hAnsiTheme="minorHAnsi" w:cstheme="minorBidi"/>
          <w:szCs w:val="22"/>
        </w:rPr>
      </w:pPr>
      <w:r>
        <w:t>23.</w:t>
      </w:r>
      <w:r>
        <w:tab/>
        <w:t>Register of determinations</w:t>
      </w:r>
      <w:r>
        <w:tab/>
      </w:r>
      <w:r>
        <w:fldChar w:fldCharType="begin"/>
      </w:r>
      <w:r>
        <w:instrText xml:space="preserve"> PAGEREF _Toc194932915 \h </w:instrText>
      </w:r>
      <w:r>
        <w:fldChar w:fldCharType="separate"/>
      </w:r>
      <w:r>
        <w:t>39</w:t>
      </w:r>
      <w:r>
        <w:fldChar w:fldCharType="end"/>
      </w:r>
    </w:p>
    <w:p>
      <w:pPr>
        <w:pStyle w:val="TOC8"/>
        <w:rPr>
          <w:rFonts w:asciiTheme="minorHAnsi" w:eastAsiaTheme="minorEastAsia" w:hAnsiTheme="minorHAnsi" w:cstheme="minorBidi"/>
          <w:szCs w:val="22"/>
        </w:rPr>
      </w:pPr>
      <w:r>
        <w:t>24.</w:t>
      </w:r>
      <w:r>
        <w:tab/>
        <w:t>Records of determinations</w:t>
      </w:r>
      <w:r>
        <w:tab/>
      </w:r>
      <w:r>
        <w:fldChar w:fldCharType="begin"/>
      </w:r>
      <w:r>
        <w:instrText xml:space="preserve"> PAGEREF _Toc194932916 \h </w:instrText>
      </w:r>
      <w:r>
        <w:fldChar w:fldCharType="separate"/>
      </w:r>
      <w:r>
        <w:t>40</w:t>
      </w:r>
      <w:r>
        <w:fldChar w:fldCharType="end"/>
      </w:r>
    </w:p>
    <w:p>
      <w:pPr>
        <w:pStyle w:val="TOC4"/>
        <w:tabs>
          <w:tab w:val="right" w:leader="dot" w:pos="7077"/>
        </w:tabs>
        <w:rPr>
          <w:rFonts w:asciiTheme="minorHAnsi" w:eastAsiaTheme="minorEastAsia" w:hAnsiTheme="minorHAnsi" w:cstheme="minorBidi"/>
          <w:b w:val="0"/>
          <w:szCs w:val="22"/>
        </w:rPr>
      </w:pPr>
      <w:r>
        <w:t>Division 7 — Registers of determinations, exemptions, approvals and licences</w:t>
      </w:r>
    </w:p>
    <w:p>
      <w:pPr>
        <w:pStyle w:val="TOC8"/>
        <w:rPr>
          <w:rFonts w:asciiTheme="minorHAnsi" w:eastAsiaTheme="minorEastAsia" w:hAnsiTheme="minorHAnsi" w:cstheme="minorBidi"/>
          <w:szCs w:val="22"/>
        </w:rPr>
      </w:pPr>
      <w:r>
        <w:t>25.</w:t>
      </w:r>
      <w:r>
        <w:tab/>
        <w:t>Term used: register</w:t>
      </w:r>
      <w:r>
        <w:tab/>
      </w:r>
      <w:r>
        <w:fldChar w:fldCharType="begin"/>
      </w:r>
      <w:r>
        <w:instrText xml:space="preserve"> PAGEREF _Toc194932918 \h </w:instrText>
      </w:r>
      <w:r>
        <w:fldChar w:fldCharType="separate"/>
      </w:r>
      <w:r>
        <w:t>40</w:t>
      </w:r>
      <w:r>
        <w:fldChar w:fldCharType="end"/>
      </w:r>
    </w:p>
    <w:p>
      <w:pPr>
        <w:pStyle w:val="TOC8"/>
        <w:rPr>
          <w:rFonts w:asciiTheme="minorHAnsi" w:eastAsiaTheme="minorEastAsia" w:hAnsiTheme="minorHAnsi" w:cstheme="minorBidi"/>
          <w:szCs w:val="22"/>
        </w:rPr>
      </w:pPr>
      <w:r>
        <w:t>26.</w:t>
      </w:r>
      <w:r>
        <w:tab/>
        <w:t>Registers may be kept on computer</w:t>
      </w:r>
      <w:r>
        <w:tab/>
      </w:r>
      <w:r>
        <w:fldChar w:fldCharType="begin"/>
      </w:r>
      <w:r>
        <w:instrText xml:space="preserve"> PAGEREF _Toc194932919 \h </w:instrText>
      </w:r>
      <w:r>
        <w:fldChar w:fldCharType="separate"/>
      </w:r>
      <w:r>
        <w:t>41</w:t>
      </w:r>
      <w:r>
        <w:fldChar w:fldCharType="end"/>
      </w:r>
    </w:p>
    <w:p>
      <w:pPr>
        <w:pStyle w:val="TOC8"/>
        <w:rPr>
          <w:rFonts w:asciiTheme="minorHAnsi" w:eastAsiaTheme="minorEastAsia" w:hAnsiTheme="minorHAnsi" w:cstheme="minorBidi"/>
          <w:szCs w:val="22"/>
        </w:rPr>
      </w:pPr>
      <w:r>
        <w:t>27.</w:t>
      </w:r>
      <w:r>
        <w:tab/>
        <w:t>Inspection of registers</w:t>
      </w:r>
      <w:r>
        <w:tab/>
      </w:r>
      <w:r>
        <w:fldChar w:fldCharType="begin"/>
      </w:r>
      <w:r>
        <w:instrText xml:space="preserve"> PAGEREF _Toc194932920 \h </w:instrText>
      </w:r>
      <w:r>
        <w:fldChar w:fldCharType="separate"/>
      </w:r>
      <w:r>
        <w:t>41</w:t>
      </w:r>
      <w:r>
        <w:fldChar w:fldCharType="end"/>
      </w:r>
    </w:p>
    <w:p>
      <w:pPr>
        <w:pStyle w:val="TOC2"/>
        <w:tabs>
          <w:tab w:val="right" w:leader="dot" w:pos="7077"/>
        </w:tabs>
        <w:rPr>
          <w:rFonts w:asciiTheme="minorHAnsi" w:eastAsiaTheme="minorEastAsia" w:hAnsiTheme="minorHAnsi" w:cstheme="minorBidi"/>
          <w:b w:val="0"/>
          <w:sz w:val="22"/>
          <w:szCs w:val="22"/>
        </w:rPr>
      </w:pPr>
      <w:r>
        <w:t>Part 2 — Key concepts</w:t>
      </w:r>
    </w:p>
    <w:p>
      <w:pPr>
        <w:pStyle w:val="TOC4"/>
        <w:tabs>
          <w:tab w:val="right" w:leader="dot" w:pos="7077"/>
        </w:tabs>
        <w:rPr>
          <w:rFonts w:asciiTheme="minorHAnsi" w:eastAsiaTheme="minorEastAsia" w:hAnsiTheme="minorHAnsi" w:cstheme="minorBidi"/>
          <w:b w:val="0"/>
          <w:szCs w:val="22"/>
        </w:rPr>
      </w:pPr>
      <w:r>
        <w:t>Division 1 — Kinds of goods</w:t>
      </w:r>
    </w:p>
    <w:p>
      <w:pPr>
        <w:pStyle w:val="TOC8"/>
        <w:rPr>
          <w:rFonts w:asciiTheme="minorHAnsi" w:eastAsiaTheme="minorEastAsia" w:hAnsiTheme="minorHAnsi" w:cstheme="minorBidi"/>
          <w:szCs w:val="22"/>
        </w:rPr>
      </w:pPr>
      <w:r>
        <w:t>28.</w:t>
      </w:r>
      <w:r>
        <w:tab/>
        <w:t>Term used: dangerous goods</w:t>
      </w:r>
      <w:r>
        <w:tab/>
      </w:r>
      <w:r>
        <w:fldChar w:fldCharType="begin"/>
      </w:r>
      <w:r>
        <w:instrText xml:space="preserve"> PAGEREF _Toc194932923 \h </w:instrText>
      </w:r>
      <w:r>
        <w:fldChar w:fldCharType="separate"/>
      </w:r>
      <w:r>
        <w:t>42</w:t>
      </w:r>
      <w:r>
        <w:fldChar w:fldCharType="end"/>
      </w:r>
    </w:p>
    <w:p>
      <w:pPr>
        <w:pStyle w:val="TOC8"/>
        <w:rPr>
          <w:rFonts w:asciiTheme="minorHAnsi" w:eastAsiaTheme="minorEastAsia" w:hAnsiTheme="minorHAnsi" w:cstheme="minorBidi"/>
          <w:szCs w:val="22"/>
        </w:rPr>
      </w:pPr>
      <w:r>
        <w:t>29.</w:t>
      </w:r>
      <w:r>
        <w:tab/>
        <w:t>Terms used: UN Class, UN Division</w:t>
      </w:r>
      <w:r>
        <w:tab/>
      </w:r>
      <w:r>
        <w:fldChar w:fldCharType="begin"/>
      </w:r>
      <w:r>
        <w:instrText xml:space="preserve"> PAGEREF _Toc194932924 \h </w:instrText>
      </w:r>
      <w:r>
        <w:fldChar w:fldCharType="separate"/>
      </w:r>
      <w:r>
        <w:t>43</w:t>
      </w:r>
      <w:r>
        <w:fldChar w:fldCharType="end"/>
      </w:r>
    </w:p>
    <w:p>
      <w:pPr>
        <w:pStyle w:val="TOC8"/>
        <w:rPr>
          <w:rFonts w:asciiTheme="minorHAnsi" w:eastAsiaTheme="minorEastAsia" w:hAnsiTheme="minorHAnsi" w:cstheme="minorBidi"/>
          <w:szCs w:val="22"/>
        </w:rPr>
      </w:pPr>
      <w:r>
        <w:t>30.</w:t>
      </w:r>
      <w:r>
        <w:tab/>
        <w:t>Term used: Subsidiary Hazard</w:t>
      </w:r>
      <w:r>
        <w:tab/>
      </w:r>
      <w:r>
        <w:fldChar w:fldCharType="begin"/>
      </w:r>
      <w:r>
        <w:instrText xml:space="preserve"> PAGEREF _Toc194932925 \h </w:instrText>
      </w:r>
      <w:r>
        <w:fldChar w:fldCharType="separate"/>
      </w:r>
      <w:r>
        <w:t>43</w:t>
      </w:r>
      <w:r>
        <w:fldChar w:fldCharType="end"/>
      </w:r>
    </w:p>
    <w:p>
      <w:pPr>
        <w:pStyle w:val="TOC8"/>
        <w:rPr>
          <w:rFonts w:asciiTheme="minorHAnsi" w:eastAsiaTheme="minorEastAsia" w:hAnsiTheme="minorHAnsi" w:cstheme="minorBidi"/>
          <w:szCs w:val="22"/>
        </w:rPr>
      </w:pPr>
      <w:r>
        <w:rPr>
          <w:color w:val="000000"/>
        </w:rPr>
        <w:t>31.</w:t>
      </w:r>
      <w:r>
        <w:rPr>
          <w:color w:val="000000"/>
        </w:rPr>
        <w:tab/>
        <w:t>Term used: Packing Group</w:t>
      </w:r>
      <w:r>
        <w:tab/>
      </w:r>
      <w:r>
        <w:fldChar w:fldCharType="begin"/>
      </w:r>
      <w:r>
        <w:instrText xml:space="preserve"> PAGEREF _Toc194932926 \h </w:instrText>
      </w:r>
      <w:r>
        <w:fldChar w:fldCharType="separate"/>
      </w:r>
      <w:r>
        <w:t>44</w:t>
      </w:r>
      <w:r>
        <w:fldChar w:fldCharType="end"/>
      </w:r>
    </w:p>
    <w:p>
      <w:pPr>
        <w:pStyle w:val="TOC8"/>
        <w:rPr>
          <w:rFonts w:asciiTheme="minorHAnsi" w:eastAsiaTheme="minorEastAsia" w:hAnsiTheme="minorHAnsi" w:cstheme="minorBidi"/>
          <w:szCs w:val="22"/>
        </w:rPr>
      </w:pPr>
      <w:r>
        <w:t>32.</w:t>
      </w:r>
      <w:r>
        <w:tab/>
        <w:t>Term used: incompatible</w:t>
      </w:r>
      <w:r>
        <w:tab/>
      </w:r>
      <w:r>
        <w:fldChar w:fldCharType="begin"/>
      </w:r>
      <w:r>
        <w:instrText xml:space="preserve"> PAGEREF _Toc194932927 \h </w:instrText>
      </w:r>
      <w:r>
        <w:fldChar w:fldCharType="separate"/>
      </w:r>
      <w:r>
        <w:t>45</w:t>
      </w:r>
      <w:r>
        <w:fldChar w:fldCharType="end"/>
      </w:r>
    </w:p>
    <w:p>
      <w:pPr>
        <w:pStyle w:val="TOC4"/>
        <w:tabs>
          <w:tab w:val="right" w:leader="dot" w:pos="7077"/>
        </w:tabs>
        <w:rPr>
          <w:rFonts w:asciiTheme="minorHAnsi" w:eastAsiaTheme="minorEastAsia" w:hAnsiTheme="minorHAnsi" w:cstheme="minorBidi"/>
          <w:b w:val="0"/>
          <w:szCs w:val="22"/>
        </w:rPr>
      </w:pPr>
      <w:r>
        <w:t>Division 2 — Containers and loads</w:t>
      </w:r>
    </w:p>
    <w:p>
      <w:pPr>
        <w:pStyle w:val="TOC8"/>
        <w:rPr>
          <w:rFonts w:asciiTheme="minorHAnsi" w:eastAsiaTheme="minorEastAsia" w:hAnsiTheme="minorHAnsi" w:cstheme="minorBidi"/>
          <w:szCs w:val="22"/>
        </w:rPr>
      </w:pPr>
      <w:r>
        <w:t>33.</w:t>
      </w:r>
      <w:r>
        <w:tab/>
        <w:t>Meaning of bulk container</w:t>
      </w:r>
      <w:r>
        <w:tab/>
      </w:r>
      <w:r>
        <w:fldChar w:fldCharType="begin"/>
      </w:r>
      <w:r>
        <w:instrText xml:space="preserve"> PAGEREF _Toc194932929 \h </w:instrText>
      </w:r>
      <w:r>
        <w:fldChar w:fldCharType="separate"/>
      </w:r>
      <w:r>
        <w:t>45</w:t>
      </w:r>
      <w:r>
        <w:fldChar w:fldCharType="end"/>
      </w:r>
    </w:p>
    <w:p>
      <w:pPr>
        <w:pStyle w:val="TOC8"/>
        <w:rPr>
          <w:rFonts w:asciiTheme="minorHAnsi" w:eastAsiaTheme="minorEastAsia" w:hAnsiTheme="minorHAnsi" w:cstheme="minorBidi"/>
          <w:szCs w:val="22"/>
        </w:rPr>
      </w:pPr>
      <w:r>
        <w:t>34.</w:t>
      </w:r>
      <w:r>
        <w:tab/>
        <w:t>Terms used: IBC, intermediate bulk container</w:t>
      </w:r>
      <w:r>
        <w:tab/>
      </w:r>
      <w:r>
        <w:fldChar w:fldCharType="begin"/>
      </w:r>
      <w:r>
        <w:instrText xml:space="preserve"> PAGEREF _Toc194932930 \h </w:instrText>
      </w:r>
      <w:r>
        <w:fldChar w:fldCharType="separate"/>
      </w:r>
      <w:r>
        <w:t>46</w:t>
      </w:r>
      <w:r>
        <w:fldChar w:fldCharType="end"/>
      </w:r>
    </w:p>
    <w:p>
      <w:pPr>
        <w:pStyle w:val="TOC8"/>
        <w:rPr>
          <w:rFonts w:asciiTheme="minorHAnsi" w:eastAsiaTheme="minorEastAsia" w:hAnsiTheme="minorHAnsi" w:cstheme="minorBidi"/>
          <w:szCs w:val="22"/>
        </w:rPr>
      </w:pPr>
      <w:r>
        <w:rPr>
          <w:color w:val="000000"/>
        </w:rPr>
        <w:t>35.</w:t>
      </w:r>
      <w:r>
        <w:rPr>
          <w:color w:val="000000"/>
        </w:rPr>
        <w:tab/>
        <w:t>Terms used: MEGC, multiple</w:t>
      </w:r>
      <w:r>
        <w:rPr>
          <w:color w:val="000000"/>
        </w:rPr>
        <w:noBreakHyphen/>
        <w:t>element gas container</w:t>
      </w:r>
      <w:r>
        <w:tab/>
      </w:r>
      <w:r>
        <w:fldChar w:fldCharType="begin"/>
      </w:r>
      <w:r>
        <w:instrText xml:space="preserve"> PAGEREF _Toc194932931 \h </w:instrText>
      </w:r>
      <w:r>
        <w:fldChar w:fldCharType="separate"/>
      </w:r>
      <w:r>
        <w:t>47</w:t>
      </w:r>
      <w:r>
        <w:fldChar w:fldCharType="end"/>
      </w:r>
    </w:p>
    <w:p>
      <w:pPr>
        <w:pStyle w:val="TOC8"/>
        <w:rPr>
          <w:rFonts w:asciiTheme="minorHAnsi" w:eastAsiaTheme="minorEastAsia" w:hAnsiTheme="minorHAnsi" w:cstheme="minorBidi"/>
          <w:szCs w:val="22"/>
        </w:rPr>
      </w:pPr>
      <w:r>
        <w:t>36.</w:t>
      </w:r>
      <w:r>
        <w:tab/>
        <w:t>References to tank</w:t>
      </w:r>
      <w:r>
        <w:tab/>
      </w:r>
      <w:r>
        <w:fldChar w:fldCharType="begin"/>
      </w:r>
      <w:r>
        <w:instrText xml:space="preserve"> PAGEREF _Toc194932932 \h </w:instrText>
      </w:r>
      <w:r>
        <w:fldChar w:fldCharType="separate"/>
      </w:r>
      <w:r>
        <w:t>47</w:t>
      </w:r>
      <w:r>
        <w:fldChar w:fldCharType="end"/>
      </w:r>
    </w:p>
    <w:p>
      <w:pPr>
        <w:pStyle w:val="TOC8"/>
        <w:rPr>
          <w:rFonts w:asciiTheme="minorHAnsi" w:eastAsiaTheme="minorEastAsia" w:hAnsiTheme="minorHAnsi" w:cstheme="minorBidi"/>
          <w:szCs w:val="22"/>
        </w:rPr>
      </w:pPr>
      <w:r>
        <w:lastRenderedPageBreak/>
        <w:t>38.</w:t>
      </w:r>
      <w:r>
        <w:tab/>
        <w:t>Loads</w:t>
      </w:r>
      <w:r>
        <w:tab/>
      </w:r>
      <w:r>
        <w:fldChar w:fldCharType="begin"/>
      </w:r>
      <w:r>
        <w:instrText xml:space="preserve"> PAGEREF _Toc194932933 \h </w:instrText>
      </w:r>
      <w:r>
        <w:fldChar w:fldCharType="separate"/>
      </w:r>
      <w:r>
        <w:t>48</w:t>
      </w:r>
      <w:r>
        <w:fldChar w:fldCharType="end"/>
      </w:r>
    </w:p>
    <w:p>
      <w:pPr>
        <w:pStyle w:val="TOC4"/>
        <w:tabs>
          <w:tab w:val="right" w:leader="dot" w:pos="7077"/>
        </w:tabs>
        <w:rPr>
          <w:rFonts w:asciiTheme="minorHAnsi" w:eastAsiaTheme="minorEastAsia" w:hAnsiTheme="minorHAnsi" w:cstheme="minorBidi"/>
          <w:b w:val="0"/>
          <w:szCs w:val="22"/>
        </w:rPr>
      </w:pPr>
      <w:r>
        <w:t>Division 3 — Persons with special duties</w:t>
      </w:r>
    </w:p>
    <w:p>
      <w:pPr>
        <w:pStyle w:val="TOC8"/>
        <w:rPr>
          <w:rFonts w:asciiTheme="minorHAnsi" w:eastAsiaTheme="minorEastAsia" w:hAnsiTheme="minorHAnsi" w:cstheme="minorBidi"/>
          <w:szCs w:val="22"/>
        </w:rPr>
      </w:pPr>
      <w:r>
        <w:t>39.</w:t>
      </w:r>
      <w:r>
        <w:tab/>
        <w:t>Term used: owner</w:t>
      </w:r>
      <w:r>
        <w:tab/>
      </w:r>
      <w:r>
        <w:fldChar w:fldCharType="begin"/>
      </w:r>
      <w:r>
        <w:instrText xml:space="preserve"> PAGEREF _Toc194932935 \h </w:instrText>
      </w:r>
      <w:r>
        <w:fldChar w:fldCharType="separate"/>
      </w:r>
      <w:r>
        <w:t>48</w:t>
      </w:r>
      <w:r>
        <w:fldChar w:fldCharType="end"/>
      </w:r>
    </w:p>
    <w:p>
      <w:pPr>
        <w:pStyle w:val="TOC8"/>
        <w:rPr>
          <w:rFonts w:asciiTheme="minorHAnsi" w:eastAsiaTheme="minorEastAsia" w:hAnsiTheme="minorHAnsi" w:cstheme="minorBidi"/>
          <w:szCs w:val="22"/>
        </w:rPr>
      </w:pPr>
      <w:r>
        <w:t>40.</w:t>
      </w:r>
      <w:r>
        <w:tab/>
        <w:t>Terms used: consigns, consignor</w:t>
      </w:r>
      <w:r>
        <w:tab/>
      </w:r>
      <w:r>
        <w:fldChar w:fldCharType="begin"/>
      </w:r>
      <w:r>
        <w:instrText xml:space="preserve"> PAGEREF _Toc194932936 \h </w:instrText>
      </w:r>
      <w:r>
        <w:fldChar w:fldCharType="separate"/>
      </w:r>
      <w:r>
        <w:t>48</w:t>
      </w:r>
      <w:r>
        <w:fldChar w:fldCharType="end"/>
      </w:r>
    </w:p>
    <w:p>
      <w:pPr>
        <w:pStyle w:val="TOC8"/>
        <w:rPr>
          <w:rFonts w:asciiTheme="minorHAnsi" w:eastAsiaTheme="minorEastAsia" w:hAnsiTheme="minorHAnsi" w:cstheme="minorBidi"/>
          <w:szCs w:val="22"/>
        </w:rPr>
      </w:pPr>
      <w:r>
        <w:t>41.</w:t>
      </w:r>
      <w:r>
        <w:tab/>
        <w:t>Terms used: packs, packer</w:t>
      </w:r>
      <w:r>
        <w:tab/>
      </w:r>
      <w:r>
        <w:fldChar w:fldCharType="begin"/>
      </w:r>
      <w:r>
        <w:instrText xml:space="preserve"> PAGEREF _Toc194932937 \h </w:instrText>
      </w:r>
      <w:r>
        <w:fldChar w:fldCharType="separate"/>
      </w:r>
      <w:r>
        <w:t>49</w:t>
      </w:r>
      <w:r>
        <w:fldChar w:fldCharType="end"/>
      </w:r>
    </w:p>
    <w:p>
      <w:pPr>
        <w:pStyle w:val="TOC8"/>
        <w:rPr>
          <w:rFonts w:asciiTheme="minorHAnsi" w:eastAsiaTheme="minorEastAsia" w:hAnsiTheme="minorHAnsi" w:cstheme="minorBidi"/>
          <w:szCs w:val="22"/>
        </w:rPr>
      </w:pPr>
      <w:r>
        <w:t>42.</w:t>
      </w:r>
      <w:r>
        <w:tab/>
        <w:t>Terms used: loads, loader</w:t>
      </w:r>
      <w:r>
        <w:tab/>
      </w:r>
      <w:r>
        <w:fldChar w:fldCharType="begin"/>
      </w:r>
      <w:r>
        <w:instrText xml:space="preserve"> PAGEREF _Toc194932938 \h </w:instrText>
      </w:r>
      <w:r>
        <w:fldChar w:fldCharType="separate"/>
      </w:r>
      <w:r>
        <w:t>50</w:t>
      </w:r>
      <w:r>
        <w:fldChar w:fldCharType="end"/>
      </w:r>
    </w:p>
    <w:p>
      <w:pPr>
        <w:pStyle w:val="TOC8"/>
        <w:rPr>
          <w:rFonts w:asciiTheme="minorHAnsi" w:eastAsiaTheme="minorEastAsia" w:hAnsiTheme="minorHAnsi" w:cstheme="minorBidi"/>
          <w:szCs w:val="22"/>
        </w:rPr>
      </w:pPr>
      <w:r>
        <w:t>43.</w:t>
      </w:r>
      <w:r>
        <w:tab/>
        <w:t>Term used: prime contractor</w:t>
      </w:r>
      <w:r>
        <w:tab/>
      </w:r>
      <w:r>
        <w:fldChar w:fldCharType="begin"/>
      </w:r>
      <w:r>
        <w:instrText xml:space="preserve"> PAGEREF _Toc194932939 \h </w:instrText>
      </w:r>
      <w:r>
        <w:fldChar w:fldCharType="separate"/>
      </w:r>
      <w:r>
        <w:t>50</w:t>
      </w:r>
      <w:r>
        <w:fldChar w:fldCharType="end"/>
      </w:r>
    </w:p>
    <w:p>
      <w:pPr>
        <w:pStyle w:val="TOC8"/>
        <w:rPr>
          <w:rFonts w:asciiTheme="minorHAnsi" w:eastAsiaTheme="minorEastAsia" w:hAnsiTheme="minorHAnsi" w:cstheme="minorBidi"/>
          <w:szCs w:val="22"/>
        </w:rPr>
      </w:pPr>
      <w:r>
        <w:t>44.</w:t>
      </w:r>
      <w:r>
        <w:tab/>
        <w:t>Term used: rail operator</w:t>
      </w:r>
      <w:r>
        <w:tab/>
      </w:r>
      <w:r>
        <w:fldChar w:fldCharType="begin"/>
      </w:r>
      <w:r>
        <w:instrText xml:space="preserve"> PAGEREF _Toc194932940 \h </w:instrText>
      </w:r>
      <w:r>
        <w:fldChar w:fldCharType="separate"/>
      </w:r>
      <w:r>
        <w:t>50</w:t>
      </w:r>
      <w:r>
        <w:fldChar w:fldCharType="end"/>
      </w:r>
    </w:p>
    <w:p>
      <w:pPr>
        <w:pStyle w:val="TOC4"/>
        <w:tabs>
          <w:tab w:val="right" w:leader="dot" w:pos="7077"/>
        </w:tabs>
        <w:rPr>
          <w:rFonts w:asciiTheme="minorHAnsi" w:eastAsiaTheme="minorEastAsia" w:hAnsiTheme="minorHAnsi" w:cstheme="minorBidi"/>
          <w:b w:val="0"/>
          <w:szCs w:val="22"/>
        </w:rPr>
      </w:pPr>
      <w:r>
        <w:t>Division 4 — Miscellaneous</w:t>
      </w:r>
    </w:p>
    <w:p>
      <w:pPr>
        <w:pStyle w:val="TOC8"/>
        <w:rPr>
          <w:rFonts w:asciiTheme="minorHAnsi" w:eastAsiaTheme="minorEastAsia" w:hAnsiTheme="minorHAnsi" w:cstheme="minorBidi"/>
          <w:szCs w:val="22"/>
        </w:rPr>
      </w:pPr>
      <w:r>
        <w:rPr>
          <w:color w:val="000000"/>
        </w:rPr>
        <w:t>45.</w:t>
      </w:r>
      <w:r>
        <w:rPr>
          <w:color w:val="000000"/>
        </w:rPr>
        <w:tab/>
        <w:t>Term used: packed in limited quantities</w:t>
      </w:r>
      <w:r>
        <w:tab/>
      </w:r>
      <w:r>
        <w:fldChar w:fldCharType="begin"/>
      </w:r>
      <w:r>
        <w:instrText xml:space="preserve"> PAGEREF _Toc194932942 \h </w:instrText>
      </w:r>
      <w:r>
        <w:fldChar w:fldCharType="separate"/>
      </w:r>
      <w:r>
        <w:t>50</w:t>
      </w:r>
      <w:r>
        <w:fldChar w:fldCharType="end"/>
      </w:r>
    </w:p>
    <w:p>
      <w:pPr>
        <w:pStyle w:val="TOC2"/>
        <w:tabs>
          <w:tab w:val="right" w:leader="dot" w:pos="7077"/>
        </w:tabs>
        <w:rPr>
          <w:rFonts w:asciiTheme="minorHAnsi" w:eastAsiaTheme="minorEastAsia" w:hAnsiTheme="minorHAnsi" w:cstheme="minorBidi"/>
          <w:b w:val="0"/>
          <w:sz w:val="22"/>
          <w:szCs w:val="22"/>
        </w:rPr>
      </w:pPr>
      <w:r>
        <w:rPr>
          <w:color w:val="000000"/>
        </w:rPr>
        <w:t>Part 3 — Transport of dangerous goods to which Special Provisions apply</w:t>
      </w:r>
    </w:p>
    <w:p>
      <w:pPr>
        <w:pStyle w:val="TOC8"/>
        <w:rPr>
          <w:rFonts w:asciiTheme="minorHAnsi" w:eastAsiaTheme="minorEastAsia" w:hAnsiTheme="minorHAnsi" w:cstheme="minorBidi"/>
          <w:szCs w:val="22"/>
        </w:rPr>
      </w:pPr>
      <w:r>
        <w:rPr>
          <w:color w:val="000000"/>
        </w:rPr>
        <w:t>46</w:t>
      </w:r>
      <w:r>
        <w:t>.</w:t>
      </w:r>
      <w:r>
        <w:tab/>
        <w:t>Application of this Part</w:t>
      </w:r>
      <w:r>
        <w:tab/>
      </w:r>
      <w:r>
        <w:fldChar w:fldCharType="begin"/>
      </w:r>
      <w:r>
        <w:instrText xml:space="preserve"> PAGEREF _Toc194932944 \h </w:instrText>
      </w:r>
      <w:r>
        <w:fldChar w:fldCharType="separate"/>
      </w:r>
      <w:r>
        <w:t>52</w:t>
      </w:r>
      <w:r>
        <w:fldChar w:fldCharType="end"/>
      </w:r>
    </w:p>
    <w:p>
      <w:pPr>
        <w:pStyle w:val="TOC8"/>
        <w:rPr>
          <w:rFonts w:asciiTheme="minorHAnsi" w:eastAsiaTheme="minorEastAsia" w:hAnsiTheme="minorHAnsi" w:cstheme="minorBidi"/>
          <w:szCs w:val="22"/>
        </w:rPr>
      </w:pPr>
      <w:r>
        <w:rPr>
          <w:color w:val="000000"/>
        </w:rPr>
        <w:t>47.</w:t>
      </w:r>
      <w:r>
        <w:rPr>
          <w:color w:val="000000"/>
        </w:rPr>
        <w:tab/>
        <w:t>Duty on consignors</w:t>
      </w:r>
      <w:r>
        <w:tab/>
      </w:r>
      <w:r>
        <w:fldChar w:fldCharType="begin"/>
      </w:r>
      <w:r>
        <w:instrText xml:space="preserve"> PAGEREF _Toc194932945 \h </w:instrText>
      </w:r>
      <w:r>
        <w:fldChar w:fldCharType="separate"/>
      </w:r>
      <w:r>
        <w:t>52</w:t>
      </w:r>
      <w:r>
        <w:fldChar w:fldCharType="end"/>
      </w:r>
    </w:p>
    <w:p>
      <w:pPr>
        <w:pStyle w:val="TOC8"/>
        <w:rPr>
          <w:rFonts w:asciiTheme="minorHAnsi" w:eastAsiaTheme="minorEastAsia" w:hAnsiTheme="minorHAnsi" w:cstheme="minorBidi"/>
          <w:szCs w:val="22"/>
        </w:rPr>
      </w:pPr>
      <w:r>
        <w:rPr>
          <w:color w:val="000000"/>
        </w:rPr>
        <w:t>48A</w:t>
      </w:r>
      <w:r>
        <w:t>.</w:t>
      </w:r>
      <w:r>
        <w:tab/>
        <w:t>Duty on packers</w:t>
      </w:r>
      <w:r>
        <w:tab/>
      </w:r>
      <w:r>
        <w:fldChar w:fldCharType="begin"/>
      </w:r>
      <w:r>
        <w:instrText xml:space="preserve"> PAGEREF _Toc194932946 \h </w:instrText>
      </w:r>
      <w:r>
        <w:fldChar w:fldCharType="separate"/>
      </w:r>
      <w:r>
        <w:t>52</w:t>
      </w:r>
      <w:r>
        <w:fldChar w:fldCharType="end"/>
      </w:r>
    </w:p>
    <w:p>
      <w:pPr>
        <w:pStyle w:val="TOC8"/>
        <w:rPr>
          <w:rFonts w:asciiTheme="minorHAnsi" w:eastAsiaTheme="minorEastAsia" w:hAnsiTheme="minorHAnsi" w:cstheme="minorBidi"/>
          <w:szCs w:val="22"/>
        </w:rPr>
      </w:pPr>
      <w:r>
        <w:rPr>
          <w:color w:val="000000"/>
        </w:rPr>
        <w:t>48B</w:t>
      </w:r>
      <w:r>
        <w:t>.</w:t>
      </w:r>
      <w:r>
        <w:tab/>
        <w:t>Duty on loaders</w:t>
      </w:r>
      <w:r>
        <w:tab/>
      </w:r>
      <w:r>
        <w:fldChar w:fldCharType="begin"/>
      </w:r>
      <w:r>
        <w:instrText xml:space="preserve"> PAGEREF _Toc194932947 \h </w:instrText>
      </w:r>
      <w:r>
        <w:fldChar w:fldCharType="separate"/>
      </w:r>
      <w:r>
        <w:t>53</w:t>
      </w:r>
      <w:r>
        <w:fldChar w:fldCharType="end"/>
      </w:r>
    </w:p>
    <w:p>
      <w:pPr>
        <w:pStyle w:val="TOC8"/>
        <w:rPr>
          <w:rFonts w:asciiTheme="minorHAnsi" w:eastAsiaTheme="minorEastAsia" w:hAnsiTheme="minorHAnsi" w:cstheme="minorBidi"/>
          <w:szCs w:val="22"/>
        </w:rPr>
      </w:pPr>
      <w:r>
        <w:rPr>
          <w:color w:val="000000"/>
        </w:rPr>
        <w:t>48.</w:t>
      </w:r>
      <w:r>
        <w:rPr>
          <w:color w:val="000000"/>
        </w:rPr>
        <w:tab/>
        <w:t>Duty on prime contractors and rail operators</w:t>
      </w:r>
      <w:r>
        <w:tab/>
      </w:r>
      <w:r>
        <w:fldChar w:fldCharType="begin"/>
      </w:r>
      <w:r>
        <w:instrText xml:space="preserve"> PAGEREF _Toc194932948 \h </w:instrText>
      </w:r>
      <w:r>
        <w:fldChar w:fldCharType="separate"/>
      </w:r>
      <w:r>
        <w:t>53</w:t>
      </w:r>
      <w:r>
        <w:fldChar w:fldCharType="end"/>
      </w:r>
    </w:p>
    <w:p>
      <w:pPr>
        <w:pStyle w:val="TOC8"/>
        <w:rPr>
          <w:rFonts w:asciiTheme="minorHAnsi" w:eastAsiaTheme="minorEastAsia" w:hAnsiTheme="minorHAnsi" w:cstheme="minorBidi"/>
          <w:szCs w:val="22"/>
        </w:rPr>
      </w:pPr>
      <w:r>
        <w:rPr>
          <w:color w:val="000000"/>
        </w:rPr>
        <w:t>49.</w:t>
      </w:r>
      <w:r>
        <w:rPr>
          <w:color w:val="000000"/>
        </w:rPr>
        <w:tab/>
        <w:t>Duty on drivers</w:t>
      </w:r>
      <w:r>
        <w:tab/>
      </w:r>
      <w:r>
        <w:fldChar w:fldCharType="begin"/>
      </w:r>
      <w:r>
        <w:instrText xml:space="preserve"> PAGEREF _Toc194932949 \h </w:instrText>
      </w:r>
      <w:r>
        <w:fldChar w:fldCharType="separate"/>
      </w:r>
      <w:r>
        <w:t>53</w:t>
      </w:r>
      <w:r>
        <w:fldChar w:fldCharType="end"/>
      </w:r>
    </w:p>
    <w:p>
      <w:pPr>
        <w:pStyle w:val="TOC2"/>
        <w:tabs>
          <w:tab w:val="right" w:leader="dot" w:pos="7077"/>
        </w:tabs>
        <w:rPr>
          <w:rFonts w:asciiTheme="minorHAnsi" w:eastAsiaTheme="minorEastAsia" w:hAnsiTheme="minorHAnsi" w:cstheme="minorBidi"/>
          <w:b w:val="0"/>
          <w:sz w:val="22"/>
          <w:szCs w:val="22"/>
        </w:rPr>
      </w:pPr>
      <w:r>
        <w:t>Part 4 — Packaging</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50.</w:t>
      </w:r>
      <w:r>
        <w:tab/>
      </w:r>
      <w:r>
        <w:rPr>
          <w:color w:val="000000"/>
        </w:rPr>
        <w:t>Application of Part</w:t>
      </w:r>
      <w:r>
        <w:tab/>
      </w:r>
      <w:r>
        <w:fldChar w:fldCharType="begin"/>
      </w:r>
      <w:r>
        <w:instrText xml:space="preserve"> PAGEREF _Toc194932952 \h </w:instrText>
      </w:r>
      <w:r>
        <w:fldChar w:fldCharType="separate"/>
      </w:r>
      <w:r>
        <w:t>55</w:t>
      </w:r>
      <w:r>
        <w:fldChar w:fldCharType="end"/>
      </w:r>
    </w:p>
    <w:p>
      <w:pPr>
        <w:pStyle w:val="TOC8"/>
        <w:rPr>
          <w:rFonts w:asciiTheme="minorHAnsi" w:eastAsiaTheme="minorEastAsia" w:hAnsiTheme="minorHAnsi" w:cstheme="minorBidi"/>
          <w:szCs w:val="22"/>
        </w:rPr>
      </w:pPr>
      <w:r>
        <w:rPr>
          <w:color w:val="000000"/>
        </w:rPr>
        <w:t>52.</w:t>
      </w:r>
      <w:r>
        <w:rPr>
          <w:color w:val="000000"/>
        </w:rPr>
        <w:tab/>
        <w:t>References to ADG Code Part 4 include Dangerous Goods List requirements</w:t>
      </w:r>
      <w:r>
        <w:tab/>
      </w:r>
      <w:r>
        <w:fldChar w:fldCharType="begin"/>
      </w:r>
      <w:r>
        <w:instrText xml:space="preserve"> PAGEREF _Toc194932953 \h </w:instrText>
      </w:r>
      <w:r>
        <w:fldChar w:fldCharType="separate"/>
      </w:r>
      <w:r>
        <w:t>55</w:t>
      </w:r>
      <w:r>
        <w:fldChar w:fldCharType="end"/>
      </w:r>
    </w:p>
    <w:p>
      <w:pPr>
        <w:pStyle w:val="TOC4"/>
        <w:tabs>
          <w:tab w:val="right" w:leader="dot" w:pos="7077"/>
        </w:tabs>
        <w:rPr>
          <w:rFonts w:asciiTheme="minorHAnsi" w:eastAsiaTheme="minorEastAsia" w:hAnsiTheme="minorHAnsi" w:cstheme="minorBidi"/>
          <w:b w:val="0"/>
          <w:szCs w:val="22"/>
        </w:rPr>
      </w:pPr>
      <w:r>
        <w:rPr>
          <w:color w:val="000000"/>
        </w:rPr>
        <w:t>Division 2 — Suitability and design of packaging</w:t>
      </w:r>
    </w:p>
    <w:p>
      <w:pPr>
        <w:pStyle w:val="TOC8"/>
        <w:rPr>
          <w:rFonts w:asciiTheme="minorHAnsi" w:eastAsiaTheme="minorEastAsia" w:hAnsiTheme="minorHAnsi" w:cstheme="minorBidi"/>
          <w:szCs w:val="22"/>
        </w:rPr>
      </w:pPr>
      <w:r>
        <w:rPr>
          <w:color w:val="000000"/>
        </w:rPr>
        <w:t>53.</w:t>
      </w:r>
      <w:r>
        <w:rPr>
          <w:color w:val="000000"/>
        </w:rPr>
        <w:tab/>
        <w:t>Suitability of packaging for transport</w:t>
      </w:r>
      <w:r>
        <w:tab/>
      </w:r>
      <w:r>
        <w:fldChar w:fldCharType="begin"/>
      </w:r>
      <w:r>
        <w:instrText xml:space="preserve"> PAGEREF _Toc194932955 \h </w:instrText>
      </w:r>
      <w:r>
        <w:fldChar w:fldCharType="separate"/>
      </w:r>
      <w:r>
        <w:t>55</w:t>
      </w:r>
      <w:r>
        <w:fldChar w:fldCharType="end"/>
      </w:r>
    </w:p>
    <w:p>
      <w:pPr>
        <w:pStyle w:val="TOC8"/>
        <w:rPr>
          <w:rFonts w:asciiTheme="minorHAnsi" w:eastAsiaTheme="minorEastAsia" w:hAnsiTheme="minorHAnsi" w:cstheme="minorBidi"/>
          <w:szCs w:val="22"/>
        </w:rPr>
      </w:pPr>
      <w:r>
        <w:t>54.</w:t>
      </w:r>
      <w:r>
        <w:tab/>
        <w:t>Marking packaging</w:t>
      </w:r>
      <w:r>
        <w:tab/>
      </w:r>
      <w:r>
        <w:fldChar w:fldCharType="begin"/>
      </w:r>
      <w:r>
        <w:instrText xml:space="preserve"> PAGEREF _Toc194932956 \h </w:instrText>
      </w:r>
      <w:r>
        <w:fldChar w:fldCharType="separate"/>
      </w:r>
      <w:r>
        <w:t>56</w:t>
      </w:r>
      <w:r>
        <w:fldChar w:fldCharType="end"/>
      </w:r>
    </w:p>
    <w:p>
      <w:pPr>
        <w:pStyle w:val="TOC8"/>
        <w:rPr>
          <w:rFonts w:asciiTheme="minorHAnsi" w:eastAsiaTheme="minorEastAsia" w:hAnsiTheme="minorHAnsi" w:cstheme="minorBidi"/>
          <w:szCs w:val="22"/>
        </w:rPr>
      </w:pPr>
      <w:r>
        <w:t>55.</w:t>
      </w:r>
      <w:r>
        <w:tab/>
        <w:t>Applications for approval of packaging designs</w:t>
      </w:r>
      <w:r>
        <w:tab/>
      </w:r>
      <w:r>
        <w:fldChar w:fldCharType="begin"/>
      </w:r>
      <w:r>
        <w:instrText xml:space="preserve"> PAGEREF _Toc194932957 \h </w:instrText>
      </w:r>
      <w:r>
        <w:fldChar w:fldCharType="separate"/>
      </w:r>
      <w:r>
        <w:t>56</w:t>
      </w:r>
      <w:r>
        <w:fldChar w:fldCharType="end"/>
      </w:r>
    </w:p>
    <w:p>
      <w:pPr>
        <w:pStyle w:val="TOC8"/>
        <w:rPr>
          <w:rFonts w:asciiTheme="minorHAnsi" w:eastAsiaTheme="minorEastAsia" w:hAnsiTheme="minorHAnsi" w:cstheme="minorBidi"/>
          <w:szCs w:val="22"/>
        </w:rPr>
      </w:pPr>
      <w:r>
        <w:t>56.</w:t>
      </w:r>
      <w:r>
        <w:tab/>
        <w:t>Approvals — packaging designs</w:t>
      </w:r>
      <w:r>
        <w:tab/>
      </w:r>
      <w:r>
        <w:fldChar w:fldCharType="begin"/>
      </w:r>
      <w:r>
        <w:instrText xml:space="preserve"> PAGEREF _Toc194932958 \h </w:instrText>
      </w:r>
      <w:r>
        <w:fldChar w:fldCharType="separate"/>
      </w:r>
      <w:r>
        <w:t>57</w:t>
      </w:r>
      <w:r>
        <w:fldChar w:fldCharType="end"/>
      </w:r>
    </w:p>
    <w:p>
      <w:pPr>
        <w:pStyle w:val="TOC8"/>
        <w:rPr>
          <w:rFonts w:asciiTheme="minorHAnsi" w:eastAsiaTheme="minorEastAsia" w:hAnsiTheme="minorHAnsi" w:cstheme="minorBidi"/>
          <w:szCs w:val="22"/>
        </w:rPr>
      </w:pPr>
      <w:r>
        <w:t>57.</w:t>
      </w:r>
      <w:r>
        <w:tab/>
        <w:t>Term used: recognised testing facilities</w:t>
      </w:r>
      <w:r>
        <w:tab/>
      </w:r>
      <w:r>
        <w:fldChar w:fldCharType="begin"/>
      </w:r>
      <w:r>
        <w:instrText xml:space="preserve"> PAGEREF _Toc194932959 \h </w:instrText>
      </w:r>
      <w:r>
        <w:fldChar w:fldCharType="separate"/>
      </w:r>
      <w:r>
        <w:t>58</w:t>
      </w:r>
      <w:r>
        <w:fldChar w:fldCharType="end"/>
      </w:r>
    </w:p>
    <w:p>
      <w:pPr>
        <w:pStyle w:val="TOC8"/>
        <w:rPr>
          <w:rFonts w:asciiTheme="minorHAnsi" w:eastAsiaTheme="minorEastAsia" w:hAnsiTheme="minorHAnsi" w:cstheme="minorBidi"/>
          <w:szCs w:val="22"/>
        </w:rPr>
      </w:pPr>
      <w:r>
        <w:t>58.</w:t>
      </w:r>
      <w:r>
        <w:tab/>
        <w:t>Test certificates</w:t>
      </w:r>
      <w:r>
        <w:tab/>
      </w:r>
      <w:r>
        <w:fldChar w:fldCharType="begin"/>
      </w:r>
      <w:r>
        <w:instrText xml:space="preserve"> PAGEREF _Toc194932960 \h </w:instrText>
      </w:r>
      <w:r>
        <w:fldChar w:fldCharType="separate"/>
      </w:r>
      <w:r>
        <w:t>58</w:t>
      </w:r>
      <w:r>
        <w:fldChar w:fldCharType="end"/>
      </w:r>
    </w:p>
    <w:p>
      <w:pPr>
        <w:pStyle w:val="TOC8"/>
        <w:rPr>
          <w:rFonts w:asciiTheme="minorHAnsi" w:eastAsiaTheme="minorEastAsia" w:hAnsiTheme="minorHAnsi" w:cstheme="minorBidi"/>
          <w:szCs w:val="22"/>
        </w:rPr>
      </w:pPr>
      <w:r>
        <w:t>59.</w:t>
      </w:r>
      <w:r>
        <w:tab/>
        <w:t>Approvals — overpacks</w:t>
      </w:r>
      <w:r>
        <w:tab/>
      </w:r>
      <w:r>
        <w:fldChar w:fldCharType="begin"/>
      </w:r>
      <w:r>
        <w:instrText xml:space="preserve"> PAGEREF _Toc194932961 \h </w:instrText>
      </w:r>
      <w:r>
        <w:fldChar w:fldCharType="separate"/>
      </w:r>
      <w:r>
        <w:t>59</w:t>
      </w:r>
      <w:r>
        <w:fldChar w:fldCharType="end"/>
      </w:r>
    </w:p>
    <w:p>
      <w:pPr>
        <w:pStyle w:val="TOC8"/>
        <w:rPr>
          <w:rFonts w:asciiTheme="minorHAnsi" w:eastAsiaTheme="minorEastAsia" w:hAnsiTheme="minorHAnsi" w:cstheme="minorBidi"/>
          <w:szCs w:val="22"/>
        </w:rPr>
      </w:pPr>
      <w:r>
        <w:t>60.</w:t>
      </w:r>
      <w:r>
        <w:tab/>
        <w:t>Authorised bodies may give approvals</w:t>
      </w:r>
      <w:r>
        <w:tab/>
      </w:r>
      <w:r>
        <w:fldChar w:fldCharType="begin"/>
      </w:r>
      <w:r>
        <w:instrText xml:space="preserve"> PAGEREF _Toc194932962 \h </w:instrText>
      </w:r>
      <w:r>
        <w:fldChar w:fldCharType="separate"/>
      </w:r>
      <w:r>
        <w:t>60</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3 — Prohibition on the sale or supply of non</w:t>
      </w:r>
      <w:r>
        <w:noBreakHyphen/>
        <w:t>compliant packaging</w:t>
      </w:r>
    </w:p>
    <w:p>
      <w:pPr>
        <w:pStyle w:val="TOC8"/>
        <w:rPr>
          <w:rFonts w:asciiTheme="minorHAnsi" w:eastAsiaTheme="minorEastAsia" w:hAnsiTheme="minorHAnsi" w:cstheme="minorBidi"/>
          <w:szCs w:val="22"/>
        </w:rPr>
      </w:pPr>
      <w:r>
        <w:rPr>
          <w:color w:val="000000"/>
        </w:rPr>
        <w:t>61.</w:t>
      </w:r>
      <w:r>
        <w:rPr>
          <w:color w:val="000000"/>
        </w:rPr>
        <w:tab/>
        <w:t>Offence to sell or supply non</w:t>
      </w:r>
      <w:r>
        <w:rPr>
          <w:color w:val="000000"/>
        </w:rPr>
        <w:noBreakHyphen/>
        <w:t>compliant packaging</w:t>
      </w:r>
      <w:r>
        <w:tab/>
      </w:r>
      <w:r>
        <w:fldChar w:fldCharType="begin"/>
      </w:r>
      <w:r>
        <w:instrText xml:space="preserve"> PAGEREF _Toc194932964 \h </w:instrText>
      </w:r>
      <w:r>
        <w:fldChar w:fldCharType="separate"/>
      </w:r>
      <w:r>
        <w:t>61</w:t>
      </w:r>
      <w:r>
        <w:fldChar w:fldCharType="end"/>
      </w:r>
    </w:p>
    <w:p>
      <w:pPr>
        <w:pStyle w:val="TOC4"/>
        <w:tabs>
          <w:tab w:val="right" w:leader="dot" w:pos="7077"/>
        </w:tabs>
        <w:rPr>
          <w:rFonts w:asciiTheme="minorHAnsi" w:eastAsiaTheme="minorEastAsia" w:hAnsiTheme="minorHAnsi" w:cstheme="minorBidi"/>
          <w:b w:val="0"/>
          <w:szCs w:val="22"/>
        </w:rPr>
      </w:pPr>
      <w:r>
        <w:t>Division 4 — Offences relating to general packaging</w:t>
      </w:r>
    </w:p>
    <w:p>
      <w:pPr>
        <w:pStyle w:val="TOC8"/>
        <w:rPr>
          <w:rFonts w:asciiTheme="minorHAnsi" w:eastAsiaTheme="minorEastAsia" w:hAnsiTheme="minorHAnsi" w:cstheme="minorBidi"/>
          <w:szCs w:val="22"/>
        </w:rPr>
      </w:pPr>
      <w:r>
        <w:t>62.</w:t>
      </w:r>
      <w:r>
        <w:tab/>
        <w:t>Term used: general packaging</w:t>
      </w:r>
      <w:r>
        <w:tab/>
      </w:r>
      <w:r>
        <w:fldChar w:fldCharType="begin"/>
      </w:r>
      <w:r>
        <w:instrText xml:space="preserve"> PAGEREF _Toc194932966 \h </w:instrText>
      </w:r>
      <w:r>
        <w:fldChar w:fldCharType="separate"/>
      </w:r>
      <w:r>
        <w:t>61</w:t>
      </w:r>
      <w:r>
        <w:fldChar w:fldCharType="end"/>
      </w:r>
    </w:p>
    <w:p>
      <w:pPr>
        <w:pStyle w:val="TOC8"/>
        <w:rPr>
          <w:rFonts w:asciiTheme="minorHAnsi" w:eastAsiaTheme="minorEastAsia" w:hAnsiTheme="minorHAnsi" w:cstheme="minorBidi"/>
          <w:szCs w:val="22"/>
        </w:rPr>
      </w:pPr>
      <w:r>
        <w:t>63.</w:t>
      </w:r>
      <w:r>
        <w:tab/>
        <w:t>Duty on consignors</w:t>
      </w:r>
      <w:r>
        <w:tab/>
      </w:r>
      <w:r>
        <w:fldChar w:fldCharType="begin"/>
      </w:r>
      <w:r>
        <w:instrText xml:space="preserve"> PAGEREF _Toc194932967 \h </w:instrText>
      </w:r>
      <w:r>
        <w:fldChar w:fldCharType="separate"/>
      </w:r>
      <w:r>
        <w:t>62</w:t>
      </w:r>
      <w:r>
        <w:fldChar w:fldCharType="end"/>
      </w:r>
    </w:p>
    <w:p>
      <w:pPr>
        <w:pStyle w:val="TOC8"/>
        <w:rPr>
          <w:rFonts w:asciiTheme="minorHAnsi" w:eastAsiaTheme="minorEastAsia" w:hAnsiTheme="minorHAnsi" w:cstheme="minorBidi"/>
          <w:szCs w:val="22"/>
        </w:rPr>
      </w:pPr>
      <w:r>
        <w:t>64.</w:t>
      </w:r>
      <w:r>
        <w:tab/>
        <w:t>Duty on packers</w:t>
      </w:r>
      <w:r>
        <w:tab/>
      </w:r>
      <w:r>
        <w:fldChar w:fldCharType="begin"/>
      </w:r>
      <w:r>
        <w:instrText xml:space="preserve"> PAGEREF _Toc194932968 \h </w:instrText>
      </w:r>
      <w:r>
        <w:fldChar w:fldCharType="separate"/>
      </w:r>
      <w:r>
        <w:t>62</w:t>
      </w:r>
      <w:r>
        <w:fldChar w:fldCharType="end"/>
      </w:r>
    </w:p>
    <w:p>
      <w:pPr>
        <w:pStyle w:val="TOC8"/>
        <w:rPr>
          <w:rFonts w:asciiTheme="minorHAnsi" w:eastAsiaTheme="minorEastAsia" w:hAnsiTheme="minorHAnsi" w:cstheme="minorBidi"/>
          <w:szCs w:val="22"/>
        </w:rPr>
      </w:pPr>
      <w:r>
        <w:t>65.</w:t>
      </w:r>
      <w:r>
        <w:tab/>
        <w:t>Duty on loaders</w:t>
      </w:r>
      <w:r>
        <w:tab/>
      </w:r>
      <w:r>
        <w:fldChar w:fldCharType="begin"/>
      </w:r>
      <w:r>
        <w:instrText xml:space="preserve"> PAGEREF _Toc194932969 \h </w:instrText>
      </w:r>
      <w:r>
        <w:fldChar w:fldCharType="separate"/>
      </w:r>
      <w:r>
        <w:t>62</w:t>
      </w:r>
      <w:r>
        <w:fldChar w:fldCharType="end"/>
      </w:r>
    </w:p>
    <w:p>
      <w:pPr>
        <w:pStyle w:val="TOC8"/>
        <w:rPr>
          <w:rFonts w:asciiTheme="minorHAnsi" w:eastAsiaTheme="minorEastAsia" w:hAnsiTheme="minorHAnsi" w:cstheme="minorBidi"/>
          <w:szCs w:val="22"/>
        </w:rPr>
      </w:pPr>
      <w:r>
        <w:t>66.</w:t>
      </w:r>
      <w:r>
        <w:tab/>
        <w:t>Duty on prime contractors and rail operators</w:t>
      </w:r>
      <w:r>
        <w:tab/>
      </w:r>
      <w:r>
        <w:fldChar w:fldCharType="begin"/>
      </w:r>
      <w:r>
        <w:instrText xml:space="preserve"> PAGEREF _Toc194932970 \h </w:instrText>
      </w:r>
      <w:r>
        <w:fldChar w:fldCharType="separate"/>
      </w:r>
      <w:r>
        <w:t>63</w:t>
      </w:r>
      <w:r>
        <w:fldChar w:fldCharType="end"/>
      </w:r>
    </w:p>
    <w:p>
      <w:pPr>
        <w:pStyle w:val="TOC8"/>
        <w:rPr>
          <w:rFonts w:asciiTheme="minorHAnsi" w:eastAsiaTheme="minorEastAsia" w:hAnsiTheme="minorHAnsi" w:cstheme="minorBidi"/>
          <w:szCs w:val="22"/>
        </w:rPr>
      </w:pPr>
      <w:r>
        <w:t>67.</w:t>
      </w:r>
      <w:r>
        <w:tab/>
        <w:t>Duty on drivers</w:t>
      </w:r>
      <w:r>
        <w:tab/>
      </w:r>
      <w:r>
        <w:fldChar w:fldCharType="begin"/>
      </w:r>
      <w:r>
        <w:instrText xml:space="preserve"> PAGEREF _Toc194932971 \h </w:instrText>
      </w:r>
      <w:r>
        <w:fldChar w:fldCharType="separate"/>
      </w:r>
      <w:r>
        <w:t>63</w:t>
      </w:r>
      <w:r>
        <w:fldChar w:fldCharType="end"/>
      </w:r>
    </w:p>
    <w:p>
      <w:pPr>
        <w:pStyle w:val="TOC4"/>
        <w:tabs>
          <w:tab w:val="right" w:leader="dot" w:pos="7077"/>
        </w:tabs>
        <w:rPr>
          <w:rFonts w:asciiTheme="minorHAnsi" w:eastAsiaTheme="minorEastAsia" w:hAnsiTheme="minorHAnsi" w:cstheme="minorBidi"/>
          <w:b w:val="0"/>
          <w:szCs w:val="22"/>
        </w:rPr>
      </w:pPr>
      <w:r>
        <w:t>Division 5 — Offences relating to other packaging</w:t>
      </w:r>
    </w:p>
    <w:p>
      <w:pPr>
        <w:pStyle w:val="TOC8"/>
        <w:rPr>
          <w:rFonts w:asciiTheme="minorHAnsi" w:eastAsiaTheme="minorEastAsia" w:hAnsiTheme="minorHAnsi" w:cstheme="minorBidi"/>
          <w:szCs w:val="22"/>
        </w:rPr>
      </w:pPr>
      <w:r>
        <w:t>68.</w:t>
      </w:r>
      <w:r>
        <w:tab/>
        <w:t>Term used: other packaging</w:t>
      </w:r>
      <w:r>
        <w:tab/>
      </w:r>
      <w:r>
        <w:fldChar w:fldCharType="begin"/>
      </w:r>
      <w:r>
        <w:instrText xml:space="preserve"> PAGEREF _Toc194932973 \h </w:instrText>
      </w:r>
      <w:r>
        <w:fldChar w:fldCharType="separate"/>
      </w:r>
      <w:r>
        <w:t>63</w:t>
      </w:r>
      <w:r>
        <w:fldChar w:fldCharType="end"/>
      </w:r>
    </w:p>
    <w:p>
      <w:pPr>
        <w:pStyle w:val="TOC8"/>
        <w:rPr>
          <w:rFonts w:asciiTheme="minorHAnsi" w:eastAsiaTheme="minorEastAsia" w:hAnsiTheme="minorHAnsi" w:cstheme="minorBidi"/>
          <w:szCs w:val="22"/>
        </w:rPr>
      </w:pPr>
      <w:r>
        <w:t>69.</w:t>
      </w:r>
      <w:r>
        <w:tab/>
        <w:t>Duty on manufacturers of portable tanks, MEGCs or tank vehicles</w:t>
      </w:r>
      <w:r>
        <w:tab/>
      </w:r>
      <w:r>
        <w:fldChar w:fldCharType="begin"/>
      </w:r>
      <w:r>
        <w:instrText xml:space="preserve"> PAGEREF _Toc194932974 \h </w:instrText>
      </w:r>
      <w:r>
        <w:fldChar w:fldCharType="separate"/>
      </w:r>
      <w:r>
        <w:t>64</w:t>
      </w:r>
      <w:r>
        <w:fldChar w:fldCharType="end"/>
      </w:r>
    </w:p>
    <w:p>
      <w:pPr>
        <w:pStyle w:val="TOC8"/>
        <w:rPr>
          <w:rFonts w:asciiTheme="minorHAnsi" w:eastAsiaTheme="minorEastAsia" w:hAnsiTheme="minorHAnsi" w:cstheme="minorBidi"/>
          <w:szCs w:val="22"/>
        </w:rPr>
      </w:pPr>
      <w:r>
        <w:t>70.</w:t>
      </w:r>
      <w:r>
        <w:tab/>
        <w:t>Duty on owners of demountable tanks, portable tanks and MEGCs</w:t>
      </w:r>
      <w:r>
        <w:tab/>
      </w:r>
      <w:r>
        <w:fldChar w:fldCharType="begin"/>
      </w:r>
      <w:r>
        <w:instrText xml:space="preserve"> PAGEREF _Toc194932975 \h </w:instrText>
      </w:r>
      <w:r>
        <w:fldChar w:fldCharType="separate"/>
      </w:r>
      <w:r>
        <w:t>65</w:t>
      </w:r>
      <w:r>
        <w:fldChar w:fldCharType="end"/>
      </w:r>
    </w:p>
    <w:p>
      <w:pPr>
        <w:pStyle w:val="TOC8"/>
        <w:rPr>
          <w:rFonts w:asciiTheme="minorHAnsi" w:eastAsiaTheme="minorEastAsia" w:hAnsiTheme="minorHAnsi" w:cstheme="minorBidi"/>
          <w:szCs w:val="22"/>
        </w:rPr>
      </w:pPr>
      <w:r>
        <w:t>71.</w:t>
      </w:r>
      <w:r>
        <w:tab/>
        <w:t>Duty on consignors</w:t>
      </w:r>
      <w:r>
        <w:tab/>
      </w:r>
      <w:r>
        <w:fldChar w:fldCharType="begin"/>
      </w:r>
      <w:r>
        <w:instrText xml:space="preserve"> PAGEREF _Toc194932976 \h </w:instrText>
      </w:r>
      <w:r>
        <w:fldChar w:fldCharType="separate"/>
      </w:r>
      <w:r>
        <w:t>65</w:t>
      </w:r>
      <w:r>
        <w:fldChar w:fldCharType="end"/>
      </w:r>
    </w:p>
    <w:p>
      <w:pPr>
        <w:pStyle w:val="TOC8"/>
        <w:rPr>
          <w:rFonts w:asciiTheme="minorHAnsi" w:eastAsiaTheme="minorEastAsia" w:hAnsiTheme="minorHAnsi" w:cstheme="minorBidi"/>
          <w:szCs w:val="22"/>
        </w:rPr>
      </w:pPr>
      <w:r>
        <w:t>72.</w:t>
      </w:r>
      <w:r>
        <w:tab/>
        <w:t>Duty on packers</w:t>
      </w:r>
      <w:r>
        <w:tab/>
      </w:r>
      <w:r>
        <w:fldChar w:fldCharType="begin"/>
      </w:r>
      <w:r>
        <w:instrText xml:space="preserve"> PAGEREF _Toc194932977 \h </w:instrText>
      </w:r>
      <w:r>
        <w:fldChar w:fldCharType="separate"/>
      </w:r>
      <w:r>
        <w:t>65</w:t>
      </w:r>
      <w:r>
        <w:fldChar w:fldCharType="end"/>
      </w:r>
    </w:p>
    <w:p>
      <w:pPr>
        <w:pStyle w:val="TOC8"/>
        <w:rPr>
          <w:rFonts w:asciiTheme="minorHAnsi" w:eastAsiaTheme="minorEastAsia" w:hAnsiTheme="minorHAnsi" w:cstheme="minorBidi"/>
          <w:szCs w:val="22"/>
        </w:rPr>
      </w:pPr>
      <w:r>
        <w:t>73.</w:t>
      </w:r>
      <w:r>
        <w:tab/>
        <w:t>Duty on loaders</w:t>
      </w:r>
      <w:r>
        <w:tab/>
      </w:r>
      <w:r>
        <w:fldChar w:fldCharType="begin"/>
      </w:r>
      <w:r>
        <w:instrText xml:space="preserve"> PAGEREF _Toc194932978 \h </w:instrText>
      </w:r>
      <w:r>
        <w:fldChar w:fldCharType="separate"/>
      </w:r>
      <w:r>
        <w:t>66</w:t>
      </w:r>
      <w:r>
        <w:fldChar w:fldCharType="end"/>
      </w:r>
    </w:p>
    <w:p>
      <w:pPr>
        <w:pStyle w:val="TOC8"/>
        <w:rPr>
          <w:rFonts w:asciiTheme="minorHAnsi" w:eastAsiaTheme="minorEastAsia" w:hAnsiTheme="minorHAnsi" w:cstheme="minorBidi"/>
          <w:szCs w:val="22"/>
        </w:rPr>
      </w:pPr>
      <w:r>
        <w:t>74.</w:t>
      </w:r>
      <w:r>
        <w:tab/>
        <w:t>Duty on prime contractors and rail operators</w:t>
      </w:r>
      <w:r>
        <w:tab/>
      </w:r>
      <w:r>
        <w:fldChar w:fldCharType="begin"/>
      </w:r>
      <w:r>
        <w:instrText xml:space="preserve"> PAGEREF _Toc194932979 \h </w:instrText>
      </w:r>
      <w:r>
        <w:fldChar w:fldCharType="separate"/>
      </w:r>
      <w:r>
        <w:t>66</w:t>
      </w:r>
      <w:r>
        <w:fldChar w:fldCharType="end"/>
      </w:r>
    </w:p>
    <w:p>
      <w:pPr>
        <w:pStyle w:val="TOC8"/>
        <w:rPr>
          <w:rFonts w:asciiTheme="minorHAnsi" w:eastAsiaTheme="minorEastAsia" w:hAnsiTheme="minorHAnsi" w:cstheme="minorBidi"/>
          <w:szCs w:val="22"/>
        </w:rPr>
      </w:pPr>
      <w:r>
        <w:t>75.</w:t>
      </w:r>
      <w:r>
        <w:tab/>
        <w:t>Duty on drivers</w:t>
      </w:r>
      <w:r>
        <w:tab/>
      </w:r>
      <w:r>
        <w:fldChar w:fldCharType="begin"/>
      </w:r>
      <w:r>
        <w:instrText xml:space="preserve"> PAGEREF _Toc194932980 \h </w:instrText>
      </w:r>
      <w:r>
        <w:fldChar w:fldCharType="separate"/>
      </w:r>
      <w:r>
        <w:t>67</w:t>
      </w:r>
      <w:r>
        <w:fldChar w:fldCharType="end"/>
      </w:r>
    </w:p>
    <w:p>
      <w:pPr>
        <w:pStyle w:val="TOC4"/>
        <w:tabs>
          <w:tab w:val="right" w:leader="dot" w:pos="7077"/>
        </w:tabs>
        <w:rPr>
          <w:rFonts w:asciiTheme="minorHAnsi" w:eastAsiaTheme="minorEastAsia" w:hAnsiTheme="minorHAnsi" w:cstheme="minorBidi"/>
          <w:b w:val="0"/>
          <w:szCs w:val="22"/>
        </w:rPr>
      </w:pPr>
      <w:r>
        <w:t>Division 9 — Offences relating to overpacks</w:t>
      </w:r>
    </w:p>
    <w:p>
      <w:pPr>
        <w:pStyle w:val="TOC8"/>
        <w:rPr>
          <w:rFonts w:asciiTheme="minorHAnsi" w:eastAsiaTheme="minorEastAsia" w:hAnsiTheme="minorHAnsi" w:cstheme="minorBidi"/>
          <w:szCs w:val="22"/>
        </w:rPr>
      </w:pPr>
      <w:r>
        <w:t>101.</w:t>
      </w:r>
      <w:r>
        <w:tab/>
        <w:t>Duty on consignors</w:t>
      </w:r>
      <w:r>
        <w:tab/>
      </w:r>
      <w:r>
        <w:fldChar w:fldCharType="begin"/>
      </w:r>
      <w:r>
        <w:instrText xml:space="preserve"> PAGEREF _Toc194932982 \h </w:instrText>
      </w:r>
      <w:r>
        <w:fldChar w:fldCharType="separate"/>
      </w:r>
      <w:r>
        <w:t>67</w:t>
      </w:r>
      <w:r>
        <w:fldChar w:fldCharType="end"/>
      </w:r>
    </w:p>
    <w:p>
      <w:pPr>
        <w:pStyle w:val="TOC8"/>
        <w:rPr>
          <w:rFonts w:asciiTheme="minorHAnsi" w:eastAsiaTheme="minorEastAsia" w:hAnsiTheme="minorHAnsi" w:cstheme="minorBidi"/>
          <w:szCs w:val="22"/>
        </w:rPr>
      </w:pPr>
      <w:r>
        <w:t>102.</w:t>
      </w:r>
      <w:r>
        <w:tab/>
        <w:t>Duty on packers</w:t>
      </w:r>
      <w:r>
        <w:tab/>
      </w:r>
      <w:r>
        <w:fldChar w:fldCharType="begin"/>
      </w:r>
      <w:r>
        <w:instrText xml:space="preserve"> PAGEREF _Toc194932983 \h </w:instrText>
      </w:r>
      <w:r>
        <w:fldChar w:fldCharType="separate"/>
      </w:r>
      <w:r>
        <w:t>68</w:t>
      </w:r>
      <w:r>
        <w:fldChar w:fldCharType="end"/>
      </w:r>
    </w:p>
    <w:p>
      <w:pPr>
        <w:pStyle w:val="TOC8"/>
        <w:rPr>
          <w:rFonts w:asciiTheme="minorHAnsi" w:eastAsiaTheme="minorEastAsia" w:hAnsiTheme="minorHAnsi" w:cstheme="minorBidi"/>
          <w:szCs w:val="22"/>
        </w:rPr>
      </w:pPr>
      <w:r>
        <w:t>103.</w:t>
      </w:r>
      <w:r>
        <w:tab/>
        <w:t>Duty on loaders</w:t>
      </w:r>
      <w:r>
        <w:tab/>
      </w:r>
      <w:r>
        <w:fldChar w:fldCharType="begin"/>
      </w:r>
      <w:r>
        <w:instrText xml:space="preserve"> PAGEREF _Toc194932984 \h </w:instrText>
      </w:r>
      <w:r>
        <w:fldChar w:fldCharType="separate"/>
      </w:r>
      <w:r>
        <w:t>68</w:t>
      </w:r>
      <w:r>
        <w:fldChar w:fldCharType="end"/>
      </w:r>
    </w:p>
    <w:p>
      <w:pPr>
        <w:pStyle w:val="TOC8"/>
        <w:rPr>
          <w:rFonts w:asciiTheme="minorHAnsi" w:eastAsiaTheme="minorEastAsia" w:hAnsiTheme="minorHAnsi" w:cstheme="minorBidi"/>
          <w:szCs w:val="22"/>
        </w:rPr>
      </w:pPr>
      <w:r>
        <w:t>104.</w:t>
      </w:r>
      <w:r>
        <w:tab/>
        <w:t>Duty on prime contractors and rail operators</w:t>
      </w:r>
      <w:r>
        <w:tab/>
      </w:r>
      <w:r>
        <w:fldChar w:fldCharType="begin"/>
      </w:r>
      <w:r>
        <w:instrText xml:space="preserve"> PAGEREF _Toc194932985 \h </w:instrText>
      </w:r>
      <w:r>
        <w:fldChar w:fldCharType="separate"/>
      </w:r>
      <w:r>
        <w:t>68</w:t>
      </w:r>
      <w:r>
        <w:fldChar w:fldCharType="end"/>
      </w:r>
    </w:p>
    <w:p>
      <w:pPr>
        <w:pStyle w:val="TOC8"/>
        <w:rPr>
          <w:rFonts w:asciiTheme="minorHAnsi" w:eastAsiaTheme="minorEastAsia" w:hAnsiTheme="minorHAnsi" w:cstheme="minorBidi"/>
          <w:szCs w:val="22"/>
        </w:rPr>
      </w:pPr>
      <w:r>
        <w:t>105.</w:t>
      </w:r>
      <w:r>
        <w:tab/>
        <w:t>Duty on drivers</w:t>
      </w:r>
      <w:r>
        <w:tab/>
      </w:r>
      <w:r>
        <w:fldChar w:fldCharType="begin"/>
      </w:r>
      <w:r>
        <w:instrText xml:space="preserve"> PAGEREF _Toc194932986 \h </w:instrText>
      </w:r>
      <w:r>
        <w:fldChar w:fldCharType="separate"/>
      </w:r>
      <w:r>
        <w:t>69</w:t>
      </w:r>
      <w:r>
        <w:fldChar w:fldCharType="end"/>
      </w:r>
    </w:p>
    <w:p>
      <w:pPr>
        <w:pStyle w:val="TOC2"/>
        <w:tabs>
          <w:tab w:val="right" w:leader="dot" w:pos="7077"/>
        </w:tabs>
        <w:rPr>
          <w:rFonts w:asciiTheme="minorHAnsi" w:eastAsiaTheme="minorEastAsia" w:hAnsiTheme="minorHAnsi" w:cstheme="minorBidi"/>
          <w:b w:val="0"/>
          <w:sz w:val="22"/>
          <w:szCs w:val="22"/>
        </w:rPr>
      </w:pPr>
      <w:r>
        <w:t>Part 5 — Consignment procedures</w:t>
      </w:r>
    </w:p>
    <w:p>
      <w:pPr>
        <w:pStyle w:val="TOC4"/>
        <w:tabs>
          <w:tab w:val="right" w:leader="dot" w:pos="7077"/>
        </w:tabs>
        <w:rPr>
          <w:rFonts w:asciiTheme="minorHAnsi" w:eastAsiaTheme="minorEastAsia" w:hAnsiTheme="minorHAnsi" w:cstheme="minorBidi"/>
          <w:b w:val="0"/>
          <w:szCs w:val="22"/>
        </w:rPr>
      </w:pPr>
      <w:r>
        <w:t>Division 1 — Marking and labelling</w:t>
      </w:r>
    </w:p>
    <w:p>
      <w:pPr>
        <w:pStyle w:val="TOC8"/>
        <w:rPr>
          <w:rFonts w:asciiTheme="minorHAnsi" w:eastAsiaTheme="minorEastAsia" w:hAnsiTheme="minorHAnsi" w:cstheme="minorBidi"/>
          <w:szCs w:val="22"/>
        </w:rPr>
      </w:pPr>
      <w:r>
        <w:rPr>
          <w:color w:val="000000"/>
        </w:rPr>
        <w:t>106.</w:t>
      </w:r>
      <w:r>
        <w:rPr>
          <w:color w:val="000000"/>
        </w:rPr>
        <w:tab/>
        <w:t>Term used: appropriately marked</w:t>
      </w:r>
      <w:r>
        <w:tab/>
      </w:r>
      <w:r>
        <w:fldChar w:fldCharType="begin"/>
      </w:r>
      <w:r>
        <w:instrText xml:space="preserve"> PAGEREF _Toc194932989 \h </w:instrText>
      </w:r>
      <w:r>
        <w:fldChar w:fldCharType="separate"/>
      </w:r>
      <w:r>
        <w:t>70</w:t>
      </w:r>
      <w:r>
        <w:fldChar w:fldCharType="end"/>
      </w:r>
    </w:p>
    <w:p>
      <w:pPr>
        <w:pStyle w:val="TOC8"/>
        <w:rPr>
          <w:rFonts w:asciiTheme="minorHAnsi" w:eastAsiaTheme="minorEastAsia" w:hAnsiTheme="minorHAnsi" w:cstheme="minorBidi"/>
          <w:szCs w:val="22"/>
        </w:rPr>
      </w:pPr>
      <w:r>
        <w:t>107.</w:t>
      </w:r>
      <w:r>
        <w:tab/>
        <w:t>Duty on consignors</w:t>
      </w:r>
      <w:r>
        <w:tab/>
      </w:r>
      <w:r>
        <w:fldChar w:fldCharType="begin"/>
      </w:r>
      <w:r>
        <w:instrText xml:space="preserve"> PAGEREF _Toc194932990 \h </w:instrText>
      </w:r>
      <w:r>
        <w:fldChar w:fldCharType="separate"/>
      </w:r>
      <w:r>
        <w:t>71</w:t>
      </w:r>
      <w:r>
        <w:fldChar w:fldCharType="end"/>
      </w:r>
    </w:p>
    <w:p>
      <w:pPr>
        <w:pStyle w:val="TOC8"/>
        <w:rPr>
          <w:rFonts w:asciiTheme="minorHAnsi" w:eastAsiaTheme="minorEastAsia" w:hAnsiTheme="minorHAnsi" w:cstheme="minorBidi"/>
          <w:szCs w:val="22"/>
        </w:rPr>
      </w:pPr>
      <w:r>
        <w:t>108.</w:t>
      </w:r>
      <w:r>
        <w:tab/>
        <w:t>Duty on packers</w:t>
      </w:r>
      <w:r>
        <w:tab/>
      </w:r>
      <w:r>
        <w:fldChar w:fldCharType="begin"/>
      </w:r>
      <w:r>
        <w:instrText xml:space="preserve"> PAGEREF _Toc194932991 \h </w:instrText>
      </w:r>
      <w:r>
        <w:fldChar w:fldCharType="separate"/>
      </w:r>
      <w:r>
        <w:t>71</w:t>
      </w:r>
      <w:r>
        <w:fldChar w:fldCharType="end"/>
      </w:r>
    </w:p>
    <w:p>
      <w:pPr>
        <w:pStyle w:val="TOC8"/>
        <w:rPr>
          <w:rFonts w:asciiTheme="minorHAnsi" w:eastAsiaTheme="minorEastAsia" w:hAnsiTheme="minorHAnsi" w:cstheme="minorBidi"/>
          <w:szCs w:val="22"/>
        </w:rPr>
      </w:pPr>
      <w:r>
        <w:t>109.</w:t>
      </w:r>
      <w:r>
        <w:tab/>
        <w:t>Duty on prime contractors and rail operators</w:t>
      </w:r>
      <w:r>
        <w:tab/>
      </w:r>
      <w:r>
        <w:fldChar w:fldCharType="begin"/>
      </w:r>
      <w:r>
        <w:instrText xml:space="preserve"> PAGEREF _Toc194932992 \h </w:instrText>
      </w:r>
      <w:r>
        <w:fldChar w:fldCharType="separate"/>
      </w:r>
      <w:r>
        <w:t>72</w:t>
      </w:r>
      <w:r>
        <w:fldChar w:fldCharType="end"/>
      </w:r>
    </w:p>
    <w:p>
      <w:pPr>
        <w:pStyle w:val="TOC8"/>
        <w:rPr>
          <w:rFonts w:asciiTheme="minorHAnsi" w:eastAsiaTheme="minorEastAsia" w:hAnsiTheme="minorHAnsi" w:cstheme="minorBidi"/>
          <w:szCs w:val="22"/>
        </w:rPr>
      </w:pPr>
      <w:r>
        <w:rPr>
          <w:color w:val="000000"/>
        </w:rPr>
        <w:t>109A</w:t>
      </w:r>
      <w:r>
        <w:t>.</w:t>
      </w:r>
      <w:r>
        <w:tab/>
        <w:t>Further duties if dangerous goods transported in portable tank or by tank vehicle</w:t>
      </w:r>
      <w:r>
        <w:tab/>
      </w:r>
      <w:r>
        <w:fldChar w:fldCharType="begin"/>
      </w:r>
      <w:r>
        <w:instrText xml:space="preserve"> PAGEREF _Toc194932993 \h </w:instrText>
      </w:r>
      <w:r>
        <w:fldChar w:fldCharType="separate"/>
      </w:r>
      <w:r>
        <w:t>73</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2 — Placarding</w:t>
      </w:r>
    </w:p>
    <w:p>
      <w:pPr>
        <w:pStyle w:val="TOC8"/>
        <w:rPr>
          <w:rFonts w:asciiTheme="minorHAnsi" w:eastAsiaTheme="minorEastAsia" w:hAnsiTheme="minorHAnsi" w:cstheme="minorBidi"/>
          <w:szCs w:val="22"/>
        </w:rPr>
      </w:pPr>
      <w:r>
        <w:t>110.</w:t>
      </w:r>
      <w:r>
        <w:tab/>
        <w:t>When loads must be placarded</w:t>
      </w:r>
      <w:r>
        <w:tab/>
      </w:r>
      <w:r>
        <w:fldChar w:fldCharType="begin"/>
      </w:r>
      <w:r>
        <w:instrText xml:space="preserve"> PAGEREF _Toc194932995 \h </w:instrText>
      </w:r>
      <w:r>
        <w:fldChar w:fldCharType="separate"/>
      </w:r>
      <w:r>
        <w:t>74</w:t>
      </w:r>
      <w:r>
        <w:fldChar w:fldCharType="end"/>
      </w:r>
    </w:p>
    <w:p>
      <w:pPr>
        <w:pStyle w:val="TOC8"/>
        <w:rPr>
          <w:rFonts w:asciiTheme="minorHAnsi" w:eastAsiaTheme="minorEastAsia" w:hAnsiTheme="minorHAnsi" w:cstheme="minorBidi"/>
          <w:szCs w:val="22"/>
        </w:rPr>
      </w:pPr>
      <w:r>
        <w:t>111.</w:t>
      </w:r>
      <w:r>
        <w:tab/>
        <w:t>Terms used: placard, appropriately placarded</w:t>
      </w:r>
      <w:r>
        <w:tab/>
      </w:r>
      <w:r>
        <w:fldChar w:fldCharType="begin"/>
      </w:r>
      <w:r>
        <w:instrText xml:space="preserve"> PAGEREF _Toc194932996 \h </w:instrText>
      </w:r>
      <w:r>
        <w:fldChar w:fldCharType="separate"/>
      </w:r>
      <w:r>
        <w:t>76</w:t>
      </w:r>
      <w:r>
        <w:fldChar w:fldCharType="end"/>
      </w:r>
    </w:p>
    <w:p>
      <w:pPr>
        <w:pStyle w:val="TOC8"/>
        <w:rPr>
          <w:rFonts w:asciiTheme="minorHAnsi" w:eastAsiaTheme="minorEastAsia" w:hAnsiTheme="minorHAnsi" w:cstheme="minorBidi"/>
          <w:szCs w:val="22"/>
        </w:rPr>
      </w:pPr>
      <w:r>
        <w:t>112.</w:t>
      </w:r>
      <w:r>
        <w:tab/>
        <w:t>Duty on consignors</w:t>
      </w:r>
      <w:r>
        <w:tab/>
      </w:r>
      <w:r>
        <w:fldChar w:fldCharType="begin"/>
      </w:r>
      <w:r>
        <w:instrText xml:space="preserve"> PAGEREF _Toc194932997 \h </w:instrText>
      </w:r>
      <w:r>
        <w:fldChar w:fldCharType="separate"/>
      </w:r>
      <w:r>
        <w:t>76</w:t>
      </w:r>
      <w:r>
        <w:fldChar w:fldCharType="end"/>
      </w:r>
    </w:p>
    <w:p>
      <w:pPr>
        <w:pStyle w:val="TOC8"/>
        <w:rPr>
          <w:rFonts w:asciiTheme="minorHAnsi" w:eastAsiaTheme="minorEastAsia" w:hAnsiTheme="minorHAnsi" w:cstheme="minorBidi"/>
          <w:szCs w:val="22"/>
        </w:rPr>
      </w:pPr>
      <w:r>
        <w:t>113.</w:t>
      </w:r>
      <w:r>
        <w:tab/>
        <w:t>Duty on loaders</w:t>
      </w:r>
      <w:r>
        <w:tab/>
      </w:r>
      <w:r>
        <w:fldChar w:fldCharType="begin"/>
      </w:r>
      <w:r>
        <w:instrText xml:space="preserve"> PAGEREF _Toc194932998 \h </w:instrText>
      </w:r>
      <w:r>
        <w:fldChar w:fldCharType="separate"/>
      </w:r>
      <w:r>
        <w:t>77</w:t>
      </w:r>
      <w:r>
        <w:fldChar w:fldCharType="end"/>
      </w:r>
    </w:p>
    <w:p>
      <w:pPr>
        <w:pStyle w:val="TOC8"/>
        <w:rPr>
          <w:rFonts w:asciiTheme="minorHAnsi" w:eastAsiaTheme="minorEastAsia" w:hAnsiTheme="minorHAnsi" w:cstheme="minorBidi"/>
          <w:szCs w:val="22"/>
        </w:rPr>
      </w:pPr>
      <w:r>
        <w:t>114.</w:t>
      </w:r>
      <w:r>
        <w:tab/>
        <w:t>Duty on prime contractors and rail operators</w:t>
      </w:r>
      <w:r>
        <w:tab/>
      </w:r>
      <w:r>
        <w:fldChar w:fldCharType="begin"/>
      </w:r>
      <w:r>
        <w:instrText xml:space="preserve"> PAGEREF _Toc194932999 \h </w:instrText>
      </w:r>
      <w:r>
        <w:fldChar w:fldCharType="separate"/>
      </w:r>
      <w:r>
        <w:t>78</w:t>
      </w:r>
      <w:r>
        <w:fldChar w:fldCharType="end"/>
      </w:r>
    </w:p>
    <w:p>
      <w:pPr>
        <w:pStyle w:val="TOC8"/>
        <w:rPr>
          <w:rFonts w:asciiTheme="minorHAnsi" w:eastAsiaTheme="minorEastAsia" w:hAnsiTheme="minorHAnsi" w:cstheme="minorBidi"/>
          <w:szCs w:val="22"/>
        </w:rPr>
      </w:pPr>
      <w:r>
        <w:t>115.</w:t>
      </w:r>
      <w:r>
        <w:tab/>
        <w:t>Duty on drivers</w:t>
      </w:r>
      <w:r>
        <w:tab/>
      </w:r>
      <w:r>
        <w:fldChar w:fldCharType="begin"/>
      </w:r>
      <w:r>
        <w:instrText xml:space="preserve"> PAGEREF _Toc194933000 \h </w:instrText>
      </w:r>
      <w:r>
        <w:fldChar w:fldCharType="separate"/>
      </w:r>
      <w:r>
        <w:t>79</w:t>
      </w:r>
      <w:r>
        <w:fldChar w:fldCharType="end"/>
      </w:r>
    </w:p>
    <w:p>
      <w:pPr>
        <w:pStyle w:val="TOC2"/>
        <w:tabs>
          <w:tab w:val="right" w:leader="dot" w:pos="7077"/>
        </w:tabs>
        <w:rPr>
          <w:rFonts w:asciiTheme="minorHAnsi" w:eastAsiaTheme="minorEastAsia" w:hAnsiTheme="minorHAnsi" w:cstheme="minorBidi"/>
          <w:b w:val="0"/>
          <w:sz w:val="22"/>
          <w:szCs w:val="22"/>
        </w:rPr>
      </w:pPr>
      <w:r>
        <w:t>Part 6 — Safety standards for vehicles and equipment</w:t>
      </w:r>
    </w:p>
    <w:p>
      <w:pPr>
        <w:pStyle w:val="TOC8"/>
        <w:rPr>
          <w:rFonts w:asciiTheme="minorHAnsi" w:eastAsiaTheme="minorEastAsia" w:hAnsiTheme="minorHAnsi" w:cstheme="minorBidi"/>
          <w:szCs w:val="22"/>
        </w:rPr>
      </w:pPr>
      <w:r>
        <w:t>116.</w:t>
      </w:r>
      <w:r>
        <w:tab/>
        <w:t>Duty on owners</w:t>
      </w:r>
      <w:r>
        <w:tab/>
      </w:r>
      <w:r>
        <w:fldChar w:fldCharType="begin"/>
      </w:r>
      <w:r>
        <w:instrText xml:space="preserve"> PAGEREF _Toc194933002 \h </w:instrText>
      </w:r>
      <w:r>
        <w:fldChar w:fldCharType="separate"/>
      </w:r>
      <w:r>
        <w:t>81</w:t>
      </w:r>
      <w:r>
        <w:fldChar w:fldCharType="end"/>
      </w:r>
    </w:p>
    <w:p>
      <w:pPr>
        <w:pStyle w:val="TOC8"/>
        <w:rPr>
          <w:rFonts w:asciiTheme="minorHAnsi" w:eastAsiaTheme="minorEastAsia" w:hAnsiTheme="minorHAnsi" w:cstheme="minorBidi"/>
          <w:szCs w:val="22"/>
        </w:rPr>
      </w:pPr>
      <w:r>
        <w:t>117.</w:t>
      </w:r>
      <w:r>
        <w:tab/>
        <w:t>Duty on consignors</w:t>
      </w:r>
      <w:r>
        <w:tab/>
      </w:r>
      <w:r>
        <w:fldChar w:fldCharType="begin"/>
      </w:r>
      <w:r>
        <w:instrText xml:space="preserve"> PAGEREF _Toc194933003 \h </w:instrText>
      </w:r>
      <w:r>
        <w:fldChar w:fldCharType="separate"/>
      </w:r>
      <w:r>
        <w:t>81</w:t>
      </w:r>
      <w:r>
        <w:fldChar w:fldCharType="end"/>
      </w:r>
    </w:p>
    <w:p>
      <w:pPr>
        <w:pStyle w:val="TOC8"/>
        <w:rPr>
          <w:rFonts w:asciiTheme="minorHAnsi" w:eastAsiaTheme="minorEastAsia" w:hAnsiTheme="minorHAnsi" w:cstheme="minorBidi"/>
          <w:szCs w:val="22"/>
        </w:rPr>
      </w:pPr>
      <w:r>
        <w:t>118.</w:t>
      </w:r>
      <w:r>
        <w:tab/>
        <w:t>Duty on loaders</w:t>
      </w:r>
      <w:r>
        <w:tab/>
      </w:r>
      <w:r>
        <w:fldChar w:fldCharType="begin"/>
      </w:r>
      <w:r>
        <w:instrText xml:space="preserve"> PAGEREF _Toc194933004 \h </w:instrText>
      </w:r>
      <w:r>
        <w:fldChar w:fldCharType="separate"/>
      </w:r>
      <w:r>
        <w:t>81</w:t>
      </w:r>
      <w:r>
        <w:fldChar w:fldCharType="end"/>
      </w:r>
    </w:p>
    <w:p>
      <w:pPr>
        <w:pStyle w:val="TOC8"/>
        <w:rPr>
          <w:rFonts w:asciiTheme="minorHAnsi" w:eastAsiaTheme="minorEastAsia" w:hAnsiTheme="minorHAnsi" w:cstheme="minorBidi"/>
          <w:szCs w:val="22"/>
        </w:rPr>
      </w:pPr>
      <w:r>
        <w:t>119.</w:t>
      </w:r>
      <w:r>
        <w:tab/>
        <w:t>Duties on prime contractors and rail operators</w:t>
      </w:r>
      <w:r>
        <w:tab/>
      </w:r>
      <w:r>
        <w:fldChar w:fldCharType="begin"/>
      </w:r>
      <w:r>
        <w:instrText xml:space="preserve"> PAGEREF _Toc194933005 \h </w:instrText>
      </w:r>
      <w:r>
        <w:fldChar w:fldCharType="separate"/>
      </w:r>
      <w:r>
        <w:t>81</w:t>
      </w:r>
      <w:r>
        <w:fldChar w:fldCharType="end"/>
      </w:r>
    </w:p>
    <w:p>
      <w:pPr>
        <w:pStyle w:val="TOC8"/>
        <w:rPr>
          <w:rFonts w:asciiTheme="minorHAnsi" w:eastAsiaTheme="minorEastAsia" w:hAnsiTheme="minorHAnsi" w:cstheme="minorBidi"/>
          <w:szCs w:val="22"/>
        </w:rPr>
      </w:pPr>
      <w:r>
        <w:t>120.</w:t>
      </w:r>
      <w:r>
        <w:tab/>
        <w:t>Duty on drivers</w:t>
      </w:r>
      <w:r>
        <w:tab/>
      </w:r>
      <w:r>
        <w:fldChar w:fldCharType="begin"/>
      </w:r>
      <w:r>
        <w:instrText xml:space="preserve"> PAGEREF _Toc194933006 \h </w:instrText>
      </w:r>
      <w:r>
        <w:fldChar w:fldCharType="separate"/>
      </w:r>
      <w:r>
        <w:t>82</w:t>
      </w:r>
      <w:r>
        <w:fldChar w:fldCharType="end"/>
      </w:r>
    </w:p>
    <w:p>
      <w:pPr>
        <w:pStyle w:val="TOC2"/>
        <w:tabs>
          <w:tab w:val="right" w:leader="dot" w:pos="7077"/>
        </w:tabs>
        <w:rPr>
          <w:rFonts w:asciiTheme="minorHAnsi" w:eastAsiaTheme="minorEastAsia" w:hAnsiTheme="minorHAnsi" w:cstheme="minorBidi"/>
          <w:b w:val="0"/>
          <w:sz w:val="22"/>
          <w:szCs w:val="22"/>
        </w:rPr>
      </w:pPr>
      <w:r>
        <w:t>Part 7 — Transport operations relating to certain dangerous goods and nominally empty storage vessels</w:t>
      </w:r>
    </w:p>
    <w:p>
      <w:pPr>
        <w:pStyle w:val="TOC8"/>
        <w:rPr>
          <w:rFonts w:asciiTheme="minorHAnsi" w:eastAsiaTheme="minorEastAsia" w:hAnsiTheme="minorHAnsi" w:cstheme="minorBidi"/>
          <w:szCs w:val="22"/>
        </w:rPr>
      </w:pPr>
      <w:r>
        <w:t>120A.</w:t>
      </w:r>
      <w:r>
        <w:tab/>
        <w:t>Term used: nominally empty storage vessels</w:t>
      </w:r>
      <w:r>
        <w:tab/>
      </w:r>
      <w:r>
        <w:fldChar w:fldCharType="begin"/>
      </w:r>
      <w:r>
        <w:instrText xml:space="preserve"> PAGEREF _Toc194933008 \h </w:instrText>
      </w:r>
      <w:r>
        <w:fldChar w:fldCharType="separate"/>
      </w:r>
      <w:r>
        <w:t>83</w:t>
      </w:r>
      <w:r>
        <w:fldChar w:fldCharType="end"/>
      </w:r>
    </w:p>
    <w:p>
      <w:pPr>
        <w:pStyle w:val="TOC8"/>
        <w:rPr>
          <w:rFonts w:asciiTheme="minorHAnsi" w:eastAsiaTheme="minorEastAsia" w:hAnsiTheme="minorHAnsi" w:cstheme="minorBidi"/>
          <w:szCs w:val="22"/>
        </w:rPr>
      </w:pPr>
      <w:r>
        <w:rPr>
          <w:color w:val="000000"/>
        </w:rPr>
        <w:t>121.</w:t>
      </w:r>
      <w:r>
        <w:rPr>
          <w:color w:val="000000"/>
        </w:rPr>
        <w:tab/>
        <w:t>Application of Part</w:t>
      </w:r>
      <w:r>
        <w:tab/>
      </w:r>
      <w:r>
        <w:fldChar w:fldCharType="begin"/>
      </w:r>
      <w:r>
        <w:instrText xml:space="preserve"> PAGEREF _Toc194933009 \h </w:instrText>
      </w:r>
      <w:r>
        <w:fldChar w:fldCharType="separate"/>
      </w:r>
      <w:r>
        <w:t>83</w:t>
      </w:r>
      <w:r>
        <w:fldChar w:fldCharType="end"/>
      </w:r>
    </w:p>
    <w:p>
      <w:pPr>
        <w:pStyle w:val="TOC8"/>
        <w:rPr>
          <w:rFonts w:asciiTheme="minorHAnsi" w:eastAsiaTheme="minorEastAsia" w:hAnsiTheme="minorHAnsi" w:cstheme="minorBidi"/>
          <w:szCs w:val="22"/>
        </w:rPr>
      </w:pPr>
      <w:r>
        <w:rPr>
          <w:color w:val="000000"/>
        </w:rPr>
        <w:t>122.</w:t>
      </w:r>
      <w:r>
        <w:rPr>
          <w:color w:val="000000"/>
        </w:rPr>
        <w:tab/>
        <w:t>Duty on consignors</w:t>
      </w:r>
      <w:r>
        <w:tab/>
      </w:r>
      <w:r>
        <w:fldChar w:fldCharType="begin"/>
      </w:r>
      <w:r>
        <w:instrText xml:space="preserve"> PAGEREF _Toc194933010 \h </w:instrText>
      </w:r>
      <w:r>
        <w:fldChar w:fldCharType="separate"/>
      </w:r>
      <w:r>
        <w:t>84</w:t>
      </w:r>
      <w:r>
        <w:fldChar w:fldCharType="end"/>
      </w:r>
    </w:p>
    <w:p>
      <w:pPr>
        <w:pStyle w:val="TOC8"/>
        <w:rPr>
          <w:rFonts w:asciiTheme="minorHAnsi" w:eastAsiaTheme="minorEastAsia" w:hAnsiTheme="minorHAnsi" w:cstheme="minorBidi"/>
          <w:szCs w:val="22"/>
        </w:rPr>
      </w:pPr>
      <w:r>
        <w:rPr>
          <w:color w:val="000000"/>
        </w:rPr>
        <w:t>123.</w:t>
      </w:r>
      <w:r>
        <w:rPr>
          <w:color w:val="000000"/>
        </w:rPr>
        <w:tab/>
        <w:t>Duty on loaders</w:t>
      </w:r>
      <w:r>
        <w:tab/>
      </w:r>
      <w:r>
        <w:fldChar w:fldCharType="begin"/>
      </w:r>
      <w:r>
        <w:instrText xml:space="preserve"> PAGEREF _Toc194933011 \h </w:instrText>
      </w:r>
      <w:r>
        <w:fldChar w:fldCharType="separate"/>
      </w:r>
      <w:r>
        <w:t>84</w:t>
      </w:r>
      <w:r>
        <w:fldChar w:fldCharType="end"/>
      </w:r>
    </w:p>
    <w:p>
      <w:pPr>
        <w:pStyle w:val="TOC8"/>
        <w:rPr>
          <w:rFonts w:asciiTheme="minorHAnsi" w:eastAsiaTheme="minorEastAsia" w:hAnsiTheme="minorHAnsi" w:cstheme="minorBidi"/>
          <w:szCs w:val="22"/>
        </w:rPr>
      </w:pPr>
      <w:r>
        <w:rPr>
          <w:color w:val="000000"/>
        </w:rPr>
        <w:t>124.</w:t>
      </w:r>
      <w:r>
        <w:rPr>
          <w:color w:val="000000"/>
        </w:rPr>
        <w:tab/>
        <w:t>Duty on prime contractors and rail operators</w:t>
      </w:r>
      <w:r>
        <w:tab/>
      </w:r>
      <w:r>
        <w:fldChar w:fldCharType="begin"/>
      </w:r>
      <w:r>
        <w:instrText xml:space="preserve"> PAGEREF _Toc194933012 \h </w:instrText>
      </w:r>
      <w:r>
        <w:fldChar w:fldCharType="separate"/>
      </w:r>
      <w:r>
        <w:t>84</w:t>
      </w:r>
      <w:r>
        <w:fldChar w:fldCharType="end"/>
      </w:r>
    </w:p>
    <w:p>
      <w:pPr>
        <w:pStyle w:val="TOC8"/>
        <w:rPr>
          <w:rFonts w:asciiTheme="minorHAnsi" w:eastAsiaTheme="minorEastAsia" w:hAnsiTheme="minorHAnsi" w:cstheme="minorBidi"/>
          <w:szCs w:val="22"/>
        </w:rPr>
      </w:pPr>
      <w:r>
        <w:rPr>
          <w:color w:val="000000"/>
        </w:rPr>
        <w:t>125.</w:t>
      </w:r>
      <w:r>
        <w:rPr>
          <w:color w:val="000000"/>
        </w:rPr>
        <w:tab/>
        <w:t>Duty on drivers</w:t>
      </w:r>
      <w:r>
        <w:tab/>
      </w:r>
      <w:r>
        <w:fldChar w:fldCharType="begin"/>
      </w:r>
      <w:r>
        <w:instrText xml:space="preserve"> PAGEREF _Toc194933013 \h </w:instrText>
      </w:r>
      <w:r>
        <w:fldChar w:fldCharType="separate"/>
      </w:r>
      <w:r>
        <w:t>85</w:t>
      </w:r>
      <w:r>
        <w:fldChar w:fldCharType="end"/>
      </w:r>
    </w:p>
    <w:p>
      <w:pPr>
        <w:pStyle w:val="TOC2"/>
        <w:tabs>
          <w:tab w:val="right" w:leader="dot" w:pos="7077"/>
        </w:tabs>
        <w:rPr>
          <w:rFonts w:asciiTheme="minorHAnsi" w:eastAsiaTheme="minorEastAsia" w:hAnsiTheme="minorHAnsi" w:cstheme="minorBidi"/>
          <w:b w:val="0"/>
          <w:sz w:val="22"/>
          <w:szCs w:val="22"/>
        </w:rPr>
      </w:pPr>
      <w:r>
        <w:t>Part 8</w:t>
      </w:r>
      <w:r>
        <w:rPr>
          <w:b w:val="0"/>
        </w:rPr>
        <w:t> </w:t>
      </w:r>
      <w:r>
        <w:t>—</w:t>
      </w:r>
      <w:r>
        <w:rPr>
          <w:b w:val="0"/>
        </w:rPr>
        <w:t> </w:t>
      </w:r>
      <w:r>
        <w:t>Stowage and restraint</w:t>
      </w:r>
    </w:p>
    <w:p>
      <w:pPr>
        <w:pStyle w:val="TOC8"/>
        <w:rPr>
          <w:rFonts w:asciiTheme="minorHAnsi" w:eastAsiaTheme="minorEastAsia" w:hAnsiTheme="minorHAnsi" w:cstheme="minorBidi"/>
          <w:szCs w:val="22"/>
        </w:rPr>
      </w:pPr>
      <w:r>
        <w:t>126.</w:t>
      </w:r>
      <w:r>
        <w:tab/>
        <w:t>Duty on consignors</w:t>
      </w:r>
      <w:r>
        <w:tab/>
      </w:r>
      <w:r>
        <w:fldChar w:fldCharType="begin"/>
      </w:r>
      <w:r>
        <w:instrText xml:space="preserve"> PAGEREF _Toc194933015 \h </w:instrText>
      </w:r>
      <w:r>
        <w:fldChar w:fldCharType="separate"/>
      </w:r>
      <w:r>
        <w:t>86</w:t>
      </w:r>
      <w:r>
        <w:fldChar w:fldCharType="end"/>
      </w:r>
    </w:p>
    <w:p>
      <w:pPr>
        <w:pStyle w:val="TOC8"/>
        <w:rPr>
          <w:rFonts w:asciiTheme="minorHAnsi" w:eastAsiaTheme="minorEastAsia" w:hAnsiTheme="minorHAnsi" w:cstheme="minorBidi"/>
          <w:szCs w:val="22"/>
        </w:rPr>
      </w:pPr>
      <w:r>
        <w:t>127.</w:t>
      </w:r>
      <w:r>
        <w:tab/>
        <w:t>Duty on loaders</w:t>
      </w:r>
      <w:r>
        <w:tab/>
      </w:r>
      <w:r>
        <w:fldChar w:fldCharType="begin"/>
      </w:r>
      <w:r>
        <w:instrText xml:space="preserve"> PAGEREF _Toc194933016 \h </w:instrText>
      </w:r>
      <w:r>
        <w:fldChar w:fldCharType="separate"/>
      </w:r>
      <w:r>
        <w:t>86</w:t>
      </w:r>
      <w:r>
        <w:fldChar w:fldCharType="end"/>
      </w:r>
    </w:p>
    <w:p>
      <w:pPr>
        <w:pStyle w:val="TOC8"/>
        <w:rPr>
          <w:rFonts w:asciiTheme="minorHAnsi" w:eastAsiaTheme="minorEastAsia" w:hAnsiTheme="minorHAnsi" w:cstheme="minorBidi"/>
          <w:szCs w:val="22"/>
        </w:rPr>
      </w:pPr>
      <w:r>
        <w:t>128.</w:t>
      </w:r>
      <w:r>
        <w:tab/>
        <w:t>Duty on prime contractors and rail operators</w:t>
      </w:r>
      <w:r>
        <w:tab/>
      </w:r>
      <w:r>
        <w:fldChar w:fldCharType="begin"/>
      </w:r>
      <w:r>
        <w:instrText xml:space="preserve"> PAGEREF _Toc194933017 \h </w:instrText>
      </w:r>
      <w:r>
        <w:fldChar w:fldCharType="separate"/>
      </w:r>
      <w:r>
        <w:t>87</w:t>
      </w:r>
      <w:r>
        <w:fldChar w:fldCharType="end"/>
      </w:r>
    </w:p>
    <w:p>
      <w:pPr>
        <w:pStyle w:val="TOC8"/>
        <w:rPr>
          <w:rFonts w:asciiTheme="minorHAnsi" w:eastAsiaTheme="minorEastAsia" w:hAnsiTheme="minorHAnsi" w:cstheme="minorBidi"/>
          <w:szCs w:val="22"/>
        </w:rPr>
      </w:pPr>
      <w:r>
        <w:t>129.</w:t>
      </w:r>
      <w:r>
        <w:tab/>
        <w:t>Duty on drivers</w:t>
      </w:r>
      <w:r>
        <w:tab/>
      </w:r>
      <w:r>
        <w:fldChar w:fldCharType="begin"/>
      </w:r>
      <w:r>
        <w:instrText xml:space="preserve"> PAGEREF _Toc194933018 \h </w:instrText>
      </w:r>
      <w:r>
        <w:fldChar w:fldCharType="separate"/>
      </w:r>
      <w:r>
        <w:t>87</w:t>
      </w:r>
      <w:r>
        <w:fldChar w:fldCharType="end"/>
      </w:r>
    </w:p>
    <w:p>
      <w:pPr>
        <w:pStyle w:val="TOC2"/>
        <w:tabs>
          <w:tab w:val="right" w:leader="dot" w:pos="7077"/>
        </w:tabs>
        <w:rPr>
          <w:rFonts w:asciiTheme="minorHAnsi" w:eastAsiaTheme="minorEastAsia" w:hAnsiTheme="minorHAnsi" w:cstheme="minorBidi"/>
          <w:b w:val="0"/>
          <w:sz w:val="22"/>
          <w:szCs w:val="22"/>
        </w:rPr>
      </w:pPr>
      <w:r>
        <w:t>Part 9 — Segregation</w:t>
      </w:r>
    </w:p>
    <w:p>
      <w:pPr>
        <w:pStyle w:val="TOC8"/>
        <w:rPr>
          <w:rFonts w:asciiTheme="minorHAnsi" w:eastAsiaTheme="minorEastAsia" w:hAnsiTheme="minorHAnsi" w:cstheme="minorBidi"/>
          <w:szCs w:val="22"/>
        </w:rPr>
      </w:pPr>
      <w:r>
        <w:t>130.</w:t>
      </w:r>
      <w:r>
        <w:tab/>
        <w:t>Application of Part</w:t>
      </w:r>
      <w:r>
        <w:tab/>
      </w:r>
      <w:r>
        <w:fldChar w:fldCharType="begin"/>
      </w:r>
      <w:r>
        <w:instrText xml:space="preserve"> PAGEREF _Toc194933020 \h </w:instrText>
      </w:r>
      <w:r>
        <w:fldChar w:fldCharType="separate"/>
      </w:r>
      <w:r>
        <w:t>88</w:t>
      </w:r>
      <w:r>
        <w:fldChar w:fldCharType="end"/>
      </w:r>
    </w:p>
    <w:p>
      <w:pPr>
        <w:pStyle w:val="TOC8"/>
        <w:rPr>
          <w:rFonts w:asciiTheme="minorHAnsi" w:eastAsiaTheme="minorEastAsia" w:hAnsiTheme="minorHAnsi" w:cstheme="minorBidi"/>
          <w:szCs w:val="22"/>
        </w:rPr>
      </w:pPr>
      <w:r>
        <w:t>131.</w:t>
      </w:r>
      <w:r>
        <w:tab/>
        <w:t>Exception for certain goods for driver’s personal use</w:t>
      </w:r>
      <w:r>
        <w:tab/>
      </w:r>
      <w:r>
        <w:fldChar w:fldCharType="begin"/>
      </w:r>
      <w:r>
        <w:instrText xml:space="preserve"> PAGEREF _Toc194933021 \h </w:instrText>
      </w:r>
      <w:r>
        <w:fldChar w:fldCharType="separate"/>
      </w:r>
      <w:r>
        <w:t>88</w:t>
      </w:r>
      <w:r>
        <w:fldChar w:fldCharType="end"/>
      </w:r>
    </w:p>
    <w:p>
      <w:pPr>
        <w:pStyle w:val="TOC8"/>
        <w:rPr>
          <w:rFonts w:asciiTheme="minorHAnsi" w:eastAsiaTheme="minorEastAsia" w:hAnsiTheme="minorHAnsi" w:cstheme="minorBidi"/>
          <w:szCs w:val="22"/>
        </w:rPr>
      </w:pPr>
      <w:r>
        <w:t>132.</w:t>
      </w:r>
      <w:r>
        <w:tab/>
        <w:t>Duty on consignors</w:t>
      </w:r>
      <w:r>
        <w:tab/>
      </w:r>
      <w:r>
        <w:fldChar w:fldCharType="begin"/>
      </w:r>
      <w:r>
        <w:instrText xml:space="preserve"> PAGEREF _Toc194933022 \h </w:instrText>
      </w:r>
      <w:r>
        <w:fldChar w:fldCharType="separate"/>
      </w:r>
      <w:r>
        <w:t>88</w:t>
      </w:r>
      <w:r>
        <w:fldChar w:fldCharType="end"/>
      </w:r>
    </w:p>
    <w:p>
      <w:pPr>
        <w:pStyle w:val="TOC8"/>
        <w:rPr>
          <w:rFonts w:asciiTheme="minorHAnsi" w:eastAsiaTheme="minorEastAsia" w:hAnsiTheme="minorHAnsi" w:cstheme="minorBidi"/>
          <w:szCs w:val="22"/>
        </w:rPr>
      </w:pPr>
      <w:r>
        <w:t>133.</w:t>
      </w:r>
      <w:r>
        <w:tab/>
        <w:t>Duty on loaders</w:t>
      </w:r>
      <w:r>
        <w:tab/>
      </w:r>
      <w:r>
        <w:fldChar w:fldCharType="begin"/>
      </w:r>
      <w:r>
        <w:instrText xml:space="preserve"> PAGEREF _Toc194933023 \h </w:instrText>
      </w:r>
      <w:r>
        <w:fldChar w:fldCharType="separate"/>
      </w:r>
      <w:r>
        <w:t>89</w:t>
      </w:r>
      <w:r>
        <w:fldChar w:fldCharType="end"/>
      </w:r>
    </w:p>
    <w:p>
      <w:pPr>
        <w:pStyle w:val="TOC8"/>
        <w:rPr>
          <w:rFonts w:asciiTheme="minorHAnsi" w:eastAsiaTheme="minorEastAsia" w:hAnsiTheme="minorHAnsi" w:cstheme="minorBidi"/>
          <w:szCs w:val="22"/>
        </w:rPr>
      </w:pPr>
      <w:r>
        <w:lastRenderedPageBreak/>
        <w:t>134.</w:t>
      </w:r>
      <w:r>
        <w:tab/>
        <w:t>Duty on prime contractors</w:t>
      </w:r>
      <w:r>
        <w:tab/>
      </w:r>
      <w:r>
        <w:fldChar w:fldCharType="begin"/>
      </w:r>
      <w:r>
        <w:instrText xml:space="preserve"> PAGEREF _Toc194933024 \h </w:instrText>
      </w:r>
      <w:r>
        <w:fldChar w:fldCharType="separate"/>
      </w:r>
      <w:r>
        <w:t>89</w:t>
      </w:r>
      <w:r>
        <w:fldChar w:fldCharType="end"/>
      </w:r>
    </w:p>
    <w:p>
      <w:pPr>
        <w:pStyle w:val="TOC8"/>
        <w:rPr>
          <w:rFonts w:asciiTheme="minorHAnsi" w:eastAsiaTheme="minorEastAsia" w:hAnsiTheme="minorHAnsi" w:cstheme="minorBidi"/>
          <w:szCs w:val="22"/>
        </w:rPr>
      </w:pPr>
      <w:r>
        <w:t>135.</w:t>
      </w:r>
      <w:r>
        <w:tab/>
        <w:t>Duty on rail operators</w:t>
      </w:r>
      <w:r>
        <w:tab/>
      </w:r>
      <w:r>
        <w:fldChar w:fldCharType="begin"/>
      </w:r>
      <w:r>
        <w:instrText xml:space="preserve"> PAGEREF _Toc194933025 \h </w:instrText>
      </w:r>
      <w:r>
        <w:fldChar w:fldCharType="separate"/>
      </w:r>
      <w:r>
        <w:t>90</w:t>
      </w:r>
      <w:r>
        <w:fldChar w:fldCharType="end"/>
      </w:r>
    </w:p>
    <w:p>
      <w:pPr>
        <w:pStyle w:val="TOC8"/>
        <w:rPr>
          <w:rFonts w:asciiTheme="minorHAnsi" w:eastAsiaTheme="minorEastAsia" w:hAnsiTheme="minorHAnsi" w:cstheme="minorBidi"/>
          <w:szCs w:val="22"/>
        </w:rPr>
      </w:pPr>
      <w:r>
        <w:t>136.</w:t>
      </w:r>
      <w:r>
        <w:tab/>
        <w:t>Duty on drivers</w:t>
      </w:r>
      <w:r>
        <w:tab/>
      </w:r>
      <w:r>
        <w:fldChar w:fldCharType="begin"/>
      </w:r>
      <w:r>
        <w:instrText xml:space="preserve"> PAGEREF _Toc194933026 \h </w:instrText>
      </w:r>
      <w:r>
        <w:fldChar w:fldCharType="separate"/>
      </w:r>
      <w:r>
        <w:t>90</w:t>
      </w:r>
      <w:r>
        <w:fldChar w:fldCharType="end"/>
      </w:r>
    </w:p>
    <w:p>
      <w:pPr>
        <w:pStyle w:val="TOC8"/>
        <w:rPr>
          <w:rFonts w:asciiTheme="minorHAnsi" w:eastAsiaTheme="minorEastAsia" w:hAnsiTheme="minorHAnsi" w:cstheme="minorBidi"/>
          <w:szCs w:val="22"/>
        </w:rPr>
      </w:pPr>
      <w:r>
        <w:rPr>
          <w:color w:val="000000"/>
        </w:rPr>
        <w:t>137.</w:t>
      </w:r>
      <w:r>
        <w:rPr>
          <w:color w:val="000000"/>
        </w:rPr>
        <w:tab/>
        <w:t>Approvals — Type II segregation devices</w:t>
      </w:r>
      <w:r>
        <w:tab/>
      </w:r>
      <w:r>
        <w:fldChar w:fldCharType="begin"/>
      </w:r>
      <w:r>
        <w:instrText xml:space="preserve"> PAGEREF _Toc194933027 \h </w:instrText>
      </w:r>
      <w:r>
        <w:fldChar w:fldCharType="separate"/>
      </w:r>
      <w:r>
        <w:t>90</w:t>
      </w:r>
      <w:r>
        <w:fldChar w:fldCharType="end"/>
      </w:r>
    </w:p>
    <w:p>
      <w:pPr>
        <w:pStyle w:val="TOC8"/>
        <w:rPr>
          <w:rFonts w:asciiTheme="minorHAnsi" w:eastAsiaTheme="minorEastAsia" w:hAnsiTheme="minorHAnsi" w:cstheme="minorBidi"/>
          <w:szCs w:val="22"/>
        </w:rPr>
      </w:pPr>
      <w:r>
        <w:rPr>
          <w:color w:val="000000"/>
        </w:rPr>
        <w:t>138.</w:t>
      </w:r>
      <w:r>
        <w:rPr>
          <w:color w:val="000000"/>
        </w:rPr>
        <w:tab/>
        <w:t>Approvals — methods of segregation</w:t>
      </w:r>
      <w:r>
        <w:tab/>
      </w:r>
      <w:r>
        <w:fldChar w:fldCharType="begin"/>
      </w:r>
      <w:r>
        <w:instrText xml:space="preserve"> PAGEREF _Toc194933028 \h </w:instrText>
      </w:r>
      <w:r>
        <w:fldChar w:fldCharType="separate"/>
      </w:r>
      <w:r>
        <w:t>91</w:t>
      </w:r>
      <w:r>
        <w:fldChar w:fldCharType="end"/>
      </w:r>
    </w:p>
    <w:p>
      <w:pPr>
        <w:pStyle w:val="TOC2"/>
        <w:tabs>
          <w:tab w:val="right" w:leader="dot" w:pos="7077"/>
        </w:tabs>
        <w:rPr>
          <w:rFonts w:asciiTheme="minorHAnsi" w:eastAsiaTheme="minorEastAsia" w:hAnsiTheme="minorHAnsi" w:cstheme="minorBidi"/>
          <w:b w:val="0"/>
          <w:sz w:val="22"/>
          <w:szCs w:val="22"/>
        </w:rPr>
      </w:pPr>
      <w:r>
        <w:t>Part 10 — Bulk transfer of dangerous goods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rPr>
          <w:color w:val="000000"/>
        </w:rPr>
        <w:t>139.</w:t>
      </w:r>
      <w:r>
        <w:rPr>
          <w:color w:val="000000"/>
        </w:rPr>
        <w:tab/>
        <w:t>Term used: bulk transfer</w:t>
      </w:r>
      <w:r>
        <w:tab/>
      </w:r>
      <w:r>
        <w:fldChar w:fldCharType="begin"/>
      </w:r>
      <w:r>
        <w:instrText xml:space="preserve"> PAGEREF _Toc194933031 \h </w:instrText>
      </w:r>
      <w:r>
        <w:fldChar w:fldCharType="separate"/>
      </w:r>
      <w:r>
        <w:t>92</w:t>
      </w:r>
      <w:r>
        <w:fldChar w:fldCharType="end"/>
      </w:r>
    </w:p>
    <w:p>
      <w:pPr>
        <w:pStyle w:val="TOC4"/>
        <w:tabs>
          <w:tab w:val="right" w:leader="dot" w:pos="7077"/>
        </w:tabs>
        <w:rPr>
          <w:rFonts w:asciiTheme="minorHAnsi" w:eastAsiaTheme="minorEastAsia" w:hAnsiTheme="minorHAnsi" w:cstheme="minorBidi"/>
          <w:b w:val="0"/>
          <w:szCs w:val="22"/>
        </w:rPr>
      </w:pPr>
      <w:r>
        <w:t>Division 2 — Equipment and transfer</w:t>
      </w:r>
    </w:p>
    <w:p>
      <w:pPr>
        <w:pStyle w:val="TOC8"/>
        <w:rPr>
          <w:rFonts w:asciiTheme="minorHAnsi" w:eastAsiaTheme="minorEastAsia" w:hAnsiTheme="minorHAnsi" w:cstheme="minorBidi"/>
          <w:szCs w:val="22"/>
        </w:rPr>
      </w:pPr>
      <w:r>
        <w:t>140.</w:t>
      </w:r>
      <w:r>
        <w:tab/>
        <w:t>Duty on transferors — hose assemblies</w:t>
      </w:r>
      <w:r>
        <w:tab/>
      </w:r>
      <w:r>
        <w:fldChar w:fldCharType="begin"/>
      </w:r>
      <w:r>
        <w:instrText xml:space="preserve"> PAGEREF _Toc194933033 \h </w:instrText>
      </w:r>
      <w:r>
        <w:fldChar w:fldCharType="separate"/>
      </w:r>
      <w:r>
        <w:t>92</w:t>
      </w:r>
      <w:r>
        <w:fldChar w:fldCharType="end"/>
      </w:r>
    </w:p>
    <w:p>
      <w:pPr>
        <w:pStyle w:val="TOC8"/>
        <w:rPr>
          <w:rFonts w:asciiTheme="minorHAnsi" w:eastAsiaTheme="minorEastAsia" w:hAnsiTheme="minorHAnsi" w:cstheme="minorBidi"/>
          <w:szCs w:val="22"/>
        </w:rPr>
      </w:pPr>
      <w:r>
        <w:t>141.</w:t>
      </w:r>
      <w:r>
        <w:tab/>
        <w:t>Duty on transferors — general</w:t>
      </w:r>
      <w:r>
        <w:tab/>
      </w:r>
      <w:r>
        <w:fldChar w:fldCharType="begin"/>
      </w:r>
      <w:r>
        <w:instrText xml:space="preserve"> PAGEREF _Toc194933034 \h </w:instrText>
      </w:r>
      <w:r>
        <w:fldChar w:fldCharType="separate"/>
      </w:r>
      <w:r>
        <w:t>93</w:t>
      </w:r>
      <w:r>
        <w:fldChar w:fldCharType="end"/>
      </w:r>
    </w:p>
    <w:p>
      <w:pPr>
        <w:pStyle w:val="TOC8"/>
        <w:rPr>
          <w:rFonts w:asciiTheme="minorHAnsi" w:eastAsiaTheme="minorEastAsia" w:hAnsiTheme="minorHAnsi" w:cstheme="minorBidi"/>
          <w:szCs w:val="22"/>
        </w:rPr>
      </w:pPr>
      <w:r>
        <w:t>142.</w:t>
      </w:r>
      <w:r>
        <w:tab/>
        <w:t>Duty on occupiers</w:t>
      </w:r>
      <w:r>
        <w:tab/>
      </w:r>
      <w:r>
        <w:fldChar w:fldCharType="begin"/>
      </w:r>
      <w:r>
        <w:instrText xml:space="preserve"> PAGEREF _Toc194933035 \h </w:instrText>
      </w:r>
      <w:r>
        <w:fldChar w:fldCharType="separate"/>
      </w:r>
      <w:r>
        <w:t>93</w:t>
      </w:r>
      <w:r>
        <w:fldChar w:fldCharType="end"/>
      </w:r>
    </w:p>
    <w:p>
      <w:pPr>
        <w:pStyle w:val="TOC8"/>
        <w:rPr>
          <w:rFonts w:asciiTheme="minorHAnsi" w:eastAsiaTheme="minorEastAsia" w:hAnsiTheme="minorHAnsi" w:cstheme="minorBidi"/>
          <w:szCs w:val="22"/>
        </w:rPr>
      </w:pPr>
      <w:r>
        <w:t>143.</w:t>
      </w:r>
      <w:r>
        <w:tab/>
        <w:t>Duty on prime contractors</w:t>
      </w:r>
      <w:r>
        <w:tab/>
      </w:r>
      <w:r>
        <w:fldChar w:fldCharType="begin"/>
      </w:r>
      <w:r>
        <w:instrText xml:space="preserve"> PAGEREF _Toc194933036 \h </w:instrText>
      </w:r>
      <w:r>
        <w:fldChar w:fldCharType="separate"/>
      </w:r>
      <w:r>
        <w:t>94</w:t>
      </w:r>
      <w:r>
        <w:fldChar w:fldCharType="end"/>
      </w:r>
    </w:p>
    <w:p>
      <w:pPr>
        <w:pStyle w:val="TOC8"/>
        <w:rPr>
          <w:rFonts w:asciiTheme="minorHAnsi" w:eastAsiaTheme="minorEastAsia" w:hAnsiTheme="minorHAnsi" w:cstheme="minorBidi"/>
          <w:szCs w:val="22"/>
        </w:rPr>
      </w:pPr>
      <w:r>
        <w:t>144.</w:t>
      </w:r>
      <w:r>
        <w:tab/>
        <w:t>Duty on rail operators</w:t>
      </w:r>
      <w:r>
        <w:tab/>
      </w:r>
      <w:r>
        <w:fldChar w:fldCharType="begin"/>
      </w:r>
      <w:r>
        <w:instrText xml:space="preserve"> PAGEREF _Toc194933037 \h </w:instrText>
      </w:r>
      <w:r>
        <w:fldChar w:fldCharType="separate"/>
      </w:r>
      <w:r>
        <w:t>95</w:t>
      </w:r>
      <w:r>
        <w:fldChar w:fldCharType="end"/>
      </w:r>
    </w:p>
    <w:p>
      <w:pPr>
        <w:pStyle w:val="TOC4"/>
        <w:tabs>
          <w:tab w:val="right" w:leader="dot" w:pos="7077"/>
        </w:tabs>
        <w:rPr>
          <w:rFonts w:asciiTheme="minorHAnsi" w:eastAsiaTheme="minorEastAsia" w:hAnsiTheme="minorHAnsi" w:cstheme="minorBidi"/>
          <w:b w:val="0"/>
          <w:szCs w:val="22"/>
        </w:rPr>
      </w:pPr>
      <w:r>
        <w:t>Division 3 — Filling ratio and ullage for tank vehicles</w:t>
      </w:r>
    </w:p>
    <w:p>
      <w:pPr>
        <w:pStyle w:val="TOC8"/>
        <w:rPr>
          <w:rFonts w:asciiTheme="minorHAnsi" w:eastAsiaTheme="minorEastAsia" w:hAnsiTheme="minorHAnsi" w:cstheme="minorBidi"/>
          <w:szCs w:val="22"/>
        </w:rPr>
      </w:pPr>
      <w:r>
        <w:t>145.</w:t>
      </w:r>
      <w:r>
        <w:tab/>
        <w:t>Application of Division</w:t>
      </w:r>
      <w:r>
        <w:tab/>
      </w:r>
      <w:r>
        <w:fldChar w:fldCharType="begin"/>
      </w:r>
      <w:r>
        <w:instrText xml:space="preserve"> PAGEREF _Toc194933039 \h </w:instrText>
      </w:r>
      <w:r>
        <w:fldChar w:fldCharType="separate"/>
      </w:r>
      <w:r>
        <w:t>95</w:t>
      </w:r>
      <w:r>
        <w:fldChar w:fldCharType="end"/>
      </w:r>
    </w:p>
    <w:p>
      <w:pPr>
        <w:pStyle w:val="TOC8"/>
        <w:rPr>
          <w:rFonts w:asciiTheme="minorHAnsi" w:eastAsiaTheme="minorEastAsia" w:hAnsiTheme="minorHAnsi" w:cstheme="minorBidi"/>
          <w:szCs w:val="22"/>
        </w:rPr>
      </w:pPr>
      <w:r>
        <w:t>146.</w:t>
      </w:r>
      <w:r>
        <w:tab/>
        <w:t>Duty on transferors</w:t>
      </w:r>
      <w:r>
        <w:tab/>
      </w:r>
      <w:r>
        <w:fldChar w:fldCharType="begin"/>
      </w:r>
      <w:r>
        <w:instrText xml:space="preserve"> PAGEREF _Toc194933040 \h </w:instrText>
      </w:r>
      <w:r>
        <w:fldChar w:fldCharType="separate"/>
      </w:r>
      <w:r>
        <w:t>95</w:t>
      </w:r>
      <w:r>
        <w:fldChar w:fldCharType="end"/>
      </w:r>
    </w:p>
    <w:p>
      <w:pPr>
        <w:pStyle w:val="TOC8"/>
        <w:rPr>
          <w:rFonts w:asciiTheme="minorHAnsi" w:eastAsiaTheme="minorEastAsia" w:hAnsiTheme="minorHAnsi" w:cstheme="minorBidi"/>
          <w:szCs w:val="22"/>
        </w:rPr>
      </w:pPr>
      <w:r>
        <w:t>147.</w:t>
      </w:r>
      <w:r>
        <w:tab/>
        <w:t>Duty on prime contractors and rail operators</w:t>
      </w:r>
      <w:r>
        <w:tab/>
      </w:r>
      <w:r>
        <w:fldChar w:fldCharType="begin"/>
      </w:r>
      <w:r>
        <w:instrText xml:space="preserve"> PAGEREF _Toc194933041 \h </w:instrText>
      </w:r>
      <w:r>
        <w:fldChar w:fldCharType="separate"/>
      </w:r>
      <w:r>
        <w:t>96</w:t>
      </w:r>
      <w:r>
        <w:fldChar w:fldCharType="end"/>
      </w:r>
    </w:p>
    <w:p>
      <w:pPr>
        <w:pStyle w:val="TOC8"/>
        <w:rPr>
          <w:rFonts w:asciiTheme="minorHAnsi" w:eastAsiaTheme="minorEastAsia" w:hAnsiTheme="minorHAnsi" w:cstheme="minorBidi"/>
          <w:szCs w:val="22"/>
        </w:rPr>
      </w:pPr>
      <w:r>
        <w:t>148.</w:t>
      </w:r>
      <w:r>
        <w:tab/>
        <w:t>Duty on drivers</w:t>
      </w:r>
      <w:r>
        <w:tab/>
      </w:r>
      <w:r>
        <w:fldChar w:fldCharType="begin"/>
      </w:r>
      <w:r>
        <w:instrText xml:space="preserve"> PAGEREF _Toc194933042 \h </w:instrText>
      </w:r>
      <w:r>
        <w:fldChar w:fldCharType="separate"/>
      </w:r>
      <w:r>
        <w:t>97</w:t>
      </w:r>
      <w:r>
        <w:fldChar w:fldCharType="end"/>
      </w:r>
    </w:p>
    <w:p>
      <w:pPr>
        <w:pStyle w:val="TOC2"/>
        <w:tabs>
          <w:tab w:val="right" w:leader="dot" w:pos="7077"/>
        </w:tabs>
        <w:rPr>
          <w:rFonts w:asciiTheme="minorHAnsi" w:eastAsiaTheme="minorEastAsia" w:hAnsiTheme="minorHAnsi" w:cstheme="minorBidi"/>
          <w:b w:val="0"/>
          <w:sz w:val="22"/>
          <w:szCs w:val="22"/>
        </w:rPr>
      </w:pPr>
      <w:r>
        <w:t>Part 11 — Documentation</w:t>
      </w:r>
    </w:p>
    <w:p>
      <w:pPr>
        <w:pStyle w:val="TOC4"/>
        <w:tabs>
          <w:tab w:val="right" w:leader="dot" w:pos="7077"/>
        </w:tabs>
        <w:rPr>
          <w:rFonts w:asciiTheme="minorHAnsi" w:eastAsiaTheme="minorEastAsia" w:hAnsiTheme="minorHAnsi" w:cstheme="minorBidi"/>
          <w:b w:val="0"/>
          <w:szCs w:val="22"/>
        </w:rPr>
      </w:pPr>
      <w:r>
        <w:t>Division 1 — Transport documentation</w:t>
      </w:r>
    </w:p>
    <w:p>
      <w:pPr>
        <w:pStyle w:val="TOC8"/>
        <w:rPr>
          <w:rFonts w:asciiTheme="minorHAnsi" w:eastAsiaTheme="minorEastAsia" w:hAnsiTheme="minorHAnsi" w:cstheme="minorBidi"/>
          <w:szCs w:val="22"/>
        </w:rPr>
      </w:pPr>
      <w:r>
        <w:t>149.</w:t>
      </w:r>
      <w:r>
        <w:tab/>
        <w:t>False or misleading information</w:t>
      </w:r>
      <w:r>
        <w:tab/>
      </w:r>
      <w:r>
        <w:fldChar w:fldCharType="begin"/>
      </w:r>
      <w:r>
        <w:instrText xml:space="preserve"> PAGEREF _Toc194933045 \h </w:instrText>
      </w:r>
      <w:r>
        <w:fldChar w:fldCharType="separate"/>
      </w:r>
      <w:r>
        <w:t>98</w:t>
      </w:r>
      <w:r>
        <w:fldChar w:fldCharType="end"/>
      </w:r>
    </w:p>
    <w:p>
      <w:pPr>
        <w:pStyle w:val="TOC8"/>
        <w:rPr>
          <w:rFonts w:asciiTheme="minorHAnsi" w:eastAsiaTheme="minorEastAsia" w:hAnsiTheme="minorHAnsi" w:cstheme="minorBidi"/>
          <w:szCs w:val="22"/>
        </w:rPr>
      </w:pPr>
      <w:r>
        <w:t>150.</w:t>
      </w:r>
      <w:r>
        <w:tab/>
        <w:t>Duty on consignors — transport by road</w:t>
      </w:r>
      <w:r>
        <w:tab/>
      </w:r>
      <w:r>
        <w:fldChar w:fldCharType="begin"/>
      </w:r>
      <w:r>
        <w:instrText xml:space="preserve"> PAGEREF _Toc194933046 \h </w:instrText>
      </w:r>
      <w:r>
        <w:fldChar w:fldCharType="separate"/>
      </w:r>
      <w:r>
        <w:t>98</w:t>
      </w:r>
      <w:r>
        <w:fldChar w:fldCharType="end"/>
      </w:r>
    </w:p>
    <w:p>
      <w:pPr>
        <w:pStyle w:val="TOC8"/>
        <w:rPr>
          <w:rFonts w:asciiTheme="minorHAnsi" w:eastAsiaTheme="minorEastAsia" w:hAnsiTheme="minorHAnsi" w:cstheme="minorBidi"/>
          <w:szCs w:val="22"/>
        </w:rPr>
      </w:pPr>
      <w:r>
        <w:t>151.</w:t>
      </w:r>
      <w:r>
        <w:tab/>
        <w:t>Duty on consignors — transport by rail</w:t>
      </w:r>
      <w:r>
        <w:tab/>
      </w:r>
      <w:r>
        <w:fldChar w:fldCharType="begin"/>
      </w:r>
      <w:r>
        <w:instrText xml:space="preserve"> PAGEREF _Toc194933047 \h </w:instrText>
      </w:r>
      <w:r>
        <w:fldChar w:fldCharType="separate"/>
      </w:r>
      <w:r>
        <w:t>98</w:t>
      </w:r>
      <w:r>
        <w:fldChar w:fldCharType="end"/>
      </w:r>
    </w:p>
    <w:p>
      <w:pPr>
        <w:pStyle w:val="TOC8"/>
        <w:rPr>
          <w:rFonts w:asciiTheme="minorHAnsi" w:eastAsiaTheme="minorEastAsia" w:hAnsiTheme="minorHAnsi" w:cstheme="minorBidi"/>
          <w:szCs w:val="22"/>
        </w:rPr>
      </w:pPr>
      <w:r>
        <w:t>152.</w:t>
      </w:r>
      <w:r>
        <w:tab/>
        <w:t>Duty on prime contractors</w:t>
      </w:r>
      <w:r>
        <w:tab/>
      </w:r>
      <w:r>
        <w:fldChar w:fldCharType="begin"/>
      </w:r>
      <w:r>
        <w:instrText xml:space="preserve"> PAGEREF _Toc194933048 \h </w:instrText>
      </w:r>
      <w:r>
        <w:fldChar w:fldCharType="separate"/>
      </w:r>
      <w:r>
        <w:t>99</w:t>
      </w:r>
      <w:r>
        <w:fldChar w:fldCharType="end"/>
      </w:r>
    </w:p>
    <w:p>
      <w:pPr>
        <w:pStyle w:val="TOC8"/>
        <w:rPr>
          <w:rFonts w:asciiTheme="minorHAnsi" w:eastAsiaTheme="minorEastAsia" w:hAnsiTheme="minorHAnsi" w:cstheme="minorBidi"/>
          <w:szCs w:val="22"/>
        </w:rPr>
      </w:pPr>
      <w:r>
        <w:t>153.</w:t>
      </w:r>
      <w:r>
        <w:tab/>
        <w:t>Duty on rail operators</w:t>
      </w:r>
      <w:r>
        <w:tab/>
      </w:r>
      <w:r>
        <w:fldChar w:fldCharType="begin"/>
      </w:r>
      <w:r>
        <w:instrText xml:space="preserve"> PAGEREF _Toc194933049 \h </w:instrText>
      </w:r>
      <w:r>
        <w:fldChar w:fldCharType="separate"/>
      </w:r>
      <w:r>
        <w:t>99</w:t>
      </w:r>
      <w:r>
        <w:fldChar w:fldCharType="end"/>
      </w:r>
    </w:p>
    <w:p>
      <w:pPr>
        <w:pStyle w:val="TOC8"/>
        <w:rPr>
          <w:rFonts w:asciiTheme="minorHAnsi" w:eastAsiaTheme="minorEastAsia" w:hAnsiTheme="minorHAnsi" w:cstheme="minorBidi"/>
          <w:szCs w:val="22"/>
        </w:rPr>
      </w:pPr>
      <w:r>
        <w:t>154.</w:t>
      </w:r>
      <w:r>
        <w:tab/>
        <w:t>Duty on drivers</w:t>
      </w:r>
      <w:r>
        <w:tab/>
      </w:r>
      <w:r>
        <w:fldChar w:fldCharType="begin"/>
      </w:r>
      <w:r>
        <w:instrText xml:space="preserve"> PAGEREF _Toc194933050 \h </w:instrText>
      </w:r>
      <w:r>
        <w:fldChar w:fldCharType="separate"/>
      </w:r>
      <w:r>
        <w:t>99</w:t>
      </w:r>
      <w:r>
        <w:fldChar w:fldCharType="end"/>
      </w:r>
    </w:p>
    <w:p>
      <w:pPr>
        <w:pStyle w:val="TOC8"/>
        <w:rPr>
          <w:rFonts w:asciiTheme="minorHAnsi" w:eastAsiaTheme="minorEastAsia" w:hAnsiTheme="minorHAnsi" w:cstheme="minorBidi"/>
          <w:szCs w:val="22"/>
        </w:rPr>
      </w:pPr>
      <w:r>
        <w:t>155.</w:t>
      </w:r>
      <w:r>
        <w:tab/>
        <w:t>Duty on train drivers</w:t>
      </w:r>
      <w:r>
        <w:tab/>
      </w:r>
      <w:r>
        <w:fldChar w:fldCharType="begin"/>
      </w:r>
      <w:r>
        <w:instrText xml:space="preserve"> PAGEREF _Toc194933051 \h </w:instrText>
      </w:r>
      <w:r>
        <w:fldChar w:fldCharType="separate"/>
      </w:r>
      <w:r>
        <w:t>100</w:t>
      </w:r>
      <w:r>
        <w:fldChar w:fldCharType="end"/>
      </w:r>
    </w:p>
    <w:p>
      <w:pPr>
        <w:pStyle w:val="TOC8"/>
        <w:rPr>
          <w:rFonts w:asciiTheme="minorHAnsi" w:eastAsiaTheme="minorEastAsia" w:hAnsiTheme="minorHAnsi" w:cstheme="minorBidi"/>
          <w:szCs w:val="22"/>
        </w:rPr>
      </w:pPr>
      <w:r>
        <w:t>156A.</w:t>
      </w:r>
      <w:r>
        <w:tab/>
        <w:t>Prime contractor’s duties: retention of documents</w:t>
      </w:r>
      <w:r>
        <w:tab/>
      </w:r>
      <w:r>
        <w:fldChar w:fldCharType="begin"/>
      </w:r>
      <w:r>
        <w:instrText xml:space="preserve"> PAGEREF _Toc194933052 \h </w:instrText>
      </w:r>
      <w:r>
        <w:fldChar w:fldCharType="separate"/>
      </w:r>
      <w:r>
        <w:t>100</w:t>
      </w:r>
      <w:r>
        <w:fldChar w:fldCharType="end"/>
      </w:r>
    </w:p>
    <w:p>
      <w:pPr>
        <w:pStyle w:val="TOC4"/>
        <w:tabs>
          <w:tab w:val="right" w:leader="dot" w:pos="7077"/>
        </w:tabs>
        <w:rPr>
          <w:rFonts w:asciiTheme="minorHAnsi" w:eastAsiaTheme="minorEastAsia" w:hAnsiTheme="minorHAnsi" w:cstheme="minorBidi"/>
          <w:b w:val="0"/>
          <w:szCs w:val="22"/>
        </w:rPr>
      </w:pPr>
      <w:r>
        <w:t>Division 2 — Emergency information</w:t>
      </w:r>
    </w:p>
    <w:p>
      <w:pPr>
        <w:pStyle w:val="TOC8"/>
        <w:rPr>
          <w:rFonts w:asciiTheme="minorHAnsi" w:eastAsiaTheme="minorEastAsia" w:hAnsiTheme="minorHAnsi" w:cstheme="minorBidi"/>
          <w:szCs w:val="22"/>
        </w:rPr>
      </w:pPr>
      <w:r>
        <w:t>156.</w:t>
      </w:r>
      <w:r>
        <w:tab/>
        <w:t>Term used: required emergency information</w:t>
      </w:r>
      <w:r>
        <w:tab/>
      </w:r>
      <w:r>
        <w:fldChar w:fldCharType="begin"/>
      </w:r>
      <w:r>
        <w:instrText xml:space="preserve"> PAGEREF _Toc194933054 \h </w:instrText>
      </w:r>
      <w:r>
        <w:fldChar w:fldCharType="separate"/>
      </w:r>
      <w:r>
        <w:t>101</w:t>
      </w:r>
      <w:r>
        <w:fldChar w:fldCharType="end"/>
      </w:r>
    </w:p>
    <w:p>
      <w:pPr>
        <w:pStyle w:val="TOC8"/>
        <w:rPr>
          <w:rFonts w:asciiTheme="minorHAnsi" w:eastAsiaTheme="minorEastAsia" w:hAnsiTheme="minorHAnsi" w:cstheme="minorBidi"/>
          <w:szCs w:val="22"/>
        </w:rPr>
      </w:pPr>
      <w:r>
        <w:t>157.</w:t>
      </w:r>
      <w:r>
        <w:tab/>
        <w:t>Duty on consignors</w:t>
      </w:r>
      <w:r>
        <w:tab/>
      </w:r>
      <w:r>
        <w:fldChar w:fldCharType="begin"/>
      </w:r>
      <w:r>
        <w:instrText xml:space="preserve"> PAGEREF _Toc194933055 \h </w:instrText>
      </w:r>
      <w:r>
        <w:fldChar w:fldCharType="separate"/>
      </w:r>
      <w:r>
        <w:t>101</w:t>
      </w:r>
      <w:r>
        <w:fldChar w:fldCharType="end"/>
      </w:r>
    </w:p>
    <w:p>
      <w:pPr>
        <w:pStyle w:val="TOC8"/>
        <w:rPr>
          <w:rFonts w:asciiTheme="minorHAnsi" w:eastAsiaTheme="minorEastAsia" w:hAnsiTheme="minorHAnsi" w:cstheme="minorBidi"/>
          <w:szCs w:val="22"/>
        </w:rPr>
      </w:pPr>
      <w:r>
        <w:t>158.</w:t>
      </w:r>
      <w:r>
        <w:tab/>
        <w:t>Duty on prime contractors</w:t>
      </w:r>
      <w:r>
        <w:tab/>
      </w:r>
      <w:r>
        <w:fldChar w:fldCharType="begin"/>
      </w:r>
      <w:r>
        <w:instrText xml:space="preserve"> PAGEREF _Toc194933056 \h </w:instrText>
      </w:r>
      <w:r>
        <w:fldChar w:fldCharType="separate"/>
      </w:r>
      <w:r>
        <w:t>101</w:t>
      </w:r>
      <w:r>
        <w:fldChar w:fldCharType="end"/>
      </w:r>
    </w:p>
    <w:p>
      <w:pPr>
        <w:pStyle w:val="TOC8"/>
        <w:rPr>
          <w:rFonts w:asciiTheme="minorHAnsi" w:eastAsiaTheme="minorEastAsia" w:hAnsiTheme="minorHAnsi" w:cstheme="minorBidi"/>
          <w:szCs w:val="22"/>
        </w:rPr>
      </w:pPr>
      <w:r>
        <w:t>159.</w:t>
      </w:r>
      <w:r>
        <w:tab/>
        <w:t>Duty on rail operators</w:t>
      </w:r>
      <w:r>
        <w:tab/>
      </w:r>
      <w:r>
        <w:fldChar w:fldCharType="begin"/>
      </w:r>
      <w:r>
        <w:instrText xml:space="preserve"> PAGEREF _Toc194933057 \h </w:instrText>
      </w:r>
      <w:r>
        <w:fldChar w:fldCharType="separate"/>
      </w:r>
      <w:r>
        <w:t>102</w:t>
      </w:r>
      <w:r>
        <w:fldChar w:fldCharType="end"/>
      </w:r>
    </w:p>
    <w:p>
      <w:pPr>
        <w:pStyle w:val="TOC8"/>
        <w:rPr>
          <w:rFonts w:asciiTheme="minorHAnsi" w:eastAsiaTheme="minorEastAsia" w:hAnsiTheme="minorHAnsi" w:cstheme="minorBidi"/>
          <w:szCs w:val="22"/>
        </w:rPr>
      </w:pPr>
      <w:r>
        <w:t>160.</w:t>
      </w:r>
      <w:r>
        <w:tab/>
        <w:t>Duty on drivers</w:t>
      </w:r>
      <w:r>
        <w:tab/>
      </w:r>
      <w:r>
        <w:fldChar w:fldCharType="begin"/>
      </w:r>
      <w:r>
        <w:instrText xml:space="preserve"> PAGEREF _Toc194933058 \h </w:instrText>
      </w:r>
      <w:r>
        <w:fldChar w:fldCharType="separate"/>
      </w:r>
      <w:r>
        <w:t>102</w:t>
      </w:r>
      <w:r>
        <w:fldChar w:fldCharType="end"/>
      </w:r>
    </w:p>
    <w:p>
      <w:pPr>
        <w:pStyle w:val="TOC8"/>
        <w:rPr>
          <w:rFonts w:asciiTheme="minorHAnsi" w:eastAsiaTheme="minorEastAsia" w:hAnsiTheme="minorHAnsi" w:cstheme="minorBidi"/>
          <w:szCs w:val="22"/>
        </w:rPr>
      </w:pPr>
      <w:r>
        <w:lastRenderedPageBreak/>
        <w:t>161.</w:t>
      </w:r>
      <w:r>
        <w:tab/>
        <w:t>Duty on train drivers</w:t>
      </w:r>
      <w:r>
        <w:tab/>
      </w:r>
      <w:r>
        <w:fldChar w:fldCharType="begin"/>
      </w:r>
      <w:r>
        <w:instrText xml:space="preserve"> PAGEREF _Toc194933059 \h </w:instrText>
      </w:r>
      <w:r>
        <w:fldChar w:fldCharType="separate"/>
      </w:r>
      <w:r>
        <w:t>103</w:t>
      </w:r>
      <w:r>
        <w:fldChar w:fldCharType="end"/>
      </w:r>
    </w:p>
    <w:p>
      <w:pPr>
        <w:pStyle w:val="TOC8"/>
        <w:rPr>
          <w:rFonts w:asciiTheme="minorHAnsi" w:eastAsiaTheme="minorEastAsia" w:hAnsiTheme="minorHAnsi" w:cstheme="minorBidi"/>
          <w:szCs w:val="22"/>
        </w:rPr>
      </w:pPr>
      <w:r>
        <w:t>162.</w:t>
      </w:r>
      <w:r>
        <w:tab/>
        <w:t>Approvals — emergency information</w:t>
      </w:r>
      <w:r>
        <w:tab/>
      </w:r>
      <w:r>
        <w:fldChar w:fldCharType="begin"/>
      </w:r>
      <w:r>
        <w:instrText xml:space="preserve"> PAGEREF _Toc194933060 \h </w:instrText>
      </w:r>
      <w:r>
        <w:fldChar w:fldCharType="separate"/>
      </w:r>
      <w:r>
        <w:t>103</w:t>
      </w:r>
      <w:r>
        <w:fldChar w:fldCharType="end"/>
      </w:r>
    </w:p>
    <w:p>
      <w:pPr>
        <w:pStyle w:val="TOC4"/>
        <w:tabs>
          <w:tab w:val="right" w:leader="dot" w:pos="7077"/>
        </w:tabs>
        <w:rPr>
          <w:rFonts w:asciiTheme="minorHAnsi" w:eastAsiaTheme="minorEastAsia" w:hAnsiTheme="minorHAnsi" w:cstheme="minorBidi"/>
          <w:b w:val="0"/>
          <w:szCs w:val="22"/>
        </w:rPr>
      </w:pPr>
      <w:r>
        <w:t>Division 3 — Dangerous goods packed in limited quantities</w:t>
      </w:r>
    </w:p>
    <w:p>
      <w:pPr>
        <w:pStyle w:val="TOC8"/>
        <w:rPr>
          <w:rFonts w:asciiTheme="minorHAnsi" w:eastAsiaTheme="minorEastAsia" w:hAnsiTheme="minorHAnsi" w:cstheme="minorBidi"/>
          <w:szCs w:val="22"/>
        </w:rPr>
      </w:pPr>
      <w:r>
        <w:t>162A.</w:t>
      </w:r>
      <w:r>
        <w:tab/>
        <w:t>Duty on consignors</w:t>
      </w:r>
      <w:r>
        <w:tab/>
      </w:r>
      <w:r>
        <w:fldChar w:fldCharType="begin"/>
      </w:r>
      <w:r>
        <w:instrText xml:space="preserve"> PAGEREF _Toc194933062 \h </w:instrText>
      </w:r>
      <w:r>
        <w:fldChar w:fldCharType="separate"/>
      </w:r>
      <w:r>
        <w:t>104</w:t>
      </w:r>
      <w:r>
        <w:fldChar w:fldCharType="end"/>
      </w:r>
    </w:p>
    <w:p>
      <w:pPr>
        <w:pStyle w:val="TOC8"/>
        <w:rPr>
          <w:rFonts w:asciiTheme="minorHAnsi" w:eastAsiaTheme="minorEastAsia" w:hAnsiTheme="minorHAnsi" w:cstheme="minorBidi"/>
          <w:szCs w:val="22"/>
        </w:rPr>
      </w:pPr>
      <w:r>
        <w:t>162B.</w:t>
      </w:r>
      <w:r>
        <w:tab/>
        <w:t>Duty on prime contractors</w:t>
      </w:r>
      <w:r>
        <w:tab/>
      </w:r>
      <w:r>
        <w:fldChar w:fldCharType="begin"/>
      </w:r>
      <w:r>
        <w:instrText xml:space="preserve"> PAGEREF _Toc194933063 \h </w:instrText>
      </w:r>
      <w:r>
        <w:fldChar w:fldCharType="separate"/>
      </w:r>
      <w:r>
        <w:t>104</w:t>
      </w:r>
      <w:r>
        <w:fldChar w:fldCharType="end"/>
      </w:r>
    </w:p>
    <w:p>
      <w:pPr>
        <w:pStyle w:val="TOC8"/>
        <w:rPr>
          <w:rFonts w:asciiTheme="minorHAnsi" w:eastAsiaTheme="minorEastAsia" w:hAnsiTheme="minorHAnsi" w:cstheme="minorBidi"/>
          <w:szCs w:val="22"/>
        </w:rPr>
      </w:pPr>
      <w:r>
        <w:t>162C.</w:t>
      </w:r>
      <w:r>
        <w:tab/>
        <w:t>False or misleading information</w:t>
      </w:r>
      <w:r>
        <w:tab/>
      </w:r>
      <w:r>
        <w:fldChar w:fldCharType="begin"/>
      </w:r>
      <w:r>
        <w:instrText xml:space="preserve"> PAGEREF _Toc194933064 \h </w:instrText>
      </w:r>
      <w:r>
        <w:fldChar w:fldCharType="separate"/>
      </w:r>
      <w:r>
        <w:t>104</w:t>
      </w:r>
      <w:r>
        <w:fldChar w:fldCharType="end"/>
      </w:r>
    </w:p>
    <w:p>
      <w:pPr>
        <w:pStyle w:val="TOC2"/>
        <w:tabs>
          <w:tab w:val="right" w:leader="dot" w:pos="7077"/>
        </w:tabs>
        <w:rPr>
          <w:rFonts w:asciiTheme="minorHAnsi" w:eastAsiaTheme="minorEastAsia" w:hAnsiTheme="minorHAnsi" w:cstheme="minorBidi"/>
          <w:b w:val="0"/>
          <w:sz w:val="22"/>
          <w:szCs w:val="22"/>
        </w:rPr>
      </w:pPr>
      <w:r>
        <w:t>Part 12 — Safety equipment</w:t>
      </w:r>
    </w:p>
    <w:p>
      <w:pPr>
        <w:pStyle w:val="TOC8"/>
        <w:rPr>
          <w:rFonts w:asciiTheme="minorHAnsi" w:eastAsiaTheme="minorEastAsia" w:hAnsiTheme="minorHAnsi" w:cstheme="minorBidi"/>
          <w:szCs w:val="22"/>
        </w:rPr>
      </w:pPr>
      <w:r>
        <w:t>163.</w:t>
      </w:r>
      <w:r>
        <w:tab/>
        <w:t>Duty on owners</w:t>
      </w:r>
      <w:r>
        <w:tab/>
      </w:r>
      <w:r>
        <w:fldChar w:fldCharType="begin"/>
      </w:r>
      <w:r>
        <w:instrText xml:space="preserve"> PAGEREF _Toc194933066 \h </w:instrText>
      </w:r>
      <w:r>
        <w:fldChar w:fldCharType="separate"/>
      </w:r>
      <w:r>
        <w:t>105</w:t>
      </w:r>
      <w:r>
        <w:fldChar w:fldCharType="end"/>
      </w:r>
    </w:p>
    <w:p>
      <w:pPr>
        <w:pStyle w:val="TOC8"/>
        <w:rPr>
          <w:rFonts w:asciiTheme="minorHAnsi" w:eastAsiaTheme="minorEastAsia" w:hAnsiTheme="minorHAnsi" w:cstheme="minorBidi"/>
          <w:szCs w:val="22"/>
        </w:rPr>
      </w:pPr>
      <w:r>
        <w:t>164.</w:t>
      </w:r>
      <w:r>
        <w:tab/>
        <w:t>Duty on prime contractors</w:t>
      </w:r>
      <w:r>
        <w:tab/>
      </w:r>
      <w:r>
        <w:fldChar w:fldCharType="begin"/>
      </w:r>
      <w:r>
        <w:instrText xml:space="preserve"> PAGEREF _Toc194933067 \h </w:instrText>
      </w:r>
      <w:r>
        <w:fldChar w:fldCharType="separate"/>
      </w:r>
      <w:r>
        <w:t>105</w:t>
      </w:r>
      <w:r>
        <w:fldChar w:fldCharType="end"/>
      </w:r>
    </w:p>
    <w:p>
      <w:pPr>
        <w:pStyle w:val="TOC8"/>
        <w:rPr>
          <w:rFonts w:asciiTheme="minorHAnsi" w:eastAsiaTheme="minorEastAsia" w:hAnsiTheme="minorHAnsi" w:cstheme="minorBidi"/>
          <w:szCs w:val="22"/>
        </w:rPr>
      </w:pPr>
      <w:r>
        <w:t>165.</w:t>
      </w:r>
      <w:r>
        <w:tab/>
        <w:t>Duty on drivers</w:t>
      </w:r>
      <w:r>
        <w:tab/>
      </w:r>
      <w:r>
        <w:fldChar w:fldCharType="begin"/>
      </w:r>
      <w:r>
        <w:instrText xml:space="preserve"> PAGEREF _Toc194933068 \h </w:instrText>
      </w:r>
      <w:r>
        <w:fldChar w:fldCharType="separate"/>
      </w:r>
      <w:r>
        <w:t>106</w:t>
      </w:r>
      <w:r>
        <w:fldChar w:fldCharType="end"/>
      </w:r>
    </w:p>
    <w:p>
      <w:pPr>
        <w:pStyle w:val="TOC2"/>
        <w:tabs>
          <w:tab w:val="right" w:leader="dot" w:pos="7077"/>
        </w:tabs>
        <w:rPr>
          <w:rFonts w:asciiTheme="minorHAnsi" w:eastAsiaTheme="minorEastAsia" w:hAnsiTheme="minorHAnsi" w:cstheme="minorBidi"/>
          <w:b w:val="0"/>
          <w:sz w:val="22"/>
          <w:szCs w:val="22"/>
        </w:rPr>
      </w:pPr>
      <w:r>
        <w:t>Part 13 — Procedures during transport</w:t>
      </w:r>
    </w:p>
    <w:p>
      <w:pPr>
        <w:pStyle w:val="TOC4"/>
        <w:tabs>
          <w:tab w:val="right" w:leader="dot" w:pos="7077"/>
        </w:tabs>
        <w:rPr>
          <w:rFonts w:asciiTheme="minorHAnsi" w:eastAsiaTheme="minorEastAsia" w:hAnsiTheme="minorHAnsi" w:cstheme="minorBidi"/>
          <w:b w:val="0"/>
          <w:szCs w:val="22"/>
        </w:rPr>
      </w:pPr>
      <w:r>
        <w:t>Division 1 — Immobilised and stopped vehicles</w:t>
      </w:r>
    </w:p>
    <w:p>
      <w:pPr>
        <w:pStyle w:val="TOC8"/>
        <w:rPr>
          <w:rFonts w:asciiTheme="minorHAnsi" w:eastAsiaTheme="minorEastAsia" w:hAnsiTheme="minorHAnsi" w:cstheme="minorBidi"/>
          <w:szCs w:val="22"/>
        </w:rPr>
      </w:pPr>
      <w:r>
        <w:t>166.</w:t>
      </w:r>
      <w:r>
        <w:tab/>
        <w:t>Duty on drivers</w:t>
      </w:r>
      <w:r>
        <w:tab/>
      </w:r>
      <w:r>
        <w:fldChar w:fldCharType="begin"/>
      </w:r>
      <w:r>
        <w:instrText xml:space="preserve"> PAGEREF _Toc194933071 \h </w:instrText>
      </w:r>
      <w:r>
        <w:fldChar w:fldCharType="separate"/>
      </w:r>
      <w:r>
        <w:t>108</w:t>
      </w:r>
      <w:r>
        <w:fldChar w:fldCharType="end"/>
      </w:r>
    </w:p>
    <w:p>
      <w:pPr>
        <w:pStyle w:val="TOC8"/>
        <w:rPr>
          <w:rFonts w:asciiTheme="minorHAnsi" w:eastAsiaTheme="minorEastAsia" w:hAnsiTheme="minorHAnsi" w:cstheme="minorBidi"/>
          <w:szCs w:val="22"/>
        </w:rPr>
      </w:pPr>
      <w:r>
        <w:t>167.</w:t>
      </w:r>
      <w:r>
        <w:tab/>
        <w:t>Duty on prime contractors</w:t>
      </w:r>
      <w:r>
        <w:tab/>
      </w:r>
      <w:r>
        <w:fldChar w:fldCharType="begin"/>
      </w:r>
      <w:r>
        <w:instrText xml:space="preserve"> PAGEREF _Toc194933072 \h </w:instrText>
      </w:r>
      <w:r>
        <w:fldChar w:fldCharType="separate"/>
      </w:r>
      <w:r>
        <w:t>109</w:t>
      </w:r>
      <w:r>
        <w:fldChar w:fldCharType="end"/>
      </w:r>
    </w:p>
    <w:p>
      <w:pPr>
        <w:pStyle w:val="TOC8"/>
        <w:rPr>
          <w:rFonts w:asciiTheme="minorHAnsi" w:eastAsiaTheme="minorEastAsia" w:hAnsiTheme="minorHAnsi" w:cstheme="minorBidi"/>
          <w:szCs w:val="22"/>
        </w:rPr>
      </w:pPr>
      <w:r>
        <w:t>168.</w:t>
      </w:r>
      <w:r>
        <w:tab/>
        <w:t>Duty on rail operators</w:t>
      </w:r>
      <w:r>
        <w:tab/>
      </w:r>
      <w:r>
        <w:fldChar w:fldCharType="begin"/>
      </w:r>
      <w:r>
        <w:instrText xml:space="preserve"> PAGEREF _Toc194933073 \h </w:instrText>
      </w:r>
      <w:r>
        <w:fldChar w:fldCharType="separate"/>
      </w:r>
      <w:r>
        <w:t>110</w:t>
      </w:r>
      <w:r>
        <w:fldChar w:fldCharType="end"/>
      </w:r>
    </w:p>
    <w:p>
      <w:pPr>
        <w:pStyle w:val="TOC4"/>
        <w:tabs>
          <w:tab w:val="right" w:leader="dot" w:pos="7077"/>
        </w:tabs>
        <w:rPr>
          <w:rFonts w:asciiTheme="minorHAnsi" w:eastAsiaTheme="minorEastAsia" w:hAnsiTheme="minorHAnsi" w:cstheme="minorBidi"/>
          <w:b w:val="0"/>
          <w:szCs w:val="22"/>
        </w:rPr>
      </w:pPr>
      <w:r>
        <w:t>Division 2 — General precautions: duties on drivers</w:t>
      </w:r>
    </w:p>
    <w:p>
      <w:pPr>
        <w:pStyle w:val="TOC8"/>
        <w:rPr>
          <w:rFonts w:asciiTheme="minorHAnsi" w:eastAsiaTheme="minorEastAsia" w:hAnsiTheme="minorHAnsi" w:cstheme="minorBidi"/>
          <w:szCs w:val="22"/>
        </w:rPr>
      </w:pPr>
      <w:r>
        <w:t>169.</w:t>
      </w:r>
      <w:r>
        <w:tab/>
        <w:t>Driving</w:t>
      </w:r>
      <w:r>
        <w:tab/>
      </w:r>
      <w:r>
        <w:fldChar w:fldCharType="begin"/>
      </w:r>
      <w:r>
        <w:instrText xml:space="preserve"> PAGEREF _Toc194933075 \h </w:instrText>
      </w:r>
      <w:r>
        <w:fldChar w:fldCharType="separate"/>
      </w:r>
      <w:r>
        <w:t>110</w:t>
      </w:r>
      <w:r>
        <w:fldChar w:fldCharType="end"/>
      </w:r>
    </w:p>
    <w:p>
      <w:pPr>
        <w:pStyle w:val="TOC8"/>
        <w:rPr>
          <w:rFonts w:asciiTheme="minorHAnsi" w:eastAsiaTheme="minorEastAsia" w:hAnsiTheme="minorHAnsi" w:cstheme="minorBidi"/>
          <w:szCs w:val="22"/>
        </w:rPr>
      </w:pPr>
      <w:r>
        <w:t>170.</w:t>
      </w:r>
      <w:r>
        <w:tab/>
        <w:t>Parking</w:t>
      </w:r>
      <w:r>
        <w:tab/>
      </w:r>
      <w:r>
        <w:fldChar w:fldCharType="begin"/>
      </w:r>
      <w:r>
        <w:instrText xml:space="preserve"> PAGEREF _Toc194933076 \h </w:instrText>
      </w:r>
      <w:r>
        <w:fldChar w:fldCharType="separate"/>
      </w:r>
      <w:r>
        <w:t>110</w:t>
      </w:r>
      <w:r>
        <w:fldChar w:fldCharType="end"/>
      </w:r>
    </w:p>
    <w:p>
      <w:pPr>
        <w:pStyle w:val="TOC8"/>
        <w:rPr>
          <w:rFonts w:asciiTheme="minorHAnsi" w:eastAsiaTheme="minorEastAsia" w:hAnsiTheme="minorHAnsi" w:cstheme="minorBidi"/>
          <w:szCs w:val="22"/>
        </w:rPr>
      </w:pPr>
      <w:r>
        <w:t>170A.</w:t>
      </w:r>
      <w:r>
        <w:tab/>
        <w:t>Temperature monitoring — ammonium nitrate explosion risk goods</w:t>
      </w:r>
      <w:r>
        <w:tab/>
      </w:r>
      <w:r>
        <w:fldChar w:fldCharType="begin"/>
      </w:r>
      <w:r>
        <w:instrText xml:space="preserve"> PAGEREF _Toc194933077 \h </w:instrText>
      </w:r>
      <w:r>
        <w:fldChar w:fldCharType="separate"/>
      </w:r>
      <w:r>
        <w:t>111</w:t>
      </w:r>
      <w:r>
        <w:fldChar w:fldCharType="end"/>
      </w:r>
    </w:p>
    <w:p>
      <w:pPr>
        <w:pStyle w:val="TOC8"/>
        <w:rPr>
          <w:rFonts w:asciiTheme="minorHAnsi" w:eastAsiaTheme="minorEastAsia" w:hAnsiTheme="minorHAnsi" w:cstheme="minorBidi"/>
          <w:szCs w:val="22"/>
        </w:rPr>
      </w:pPr>
      <w:r>
        <w:t>171.</w:t>
      </w:r>
      <w:r>
        <w:tab/>
        <w:t>Control of ignition sources</w:t>
      </w:r>
      <w:r>
        <w:tab/>
      </w:r>
      <w:r>
        <w:fldChar w:fldCharType="begin"/>
      </w:r>
      <w:r>
        <w:instrText xml:space="preserve"> PAGEREF _Toc194933078 \h </w:instrText>
      </w:r>
      <w:r>
        <w:fldChar w:fldCharType="separate"/>
      </w:r>
      <w:r>
        <w:t>112</w:t>
      </w:r>
      <w:r>
        <w:fldChar w:fldCharType="end"/>
      </w:r>
    </w:p>
    <w:p>
      <w:pPr>
        <w:pStyle w:val="TOC8"/>
        <w:rPr>
          <w:rFonts w:asciiTheme="minorHAnsi" w:eastAsiaTheme="minorEastAsia" w:hAnsiTheme="minorHAnsi" w:cstheme="minorBidi"/>
          <w:szCs w:val="22"/>
        </w:rPr>
      </w:pPr>
      <w:r>
        <w:rPr>
          <w:color w:val="000000"/>
        </w:rPr>
        <w:t>172.</w:t>
      </w:r>
      <w:r>
        <w:rPr>
          <w:color w:val="000000"/>
        </w:rPr>
        <w:tab/>
        <w:t>Unloading</w:t>
      </w:r>
      <w:r>
        <w:tab/>
      </w:r>
      <w:r>
        <w:fldChar w:fldCharType="begin"/>
      </w:r>
      <w:r>
        <w:instrText xml:space="preserve"> PAGEREF _Toc194933079 \h </w:instrText>
      </w:r>
      <w:r>
        <w:fldChar w:fldCharType="separate"/>
      </w:r>
      <w:r>
        <w:t>113</w:t>
      </w:r>
      <w:r>
        <w:fldChar w:fldCharType="end"/>
      </w:r>
    </w:p>
    <w:p>
      <w:pPr>
        <w:pStyle w:val="TOC8"/>
        <w:rPr>
          <w:rFonts w:asciiTheme="minorHAnsi" w:eastAsiaTheme="minorEastAsia" w:hAnsiTheme="minorHAnsi" w:cstheme="minorBidi"/>
          <w:szCs w:val="22"/>
        </w:rPr>
      </w:pPr>
      <w:r>
        <w:rPr>
          <w:color w:val="000000"/>
        </w:rPr>
        <w:t>173.</w:t>
      </w:r>
      <w:r>
        <w:rPr>
          <w:color w:val="000000"/>
        </w:rPr>
        <w:tab/>
        <w:t>Detaching trailer</w:t>
      </w:r>
      <w:r>
        <w:tab/>
      </w:r>
      <w:r>
        <w:fldChar w:fldCharType="begin"/>
      </w:r>
      <w:r>
        <w:instrText xml:space="preserve"> PAGEREF _Toc194933080 \h </w:instrText>
      </w:r>
      <w:r>
        <w:fldChar w:fldCharType="separate"/>
      </w:r>
      <w:r>
        <w:t>113</w:t>
      </w:r>
      <w:r>
        <w:fldChar w:fldCharType="end"/>
      </w:r>
    </w:p>
    <w:p>
      <w:pPr>
        <w:pStyle w:val="TOC8"/>
        <w:rPr>
          <w:rFonts w:asciiTheme="minorHAnsi" w:eastAsiaTheme="minorEastAsia" w:hAnsiTheme="minorHAnsi" w:cstheme="minorBidi"/>
          <w:szCs w:val="22"/>
        </w:rPr>
      </w:pPr>
      <w:r>
        <w:rPr>
          <w:color w:val="000000"/>
        </w:rPr>
        <w:t>174.</w:t>
      </w:r>
      <w:r>
        <w:rPr>
          <w:color w:val="000000"/>
        </w:rPr>
        <w:tab/>
        <w:t>Road tank vehicle equipped with burner</w:t>
      </w:r>
      <w:r>
        <w:tab/>
      </w:r>
      <w:r>
        <w:fldChar w:fldCharType="begin"/>
      </w:r>
      <w:r>
        <w:instrText xml:space="preserve"> PAGEREF _Toc194933081 \h </w:instrText>
      </w:r>
      <w:r>
        <w:fldChar w:fldCharType="separate"/>
      </w:r>
      <w:r>
        <w:t>113</w:t>
      </w:r>
      <w:r>
        <w:fldChar w:fldCharType="end"/>
      </w:r>
    </w:p>
    <w:p>
      <w:pPr>
        <w:pStyle w:val="TOC4"/>
        <w:tabs>
          <w:tab w:val="right" w:leader="dot" w:pos="7077"/>
        </w:tabs>
        <w:rPr>
          <w:rFonts w:asciiTheme="minorHAnsi" w:eastAsiaTheme="minorEastAsia" w:hAnsiTheme="minorHAnsi" w:cstheme="minorBidi"/>
          <w:b w:val="0"/>
          <w:szCs w:val="22"/>
        </w:rPr>
      </w:pPr>
      <w:r>
        <w:t>Division 3 — General precautions: duties on prime contractors</w:t>
      </w:r>
    </w:p>
    <w:p>
      <w:pPr>
        <w:pStyle w:val="TOC8"/>
        <w:rPr>
          <w:rFonts w:asciiTheme="minorHAnsi" w:eastAsiaTheme="minorEastAsia" w:hAnsiTheme="minorHAnsi" w:cstheme="minorBidi"/>
          <w:szCs w:val="22"/>
        </w:rPr>
      </w:pPr>
      <w:r>
        <w:t>174A.</w:t>
      </w:r>
      <w:r>
        <w:tab/>
        <w:t>Parking</w:t>
      </w:r>
      <w:r>
        <w:tab/>
      </w:r>
      <w:r>
        <w:fldChar w:fldCharType="begin"/>
      </w:r>
      <w:r>
        <w:instrText xml:space="preserve"> PAGEREF _Toc194933083 \h </w:instrText>
      </w:r>
      <w:r>
        <w:fldChar w:fldCharType="separate"/>
      </w:r>
      <w:r>
        <w:t>114</w:t>
      </w:r>
      <w:r>
        <w:fldChar w:fldCharType="end"/>
      </w:r>
    </w:p>
    <w:p>
      <w:pPr>
        <w:pStyle w:val="TOC8"/>
        <w:rPr>
          <w:rFonts w:asciiTheme="minorHAnsi" w:eastAsiaTheme="minorEastAsia" w:hAnsiTheme="minorHAnsi" w:cstheme="minorBidi"/>
          <w:szCs w:val="22"/>
        </w:rPr>
      </w:pPr>
      <w:r>
        <w:t>174B.</w:t>
      </w:r>
      <w:r>
        <w:tab/>
        <w:t>Unloading</w:t>
      </w:r>
      <w:r>
        <w:tab/>
      </w:r>
      <w:r>
        <w:fldChar w:fldCharType="begin"/>
      </w:r>
      <w:r>
        <w:instrText xml:space="preserve"> PAGEREF _Toc194933084 \h </w:instrText>
      </w:r>
      <w:r>
        <w:fldChar w:fldCharType="separate"/>
      </w:r>
      <w:r>
        <w:t>114</w:t>
      </w:r>
      <w:r>
        <w:fldChar w:fldCharType="end"/>
      </w:r>
    </w:p>
    <w:p>
      <w:pPr>
        <w:pStyle w:val="TOC8"/>
        <w:rPr>
          <w:rFonts w:asciiTheme="minorHAnsi" w:eastAsiaTheme="minorEastAsia" w:hAnsiTheme="minorHAnsi" w:cstheme="minorBidi"/>
          <w:szCs w:val="22"/>
        </w:rPr>
      </w:pPr>
      <w:r>
        <w:t>174C.</w:t>
      </w:r>
      <w:r>
        <w:tab/>
        <w:t>Detaching trailer</w:t>
      </w:r>
      <w:r>
        <w:tab/>
      </w:r>
      <w:r>
        <w:fldChar w:fldCharType="begin"/>
      </w:r>
      <w:r>
        <w:instrText xml:space="preserve"> PAGEREF _Toc194933085 \h </w:instrText>
      </w:r>
      <w:r>
        <w:fldChar w:fldCharType="separate"/>
      </w:r>
      <w:r>
        <w:t>114</w:t>
      </w:r>
      <w:r>
        <w:fldChar w:fldCharType="end"/>
      </w:r>
    </w:p>
    <w:p>
      <w:pPr>
        <w:pStyle w:val="TOC8"/>
        <w:rPr>
          <w:rFonts w:asciiTheme="minorHAnsi" w:eastAsiaTheme="minorEastAsia" w:hAnsiTheme="minorHAnsi" w:cstheme="minorBidi"/>
          <w:szCs w:val="22"/>
        </w:rPr>
      </w:pPr>
      <w:r>
        <w:t>174D.</w:t>
      </w:r>
      <w:r>
        <w:tab/>
      </w:r>
      <w:r>
        <w:rPr>
          <w:color w:val="000000"/>
        </w:rPr>
        <w:t>Road tank vehicle equipped with burner</w:t>
      </w:r>
      <w:r>
        <w:tab/>
      </w:r>
      <w:r>
        <w:fldChar w:fldCharType="begin"/>
      </w:r>
      <w:r>
        <w:instrText xml:space="preserve"> PAGEREF _Toc194933086 \h </w:instrText>
      </w:r>
      <w:r>
        <w:fldChar w:fldCharType="separate"/>
      </w:r>
      <w:r>
        <w:t>115</w:t>
      </w:r>
      <w:r>
        <w:fldChar w:fldCharType="end"/>
      </w:r>
    </w:p>
    <w:p>
      <w:pPr>
        <w:pStyle w:val="TOC2"/>
        <w:tabs>
          <w:tab w:val="right" w:leader="dot" w:pos="7077"/>
        </w:tabs>
        <w:rPr>
          <w:rFonts w:asciiTheme="minorHAnsi" w:eastAsiaTheme="minorEastAsia" w:hAnsiTheme="minorHAnsi" w:cstheme="minorBidi"/>
          <w:b w:val="0"/>
          <w:sz w:val="22"/>
          <w:szCs w:val="22"/>
        </w:rPr>
      </w:pPr>
      <w:r>
        <w:t>Part 14 — Emergencies</w:t>
      </w:r>
    </w:p>
    <w:p>
      <w:pPr>
        <w:pStyle w:val="TOC4"/>
        <w:tabs>
          <w:tab w:val="right" w:leader="dot" w:pos="7077"/>
        </w:tabs>
        <w:rPr>
          <w:rFonts w:asciiTheme="minorHAnsi" w:eastAsiaTheme="minorEastAsia" w:hAnsiTheme="minorHAnsi" w:cstheme="minorBidi"/>
          <w:b w:val="0"/>
          <w:szCs w:val="22"/>
        </w:rPr>
      </w:pPr>
      <w:r>
        <w:t>Division 1 — Emergencies generally</w:t>
      </w:r>
    </w:p>
    <w:p>
      <w:pPr>
        <w:pStyle w:val="TOC8"/>
        <w:rPr>
          <w:rFonts w:asciiTheme="minorHAnsi" w:eastAsiaTheme="minorEastAsia" w:hAnsiTheme="minorHAnsi" w:cstheme="minorBidi"/>
          <w:szCs w:val="22"/>
        </w:rPr>
      </w:pPr>
      <w:r>
        <w:t>175.</w:t>
      </w:r>
      <w:r>
        <w:tab/>
        <w:t>Duty on drivers</w:t>
      </w:r>
      <w:r>
        <w:tab/>
      </w:r>
      <w:r>
        <w:fldChar w:fldCharType="begin"/>
      </w:r>
      <w:r>
        <w:instrText xml:space="preserve"> PAGEREF _Toc194933089 \h </w:instrText>
      </w:r>
      <w:r>
        <w:fldChar w:fldCharType="separate"/>
      </w:r>
      <w:r>
        <w:t>116</w:t>
      </w:r>
      <w:r>
        <w:fldChar w:fldCharType="end"/>
      </w:r>
    </w:p>
    <w:p>
      <w:pPr>
        <w:pStyle w:val="TOC8"/>
        <w:rPr>
          <w:rFonts w:asciiTheme="minorHAnsi" w:eastAsiaTheme="minorEastAsia" w:hAnsiTheme="minorHAnsi" w:cstheme="minorBidi"/>
          <w:szCs w:val="22"/>
        </w:rPr>
      </w:pPr>
      <w:r>
        <w:lastRenderedPageBreak/>
        <w:t>176.</w:t>
      </w:r>
      <w:r>
        <w:tab/>
        <w:t>Duty on train drivers and rail operators</w:t>
      </w:r>
      <w:r>
        <w:tab/>
      </w:r>
      <w:r>
        <w:fldChar w:fldCharType="begin"/>
      </w:r>
      <w:r>
        <w:instrText xml:space="preserve"> PAGEREF _Toc194933090 \h </w:instrText>
      </w:r>
      <w:r>
        <w:fldChar w:fldCharType="separate"/>
      </w:r>
      <w:r>
        <w:t>116</w:t>
      </w:r>
      <w:r>
        <w:fldChar w:fldCharType="end"/>
      </w:r>
    </w:p>
    <w:p>
      <w:pPr>
        <w:pStyle w:val="TOC8"/>
        <w:rPr>
          <w:rFonts w:asciiTheme="minorHAnsi" w:eastAsiaTheme="minorEastAsia" w:hAnsiTheme="minorHAnsi" w:cstheme="minorBidi"/>
          <w:szCs w:val="22"/>
        </w:rPr>
      </w:pPr>
      <w:r>
        <w:t>177.</w:t>
      </w:r>
      <w:r>
        <w:tab/>
        <w:t>Duty on prime contractors and rail operators — food or food packaging</w:t>
      </w:r>
      <w:r>
        <w:tab/>
      </w:r>
      <w:r>
        <w:fldChar w:fldCharType="begin"/>
      </w:r>
      <w:r>
        <w:instrText xml:space="preserve"> PAGEREF _Toc194933091 \h </w:instrText>
      </w:r>
      <w:r>
        <w:fldChar w:fldCharType="separate"/>
      </w:r>
      <w:r>
        <w:t>117</w:t>
      </w:r>
      <w:r>
        <w:fldChar w:fldCharType="end"/>
      </w:r>
    </w:p>
    <w:p>
      <w:pPr>
        <w:pStyle w:val="TOC8"/>
        <w:rPr>
          <w:rFonts w:asciiTheme="minorHAnsi" w:eastAsiaTheme="minorEastAsia" w:hAnsiTheme="minorHAnsi" w:cstheme="minorBidi"/>
          <w:szCs w:val="22"/>
        </w:rPr>
      </w:pPr>
      <w:r>
        <w:t>178.</w:t>
      </w:r>
      <w:r>
        <w:tab/>
        <w:t>Prime contractors, rail operators and drivers to inform Chief Officer</w:t>
      </w:r>
      <w:r>
        <w:tab/>
      </w:r>
      <w:r>
        <w:fldChar w:fldCharType="begin"/>
      </w:r>
      <w:r>
        <w:instrText xml:space="preserve"> PAGEREF _Toc194933092 \h </w:instrText>
      </w:r>
      <w:r>
        <w:fldChar w:fldCharType="separate"/>
      </w:r>
      <w:r>
        <w:t>118</w:t>
      </w:r>
      <w:r>
        <w:fldChar w:fldCharType="end"/>
      </w:r>
    </w:p>
    <w:p>
      <w:pPr>
        <w:pStyle w:val="TOC4"/>
        <w:tabs>
          <w:tab w:val="right" w:leader="dot" w:pos="7077"/>
        </w:tabs>
        <w:rPr>
          <w:rFonts w:asciiTheme="minorHAnsi" w:eastAsiaTheme="minorEastAsia" w:hAnsiTheme="minorHAnsi" w:cstheme="minorBidi"/>
          <w:b w:val="0"/>
          <w:szCs w:val="22"/>
        </w:rPr>
      </w:pPr>
      <w:r>
        <w:t>Division 2 — Emergencies involving placard loads</w:t>
      </w:r>
    </w:p>
    <w:p>
      <w:pPr>
        <w:pStyle w:val="TOC8"/>
        <w:rPr>
          <w:rFonts w:asciiTheme="minorHAnsi" w:eastAsiaTheme="minorEastAsia" w:hAnsiTheme="minorHAnsi" w:cstheme="minorBidi"/>
          <w:szCs w:val="22"/>
        </w:rPr>
      </w:pPr>
      <w:r>
        <w:t>179.</w:t>
      </w:r>
      <w:r>
        <w:tab/>
        <w:t>Telephone advisory service</w:t>
      </w:r>
      <w:r>
        <w:tab/>
      </w:r>
      <w:r>
        <w:fldChar w:fldCharType="begin"/>
      </w:r>
      <w:r>
        <w:instrText xml:space="preserve"> PAGEREF _Toc194933094 \h </w:instrText>
      </w:r>
      <w:r>
        <w:fldChar w:fldCharType="separate"/>
      </w:r>
      <w:r>
        <w:t>119</w:t>
      </w:r>
      <w:r>
        <w:fldChar w:fldCharType="end"/>
      </w:r>
    </w:p>
    <w:p>
      <w:pPr>
        <w:pStyle w:val="TOC8"/>
        <w:rPr>
          <w:rFonts w:asciiTheme="minorHAnsi" w:eastAsiaTheme="minorEastAsia" w:hAnsiTheme="minorHAnsi" w:cstheme="minorBidi"/>
          <w:szCs w:val="22"/>
        </w:rPr>
      </w:pPr>
      <w:r>
        <w:t>180.</w:t>
      </w:r>
      <w:r>
        <w:tab/>
        <w:t>Emergency plans</w:t>
      </w:r>
      <w:r>
        <w:tab/>
      </w:r>
      <w:r>
        <w:fldChar w:fldCharType="begin"/>
      </w:r>
      <w:r>
        <w:instrText xml:space="preserve"> PAGEREF _Toc194933095 \h </w:instrText>
      </w:r>
      <w:r>
        <w:fldChar w:fldCharType="separate"/>
      </w:r>
      <w:r>
        <w:t>120</w:t>
      </w:r>
      <w:r>
        <w:fldChar w:fldCharType="end"/>
      </w:r>
    </w:p>
    <w:p>
      <w:pPr>
        <w:pStyle w:val="TOC8"/>
        <w:rPr>
          <w:rFonts w:asciiTheme="minorHAnsi" w:eastAsiaTheme="minorEastAsia" w:hAnsiTheme="minorHAnsi" w:cstheme="minorBidi"/>
          <w:szCs w:val="22"/>
        </w:rPr>
      </w:pPr>
      <w:r>
        <w:t>181.</w:t>
      </w:r>
      <w:r>
        <w:tab/>
        <w:t>Duty on consignors — information</w:t>
      </w:r>
      <w:r>
        <w:tab/>
      </w:r>
      <w:r>
        <w:fldChar w:fldCharType="begin"/>
      </w:r>
      <w:r>
        <w:instrText xml:space="preserve"> PAGEREF _Toc194933096 \h </w:instrText>
      </w:r>
      <w:r>
        <w:fldChar w:fldCharType="separate"/>
      </w:r>
      <w:r>
        <w:t>121</w:t>
      </w:r>
      <w:r>
        <w:fldChar w:fldCharType="end"/>
      </w:r>
    </w:p>
    <w:p>
      <w:pPr>
        <w:pStyle w:val="TOC8"/>
        <w:rPr>
          <w:rFonts w:asciiTheme="minorHAnsi" w:eastAsiaTheme="minorEastAsia" w:hAnsiTheme="minorHAnsi" w:cstheme="minorBidi"/>
          <w:szCs w:val="22"/>
        </w:rPr>
      </w:pPr>
      <w:r>
        <w:t>182.</w:t>
      </w:r>
      <w:r>
        <w:tab/>
        <w:t>Duty on prime contractors and rail operators — information</w:t>
      </w:r>
      <w:r>
        <w:tab/>
      </w:r>
      <w:r>
        <w:fldChar w:fldCharType="begin"/>
      </w:r>
      <w:r>
        <w:instrText xml:space="preserve"> PAGEREF _Toc194933097 \h </w:instrText>
      </w:r>
      <w:r>
        <w:fldChar w:fldCharType="separate"/>
      </w:r>
      <w:r>
        <w:t>122</w:t>
      </w:r>
      <w:r>
        <w:fldChar w:fldCharType="end"/>
      </w:r>
    </w:p>
    <w:p>
      <w:pPr>
        <w:pStyle w:val="TOC4"/>
        <w:tabs>
          <w:tab w:val="right" w:leader="dot" w:pos="7077"/>
        </w:tabs>
        <w:rPr>
          <w:rFonts w:asciiTheme="minorHAnsi" w:eastAsiaTheme="minorEastAsia" w:hAnsiTheme="minorHAnsi" w:cstheme="minorBidi"/>
          <w:b w:val="0"/>
          <w:szCs w:val="22"/>
        </w:rPr>
      </w:pPr>
      <w:r>
        <w:t>Division 3 — Dealing with emergencies involving placard loads</w:t>
      </w:r>
    </w:p>
    <w:p>
      <w:pPr>
        <w:pStyle w:val="TOC8"/>
        <w:rPr>
          <w:rFonts w:asciiTheme="minorHAnsi" w:eastAsiaTheme="minorEastAsia" w:hAnsiTheme="minorHAnsi" w:cstheme="minorBidi"/>
          <w:szCs w:val="22"/>
        </w:rPr>
      </w:pPr>
      <w:r>
        <w:t>183.</w:t>
      </w:r>
      <w:r>
        <w:tab/>
        <w:t>Terms used</w:t>
      </w:r>
      <w:r>
        <w:tab/>
      </w:r>
      <w:r>
        <w:fldChar w:fldCharType="begin"/>
      </w:r>
      <w:r>
        <w:instrText xml:space="preserve"> PAGEREF _Toc194933099 \h </w:instrText>
      </w:r>
      <w:r>
        <w:fldChar w:fldCharType="separate"/>
      </w:r>
      <w:r>
        <w:t>122</w:t>
      </w:r>
      <w:r>
        <w:fldChar w:fldCharType="end"/>
      </w:r>
    </w:p>
    <w:p>
      <w:pPr>
        <w:pStyle w:val="TOC8"/>
        <w:rPr>
          <w:rFonts w:asciiTheme="minorHAnsi" w:eastAsiaTheme="minorEastAsia" w:hAnsiTheme="minorHAnsi" w:cstheme="minorBidi"/>
          <w:szCs w:val="22"/>
        </w:rPr>
      </w:pPr>
      <w:r>
        <w:t>184.</w:t>
      </w:r>
      <w:r>
        <w:tab/>
        <w:t>Approvals — responders to emergencies</w:t>
      </w:r>
      <w:r>
        <w:tab/>
      </w:r>
      <w:r>
        <w:fldChar w:fldCharType="begin"/>
      </w:r>
      <w:r>
        <w:instrText xml:space="preserve"> PAGEREF _Toc194933100 \h </w:instrText>
      </w:r>
      <w:r>
        <w:fldChar w:fldCharType="separate"/>
      </w:r>
      <w:r>
        <w:t>123</w:t>
      </w:r>
      <w:r>
        <w:fldChar w:fldCharType="end"/>
      </w:r>
    </w:p>
    <w:p>
      <w:pPr>
        <w:pStyle w:val="TOC8"/>
        <w:rPr>
          <w:rFonts w:asciiTheme="minorHAnsi" w:eastAsiaTheme="minorEastAsia" w:hAnsiTheme="minorHAnsi" w:cstheme="minorBidi"/>
          <w:szCs w:val="22"/>
        </w:rPr>
      </w:pPr>
      <w:r>
        <w:t>185.</w:t>
      </w:r>
      <w:r>
        <w:tab/>
        <w:t>Duties as to ensure adequate resources available to deal with emergencies</w:t>
      </w:r>
      <w:r>
        <w:tab/>
      </w:r>
      <w:r>
        <w:fldChar w:fldCharType="begin"/>
      </w:r>
      <w:r>
        <w:instrText xml:space="preserve"> PAGEREF _Toc194933101 \h </w:instrText>
      </w:r>
      <w:r>
        <w:fldChar w:fldCharType="separate"/>
      </w:r>
      <w:r>
        <w:t>123</w:t>
      </w:r>
      <w:r>
        <w:fldChar w:fldCharType="end"/>
      </w:r>
    </w:p>
    <w:p>
      <w:pPr>
        <w:pStyle w:val="TOC8"/>
        <w:rPr>
          <w:rFonts w:asciiTheme="minorHAnsi" w:eastAsiaTheme="minorEastAsia" w:hAnsiTheme="minorHAnsi" w:cstheme="minorBidi"/>
          <w:szCs w:val="22"/>
        </w:rPr>
      </w:pPr>
      <w:r>
        <w:t>186.</w:t>
      </w:r>
      <w:r>
        <w:tab/>
        <w:t>Duties to provide resources to deal with emergency</w:t>
      </w:r>
      <w:r>
        <w:tab/>
      </w:r>
      <w:r>
        <w:fldChar w:fldCharType="begin"/>
      </w:r>
      <w:r>
        <w:instrText xml:space="preserve"> PAGEREF _Toc194933102 \h </w:instrText>
      </w:r>
      <w:r>
        <w:fldChar w:fldCharType="separate"/>
      </w:r>
      <w:r>
        <w:t>124</w:t>
      </w:r>
      <w:r>
        <w:fldChar w:fldCharType="end"/>
      </w:r>
    </w:p>
    <w:p>
      <w:pPr>
        <w:pStyle w:val="TOC2"/>
        <w:tabs>
          <w:tab w:val="right" w:leader="dot" w:pos="7077"/>
        </w:tabs>
        <w:rPr>
          <w:rFonts w:asciiTheme="minorHAnsi" w:eastAsiaTheme="minorEastAsia" w:hAnsiTheme="minorHAnsi" w:cstheme="minorBidi"/>
          <w:b w:val="0"/>
          <w:sz w:val="22"/>
          <w:szCs w:val="22"/>
        </w:rPr>
      </w:pPr>
      <w:r>
        <w:t>Part 15 — Exemption</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187.</w:t>
      </w:r>
      <w:r>
        <w:tab/>
        <w:t>Register of corresponding exemptions</w:t>
      </w:r>
      <w:r>
        <w:tab/>
      </w:r>
      <w:r>
        <w:fldChar w:fldCharType="begin"/>
      </w:r>
      <w:r>
        <w:instrText xml:space="preserve"> PAGEREF _Toc194933105 \h </w:instrText>
      </w:r>
      <w:r>
        <w:fldChar w:fldCharType="separate"/>
      </w:r>
      <w:r>
        <w:t>126</w:t>
      </w:r>
      <w:r>
        <w:fldChar w:fldCharType="end"/>
      </w:r>
    </w:p>
    <w:p>
      <w:pPr>
        <w:pStyle w:val="TOC8"/>
        <w:rPr>
          <w:rFonts w:asciiTheme="minorHAnsi" w:eastAsiaTheme="minorEastAsia" w:hAnsiTheme="minorHAnsi" w:cstheme="minorBidi"/>
          <w:szCs w:val="22"/>
        </w:rPr>
      </w:pPr>
      <w:r>
        <w:t>188.</w:t>
      </w:r>
      <w:r>
        <w:tab/>
        <w:t>Records of corresponding exemptions</w:t>
      </w:r>
      <w:r>
        <w:tab/>
      </w:r>
      <w:r>
        <w:fldChar w:fldCharType="begin"/>
      </w:r>
      <w:r>
        <w:instrText xml:space="preserve"> PAGEREF _Toc194933106 \h </w:instrText>
      </w:r>
      <w:r>
        <w:fldChar w:fldCharType="separate"/>
      </w:r>
      <w:r>
        <w:t>126</w:t>
      </w:r>
      <w:r>
        <w:fldChar w:fldCharType="end"/>
      </w:r>
    </w:p>
    <w:p>
      <w:pPr>
        <w:pStyle w:val="TOC4"/>
        <w:tabs>
          <w:tab w:val="right" w:leader="dot" w:pos="7077"/>
        </w:tabs>
        <w:rPr>
          <w:rFonts w:asciiTheme="minorHAnsi" w:eastAsiaTheme="minorEastAsia" w:hAnsiTheme="minorHAnsi" w:cstheme="minorBidi"/>
          <w:b w:val="0"/>
          <w:szCs w:val="22"/>
        </w:rPr>
      </w:pPr>
      <w:r>
        <w:t>Division 2 — References of matters to CAP</w:t>
      </w:r>
    </w:p>
    <w:p>
      <w:pPr>
        <w:pStyle w:val="TOC8"/>
        <w:rPr>
          <w:rFonts w:asciiTheme="minorHAnsi" w:eastAsiaTheme="minorEastAsia" w:hAnsiTheme="minorHAnsi" w:cstheme="minorBidi"/>
          <w:szCs w:val="22"/>
        </w:rPr>
      </w:pPr>
      <w:r>
        <w:t>189.</w:t>
      </w:r>
      <w:r>
        <w:tab/>
        <w:t>Term used: exemption</w:t>
      </w:r>
      <w:r>
        <w:tab/>
      </w:r>
      <w:r>
        <w:fldChar w:fldCharType="begin"/>
      </w:r>
      <w:r>
        <w:instrText xml:space="preserve"> PAGEREF _Toc194933108 \h </w:instrText>
      </w:r>
      <w:r>
        <w:fldChar w:fldCharType="separate"/>
      </w:r>
      <w:r>
        <w:t>127</w:t>
      </w:r>
      <w:r>
        <w:fldChar w:fldCharType="end"/>
      </w:r>
    </w:p>
    <w:p>
      <w:pPr>
        <w:pStyle w:val="TOC8"/>
        <w:rPr>
          <w:rFonts w:asciiTheme="minorHAnsi" w:eastAsiaTheme="minorEastAsia" w:hAnsiTheme="minorHAnsi" w:cstheme="minorBidi"/>
          <w:szCs w:val="22"/>
        </w:rPr>
      </w:pPr>
      <w:r>
        <w:t>190.</w:t>
      </w:r>
      <w:r>
        <w:tab/>
        <w:t>References to CAP</w:t>
      </w:r>
      <w:r>
        <w:tab/>
      </w:r>
      <w:r>
        <w:fldChar w:fldCharType="begin"/>
      </w:r>
      <w:r>
        <w:instrText xml:space="preserve"> PAGEREF _Toc194933109 \h </w:instrText>
      </w:r>
      <w:r>
        <w:fldChar w:fldCharType="separate"/>
      </w:r>
      <w:r>
        <w:t>127</w:t>
      </w:r>
      <w:r>
        <w:fldChar w:fldCharType="end"/>
      </w:r>
    </w:p>
    <w:p>
      <w:pPr>
        <w:pStyle w:val="TOC8"/>
        <w:rPr>
          <w:rFonts w:asciiTheme="minorHAnsi" w:eastAsiaTheme="minorEastAsia" w:hAnsiTheme="minorHAnsi" w:cstheme="minorBidi"/>
          <w:szCs w:val="22"/>
        </w:rPr>
      </w:pPr>
      <w:r>
        <w:t>191.</w:t>
      </w:r>
      <w:r>
        <w:tab/>
        <w:t>Effect of CAP decisions about exemptions</w:t>
      </w:r>
      <w:r>
        <w:tab/>
      </w:r>
      <w:r>
        <w:fldChar w:fldCharType="begin"/>
      </w:r>
      <w:r>
        <w:instrText xml:space="preserve"> PAGEREF _Toc194933110 \h </w:instrText>
      </w:r>
      <w:r>
        <w:fldChar w:fldCharType="separate"/>
      </w:r>
      <w:r>
        <w:t>128</w:t>
      </w:r>
      <w:r>
        <w:fldChar w:fldCharType="end"/>
      </w:r>
    </w:p>
    <w:p>
      <w:pPr>
        <w:pStyle w:val="TOC8"/>
        <w:rPr>
          <w:rFonts w:asciiTheme="minorHAnsi" w:eastAsiaTheme="minorEastAsia" w:hAnsiTheme="minorHAnsi" w:cstheme="minorBidi"/>
          <w:szCs w:val="22"/>
        </w:rPr>
      </w:pPr>
      <w:r>
        <w:t>192.</w:t>
      </w:r>
      <w:r>
        <w:tab/>
        <w:t>Effect of CAP decisions about cancelling or varying exemptions</w:t>
      </w:r>
      <w:r>
        <w:tab/>
      </w:r>
      <w:r>
        <w:fldChar w:fldCharType="begin"/>
      </w:r>
      <w:r>
        <w:instrText xml:space="preserve"> PAGEREF _Toc194933111 \h </w:instrText>
      </w:r>
      <w:r>
        <w:fldChar w:fldCharType="separate"/>
      </w:r>
      <w:r>
        <w:t>128</w:t>
      </w:r>
      <w:r>
        <w:fldChar w:fldCharType="end"/>
      </w:r>
    </w:p>
    <w:p>
      <w:pPr>
        <w:pStyle w:val="TOC2"/>
        <w:tabs>
          <w:tab w:val="right" w:leader="dot" w:pos="7077"/>
        </w:tabs>
        <w:rPr>
          <w:rFonts w:asciiTheme="minorHAnsi" w:eastAsiaTheme="minorEastAsia" w:hAnsiTheme="minorHAnsi" w:cstheme="minorBidi"/>
          <w:b w:val="0"/>
          <w:sz w:val="22"/>
          <w:szCs w:val="22"/>
        </w:rPr>
      </w:pPr>
      <w:r>
        <w:t>Part 16 — Approvals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193.</w:t>
      </w:r>
      <w:r>
        <w:tab/>
        <w:t>Term used: approval</w:t>
      </w:r>
      <w:r>
        <w:tab/>
      </w:r>
      <w:r>
        <w:fldChar w:fldCharType="begin"/>
      </w:r>
      <w:r>
        <w:instrText xml:space="preserve"> PAGEREF _Toc194933114 \h </w:instrText>
      </w:r>
      <w:r>
        <w:fldChar w:fldCharType="separate"/>
      </w:r>
      <w:r>
        <w:t>129</w:t>
      </w:r>
      <w:r>
        <w:fldChar w:fldCharType="end"/>
      </w:r>
    </w:p>
    <w:p>
      <w:pPr>
        <w:pStyle w:val="TOC8"/>
        <w:rPr>
          <w:rFonts w:asciiTheme="minorHAnsi" w:eastAsiaTheme="minorEastAsia" w:hAnsiTheme="minorHAnsi" w:cstheme="minorBidi"/>
          <w:szCs w:val="22"/>
        </w:rPr>
      </w:pPr>
      <w:r>
        <w:t>194.</w:t>
      </w:r>
      <w:r>
        <w:tab/>
        <w:t>Applications</w:t>
      </w:r>
      <w:r>
        <w:tab/>
      </w:r>
      <w:r>
        <w:fldChar w:fldCharType="begin"/>
      </w:r>
      <w:r>
        <w:instrText xml:space="preserve"> PAGEREF _Toc194933115 \h </w:instrText>
      </w:r>
      <w:r>
        <w:fldChar w:fldCharType="separate"/>
      </w:r>
      <w:r>
        <w:t>129</w:t>
      </w:r>
      <w:r>
        <w:fldChar w:fldCharType="end"/>
      </w:r>
    </w:p>
    <w:p>
      <w:pPr>
        <w:pStyle w:val="TOC8"/>
        <w:rPr>
          <w:rFonts w:asciiTheme="minorHAnsi" w:eastAsiaTheme="minorEastAsia" w:hAnsiTheme="minorHAnsi" w:cstheme="minorBidi"/>
          <w:szCs w:val="22"/>
        </w:rPr>
      </w:pPr>
      <w:r>
        <w:t>195.</w:t>
      </w:r>
      <w:r>
        <w:tab/>
        <w:t>Form of approvals</w:t>
      </w:r>
      <w:r>
        <w:tab/>
      </w:r>
      <w:r>
        <w:fldChar w:fldCharType="begin"/>
      </w:r>
      <w:r>
        <w:instrText xml:space="preserve"> PAGEREF _Toc194933116 \h </w:instrText>
      </w:r>
      <w:r>
        <w:fldChar w:fldCharType="separate"/>
      </w:r>
      <w:r>
        <w:t>129</w:t>
      </w:r>
      <w:r>
        <w:fldChar w:fldCharType="end"/>
      </w:r>
    </w:p>
    <w:p>
      <w:pPr>
        <w:pStyle w:val="TOC8"/>
        <w:rPr>
          <w:rFonts w:asciiTheme="minorHAnsi" w:eastAsiaTheme="minorEastAsia" w:hAnsiTheme="minorHAnsi" w:cstheme="minorBidi"/>
          <w:szCs w:val="22"/>
        </w:rPr>
      </w:pPr>
      <w:r>
        <w:t>196.</w:t>
      </w:r>
      <w:r>
        <w:tab/>
        <w:t>When approvals not to be made</w:t>
      </w:r>
      <w:r>
        <w:tab/>
      </w:r>
      <w:r>
        <w:fldChar w:fldCharType="begin"/>
      </w:r>
      <w:r>
        <w:instrText xml:space="preserve"> PAGEREF _Toc194933117 \h </w:instrText>
      </w:r>
      <w:r>
        <w:fldChar w:fldCharType="separate"/>
      </w:r>
      <w:r>
        <w:t>130</w:t>
      </w:r>
      <w:r>
        <w:fldChar w:fldCharType="end"/>
      </w:r>
    </w:p>
    <w:p>
      <w:pPr>
        <w:pStyle w:val="TOC8"/>
        <w:rPr>
          <w:rFonts w:asciiTheme="minorHAnsi" w:eastAsiaTheme="minorEastAsia" w:hAnsiTheme="minorHAnsi" w:cstheme="minorBidi"/>
          <w:szCs w:val="22"/>
        </w:rPr>
      </w:pPr>
      <w:r>
        <w:t>197.</w:t>
      </w:r>
      <w:r>
        <w:tab/>
        <w:t>Reasons for refusal of applications</w:t>
      </w:r>
      <w:r>
        <w:tab/>
      </w:r>
      <w:r>
        <w:fldChar w:fldCharType="begin"/>
      </w:r>
      <w:r>
        <w:instrText xml:space="preserve"> PAGEREF _Toc194933118 \h </w:instrText>
      </w:r>
      <w:r>
        <w:fldChar w:fldCharType="separate"/>
      </w:r>
      <w:r>
        <w:t>130</w:t>
      </w:r>
      <w:r>
        <w:fldChar w:fldCharType="end"/>
      </w:r>
    </w:p>
    <w:p>
      <w:pPr>
        <w:pStyle w:val="TOC8"/>
        <w:rPr>
          <w:rFonts w:asciiTheme="minorHAnsi" w:eastAsiaTheme="minorEastAsia" w:hAnsiTheme="minorHAnsi" w:cstheme="minorBidi"/>
          <w:szCs w:val="22"/>
        </w:rPr>
      </w:pPr>
      <w:r>
        <w:t>198.</w:t>
      </w:r>
      <w:r>
        <w:tab/>
        <w:t>Periods and conditions</w:t>
      </w:r>
      <w:r>
        <w:tab/>
      </w:r>
      <w:r>
        <w:fldChar w:fldCharType="begin"/>
      </w:r>
      <w:r>
        <w:instrText xml:space="preserve"> PAGEREF _Toc194933119 \h </w:instrText>
      </w:r>
      <w:r>
        <w:fldChar w:fldCharType="separate"/>
      </w:r>
      <w:r>
        <w:t>130</w:t>
      </w:r>
      <w:r>
        <w:fldChar w:fldCharType="end"/>
      </w:r>
    </w:p>
    <w:p>
      <w:pPr>
        <w:pStyle w:val="TOC8"/>
        <w:rPr>
          <w:rFonts w:asciiTheme="minorHAnsi" w:eastAsiaTheme="minorEastAsia" w:hAnsiTheme="minorHAnsi" w:cstheme="minorBidi"/>
          <w:szCs w:val="22"/>
        </w:rPr>
      </w:pPr>
      <w:r>
        <w:lastRenderedPageBreak/>
        <w:t>199.</w:t>
      </w:r>
      <w:r>
        <w:tab/>
        <w:t>Replacement approvals</w:t>
      </w:r>
      <w:r>
        <w:tab/>
      </w:r>
      <w:r>
        <w:fldChar w:fldCharType="begin"/>
      </w:r>
      <w:r>
        <w:instrText xml:space="preserve"> PAGEREF _Toc194933120 \h </w:instrText>
      </w:r>
      <w:r>
        <w:fldChar w:fldCharType="separate"/>
      </w:r>
      <w:r>
        <w:t>130</w:t>
      </w:r>
      <w:r>
        <w:fldChar w:fldCharType="end"/>
      </w:r>
    </w:p>
    <w:p>
      <w:pPr>
        <w:pStyle w:val="TOC8"/>
        <w:rPr>
          <w:rFonts w:asciiTheme="minorHAnsi" w:eastAsiaTheme="minorEastAsia" w:hAnsiTheme="minorHAnsi" w:cstheme="minorBidi"/>
          <w:szCs w:val="22"/>
        </w:rPr>
      </w:pPr>
      <w:r>
        <w:t>200.</w:t>
      </w:r>
      <w:r>
        <w:tab/>
        <w:t>Grounds for cancelling approvals</w:t>
      </w:r>
      <w:r>
        <w:tab/>
      </w:r>
      <w:r>
        <w:fldChar w:fldCharType="begin"/>
      </w:r>
      <w:r>
        <w:instrText xml:space="preserve"> PAGEREF _Toc194933121 \h </w:instrText>
      </w:r>
      <w:r>
        <w:fldChar w:fldCharType="separate"/>
      </w:r>
      <w:r>
        <w:t>130</w:t>
      </w:r>
      <w:r>
        <w:fldChar w:fldCharType="end"/>
      </w:r>
    </w:p>
    <w:p>
      <w:pPr>
        <w:pStyle w:val="TOC8"/>
        <w:rPr>
          <w:rFonts w:asciiTheme="minorHAnsi" w:eastAsiaTheme="minorEastAsia" w:hAnsiTheme="minorHAnsi" w:cstheme="minorBidi"/>
          <w:szCs w:val="22"/>
        </w:rPr>
      </w:pPr>
      <w:r>
        <w:t>201.</w:t>
      </w:r>
      <w:r>
        <w:tab/>
        <w:t>Grounds for varying approvals</w:t>
      </w:r>
      <w:r>
        <w:tab/>
      </w:r>
      <w:r>
        <w:fldChar w:fldCharType="begin"/>
      </w:r>
      <w:r>
        <w:instrText xml:space="preserve"> PAGEREF _Toc194933122 \h </w:instrText>
      </w:r>
      <w:r>
        <w:fldChar w:fldCharType="separate"/>
      </w:r>
      <w:r>
        <w:t>131</w:t>
      </w:r>
      <w:r>
        <w:fldChar w:fldCharType="end"/>
      </w:r>
    </w:p>
    <w:p>
      <w:pPr>
        <w:pStyle w:val="TOC4"/>
        <w:tabs>
          <w:tab w:val="right" w:leader="dot" w:pos="7077"/>
        </w:tabs>
        <w:rPr>
          <w:rFonts w:asciiTheme="minorHAnsi" w:eastAsiaTheme="minorEastAsia" w:hAnsiTheme="minorHAnsi" w:cstheme="minorBidi"/>
          <w:b w:val="0"/>
          <w:szCs w:val="22"/>
        </w:rPr>
      </w:pPr>
      <w:r>
        <w:t>Division 2 — Register of approvals</w:t>
      </w:r>
    </w:p>
    <w:p>
      <w:pPr>
        <w:pStyle w:val="TOC8"/>
        <w:rPr>
          <w:rFonts w:asciiTheme="minorHAnsi" w:eastAsiaTheme="minorEastAsia" w:hAnsiTheme="minorHAnsi" w:cstheme="minorBidi"/>
          <w:szCs w:val="22"/>
        </w:rPr>
      </w:pPr>
      <w:r>
        <w:t>202.</w:t>
      </w:r>
      <w:r>
        <w:tab/>
        <w:t>Register of approvals</w:t>
      </w:r>
      <w:r>
        <w:tab/>
      </w:r>
      <w:r>
        <w:fldChar w:fldCharType="begin"/>
      </w:r>
      <w:r>
        <w:instrText xml:space="preserve"> PAGEREF _Toc194933124 \h </w:instrText>
      </w:r>
      <w:r>
        <w:fldChar w:fldCharType="separate"/>
      </w:r>
      <w:r>
        <w:t>132</w:t>
      </w:r>
      <w:r>
        <w:fldChar w:fldCharType="end"/>
      </w:r>
    </w:p>
    <w:p>
      <w:pPr>
        <w:pStyle w:val="TOC8"/>
        <w:rPr>
          <w:rFonts w:asciiTheme="minorHAnsi" w:eastAsiaTheme="minorEastAsia" w:hAnsiTheme="minorHAnsi" w:cstheme="minorBidi"/>
          <w:szCs w:val="22"/>
        </w:rPr>
      </w:pPr>
      <w:r>
        <w:t>203.</w:t>
      </w:r>
      <w:r>
        <w:tab/>
        <w:t>Records of approvals</w:t>
      </w:r>
      <w:r>
        <w:tab/>
      </w:r>
      <w:r>
        <w:fldChar w:fldCharType="begin"/>
      </w:r>
      <w:r>
        <w:instrText xml:space="preserve"> PAGEREF _Toc194933125 \h </w:instrText>
      </w:r>
      <w:r>
        <w:fldChar w:fldCharType="separate"/>
      </w:r>
      <w:r>
        <w:t>132</w:t>
      </w:r>
      <w:r>
        <w:fldChar w:fldCharType="end"/>
      </w:r>
    </w:p>
    <w:p>
      <w:pPr>
        <w:pStyle w:val="TOC4"/>
        <w:tabs>
          <w:tab w:val="right" w:leader="dot" w:pos="7077"/>
        </w:tabs>
        <w:rPr>
          <w:rFonts w:asciiTheme="minorHAnsi" w:eastAsiaTheme="minorEastAsia" w:hAnsiTheme="minorHAnsi" w:cstheme="minorBidi"/>
          <w:b w:val="0"/>
          <w:szCs w:val="22"/>
        </w:rPr>
      </w:pPr>
      <w:r>
        <w:t>Division 3 — Reference of approval matters to CAP</w:t>
      </w:r>
    </w:p>
    <w:p>
      <w:pPr>
        <w:pStyle w:val="TOC8"/>
        <w:rPr>
          <w:rFonts w:asciiTheme="minorHAnsi" w:eastAsiaTheme="minorEastAsia" w:hAnsiTheme="minorHAnsi" w:cstheme="minorBidi"/>
          <w:szCs w:val="22"/>
        </w:rPr>
      </w:pPr>
      <w:r>
        <w:t>204.</w:t>
      </w:r>
      <w:r>
        <w:tab/>
        <w:t>References to CAP</w:t>
      </w:r>
      <w:r>
        <w:tab/>
      </w:r>
      <w:r>
        <w:fldChar w:fldCharType="begin"/>
      </w:r>
      <w:r>
        <w:instrText xml:space="preserve"> PAGEREF _Toc194933127 \h </w:instrText>
      </w:r>
      <w:r>
        <w:fldChar w:fldCharType="separate"/>
      </w:r>
      <w:r>
        <w:t>133</w:t>
      </w:r>
      <w:r>
        <w:fldChar w:fldCharType="end"/>
      </w:r>
    </w:p>
    <w:p>
      <w:pPr>
        <w:pStyle w:val="TOC8"/>
        <w:rPr>
          <w:rFonts w:asciiTheme="minorHAnsi" w:eastAsiaTheme="minorEastAsia" w:hAnsiTheme="minorHAnsi" w:cstheme="minorBidi"/>
          <w:szCs w:val="22"/>
        </w:rPr>
      </w:pPr>
      <w:r>
        <w:t>205.</w:t>
      </w:r>
      <w:r>
        <w:tab/>
        <w:t>Effect of CAP decisions about approvals</w:t>
      </w:r>
      <w:r>
        <w:tab/>
      </w:r>
      <w:r>
        <w:fldChar w:fldCharType="begin"/>
      </w:r>
      <w:r>
        <w:instrText xml:space="preserve"> PAGEREF _Toc194933128 \h </w:instrText>
      </w:r>
      <w:r>
        <w:fldChar w:fldCharType="separate"/>
      </w:r>
      <w:r>
        <w:t>133</w:t>
      </w:r>
      <w:r>
        <w:fldChar w:fldCharType="end"/>
      </w:r>
    </w:p>
    <w:p>
      <w:pPr>
        <w:pStyle w:val="TOC8"/>
        <w:rPr>
          <w:rFonts w:asciiTheme="minorHAnsi" w:eastAsiaTheme="minorEastAsia" w:hAnsiTheme="minorHAnsi" w:cstheme="minorBidi"/>
          <w:szCs w:val="22"/>
        </w:rPr>
      </w:pPr>
      <w:r>
        <w:t>206.</w:t>
      </w:r>
      <w:r>
        <w:tab/>
        <w:t>Effect of CAP decisions about cancelling or varying approvals</w:t>
      </w:r>
      <w:r>
        <w:tab/>
      </w:r>
      <w:r>
        <w:fldChar w:fldCharType="begin"/>
      </w:r>
      <w:r>
        <w:instrText xml:space="preserve"> PAGEREF _Toc194933129 \h </w:instrText>
      </w:r>
      <w:r>
        <w:fldChar w:fldCharType="separate"/>
      </w:r>
      <w:r>
        <w:t>134</w:t>
      </w:r>
      <w:r>
        <w:fldChar w:fldCharType="end"/>
      </w:r>
    </w:p>
    <w:p>
      <w:pPr>
        <w:pStyle w:val="TOC4"/>
        <w:tabs>
          <w:tab w:val="right" w:leader="dot" w:pos="7077"/>
        </w:tabs>
        <w:rPr>
          <w:rFonts w:asciiTheme="minorHAnsi" w:eastAsiaTheme="minorEastAsia" w:hAnsiTheme="minorHAnsi" w:cstheme="minorBidi"/>
          <w:b w:val="0"/>
          <w:szCs w:val="22"/>
        </w:rPr>
      </w:pPr>
      <w:r>
        <w:t>Division 4 — Cancellation and variation</w:t>
      </w:r>
    </w:p>
    <w:p>
      <w:pPr>
        <w:pStyle w:val="TOC8"/>
        <w:rPr>
          <w:rFonts w:asciiTheme="minorHAnsi" w:eastAsiaTheme="minorEastAsia" w:hAnsiTheme="minorHAnsi" w:cstheme="minorBidi"/>
          <w:szCs w:val="22"/>
        </w:rPr>
      </w:pPr>
      <w:r>
        <w:t>207.</w:t>
      </w:r>
      <w:r>
        <w:tab/>
        <w:t>Term used: approval</w:t>
      </w:r>
      <w:r>
        <w:tab/>
      </w:r>
      <w:r>
        <w:fldChar w:fldCharType="begin"/>
      </w:r>
      <w:r>
        <w:instrText xml:space="preserve"> PAGEREF _Toc194933131 \h </w:instrText>
      </w:r>
      <w:r>
        <w:fldChar w:fldCharType="separate"/>
      </w:r>
      <w:r>
        <w:t>134</w:t>
      </w:r>
      <w:r>
        <w:fldChar w:fldCharType="end"/>
      </w:r>
    </w:p>
    <w:p>
      <w:pPr>
        <w:pStyle w:val="TOC8"/>
        <w:rPr>
          <w:rFonts w:asciiTheme="minorHAnsi" w:eastAsiaTheme="minorEastAsia" w:hAnsiTheme="minorHAnsi" w:cstheme="minorBidi"/>
          <w:szCs w:val="22"/>
        </w:rPr>
      </w:pPr>
      <w:r>
        <w:t>208.</w:t>
      </w:r>
      <w:r>
        <w:tab/>
        <w:t>Cancellation and variation in dangerous situations</w:t>
      </w:r>
      <w:r>
        <w:tab/>
      </w:r>
      <w:r>
        <w:fldChar w:fldCharType="begin"/>
      </w:r>
      <w:r>
        <w:instrText xml:space="preserve"> PAGEREF _Toc194933132 \h </w:instrText>
      </w:r>
      <w:r>
        <w:fldChar w:fldCharType="separate"/>
      </w:r>
      <w:r>
        <w:t>135</w:t>
      </w:r>
      <w:r>
        <w:fldChar w:fldCharType="end"/>
      </w:r>
    </w:p>
    <w:p>
      <w:pPr>
        <w:pStyle w:val="TOC8"/>
        <w:rPr>
          <w:rFonts w:asciiTheme="minorHAnsi" w:eastAsiaTheme="minorEastAsia" w:hAnsiTheme="minorHAnsi" w:cstheme="minorBidi"/>
          <w:szCs w:val="22"/>
        </w:rPr>
      </w:pPr>
      <w:r>
        <w:t>209.</w:t>
      </w:r>
      <w:r>
        <w:tab/>
        <w:t>Cancellation giving effect to court orders</w:t>
      </w:r>
      <w:r>
        <w:tab/>
      </w:r>
      <w:r>
        <w:fldChar w:fldCharType="begin"/>
      </w:r>
      <w:r>
        <w:instrText xml:space="preserve"> PAGEREF _Toc194933133 \h </w:instrText>
      </w:r>
      <w:r>
        <w:fldChar w:fldCharType="separate"/>
      </w:r>
      <w:r>
        <w:t>135</w:t>
      </w:r>
      <w:r>
        <w:fldChar w:fldCharType="end"/>
      </w:r>
    </w:p>
    <w:p>
      <w:pPr>
        <w:pStyle w:val="TOC8"/>
        <w:rPr>
          <w:rFonts w:asciiTheme="minorHAnsi" w:eastAsiaTheme="minorEastAsia" w:hAnsiTheme="minorHAnsi" w:cstheme="minorBidi"/>
          <w:szCs w:val="22"/>
        </w:rPr>
      </w:pPr>
      <w:r>
        <w:t>210.</w:t>
      </w:r>
      <w:r>
        <w:tab/>
        <w:t>Variation of approvals on application</w:t>
      </w:r>
      <w:r>
        <w:tab/>
      </w:r>
      <w:r>
        <w:fldChar w:fldCharType="begin"/>
      </w:r>
      <w:r>
        <w:instrText xml:space="preserve"> PAGEREF _Toc194933134 \h </w:instrText>
      </w:r>
      <w:r>
        <w:fldChar w:fldCharType="separate"/>
      </w:r>
      <w:r>
        <w:t>135</w:t>
      </w:r>
      <w:r>
        <w:fldChar w:fldCharType="end"/>
      </w:r>
    </w:p>
    <w:p>
      <w:pPr>
        <w:pStyle w:val="TOC8"/>
        <w:rPr>
          <w:rFonts w:asciiTheme="minorHAnsi" w:eastAsiaTheme="minorEastAsia" w:hAnsiTheme="minorHAnsi" w:cstheme="minorBidi"/>
          <w:szCs w:val="22"/>
        </w:rPr>
      </w:pPr>
      <w:r>
        <w:t>211.</w:t>
      </w:r>
      <w:r>
        <w:tab/>
        <w:t>Cancellation and variation in other circumstances</w:t>
      </w:r>
      <w:r>
        <w:tab/>
      </w:r>
      <w:r>
        <w:fldChar w:fldCharType="begin"/>
      </w:r>
      <w:r>
        <w:instrText xml:space="preserve"> PAGEREF _Toc194933135 \h </w:instrText>
      </w:r>
      <w:r>
        <w:fldChar w:fldCharType="separate"/>
      </w:r>
      <w:r>
        <w:t>135</w:t>
      </w:r>
      <w:r>
        <w:fldChar w:fldCharType="end"/>
      </w:r>
    </w:p>
    <w:p>
      <w:pPr>
        <w:pStyle w:val="TOC8"/>
        <w:rPr>
          <w:rFonts w:asciiTheme="minorHAnsi" w:eastAsiaTheme="minorEastAsia" w:hAnsiTheme="minorHAnsi" w:cstheme="minorBidi"/>
          <w:szCs w:val="22"/>
        </w:rPr>
      </w:pPr>
      <w:r>
        <w:t>212.</w:t>
      </w:r>
      <w:r>
        <w:tab/>
        <w:t>When cancellation and variation take effect</w:t>
      </w:r>
      <w:r>
        <w:tab/>
      </w:r>
      <w:r>
        <w:fldChar w:fldCharType="begin"/>
      </w:r>
      <w:r>
        <w:instrText xml:space="preserve"> PAGEREF _Toc194933136 \h </w:instrText>
      </w:r>
      <w:r>
        <w:fldChar w:fldCharType="separate"/>
      </w:r>
      <w:r>
        <w:t>136</w:t>
      </w:r>
      <w:r>
        <w:fldChar w:fldCharType="end"/>
      </w:r>
    </w:p>
    <w:p>
      <w:pPr>
        <w:pStyle w:val="TOC2"/>
        <w:tabs>
          <w:tab w:val="right" w:leader="dot" w:pos="7077"/>
        </w:tabs>
        <w:rPr>
          <w:rFonts w:asciiTheme="minorHAnsi" w:eastAsiaTheme="minorEastAsia" w:hAnsiTheme="minorHAnsi" w:cstheme="minorBidi"/>
          <w:b w:val="0"/>
          <w:sz w:val="22"/>
          <w:szCs w:val="22"/>
        </w:rPr>
      </w:pPr>
      <w:r>
        <w:t>Part 17A — Determinations</w:t>
      </w:r>
    </w:p>
    <w:p>
      <w:pPr>
        <w:pStyle w:val="TOC8"/>
        <w:rPr>
          <w:rFonts w:asciiTheme="minorHAnsi" w:eastAsiaTheme="minorEastAsia" w:hAnsiTheme="minorHAnsi" w:cstheme="minorBidi"/>
          <w:szCs w:val="22"/>
        </w:rPr>
      </w:pPr>
      <w:r>
        <w:t>213A.</w:t>
      </w:r>
      <w:r>
        <w:tab/>
        <w:t>Reference of determinations to CAP</w:t>
      </w:r>
      <w:r>
        <w:tab/>
      </w:r>
      <w:r>
        <w:fldChar w:fldCharType="begin"/>
      </w:r>
      <w:r>
        <w:instrText xml:space="preserve"> PAGEREF _Toc194933138 \h </w:instrText>
      </w:r>
      <w:r>
        <w:fldChar w:fldCharType="separate"/>
      </w:r>
      <w:r>
        <w:t>137</w:t>
      </w:r>
      <w:r>
        <w:fldChar w:fldCharType="end"/>
      </w:r>
    </w:p>
    <w:p>
      <w:pPr>
        <w:pStyle w:val="TOC8"/>
        <w:rPr>
          <w:rFonts w:asciiTheme="minorHAnsi" w:eastAsiaTheme="minorEastAsia" w:hAnsiTheme="minorHAnsi" w:cstheme="minorBidi"/>
          <w:szCs w:val="22"/>
        </w:rPr>
      </w:pPr>
      <w:r>
        <w:t>213B.</w:t>
      </w:r>
      <w:r>
        <w:tab/>
        <w:t>Effect of CAP decisions about determinations</w:t>
      </w:r>
      <w:r>
        <w:tab/>
      </w:r>
      <w:r>
        <w:fldChar w:fldCharType="begin"/>
      </w:r>
      <w:r>
        <w:instrText xml:space="preserve"> PAGEREF _Toc194933139 \h </w:instrText>
      </w:r>
      <w:r>
        <w:fldChar w:fldCharType="separate"/>
      </w:r>
      <w:r>
        <w:t>137</w:t>
      </w:r>
      <w:r>
        <w:fldChar w:fldCharType="end"/>
      </w:r>
    </w:p>
    <w:p>
      <w:pPr>
        <w:pStyle w:val="TOC8"/>
        <w:rPr>
          <w:rFonts w:asciiTheme="minorHAnsi" w:eastAsiaTheme="minorEastAsia" w:hAnsiTheme="minorHAnsi" w:cstheme="minorBidi"/>
          <w:szCs w:val="22"/>
        </w:rPr>
      </w:pPr>
      <w:r>
        <w:t>213C.</w:t>
      </w:r>
      <w:r>
        <w:tab/>
        <w:t>Effect of CAP decisions about revoking or varying determinations</w:t>
      </w:r>
      <w:r>
        <w:tab/>
      </w:r>
      <w:r>
        <w:fldChar w:fldCharType="begin"/>
      </w:r>
      <w:r>
        <w:instrText xml:space="preserve"> PAGEREF _Toc194933140 \h </w:instrText>
      </w:r>
      <w:r>
        <w:fldChar w:fldCharType="separate"/>
      </w:r>
      <w:r>
        <w:t>138</w:t>
      </w:r>
      <w:r>
        <w:fldChar w:fldCharType="end"/>
      </w:r>
    </w:p>
    <w:p>
      <w:pPr>
        <w:pStyle w:val="TOC2"/>
        <w:tabs>
          <w:tab w:val="right" w:leader="dot" w:pos="7077"/>
        </w:tabs>
        <w:rPr>
          <w:rFonts w:asciiTheme="minorHAnsi" w:eastAsiaTheme="minorEastAsia" w:hAnsiTheme="minorHAnsi" w:cstheme="minorBidi"/>
          <w:b w:val="0"/>
          <w:sz w:val="22"/>
          <w:szCs w:val="22"/>
        </w:rPr>
      </w:pPr>
      <w:r>
        <w:t>Part 17 — Licences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rPr>
          <w:color w:val="000000"/>
        </w:rPr>
        <w:t>213.</w:t>
      </w:r>
      <w:r>
        <w:rPr>
          <w:color w:val="000000"/>
        </w:rPr>
        <w:tab/>
      </w:r>
      <w:r>
        <w:t>Terms used</w:t>
      </w:r>
      <w:r>
        <w:tab/>
      </w:r>
      <w:r>
        <w:fldChar w:fldCharType="begin"/>
      </w:r>
      <w:r>
        <w:instrText xml:space="preserve"> PAGEREF _Toc194933143 \h </w:instrText>
      </w:r>
      <w:r>
        <w:fldChar w:fldCharType="separate"/>
      </w:r>
      <w:r>
        <w:t>139</w:t>
      </w:r>
      <w:r>
        <w:fldChar w:fldCharType="end"/>
      </w:r>
    </w:p>
    <w:p>
      <w:pPr>
        <w:pStyle w:val="TOC8"/>
        <w:rPr>
          <w:rFonts w:asciiTheme="minorHAnsi" w:eastAsiaTheme="minorEastAsia" w:hAnsiTheme="minorHAnsi" w:cstheme="minorBidi"/>
          <w:szCs w:val="22"/>
        </w:rPr>
      </w:pPr>
      <w:r>
        <w:rPr>
          <w:color w:val="000000"/>
        </w:rPr>
        <w:t>214.</w:t>
      </w:r>
      <w:r>
        <w:rPr>
          <w:color w:val="000000"/>
        </w:rPr>
        <w:tab/>
        <w:t>Part additional to other laws</w:t>
      </w:r>
      <w:r>
        <w:tab/>
      </w:r>
      <w:r>
        <w:fldChar w:fldCharType="begin"/>
      </w:r>
      <w:r>
        <w:instrText xml:space="preserve"> PAGEREF _Toc194933144 \h </w:instrText>
      </w:r>
      <w:r>
        <w:fldChar w:fldCharType="separate"/>
      </w:r>
      <w:r>
        <w:t>139</w:t>
      </w:r>
      <w:r>
        <w:fldChar w:fldCharType="end"/>
      </w:r>
    </w:p>
    <w:p>
      <w:pPr>
        <w:pStyle w:val="TOC4"/>
        <w:tabs>
          <w:tab w:val="right" w:leader="dot" w:pos="7077"/>
        </w:tabs>
        <w:rPr>
          <w:rFonts w:asciiTheme="minorHAnsi" w:eastAsiaTheme="minorEastAsia" w:hAnsiTheme="minorHAnsi" w:cstheme="minorBidi"/>
          <w:b w:val="0"/>
          <w:szCs w:val="22"/>
        </w:rPr>
      </w:pPr>
      <w:r>
        <w:t>Division 2 — Principal duties under this Part</w:t>
      </w:r>
    </w:p>
    <w:p>
      <w:pPr>
        <w:pStyle w:val="TOC8"/>
        <w:rPr>
          <w:rFonts w:asciiTheme="minorHAnsi" w:eastAsiaTheme="minorEastAsia" w:hAnsiTheme="minorHAnsi" w:cstheme="minorBidi"/>
          <w:szCs w:val="22"/>
        </w:rPr>
      </w:pPr>
      <w:r>
        <w:rPr>
          <w:color w:val="000000"/>
        </w:rPr>
        <w:t>215.</w:t>
      </w:r>
      <w:r>
        <w:rPr>
          <w:color w:val="000000"/>
        </w:rPr>
        <w:tab/>
        <w:t>Vehicles to be licensed (Act s. 14)</w:t>
      </w:r>
      <w:r>
        <w:tab/>
      </w:r>
      <w:r>
        <w:fldChar w:fldCharType="begin"/>
      </w:r>
      <w:r>
        <w:instrText xml:space="preserve"> PAGEREF _Toc194933146 \h </w:instrText>
      </w:r>
      <w:r>
        <w:fldChar w:fldCharType="separate"/>
      </w:r>
      <w:r>
        <w:t>139</w:t>
      </w:r>
      <w:r>
        <w:fldChar w:fldCharType="end"/>
      </w:r>
    </w:p>
    <w:p>
      <w:pPr>
        <w:pStyle w:val="TOC8"/>
        <w:rPr>
          <w:rFonts w:asciiTheme="minorHAnsi" w:eastAsiaTheme="minorEastAsia" w:hAnsiTheme="minorHAnsi" w:cstheme="minorBidi"/>
          <w:szCs w:val="22"/>
        </w:rPr>
      </w:pPr>
      <w:r>
        <w:rPr>
          <w:color w:val="000000"/>
        </w:rPr>
        <w:t>216A</w:t>
      </w:r>
      <w:r>
        <w:t>.</w:t>
      </w:r>
      <w:r>
        <w:tab/>
        <w:t>Some vehicles may be licensed even though not required to be licensed under this Part</w:t>
      </w:r>
      <w:r>
        <w:tab/>
      </w:r>
      <w:r>
        <w:fldChar w:fldCharType="begin"/>
      </w:r>
      <w:r>
        <w:instrText xml:space="preserve"> PAGEREF _Toc194933147 \h </w:instrText>
      </w:r>
      <w:r>
        <w:fldChar w:fldCharType="separate"/>
      </w:r>
      <w:r>
        <w:t>140</w:t>
      </w:r>
      <w:r>
        <w:fldChar w:fldCharType="end"/>
      </w:r>
    </w:p>
    <w:p>
      <w:pPr>
        <w:pStyle w:val="TOC8"/>
        <w:rPr>
          <w:rFonts w:asciiTheme="minorHAnsi" w:eastAsiaTheme="minorEastAsia" w:hAnsiTheme="minorHAnsi" w:cstheme="minorBidi"/>
          <w:szCs w:val="22"/>
        </w:rPr>
      </w:pPr>
      <w:r>
        <w:rPr>
          <w:color w:val="000000"/>
        </w:rPr>
        <w:t>216.</w:t>
      </w:r>
      <w:r>
        <w:rPr>
          <w:color w:val="000000"/>
        </w:rPr>
        <w:tab/>
        <w:t>Drivers to be licensed (Act s. 15)</w:t>
      </w:r>
      <w:r>
        <w:tab/>
      </w:r>
      <w:r>
        <w:fldChar w:fldCharType="begin"/>
      </w:r>
      <w:r>
        <w:instrText xml:space="preserve"> PAGEREF _Toc194933148 \h </w:instrText>
      </w:r>
      <w:r>
        <w:fldChar w:fldCharType="separate"/>
      </w:r>
      <w:r>
        <w:t>141</w:t>
      </w:r>
      <w:r>
        <w:fldChar w:fldCharType="end"/>
      </w:r>
    </w:p>
    <w:p>
      <w:pPr>
        <w:pStyle w:val="TOC8"/>
        <w:rPr>
          <w:rFonts w:asciiTheme="minorHAnsi" w:eastAsiaTheme="minorEastAsia" w:hAnsiTheme="minorHAnsi" w:cstheme="minorBidi"/>
          <w:szCs w:val="22"/>
        </w:rPr>
      </w:pPr>
      <w:r>
        <w:rPr>
          <w:color w:val="000000"/>
        </w:rPr>
        <w:t>217.</w:t>
      </w:r>
      <w:r>
        <w:rPr>
          <w:color w:val="000000"/>
        </w:rPr>
        <w:tab/>
        <w:t>Duty on consignors</w:t>
      </w:r>
      <w:r>
        <w:tab/>
      </w:r>
      <w:r>
        <w:fldChar w:fldCharType="begin"/>
      </w:r>
      <w:r>
        <w:instrText xml:space="preserve"> PAGEREF _Toc194933149 \h </w:instrText>
      </w:r>
      <w:r>
        <w:fldChar w:fldCharType="separate"/>
      </w:r>
      <w:r>
        <w:t>141</w:t>
      </w:r>
      <w:r>
        <w:fldChar w:fldCharType="end"/>
      </w:r>
    </w:p>
    <w:p>
      <w:pPr>
        <w:pStyle w:val="TOC4"/>
        <w:tabs>
          <w:tab w:val="right" w:leader="dot" w:pos="7077"/>
        </w:tabs>
        <w:rPr>
          <w:rFonts w:asciiTheme="minorHAnsi" w:eastAsiaTheme="minorEastAsia" w:hAnsiTheme="minorHAnsi" w:cstheme="minorBidi"/>
          <w:b w:val="0"/>
          <w:szCs w:val="22"/>
        </w:rPr>
      </w:pPr>
      <w:r>
        <w:t>Division 3 — Dangerous goods driver licences</w:t>
      </w:r>
    </w:p>
    <w:p>
      <w:pPr>
        <w:pStyle w:val="TOC8"/>
        <w:rPr>
          <w:rFonts w:asciiTheme="minorHAnsi" w:eastAsiaTheme="minorEastAsia" w:hAnsiTheme="minorHAnsi" w:cstheme="minorBidi"/>
          <w:szCs w:val="22"/>
        </w:rPr>
      </w:pPr>
      <w:r>
        <w:t>218.</w:t>
      </w:r>
      <w:r>
        <w:tab/>
        <w:t>Applications for licences</w:t>
      </w:r>
      <w:r>
        <w:tab/>
      </w:r>
      <w:r>
        <w:fldChar w:fldCharType="begin"/>
      </w:r>
      <w:r>
        <w:instrText xml:space="preserve"> PAGEREF _Toc194933151 \h </w:instrText>
      </w:r>
      <w:r>
        <w:fldChar w:fldCharType="separate"/>
      </w:r>
      <w:r>
        <w:t>141</w:t>
      </w:r>
      <w:r>
        <w:fldChar w:fldCharType="end"/>
      </w:r>
    </w:p>
    <w:p>
      <w:pPr>
        <w:pStyle w:val="TOC8"/>
        <w:rPr>
          <w:rFonts w:asciiTheme="minorHAnsi" w:eastAsiaTheme="minorEastAsia" w:hAnsiTheme="minorHAnsi" w:cstheme="minorBidi"/>
          <w:szCs w:val="22"/>
        </w:rPr>
      </w:pPr>
      <w:r>
        <w:lastRenderedPageBreak/>
        <w:t>219.</w:t>
      </w:r>
      <w:r>
        <w:tab/>
        <w:t>Required driver licence evidence</w:t>
      </w:r>
      <w:r>
        <w:tab/>
      </w:r>
      <w:r>
        <w:fldChar w:fldCharType="begin"/>
      </w:r>
      <w:r>
        <w:instrText xml:space="preserve"> PAGEREF _Toc194933152 \h </w:instrText>
      </w:r>
      <w:r>
        <w:fldChar w:fldCharType="separate"/>
      </w:r>
      <w:r>
        <w:t>142</w:t>
      </w:r>
      <w:r>
        <w:fldChar w:fldCharType="end"/>
      </w:r>
    </w:p>
    <w:p>
      <w:pPr>
        <w:pStyle w:val="TOC8"/>
        <w:rPr>
          <w:rFonts w:asciiTheme="minorHAnsi" w:eastAsiaTheme="minorEastAsia" w:hAnsiTheme="minorHAnsi" w:cstheme="minorBidi"/>
          <w:szCs w:val="22"/>
        </w:rPr>
      </w:pPr>
      <w:r>
        <w:t>220.</w:t>
      </w:r>
      <w:r>
        <w:tab/>
        <w:t>Required competency evidence</w:t>
      </w:r>
      <w:r>
        <w:tab/>
      </w:r>
      <w:r>
        <w:fldChar w:fldCharType="begin"/>
      </w:r>
      <w:r>
        <w:instrText xml:space="preserve"> PAGEREF _Toc194933153 \h </w:instrText>
      </w:r>
      <w:r>
        <w:fldChar w:fldCharType="separate"/>
      </w:r>
      <w:r>
        <w:t>143</w:t>
      </w:r>
      <w:r>
        <w:fldChar w:fldCharType="end"/>
      </w:r>
    </w:p>
    <w:p>
      <w:pPr>
        <w:pStyle w:val="TOC8"/>
        <w:rPr>
          <w:rFonts w:asciiTheme="minorHAnsi" w:eastAsiaTheme="minorEastAsia" w:hAnsiTheme="minorHAnsi" w:cstheme="minorBidi"/>
          <w:szCs w:val="22"/>
        </w:rPr>
      </w:pPr>
      <w:r>
        <w:t>221.</w:t>
      </w:r>
      <w:r>
        <w:tab/>
        <w:t>Required medical fitness evidence</w:t>
      </w:r>
      <w:r>
        <w:tab/>
      </w:r>
      <w:r>
        <w:fldChar w:fldCharType="begin"/>
      </w:r>
      <w:r>
        <w:instrText xml:space="preserve"> PAGEREF _Toc194933154 \h </w:instrText>
      </w:r>
      <w:r>
        <w:fldChar w:fldCharType="separate"/>
      </w:r>
      <w:r>
        <w:t>143</w:t>
      </w:r>
      <w:r>
        <w:fldChar w:fldCharType="end"/>
      </w:r>
    </w:p>
    <w:p>
      <w:pPr>
        <w:pStyle w:val="TOC8"/>
        <w:rPr>
          <w:rFonts w:asciiTheme="minorHAnsi" w:eastAsiaTheme="minorEastAsia" w:hAnsiTheme="minorHAnsi" w:cstheme="minorBidi"/>
          <w:szCs w:val="22"/>
        </w:rPr>
      </w:pPr>
      <w:r>
        <w:t>222.</w:t>
      </w:r>
      <w:r>
        <w:tab/>
        <w:t>Grant of dangerous goods driver licences</w:t>
      </w:r>
      <w:r>
        <w:tab/>
      </w:r>
      <w:r>
        <w:fldChar w:fldCharType="begin"/>
      </w:r>
      <w:r>
        <w:instrText xml:space="preserve"> PAGEREF _Toc194933155 \h </w:instrText>
      </w:r>
      <w:r>
        <w:fldChar w:fldCharType="separate"/>
      </w:r>
      <w:r>
        <w:t>144</w:t>
      </w:r>
      <w:r>
        <w:fldChar w:fldCharType="end"/>
      </w:r>
    </w:p>
    <w:p>
      <w:pPr>
        <w:pStyle w:val="TOC8"/>
        <w:rPr>
          <w:rFonts w:asciiTheme="minorHAnsi" w:eastAsiaTheme="minorEastAsia" w:hAnsiTheme="minorHAnsi" w:cstheme="minorBidi"/>
          <w:szCs w:val="22"/>
        </w:rPr>
      </w:pPr>
      <w:r>
        <w:t>223.</w:t>
      </w:r>
      <w:r>
        <w:tab/>
        <w:t>Applications for renewal of licences</w:t>
      </w:r>
      <w:r>
        <w:tab/>
      </w:r>
      <w:r>
        <w:fldChar w:fldCharType="begin"/>
      </w:r>
      <w:r>
        <w:instrText xml:space="preserve"> PAGEREF _Toc194933156 \h </w:instrText>
      </w:r>
      <w:r>
        <w:fldChar w:fldCharType="separate"/>
      </w:r>
      <w:r>
        <w:t>145</w:t>
      </w:r>
      <w:r>
        <w:fldChar w:fldCharType="end"/>
      </w:r>
    </w:p>
    <w:p>
      <w:pPr>
        <w:pStyle w:val="TOC8"/>
        <w:rPr>
          <w:rFonts w:asciiTheme="minorHAnsi" w:eastAsiaTheme="minorEastAsia" w:hAnsiTheme="minorHAnsi" w:cstheme="minorBidi"/>
          <w:szCs w:val="22"/>
        </w:rPr>
      </w:pPr>
      <w:r>
        <w:t>224.</w:t>
      </w:r>
      <w:r>
        <w:tab/>
        <w:t>Renewal of licences</w:t>
      </w:r>
      <w:r>
        <w:tab/>
      </w:r>
      <w:r>
        <w:fldChar w:fldCharType="begin"/>
      </w:r>
      <w:r>
        <w:instrText xml:space="preserve"> PAGEREF _Toc194933157 \h </w:instrText>
      </w:r>
      <w:r>
        <w:fldChar w:fldCharType="separate"/>
      </w:r>
      <w:r>
        <w:t>145</w:t>
      </w:r>
      <w:r>
        <w:fldChar w:fldCharType="end"/>
      </w:r>
    </w:p>
    <w:p>
      <w:pPr>
        <w:pStyle w:val="TOC8"/>
        <w:rPr>
          <w:rFonts w:asciiTheme="minorHAnsi" w:eastAsiaTheme="minorEastAsia" w:hAnsiTheme="minorHAnsi" w:cstheme="minorBidi"/>
          <w:szCs w:val="22"/>
        </w:rPr>
      </w:pPr>
      <w:r>
        <w:t>225.</w:t>
      </w:r>
      <w:r>
        <w:tab/>
        <w:t>Licence periods</w:t>
      </w:r>
      <w:r>
        <w:tab/>
      </w:r>
      <w:r>
        <w:fldChar w:fldCharType="begin"/>
      </w:r>
      <w:r>
        <w:instrText xml:space="preserve"> PAGEREF _Toc194933158 \h </w:instrText>
      </w:r>
      <w:r>
        <w:fldChar w:fldCharType="separate"/>
      </w:r>
      <w:r>
        <w:t>146</w:t>
      </w:r>
      <w:r>
        <w:fldChar w:fldCharType="end"/>
      </w:r>
    </w:p>
    <w:p>
      <w:pPr>
        <w:pStyle w:val="TOC8"/>
        <w:rPr>
          <w:rFonts w:asciiTheme="minorHAnsi" w:eastAsiaTheme="minorEastAsia" w:hAnsiTheme="minorHAnsi" w:cstheme="minorBidi"/>
          <w:szCs w:val="22"/>
        </w:rPr>
      </w:pPr>
      <w:r>
        <w:t>226.</w:t>
      </w:r>
      <w:r>
        <w:tab/>
        <w:t>Licence conditions</w:t>
      </w:r>
      <w:r>
        <w:tab/>
      </w:r>
      <w:r>
        <w:fldChar w:fldCharType="begin"/>
      </w:r>
      <w:r>
        <w:instrText xml:space="preserve"> PAGEREF _Toc194933159 \h </w:instrText>
      </w:r>
      <w:r>
        <w:fldChar w:fldCharType="separate"/>
      </w:r>
      <w:r>
        <w:t>146</w:t>
      </w:r>
      <w:r>
        <w:fldChar w:fldCharType="end"/>
      </w:r>
    </w:p>
    <w:p>
      <w:pPr>
        <w:pStyle w:val="TOC8"/>
        <w:rPr>
          <w:rFonts w:asciiTheme="minorHAnsi" w:eastAsiaTheme="minorEastAsia" w:hAnsiTheme="minorHAnsi" w:cstheme="minorBidi"/>
          <w:szCs w:val="22"/>
        </w:rPr>
      </w:pPr>
      <w:r>
        <w:t>227.</w:t>
      </w:r>
      <w:r>
        <w:tab/>
        <w:t>Additional condition</w:t>
      </w:r>
      <w:r>
        <w:tab/>
      </w:r>
      <w:r>
        <w:fldChar w:fldCharType="begin"/>
      </w:r>
      <w:r>
        <w:instrText xml:space="preserve"> PAGEREF _Toc194933160 \h </w:instrText>
      </w:r>
      <w:r>
        <w:fldChar w:fldCharType="separate"/>
      </w:r>
      <w:r>
        <w:t>147</w:t>
      </w:r>
      <w:r>
        <w:fldChar w:fldCharType="end"/>
      </w:r>
    </w:p>
    <w:p>
      <w:pPr>
        <w:pStyle w:val="TOC8"/>
        <w:rPr>
          <w:rFonts w:asciiTheme="minorHAnsi" w:eastAsiaTheme="minorEastAsia" w:hAnsiTheme="minorHAnsi" w:cstheme="minorBidi"/>
          <w:szCs w:val="22"/>
        </w:rPr>
      </w:pPr>
      <w:r>
        <w:rPr>
          <w:color w:val="000000"/>
        </w:rPr>
        <w:t>228.</w:t>
      </w:r>
      <w:r>
        <w:rPr>
          <w:color w:val="000000"/>
        </w:rPr>
        <w:tab/>
        <w:t>Grounds for cancelling, suspending or varying</w:t>
      </w:r>
      <w:r>
        <w:t xml:space="preserve"> licences</w:t>
      </w:r>
      <w:r>
        <w:tab/>
      </w:r>
      <w:r>
        <w:fldChar w:fldCharType="begin"/>
      </w:r>
      <w:r>
        <w:instrText xml:space="preserve"> PAGEREF _Toc194933161 \h </w:instrText>
      </w:r>
      <w:r>
        <w:fldChar w:fldCharType="separate"/>
      </w:r>
      <w:r>
        <w:t>148</w:t>
      </w:r>
      <w:r>
        <w:fldChar w:fldCharType="end"/>
      </w:r>
    </w:p>
    <w:p>
      <w:pPr>
        <w:pStyle w:val="TOC4"/>
        <w:tabs>
          <w:tab w:val="right" w:leader="dot" w:pos="7077"/>
        </w:tabs>
        <w:rPr>
          <w:rFonts w:asciiTheme="minorHAnsi" w:eastAsiaTheme="minorEastAsia" w:hAnsiTheme="minorHAnsi" w:cstheme="minorBidi"/>
          <w:b w:val="0"/>
          <w:szCs w:val="22"/>
        </w:rPr>
      </w:pPr>
      <w:r>
        <w:t>Division 4 — Dangerous goods vehicle licences</w:t>
      </w:r>
    </w:p>
    <w:p>
      <w:pPr>
        <w:pStyle w:val="TOC8"/>
        <w:rPr>
          <w:rFonts w:asciiTheme="minorHAnsi" w:eastAsiaTheme="minorEastAsia" w:hAnsiTheme="minorHAnsi" w:cstheme="minorBidi"/>
          <w:szCs w:val="22"/>
        </w:rPr>
      </w:pPr>
      <w:r>
        <w:t>229.</w:t>
      </w:r>
      <w:r>
        <w:tab/>
        <w:t>Terms used</w:t>
      </w:r>
      <w:r>
        <w:tab/>
      </w:r>
      <w:r>
        <w:fldChar w:fldCharType="begin"/>
      </w:r>
      <w:r>
        <w:instrText xml:space="preserve"> PAGEREF _Toc194933163 \h </w:instrText>
      </w:r>
      <w:r>
        <w:fldChar w:fldCharType="separate"/>
      </w:r>
      <w:r>
        <w:t>149</w:t>
      </w:r>
      <w:r>
        <w:fldChar w:fldCharType="end"/>
      </w:r>
    </w:p>
    <w:p>
      <w:pPr>
        <w:pStyle w:val="TOC8"/>
        <w:rPr>
          <w:rFonts w:asciiTheme="minorHAnsi" w:eastAsiaTheme="minorEastAsia" w:hAnsiTheme="minorHAnsi" w:cstheme="minorBidi"/>
          <w:szCs w:val="22"/>
        </w:rPr>
      </w:pPr>
      <w:r>
        <w:t>230.</w:t>
      </w:r>
      <w:r>
        <w:tab/>
        <w:t>Applications for licences</w:t>
      </w:r>
      <w:r>
        <w:tab/>
      </w:r>
      <w:r>
        <w:fldChar w:fldCharType="begin"/>
      </w:r>
      <w:r>
        <w:instrText xml:space="preserve"> PAGEREF _Toc194933164 \h </w:instrText>
      </w:r>
      <w:r>
        <w:fldChar w:fldCharType="separate"/>
      </w:r>
      <w:r>
        <w:t>149</w:t>
      </w:r>
      <w:r>
        <w:fldChar w:fldCharType="end"/>
      </w:r>
    </w:p>
    <w:p>
      <w:pPr>
        <w:pStyle w:val="TOC8"/>
        <w:rPr>
          <w:rFonts w:asciiTheme="minorHAnsi" w:eastAsiaTheme="minorEastAsia" w:hAnsiTheme="minorHAnsi" w:cstheme="minorBidi"/>
          <w:szCs w:val="22"/>
        </w:rPr>
      </w:pPr>
      <w:r>
        <w:t>231.</w:t>
      </w:r>
      <w:r>
        <w:tab/>
        <w:t>Additional information and inspections</w:t>
      </w:r>
      <w:r>
        <w:tab/>
      </w:r>
      <w:r>
        <w:fldChar w:fldCharType="begin"/>
      </w:r>
      <w:r>
        <w:instrText xml:space="preserve"> PAGEREF _Toc194933165 \h </w:instrText>
      </w:r>
      <w:r>
        <w:fldChar w:fldCharType="separate"/>
      </w:r>
      <w:r>
        <w:t>150</w:t>
      </w:r>
      <w:r>
        <w:fldChar w:fldCharType="end"/>
      </w:r>
    </w:p>
    <w:p>
      <w:pPr>
        <w:pStyle w:val="TOC8"/>
        <w:rPr>
          <w:rFonts w:asciiTheme="minorHAnsi" w:eastAsiaTheme="minorEastAsia" w:hAnsiTheme="minorHAnsi" w:cstheme="minorBidi"/>
          <w:szCs w:val="22"/>
        </w:rPr>
      </w:pPr>
      <w:r>
        <w:t>232.</w:t>
      </w:r>
      <w:r>
        <w:tab/>
        <w:t>Grant of dangerous goods vehicle licences</w:t>
      </w:r>
      <w:r>
        <w:tab/>
      </w:r>
      <w:r>
        <w:fldChar w:fldCharType="begin"/>
      </w:r>
      <w:r>
        <w:instrText xml:space="preserve"> PAGEREF _Toc194933166 \h </w:instrText>
      </w:r>
      <w:r>
        <w:fldChar w:fldCharType="separate"/>
      </w:r>
      <w:r>
        <w:t>151</w:t>
      </w:r>
      <w:r>
        <w:fldChar w:fldCharType="end"/>
      </w:r>
    </w:p>
    <w:p>
      <w:pPr>
        <w:pStyle w:val="TOC8"/>
        <w:rPr>
          <w:rFonts w:asciiTheme="minorHAnsi" w:eastAsiaTheme="minorEastAsia" w:hAnsiTheme="minorHAnsi" w:cstheme="minorBidi"/>
          <w:szCs w:val="22"/>
        </w:rPr>
      </w:pPr>
      <w:r>
        <w:t>233.</w:t>
      </w:r>
      <w:r>
        <w:tab/>
        <w:t>Applications for renewal of licences</w:t>
      </w:r>
      <w:r>
        <w:tab/>
      </w:r>
      <w:r>
        <w:fldChar w:fldCharType="begin"/>
      </w:r>
      <w:r>
        <w:instrText xml:space="preserve"> PAGEREF _Toc194933167 \h </w:instrText>
      </w:r>
      <w:r>
        <w:fldChar w:fldCharType="separate"/>
      </w:r>
      <w:r>
        <w:t>152</w:t>
      </w:r>
      <w:r>
        <w:fldChar w:fldCharType="end"/>
      </w:r>
    </w:p>
    <w:p>
      <w:pPr>
        <w:pStyle w:val="TOC8"/>
        <w:rPr>
          <w:rFonts w:asciiTheme="minorHAnsi" w:eastAsiaTheme="minorEastAsia" w:hAnsiTheme="minorHAnsi" w:cstheme="minorBidi"/>
          <w:szCs w:val="22"/>
        </w:rPr>
      </w:pPr>
      <w:r>
        <w:t>234.</w:t>
      </w:r>
      <w:r>
        <w:tab/>
        <w:t>Renewal of licences</w:t>
      </w:r>
      <w:r>
        <w:tab/>
      </w:r>
      <w:r>
        <w:fldChar w:fldCharType="begin"/>
      </w:r>
      <w:r>
        <w:instrText xml:space="preserve"> PAGEREF _Toc194933168 \h </w:instrText>
      </w:r>
      <w:r>
        <w:fldChar w:fldCharType="separate"/>
      </w:r>
      <w:r>
        <w:t>152</w:t>
      </w:r>
      <w:r>
        <w:fldChar w:fldCharType="end"/>
      </w:r>
    </w:p>
    <w:p>
      <w:pPr>
        <w:pStyle w:val="TOC8"/>
        <w:rPr>
          <w:rFonts w:asciiTheme="minorHAnsi" w:eastAsiaTheme="minorEastAsia" w:hAnsiTheme="minorHAnsi" w:cstheme="minorBidi"/>
          <w:szCs w:val="22"/>
        </w:rPr>
      </w:pPr>
      <w:r>
        <w:t>235.</w:t>
      </w:r>
      <w:r>
        <w:tab/>
        <w:t>Licence periods</w:t>
      </w:r>
      <w:r>
        <w:tab/>
      </w:r>
      <w:r>
        <w:fldChar w:fldCharType="begin"/>
      </w:r>
      <w:r>
        <w:instrText xml:space="preserve"> PAGEREF _Toc194933169 \h </w:instrText>
      </w:r>
      <w:r>
        <w:fldChar w:fldCharType="separate"/>
      </w:r>
      <w:r>
        <w:t>153</w:t>
      </w:r>
      <w:r>
        <w:fldChar w:fldCharType="end"/>
      </w:r>
    </w:p>
    <w:p>
      <w:pPr>
        <w:pStyle w:val="TOC8"/>
        <w:rPr>
          <w:rFonts w:asciiTheme="minorHAnsi" w:eastAsiaTheme="minorEastAsia" w:hAnsiTheme="minorHAnsi" w:cstheme="minorBidi"/>
          <w:szCs w:val="22"/>
        </w:rPr>
      </w:pPr>
      <w:r>
        <w:t>236.</w:t>
      </w:r>
      <w:r>
        <w:tab/>
        <w:t>Licence conditions</w:t>
      </w:r>
      <w:r>
        <w:tab/>
      </w:r>
      <w:r>
        <w:fldChar w:fldCharType="begin"/>
      </w:r>
      <w:r>
        <w:instrText xml:space="preserve"> PAGEREF _Toc194933170 \h </w:instrText>
      </w:r>
      <w:r>
        <w:fldChar w:fldCharType="separate"/>
      </w:r>
      <w:r>
        <w:t>154</w:t>
      </w:r>
      <w:r>
        <w:fldChar w:fldCharType="end"/>
      </w:r>
    </w:p>
    <w:p>
      <w:pPr>
        <w:pStyle w:val="TOC8"/>
        <w:rPr>
          <w:rFonts w:asciiTheme="minorHAnsi" w:eastAsiaTheme="minorEastAsia" w:hAnsiTheme="minorHAnsi" w:cstheme="minorBidi"/>
          <w:szCs w:val="22"/>
        </w:rPr>
      </w:pPr>
      <w:r>
        <w:t>237.</w:t>
      </w:r>
      <w:r>
        <w:tab/>
        <w:t>Disposal and transfer of licensed vehicles</w:t>
      </w:r>
      <w:r>
        <w:tab/>
      </w:r>
      <w:r>
        <w:fldChar w:fldCharType="begin"/>
      </w:r>
      <w:r>
        <w:instrText xml:space="preserve"> PAGEREF _Toc194933171 \h </w:instrText>
      </w:r>
      <w:r>
        <w:fldChar w:fldCharType="separate"/>
      </w:r>
      <w:r>
        <w:t>154</w:t>
      </w:r>
      <w:r>
        <w:fldChar w:fldCharType="end"/>
      </w:r>
    </w:p>
    <w:p>
      <w:pPr>
        <w:pStyle w:val="TOC8"/>
        <w:rPr>
          <w:rFonts w:asciiTheme="minorHAnsi" w:eastAsiaTheme="minorEastAsia" w:hAnsiTheme="minorHAnsi" w:cstheme="minorBidi"/>
          <w:szCs w:val="22"/>
        </w:rPr>
      </w:pPr>
      <w:r>
        <w:t>238.</w:t>
      </w:r>
      <w:r>
        <w:tab/>
        <w:t>Grounds for cancelling, suspending or varying licences</w:t>
      </w:r>
      <w:r>
        <w:tab/>
      </w:r>
      <w:r>
        <w:fldChar w:fldCharType="begin"/>
      </w:r>
      <w:r>
        <w:instrText xml:space="preserve"> PAGEREF _Toc194933172 \h </w:instrText>
      </w:r>
      <w:r>
        <w:fldChar w:fldCharType="separate"/>
      </w:r>
      <w:r>
        <w:t>156</w:t>
      </w:r>
      <w:r>
        <w:fldChar w:fldCharType="end"/>
      </w:r>
    </w:p>
    <w:p>
      <w:pPr>
        <w:pStyle w:val="TOC4"/>
        <w:tabs>
          <w:tab w:val="right" w:leader="dot" w:pos="7077"/>
        </w:tabs>
        <w:rPr>
          <w:rFonts w:asciiTheme="minorHAnsi" w:eastAsiaTheme="minorEastAsia" w:hAnsiTheme="minorHAnsi" w:cstheme="minorBidi"/>
          <w:b w:val="0"/>
          <w:szCs w:val="22"/>
        </w:rPr>
      </w:pPr>
      <w:r>
        <w:t>Division 5 — Requirements relating to dangerous goods driver licences</w:t>
      </w:r>
    </w:p>
    <w:p>
      <w:pPr>
        <w:pStyle w:val="TOC8"/>
        <w:rPr>
          <w:rFonts w:asciiTheme="minorHAnsi" w:eastAsiaTheme="minorEastAsia" w:hAnsiTheme="minorHAnsi" w:cstheme="minorBidi"/>
          <w:szCs w:val="22"/>
        </w:rPr>
      </w:pPr>
      <w:r>
        <w:t>239.</w:t>
      </w:r>
      <w:r>
        <w:tab/>
        <w:t>When licences to be carried</w:t>
      </w:r>
      <w:r>
        <w:tab/>
      </w:r>
      <w:r>
        <w:fldChar w:fldCharType="begin"/>
      </w:r>
      <w:r>
        <w:instrText xml:space="preserve"> PAGEREF _Toc194933174 \h </w:instrText>
      </w:r>
      <w:r>
        <w:fldChar w:fldCharType="separate"/>
      </w:r>
      <w:r>
        <w:t>156</w:t>
      </w:r>
      <w:r>
        <w:fldChar w:fldCharType="end"/>
      </w:r>
    </w:p>
    <w:p>
      <w:pPr>
        <w:pStyle w:val="TOC8"/>
        <w:rPr>
          <w:rFonts w:asciiTheme="minorHAnsi" w:eastAsiaTheme="minorEastAsia" w:hAnsiTheme="minorHAnsi" w:cstheme="minorBidi"/>
          <w:szCs w:val="22"/>
        </w:rPr>
      </w:pPr>
      <w:r>
        <w:t>240.</w:t>
      </w:r>
      <w:r>
        <w:tab/>
        <w:t>Licences to be produced for inspection</w:t>
      </w:r>
      <w:r>
        <w:tab/>
      </w:r>
      <w:r>
        <w:fldChar w:fldCharType="begin"/>
      </w:r>
      <w:r>
        <w:instrText xml:space="preserve"> PAGEREF _Toc194933175 \h </w:instrText>
      </w:r>
      <w:r>
        <w:fldChar w:fldCharType="separate"/>
      </w:r>
      <w:r>
        <w:t>156</w:t>
      </w:r>
      <w:r>
        <w:fldChar w:fldCharType="end"/>
      </w:r>
    </w:p>
    <w:p>
      <w:pPr>
        <w:pStyle w:val="TOC4"/>
        <w:tabs>
          <w:tab w:val="right" w:leader="dot" w:pos="7077"/>
        </w:tabs>
        <w:rPr>
          <w:rFonts w:asciiTheme="minorHAnsi" w:eastAsiaTheme="minorEastAsia" w:hAnsiTheme="minorHAnsi" w:cstheme="minorBidi"/>
          <w:b w:val="0"/>
          <w:szCs w:val="22"/>
        </w:rPr>
      </w:pPr>
      <w:r>
        <w:t>Division 6 — Licences generally</w:t>
      </w:r>
    </w:p>
    <w:p>
      <w:pPr>
        <w:pStyle w:val="TOC8"/>
        <w:rPr>
          <w:rFonts w:asciiTheme="minorHAnsi" w:eastAsiaTheme="minorEastAsia" w:hAnsiTheme="minorHAnsi" w:cstheme="minorBidi"/>
          <w:szCs w:val="22"/>
        </w:rPr>
      </w:pPr>
      <w:r>
        <w:t>241.</w:t>
      </w:r>
      <w:r>
        <w:tab/>
        <w:t>Terms used</w:t>
      </w:r>
      <w:r>
        <w:tab/>
      </w:r>
      <w:r>
        <w:fldChar w:fldCharType="begin"/>
      </w:r>
      <w:r>
        <w:instrText xml:space="preserve"> PAGEREF _Toc194933177 \h </w:instrText>
      </w:r>
      <w:r>
        <w:fldChar w:fldCharType="separate"/>
      </w:r>
      <w:r>
        <w:t>157</w:t>
      </w:r>
      <w:r>
        <w:fldChar w:fldCharType="end"/>
      </w:r>
    </w:p>
    <w:p>
      <w:pPr>
        <w:pStyle w:val="TOC8"/>
        <w:rPr>
          <w:rFonts w:asciiTheme="minorHAnsi" w:eastAsiaTheme="minorEastAsia" w:hAnsiTheme="minorHAnsi" w:cstheme="minorBidi"/>
          <w:szCs w:val="22"/>
        </w:rPr>
      </w:pPr>
      <w:r>
        <w:t>242.</w:t>
      </w:r>
      <w:r>
        <w:tab/>
        <w:t>Replacement licences</w:t>
      </w:r>
      <w:r>
        <w:tab/>
      </w:r>
      <w:r>
        <w:fldChar w:fldCharType="begin"/>
      </w:r>
      <w:r>
        <w:instrText xml:space="preserve"> PAGEREF _Toc194933178 \h </w:instrText>
      </w:r>
      <w:r>
        <w:fldChar w:fldCharType="separate"/>
      </w:r>
      <w:r>
        <w:t>157</w:t>
      </w:r>
      <w:r>
        <w:fldChar w:fldCharType="end"/>
      </w:r>
    </w:p>
    <w:p>
      <w:pPr>
        <w:pStyle w:val="TOC8"/>
        <w:rPr>
          <w:rFonts w:asciiTheme="minorHAnsi" w:eastAsiaTheme="minorEastAsia" w:hAnsiTheme="minorHAnsi" w:cstheme="minorBidi"/>
          <w:szCs w:val="22"/>
        </w:rPr>
      </w:pPr>
      <w:r>
        <w:t>243.</w:t>
      </w:r>
      <w:r>
        <w:tab/>
        <w:t>Failure to comply with licence conditions</w:t>
      </w:r>
      <w:r>
        <w:tab/>
      </w:r>
      <w:r>
        <w:fldChar w:fldCharType="begin"/>
      </w:r>
      <w:r>
        <w:instrText xml:space="preserve"> PAGEREF _Toc194933179 \h </w:instrText>
      </w:r>
      <w:r>
        <w:fldChar w:fldCharType="separate"/>
      </w:r>
      <w:r>
        <w:t>157</w:t>
      </w:r>
      <w:r>
        <w:fldChar w:fldCharType="end"/>
      </w:r>
    </w:p>
    <w:p>
      <w:pPr>
        <w:pStyle w:val="TOC8"/>
        <w:rPr>
          <w:rFonts w:asciiTheme="minorHAnsi" w:eastAsiaTheme="minorEastAsia" w:hAnsiTheme="minorHAnsi" w:cstheme="minorBidi"/>
          <w:szCs w:val="22"/>
        </w:rPr>
      </w:pPr>
      <w:r>
        <w:t>244.</w:t>
      </w:r>
      <w:r>
        <w:tab/>
        <w:t>Surrender of licences</w:t>
      </w:r>
      <w:r>
        <w:tab/>
      </w:r>
      <w:r>
        <w:fldChar w:fldCharType="begin"/>
      </w:r>
      <w:r>
        <w:instrText xml:space="preserve"> PAGEREF _Toc194933180 \h </w:instrText>
      </w:r>
      <w:r>
        <w:fldChar w:fldCharType="separate"/>
      </w:r>
      <w:r>
        <w:t>157</w:t>
      </w:r>
      <w:r>
        <w:fldChar w:fldCharType="end"/>
      </w:r>
    </w:p>
    <w:p>
      <w:pPr>
        <w:pStyle w:val="TOC8"/>
        <w:rPr>
          <w:rFonts w:asciiTheme="minorHAnsi" w:eastAsiaTheme="minorEastAsia" w:hAnsiTheme="minorHAnsi" w:cstheme="minorBidi"/>
          <w:szCs w:val="22"/>
        </w:rPr>
      </w:pPr>
      <w:r>
        <w:t>245.</w:t>
      </w:r>
      <w:r>
        <w:tab/>
        <w:t>Registers of licences</w:t>
      </w:r>
      <w:r>
        <w:tab/>
      </w:r>
      <w:r>
        <w:fldChar w:fldCharType="begin"/>
      </w:r>
      <w:r>
        <w:instrText xml:space="preserve"> PAGEREF _Toc194933181 \h </w:instrText>
      </w:r>
      <w:r>
        <w:fldChar w:fldCharType="separate"/>
      </w:r>
      <w:r>
        <w:t>158</w:t>
      </w:r>
      <w:r>
        <w:fldChar w:fldCharType="end"/>
      </w:r>
    </w:p>
    <w:p>
      <w:pPr>
        <w:pStyle w:val="TOC8"/>
        <w:rPr>
          <w:rFonts w:asciiTheme="minorHAnsi" w:eastAsiaTheme="minorEastAsia" w:hAnsiTheme="minorHAnsi" w:cstheme="minorBidi"/>
          <w:szCs w:val="22"/>
        </w:rPr>
      </w:pPr>
      <w:r>
        <w:t>246.</w:t>
      </w:r>
      <w:r>
        <w:tab/>
        <w:t>Records of licences</w:t>
      </w:r>
      <w:r>
        <w:tab/>
      </w:r>
      <w:r>
        <w:fldChar w:fldCharType="begin"/>
      </w:r>
      <w:r>
        <w:instrText xml:space="preserve"> PAGEREF _Toc194933182 \h </w:instrText>
      </w:r>
      <w:r>
        <w:fldChar w:fldCharType="separate"/>
      </w:r>
      <w:r>
        <w:t>158</w:t>
      </w:r>
      <w:r>
        <w:fldChar w:fldCharType="end"/>
      </w:r>
    </w:p>
    <w:p>
      <w:pPr>
        <w:pStyle w:val="TOC8"/>
        <w:rPr>
          <w:rFonts w:asciiTheme="minorHAnsi" w:eastAsiaTheme="minorEastAsia" w:hAnsiTheme="minorHAnsi" w:cstheme="minorBidi"/>
          <w:szCs w:val="22"/>
        </w:rPr>
      </w:pPr>
      <w:r>
        <w:t>247.</w:t>
      </w:r>
      <w:r>
        <w:tab/>
        <w:t>Change of information given in licence applications</w:t>
      </w:r>
      <w:r>
        <w:tab/>
      </w:r>
      <w:r>
        <w:fldChar w:fldCharType="begin"/>
      </w:r>
      <w:r>
        <w:instrText xml:space="preserve"> PAGEREF _Toc194933183 \h </w:instrText>
      </w:r>
      <w:r>
        <w:fldChar w:fldCharType="separate"/>
      </w:r>
      <w:r>
        <w:t>159</w:t>
      </w:r>
      <w:r>
        <w:fldChar w:fldCharType="end"/>
      </w:r>
    </w:p>
    <w:p>
      <w:pPr>
        <w:pStyle w:val="TOC8"/>
        <w:rPr>
          <w:rFonts w:asciiTheme="minorHAnsi" w:eastAsiaTheme="minorEastAsia" w:hAnsiTheme="minorHAnsi" w:cstheme="minorBidi"/>
          <w:szCs w:val="22"/>
        </w:rPr>
      </w:pPr>
      <w:r>
        <w:t>248.</w:t>
      </w:r>
      <w:r>
        <w:tab/>
        <w:t xml:space="preserve">Production of licences </w:t>
      </w:r>
      <w:r>
        <w:rPr>
          <w:color w:val="000000"/>
        </w:rPr>
        <w:t>to licensing authority</w:t>
      </w:r>
      <w:r>
        <w:tab/>
      </w:r>
      <w:r>
        <w:fldChar w:fldCharType="begin"/>
      </w:r>
      <w:r>
        <w:instrText xml:space="preserve"> PAGEREF _Toc194933184 \h </w:instrText>
      </w:r>
      <w:r>
        <w:fldChar w:fldCharType="separate"/>
      </w:r>
      <w:r>
        <w:t>159</w:t>
      </w:r>
      <w:r>
        <w:fldChar w:fldCharType="end"/>
      </w:r>
    </w:p>
    <w:p>
      <w:pPr>
        <w:pStyle w:val="TOC8"/>
        <w:rPr>
          <w:rFonts w:asciiTheme="minorHAnsi" w:eastAsiaTheme="minorEastAsia" w:hAnsiTheme="minorHAnsi" w:cstheme="minorBidi"/>
          <w:szCs w:val="22"/>
        </w:rPr>
      </w:pPr>
      <w:r>
        <w:t>249.</w:t>
      </w:r>
      <w:r>
        <w:tab/>
        <w:t>Return of licences</w:t>
      </w:r>
      <w:r>
        <w:tab/>
      </w:r>
      <w:r>
        <w:fldChar w:fldCharType="begin"/>
      </w:r>
      <w:r>
        <w:instrText xml:space="preserve"> PAGEREF _Toc194933185 \h </w:instrText>
      </w:r>
      <w:r>
        <w:fldChar w:fldCharType="separate"/>
      </w:r>
      <w:r>
        <w:t>159</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7 — Cancellation, suspension and variation</w:t>
      </w:r>
    </w:p>
    <w:p>
      <w:pPr>
        <w:pStyle w:val="TOC8"/>
        <w:rPr>
          <w:rFonts w:asciiTheme="minorHAnsi" w:eastAsiaTheme="minorEastAsia" w:hAnsiTheme="minorHAnsi" w:cstheme="minorBidi"/>
          <w:szCs w:val="22"/>
        </w:rPr>
      </w:pPr>
      <w:r>
        <w:t>250.</w:t>
      </w:r>
      <w:r>
        <w:tab/>
      </w:r>
      <w:r>
        <w:rPr>
          <w:color w:val="000000"/>
        </w:rPr>
        <w:t>Terms used</w:t>
      </w:r>
      <w:r>
        <w:tab/>
      </w:r>
      <w:r>
        <w:fldChar w:fldCharType="begin"/>
      </w:r>
      <w:r>
        <w:instrText xml:space="preserve"> PAGEREF _Toc194933187 \h </w:instrText>
      </w:r>
      <w:r>
        <w:fldChar w:fldCharType="separate"/>
      </w:r>
      <w:r>
        <w:t>160</w:t>
      </w:r>
      <w:r>
        <w:fldChar w:fldCharType="end"/>
      </w:r>
    </w:p>
    <w:p>
      <w:pPr>
        <w:pStyle w:val="TOC8"/>
        <w:rPr>
          <w:rFonts w:asciiTheme="minorHAnsi" w:eastAsiaTheme="minorEastAsia" w:hAnsiTheme="minorHAnsi" w:cstheme="minorBidi"/>
          <w:szCs w:val="22"/>
        </w:rPr>
      </w:pPr>
      <w:r>
        <w:t>251.</w:t>
      </w:r>
      <w:r>
        <w:tab/>
        <w:t>Cancellation, suspension and variation in dangerous situations</w:t>
      </w:r>
      <w:r>
        <w:tab/>
      </w:r>
      <w:r>
        <w:fldChar w:fldCharType="begin"/>
      </w:r>
      <w:r>
        <w:instrText xml:space="preserve"> PAGEREF _Toc194933188 \h </w:instrText>
      </w:r>
      <w:r>
        <w:fldChar w:fldCharType="separate"/>
      </w:r>
      <w:r>
        <w:t>160</w:t>
      </w:r>
      <w:r>
        <w:fldChar w:fldCharType="end"/>
      </w:r>
    </w:p>
    <w:p>
      <w:pPr>
        <w:pStyle w:val="TOC8"/>
        <w:rPr>
          <w:rFonts w:asciiTheme="minorHAnsi" w:eastAsiaTheme="minorEastAsia" w:hAnsiTheme="minorHAnsi" w:cstheme="minorBidi"/>
          <w:szCs w:val="22"/>
        </w:rPr>
      </w:pPr>
      <w:r>
        <w:t>252.</w:t>
      </w:r>
      <w:r>
        <w:tab/>
        <w:t>Cancellation and suspension giving effect to court orders</w:t>
      </w:r>
      <w:r>
        <w:tab/>
      </w:r>
      <w:r>
        <w:fldChar w:fldCharType="begin"/>
      </w:r>
      <w:r>
        <w:instrText xml:space="preserve"> PAGEREF _Toc194933189 \h </w:instrText>
      </w:r>
      <w:r>
        <w:fldChar w:fldCharType="separate"/>
      </w:r>
      <w:r>
        <w:t>160</w:t>
      </w:r>
      <w:r>
        <w:fldChar w:fldCharType="end"/>
      </w:r>
    </w:p>
    <w:p>
      <w:pPr>
        <w:pStyle w:val="TOC8"/>
        <w:rPr>
          <w:rFonts w:asciiTheme="minorHAnsi" w:eastAsiaTheme="minorEastAsia" w:hAnsiTheme="minorHAnsi" w:cstheme="minorBidi"/>
          <w:szCs w:val="22"/>
        </w:rPr>
      </w:pPr>
      <w:r>
        <w:t>253.</w:t>
      </w:r>
      <w:r>
        <w:tab/>
        <w:t>Variation of licences on application</w:t>
      </w:r>
      <w:r>
        <w:tab/>
      </w:r>
      <w:r>
        <w:fldChar w:fldCharType="begin"/>
      </w:r>
      <w:r>
        <w:instrText xml:space="preserve"> PAGEREF _Toc194933190 \h </w:instrText>
      </w:r>
      <w:r>
        <w:fldChar w:fldCharType="separate"/>
      </w:r>
      <w:r>
        <w:t>160</w:t>
      </w:r>
      <w:r>
        <w:fldChar w:fldCharType="end"/>
      </w:r>
    </w:p>
    <w:p>
      <w:pPr>
        <w:pStyle w:val="TOC8"/>
        <w:rPr>
          <w:rFonts w:asciiTheme="minorHAnsi" w:eastAsiaTheme="minorEastAsia" w:hAnsiTheme="minorHAnsi" w:cstheme="minorBidi"/>
          <w:szCs w:val="22"/>
        </w:rPr>
      </w:pPr>
      <w:r>
        <w:t>254.</w:t>
      </w:r>
      <w:r>
        <w:tab/>
        <w:t>Cancellation, suspension and variation in other circumstances</w:t>
      </w:r>
      <w:r>
        <w:tab/>
      </w:r>
      <w:r>
        <w:fldChar w:fldCharType="begin"/>
      </w:r>
      <w:r>
        <w:instrText xml:space="preserve"> PAGEREF _Toc194933191 \h </w:instrText>
      </w:r>
      <w:r>
        <w:fldChar w:fldCharType="separate"/>
      </w:r>
      <w:r>
        <w:t>161</w:t>
      </w:r>
      <w:r>
        <w:fldChar w:fldCharType="end"/>
      </w:r>
    </w:p>
    <w:p>
      <w:pPr>
        <w:pStyle w:val="TOC8"/>
        <w:rPr>
          <w:rFonts w:asciiTheme="minorHAnsi" w:eastAsiaTheme="minorEastAsia" w:hAnsiTheme="minorHAnsi" w:cstheme="minorBidi"/>
          <w:szCs w:val="22"/>
        </w:rPr>
      </w:pPr>
      <w:r>
        <w:t>255.</w:t>
      </w:r>
      <w:r>
        <w:tab/>
        <w:t>When cancellation, suspension and variation take effect</w:t>
      </w:r>
      <w:r>
        <w:tab/>
      </w:r>
      <w:r>
        <w:fldChar w:fldCharType="begin"/>
      </w:r>
      <w:r>
        <w:instrText xml:space="preserve"> PAGEREF _Toc194933192 \h </w:instrText>
      </w:r>
      <w:r>
        <w:fldChar w:fldCharType="separate"/>
      </w:r>
      <w:r>
        <w:t>162</w:t>
      </w:r>
      <w:r>
        <w:fldChar w:fldCharType="end"/>
      </w:r>
    </w:p>
    <w:p>
      <w:pPr>
        <w:pStyle w:val="TOC8"/>
        <w:rPr>
          <w:rFonts w:asciiTheme="minorHAnsi" w:eastAsiaTheme="minorEastAsia" w:hAnsiTheme="minorHAnsi" w:cstheme="minorBidi"/>
          <w:szCs w:val="22"/>
        </w:rPr>
      </w:pPr>
      <w:r>
        <w:t>256.</w:t>
      </w:r>
      <w:r>
        <w:tab/>
        <w:t>When licences taken to be suspended</w:t>
      </w:r>
      <w:r>
        <w:tab/>
      </w:r>
      <w:r>
        <w:fldChar w:fldCharType="begin"/>
      </w:r>
      <w:r>
        <w:instrText xml:space="preserve"> PAGEREF _Toc194933193 \h </w:instrText>
      </w:r>
      <w:r>
        <w:fldChar w:fldCharType="separate"/>
      </w:r>
      <w:r>
        <w:t>162</w:t>
      </w:r>
      <w:r>
        <w:fldChar w:fldCharType="end"/>
      </w:r>
    </w:p>
    <w:p>
      <w:pPr>
        <w:pStyle w:val="TOC2"/>
        <w:tabs>
          <w:tab w:val="right" w:leader="dot" w:pos="7077"/>
        </w:tabs>
        <w:rPr>
          <w:rFonts w:asciiTheme="minorHAnsi" w:eastAsiaTheme="minorEastAsia" w:hAnsiTheme="minorHAnsi" w:cstheme="minorBidi"/>
          <w:b w:val="0"/>
          <w:sz w:val="22"/>
          <w:szCs w:val="22"/>
        </w:rPr>
      </w:pPr>
      <w:r>
        <w:t>Part 18 — Insurance</w:t>
      </w:r>
    </w:p>
    <w:p>
      <w:pPr>
        <w:pStyle w:val="TOC8"/>
        <w:rPr>
          <w:rFonts w:asciiTheme="minorHAnsi" w:eastAsiaTheme="minorEastAsia" w:hAnsiTheme="minorHAnsi" w:cstheme="minorBidi"/>
          <w:szCs w:val="22"/>
        </w:rPr>
      </w:pPr>
      <w:r>
        <w:rPr>
          <w:color w:val="000000"/>
        </w:rPr>
        <w:t>257.</w:t>
      </w:r>
      <w:r>
        <w:rPr>
          <w:color w:val="000000"/>
        </w:rPr>
        <w:tab/>
        <w:t>Duty on owners</w:t>
      </w:r>
      <w:r>
        <w:tab/>
      </w:r>
      <w:r>
        <w:fldChar w:fldCharType="begin"/>
      </w:r>
      <w:r>
        <w:instrText xml:space="preserve"> PAGEREF _Toc194933195 \h </w:instrText>
      </w:r>
      <w:r>
        <w:fldChar w:fldCharType="separate"/>
      </w:r>
      <w:r>
        <w:t>163</w:t>
      </w:r>
      <w:r>
        <w:fldChar w:fldCharType="end"/>
      </w:r>
    </w:p>
    <w:p>
      <w:pPr>
        <w:pStyle w:val="TOC8"/>
        <w:rPr>
          <w:rFonts w:asciiTheme="minorHAnsi" w:eastAsiaTheme="minorEastAsia" w:hAnsiTheme="minorHAnsi" w:cstheme="minorBidi"/>
          <w:szCs w:val="22"/>
        </w:rPr>
      </w:pPr>
      <w:r>
        <w:rPr>
          <w:color w:val="000000"/>
        </w:rPr>
        <w:t>258.</w:t>
      </w:r>
      <w:r>
        <w:rPr>
          <w:color w:val="000000"/>
        </w:rPr>
        <w:tab/>
        <w:t>Duty on prime contractors</w:t>
      </w:r>
      <w:r>
        <w:tab/>
      </w:r>
      <w:r>
        <w:fldChar w:fldCharType="begin"/>
      </w:r>
      <w:r>
        <w:instrText xml:space="preserve"> PAGEREF _Toc194933196 \h </w:instrText>
      </w:r>
      <w:r>
        <w:fldChar w:fldCharType="separate"/>
      </w:r>
      <w:r>
        <w:t>164</w:t>
      </w:r>
      <w:r>
        <w:fldChar w:fldCharType="end"/>
      </w:r>
    </w:p>
    <w:p>
      <w:pPr>
        <w:pStyle w:val="TOC8"/>
        <w:rPr>
          <w:rFonts w:asciiTheme="minorHAnsi" w:eastAsiaTheme="minorEastAsia" w:hAnsiTheme="minorHAnsi" w:cstheme="minorBidi"/>
          <w:szCs w:val="22"/>
        </w:rPr>
      </w:pPr>
      <w:r>
        <w:t>259.</w:t>
      </w:r>
      <w:r>
        <w:tab/>
        <w:t>Requiring evidence of insurance etc.</w:t>
      </w:r>
      <w:r>
        <w:tab/>
      </w:r>
      <w:r>
        <w:fldChar w:fldCharType="begin"/>
      </w:r>
      <w:r>
        <w:instrText xml:space="preserve"> PAGEREF _Toc194933197 \h </w:instrText>
      </w:r>
      <w:r>
        <w:fldChar w:fldCharType="separate"/>
      </w:r>
      <w:r>
        <w:t>165</w:t>
      </w:r>
      <w:r>
        <w:fldChar w:fldCharType="end"/>
      </w:r>
    </w:p>
    <w:p>
      <w:pPr>
        <w:pStyle w:val="TOC8"/>
        <w:rPr>
          <w:rFonts w:asciiTheme="minorHAnsi" w:eastAsiaTheme="minorEastAsia" w:hAnsiTheme="minorHAnsi" w:cstheme="minorBidi"/>
          <w:szCs w:val="22"/>
        </w:rPr>
      </w:pPr>
      <w:r>
        <w:rPr>
          <w:color w:val="000000"/>
        </w:rPr>
        <w:t>260.</w:t>
      </w:r>
      <w:r>
        <w:rPr>
          <w:color w:val="000000"/>
        </w:rPr>
        <w:tab/>
        <w:t>Approvals — insurance</w:t>
      </w:r>
      <w:r>
        <w:tab/>
      </w:r>
      <w:r>
        <w:fldChar w:fldCharType="begin"/>
      </w:r>
      <w:r>
        <w:instrText xml:space="preserve"> PAGEREF _Toc194933198 \h </w:instrText>
      </w:r>
      <w:r>
        <w:fldChar w:fldCharType="separate"/>
      </w:r>
      <w:r>
        <w:t>165</w:t>
      </w:r>
      <w:r>
        <w:fldChar w:fldCharType="end"/>
      </w:r>
    </w:p>
    <w:p>
      <w:pPr>
        <w:pStyle w:val="TOC2"/>
        <w:tabs>
          <w:tab w:val="right" w:leader="dot" w:pos="7077"/>
        </w:tabs>
        <w:rPr>
          <w:rFonts w:asciiTheme="minorHAnsi" w:eastAsiaTheme="minorEastAsia" w:hAnsiTheme="minorHAnsi" w:cstheme="minorBidi"/>
          <w:b w:val="0"/>
          <w:sz w:val="22"/>
          <w:szCs w:val="22"/>
        </w:rPr>
      </w:pPr>
      <w:r>
        <w:t>Part 19 — Mutual recognition</w:t>
      </w:r>
    </w:p>
    <w:p>
      <w:pPr>
        <w:pStyle w:val="TOC4"/>
        <w:tabs>
          <w:tab w:val="right" w:leader="dot" w:pos="7077"/>
        </w:tabs>
        <w:rPr>
          <w:rFonts w:asciiTheme="minorHAnsi" w:eastAsiaTheme="minorEastAsia" w:hAnsiTheme="minorHAnsi" w:cstheme="minorBidi"/>
          <w:b w:val="0"/>
          <w:szCs w:val="22"/>
        </w:rPr>
      </w:pPr>
      <w:r>
        <w:t>Division 1 — Recommendations by Chief Officer and corresponding authorities</w:t>
      </w:r>
    </w:p>
    <w:p>
      <w:pPr>
        <w:pStyle w:val="TOC8"/>
        <w:rPr>
          <w:rFonts w:asciiTheme="minorHAnsi" w:eastAsiaTheme="minorEastAsia" w:hAnsiTheme="minorHAnsi" w:cstheme="minorBidi"/>
          <w:szCs w:val="22"/>
        </w:rPr>
      </w:pPr>
      <w:r>
        <w:t>261.</w:t>
      </w:r>
      <w:r>
        <w:tab/>
        <w:t>Recommendations by Chief Officer</w:t>
      </w:r>
      <w:r>
        <w:tab/>
      </w:r>
      <w:r>
        <w:fldChar w:fldCharType="begin"/>
      </w:r>
      <w:r>
        <w:instrText xml:space="preserve"> PAGEREF _Toc194933201 \h </w:instrText>
      </w:r>
      <w:r>
        <w:fldChar w:fldCharType="separate"/>
      </w:r>
      <w:r>
        <w:t>166</w:t>
      </w:r>
      <w:r>
        <w:fldChar w:fldCharType="end"/>
      </w:r>
    </w:p>
    <w:p>
      <w:pPr>
        <w:pStyle w:val="TOC8"/>
        <w:rPr>
          <w:rFonts w:asciiTheme="minorHAnsi" w:eastAsiaTheme="minorEastAsia" w:hAnsiTheme="minorHAnsi" w:cstheme="minorBidi"/>
          <w:szCs w:val="22"/>
        </w:rPr>
      </w:pPr>
      <w:r>
        <w:t>262.</w:t>
      </w:r>
      <w:r>
        <w:tab/>
        <w:t>Recommendations by corresponding authorities</w:t>
      </w:r>
      <w:r>
        <w:tab/>
      </w:r>
      <w:r>
        <w:fldChar w:fldCharType="begin"/>
      </w:r>
      <w:r>
        <w:instrText xml:space="preserve"> PAGEREF _Toc194933202 \h </w:instrText>
      </w:r>
      <w:r>
        <w:fldChar w:fldCharType="separate"/>
      </w:r>
      <w:r>
        <w:t>166</w:t>
      </w:r>
      <w:r>
        <w:fldChar w:fldCharType="end"/>
      </w:r>
    </w:p>
    <w:p>
      <w:pPr>
        <w:pStyle w:val="TOC4"/>
        <w:tabs>
          <w:tab w:val="right" w:leader="dot" w:pos="7077"/>
        </w:tabs>
        <w:rPr>
          <w:rFonts w:asciiTheme="minorHAnsi" w:eastAsiaTheme="minorEastAsia" w:hAnsiTheme="minorHAnsi" w:cstheme="minorBidi"/>
          <w:b w:val="0"/>
          <w:szCs w:val="22"/>
        </w:rPr>
      </w:pPr>
      <w:r>
        <w:t>Division 2 — Mutual recognition of determinations, exemptions, approvals and licences</w:t>
      </w:r>
    </w:p>
    <w:p>
      <w:pPr>
        <w:pStyle w:val="TOC8"/>
        <w:rPr>
          <w:rFonts w:asciiTheme="minorHAnsi" w:eastAsiaTheme="minorEastAsia" w:hAnsiTheme="minorHAnsi" w:cstheme="minorBidi"/>
          <w:szCs w:val="22"/>
        </w:rPr>
      </w:pPr>
      <w:r>
        <w:t>263.</w:t>
      </w:r>
      <w:r>
        <w:tab/>
        <w:t>Corresponding determinations</w:t>
      </w:r>
      <w:r>
        <w:tab/>
      </w:r>
      <w:r>
        <w:fldChar w:fldCharType="begin"/>
      </w:r>
      <w:r>
        <w:instrText xml:space="preserve"> PAGEREF _Toc194933204 \h </w:instrText>
      </w:r>
      <w:r>
        <w:fldChar w:fldCharType="separate"/>
      </w:r>
      <w:r>
        <w:t>167</w:t>
      </w:r>
      <w:r>
        <w:fldChar w:fldCharType="end"/>
      </w:r>
    </w:p>
    <w:p>
      <w:pPr>
        <w:pStyle w:val="TOC8"/>
        <w:rPr>
          <w:rFonts w:asciiTheme="minorHAnsi" w:eastAsiaTheme="minorEastAsia" w:hAnsiTheme="minorHAnsi" w:cstheme="minorBidi"/>
          <w:szCs w:val="22"/>
        </w:rPr>
      </w:pPr>
      <w:r>
        <w:t>264.</w:t>
      </w:r>
      <w:r>
        <w:tab/>
        <w:t>Corresponding exemptions</w:t>
      </w:r>
      <w:r>
        <w:tab/>
      </w:r>
      <w:r>
        <w:fldChar w:fldCharType="begin"/>
      </w:r>
      <w:r>
        <w:instrText xml:space="preserve"> PAGEREF _Toc194933205 \h </w:instrText>
      </w:r>
      <w:r>
        <w:fldChar w:fldCharType="separate"/>
      </w:r>
      <w:r>
        <w:t>168</w:t>
      </w:r>
      <w:r>
        <w:fldChar w:fldCharType="end"/>
      </w:r>
    </w:p>
    <w:p>
      <w:pPr>
        <w:pStyle w:val="TOC8"/>
        <w:rPr>
          <w:rFonts w:asciiTheme="minorHAnsi" w:eastAsiaTheme="minorEastAsia" w:hAnsiTheme="minorHAnsi" w:cstheme="minorBidi"/>
          <w:szCs w:val="22"/>
        </w:rPr>
      </w:pPr>
      <w:r>
        <w:t>265.</w:t>
      </w:r>
      <w:r>
        <w:tab/>
        <w:t>Corresponding approvals</w:t>
      </w:r>
      <w:r>
        <w:tab/>
      </w:r>
      <w:r>
        <w:fldChar w:fldCharType="begin"/>
      </w:r>
      <w:r>
        <w:instrText xml:space="preserve"> PAGEREF _Toc194933206 \h </w:instrText>
      </w:r>
      <w:r>
        <w:fldChar w:fldCharType="separate"/>
      </w:r>
      <w:r>
        <w:t>168</w:t>
      </w:r>
      <w:r>
        <w:fldChar w:fldCharType="end"/>
      </w:r>
    </w:p>
    <w:p>
      <w:pPr>
        <w:pStyle w:val="TOC8"/>
        <w:rPr>
          <w:rFonts w:asciiTheme="minorHAnsi" w:eastAsiaTheme="minorEastAsia" w:hAnsiTheme="minorHAnsi" w:cstheme="minorBidi"/>
          <w:szCs w:val="22"/>
        </w:rPr>
      </w:pPr>
      <w:r>
        <w:t>266.</w:t>
      </w:r>
      <w:r>
        <w:tab/>
        <w:t>Corresponding licences</w:t>
      </w:r>
      <w:r>
        <w:tab/>
      </w:r>
      <w:r>
        <w:fldChar w:fldCharType="begin"/>
      </w:r>
      <w:r>
        <w:instrText xml:space="preserve"> PAGEREF _Toc194933207 \h </w:instrText>
      </w:r>
      <w:r>
        <w:fldChar w:fldCharType="separate"/>
      </w:r>
      <w:r>
        <w:t>169</w:t>
      </w:r>
      <w:r>
        <w:fldChar w:fldCharType="end"/>
      </w:r>
    </w:p>
    <w:p>
      <w:pPr>
        <w:pStyle w:val="TOC8"/>
        <w:rPr>
          <w:rFonts w:asciiTheme="minorHAnsi" w:eastAsiaTheme="minorEastAsia" w:hAnsiTheme="minorHAnsi" w:cstheme="minorBidi"/>
          <w:szCs w:val="22"/>
        </w:rPr>
      </w:pPr>
      <w:r>
        <w:t>267A.</w:t>
      </w:r>
      <w:r>
        <w:tab/>
        <w:t>Reference of determination, exemption or approval to CAP for the purposes of mutual recognition</w:t>
      </w:r>
      <w:r>
        <w:tab/>
      </w:r>
      <w:r>
        <w:fldChar w:fldCharType="begin"/>
      </w:r>
      <w:r>
        <w:instrText xml:space="preserve"> PAGEREF _Toc194933208 \h </w:instrText>
      </w:r>
      <w:r>
        <w:fldChar w:fldCharType="separate"/>
      </w:r>
      <w:r>
        <w:t>170</w:t>
      </w:r>
      <w:r>
        <w:fldChar w:fldCharType="end"/>
      </w:r>
    </w:p>
    <w:p>
      <w:pPr>
        <w:pStyle w:val="TOC2"/>
        <w:tabs>
          <w:tab w:val="right" w:leader="dot" w:pos="7077"/>
        </w:tabs>
        <w:rPr>
          <w:rFonts w:asciiTheme="minorHAnsi" w:eastAsiaTheme="minorEastAsia" w:hAnsiTheme="minorHAnsi" w:cstheme="minorBidi"/>
          <w:b w:val="0"/>
          <w:sz w:val="22"/>
          <w:szCs w:val="22"/>
        </w:rPr>
      </w:pPr>
      <w:r>
        <w:t>Part 20 — Reconsideration and review of decisions</w:t>
      </w:r>
    </w:p>
    <w:p>
      <w:pPr>
        <w:pStyle w:val="TOC8"/>
        <w:rPr>
          <w:rFonts w:asciiTheme="minorHAnsi" w:eastAsiaTheme="minorEastAsia" w:hAnsiTheme="minorHAnsi" w:cstheme="minorBidi"/>
          <w:szCs w:val="22"/>
        </w:rPr>
      </w:pPr>
      <w:r>
        <w:t>267.</w:t>
      </w:r>
      <w:r>
        <w:tab/>
        <w:t>Application of Part</w:t>
      </w:r>
      <w:r>
        <w:tab/>
      </w:r>
      <w:r>
        <w:fldChar w:fldCharType="begin"/>
      </w:r>
      <w:r>
        <w:instrText xml:space="preserve"> PAGEREF _Toc194933210 \h </w:instrText>
      </w:r>
      <w:r>
        <w:fldChar w:fldCharType="separate"/>
      </w:r>
      <w:r>
        <w:t>171</w:t>
      </w:r>
      <w:r>
        <w:fldChar w:fldCharType="end"/>
      </w:r>
    </w:p>
    <w:p>
      <w:pPr>
        <w:pStyle w:val="TOC8"/>
        <w:rPr>
          <w:rFonts w:asciiTheme="minorHAnsi" w:eastAsiaTheme="minorEastAsia" w:hAnsiTheme="minorHAnsi" w:cstheme="minorBidi"/>
          <w:szCs w:val="22"/>
        </w:rPr>
      </w:pPr>
      <w:r>
        <w:t>268.</w:t>
      </w:r>
      <w:r>
        <w:tab/>
        <w:t>Who may apply for reconsideration of decisions</w:t>
      </w:r>
      <w:r>
        <w:tab/>
      </w:r>
      <w:r>
        <w:fldChar w:fldCharType="begin"/>
      </w:r>
      <w:r>
        <w:instrText xml:space="preserve"> PAGEREF _Toc194933211 \h </w:instrText>
      </w:r>
      <w:r>
        <w:fldChar w:fldCharType="separate"/>
      </w:r>
      <w:r>
        <w:t>172</w:t>
      </w:r>
      <w:r>
        <w:fldChar w:fldCharType="end"/>
      </w:r>
    </w:p>
    <w:p>
      <w:pPr>
        <w:pStyle w:val="TOC8"/>
        <w:rPr>
          <w:rFonts w:asciiTheme="minorHAnsi" w:eastAsiaTheme="minorEastAsia" w:hAnsiTheme="minorHAnsi" w:cstheme="minorBidi"/>
          <w:szCs w:val="22"/>
        </w:rPr>
      </w:pPr>
      <w:r>
        <w:lastRenderedPageBreak/>
        <w:t>269.</w:t>
      </w:r>
      <w:r>
        <w:tab/>
        <w:t>Applications for reconsideration</w:t>
      </w:r>
      <w:r>
        <w:tab/>
      </w:r>
      <w:r>
        <w:fldChar w:fldCharType="begin"/>
      </w:r>
      <w:r>
        <w:instrText xml:space="preserve"> PAGEREF _Toc194933212 \h </w:instrText>
      </w:r>
      <w:r>
        <w:fldChar w:fldCharType="separate"/>
      </w:r>
      <w:r>
        <w:t>173</w:t>
      </w:r>
      <w:r>
        <w:fldChar w:fldCharType="end"/>
      </w:r>
    </w:p>
    <w:p>
      <w:pPr>
        <w:pStyle w:val="TOC8"/>
        <w:rPr>
          <w:rFonts w:asciiTheme="minorHAnsi" w:eastAsiaTheme="minorEastAsia" w:hAnsiTheme="minorHAnsi" w:cstheme="minorBidi"/>
          <w:szCs w:val="22"/>
        </w:rPr>
      </w:pPr>
      <w:r>
        <w:t>270.</w:t>
      </w:r>
      <w:r>
        <w:tab/>
        <w:t>Chief Officer to reconsider decisions</w:t>
      </w:r>
      <w:r>
        <w:tab/>
      </w:r>
      <w:r>
        <w:fldChar w:fldCharType="begin"/>
      </w:r>
      <w:r>
        <w:instrText xml:space="preserve"> PAGEREF _Toc194933213 \h </w:instrText>
      </w:r>
      <w:r>
        <w:fldChar w:fldCharType="separate"/>
      </w:r>
      <w:r>
        <w:t>173</w:t>
      </w:r>
      <w:r>
        <w:fldChar w:fldCharType="end"/>
      </w:r>
    </w:p>
    <w:p>
      <w:pPr>
        <w:pStyle w:val="TOC2"/>
        <w:tabs>
          <w:tab w:val="right" w:leader="dot" w:pos="7077"/>
        </w:tabs>
        <w:rPr>
          <w:rFonts w:asciiTheme="minorHAnsi" w:eastAsiaTheme="minorEastAsia" w:hAnsiTheme="minorHAnsi" w:cstheme="minorBidi"/>
          <w:b w:val="0"/>
          <w:sz w:val="22"/>
          <w:szCs w:val="22"/>
        </w:rPr>
      </w:pPr>
      <w:r>
        <w:t>Part 21 — Infringement notices</w:t>
      </w:r>
    </w:p>
    <w:p>
      <w:pPr>
        <w:pStyle w:val="TOC8"/>
        <w:rPr>
          <w:rFonts w:asciiTheme="minorHAnsi" w:eastAsiaTheme="minorEastAsia" w:hAnsiTheme="minorHAnsi" w:cstheme="minorBidi"/>
          <w:szCs w:val="22"/>
        </w:rPr>
      </w:pPr>
      <w:r>
        <w:t>271.</w:t>
      </w:r>
      <w:r>
        <w:tab/>
        <w:t>Infringement notice offences and modified penalties</w:t>
      </w:r>
      <w:r>
        <w:tab/>
      </w:r>
      <w:r>
        <w:fldChar w:fldCharType="begin"/>
      </w:r>
      <w:r>
        <w:instrText xml:space="preserve"> PAGEREF _Toc194933215 \h </w:instrText>
      </w:r>
      <w:r>
        <w:fldChar w:fldCharType="separate"/>
      </w:r>
      <w:r>
        <w:t>174</w:t>
      </w:r>
      <w:r>
        <w:fldChar w:fldCharType="end"/>
      </w:r>
    </w:p>
    <w:p>
      <w:pPr>
        <w:pStyle w:val="TOC2"/>
        <w:tabs>
          <w:tab w:val="right" w:leader="dot" w:pos="7077"/>
        </w:tabs>
        <w:rPr>
          <w:rFonts w:asciiTheme="minorHAnsi" w:eastAsiaTheme="minorEastAsia" w:hAnsiTheme="minorHAnsi" w:cstheme="minorBidi"/>
          <w:b w:val="0"/>
          <w:sz w:val="22"/>
          <w:szCs w:val="22"/>
        </w:rPr>
      </w:pPr>
      <w:r>
        <w:t>Part 22 — Fees</w:t>
      </w:r>
    </w:p>
    <w:p>
      <w:pPr>
        <w:pStyle w:val="TOC8"/>
        <w:rPr>
          <w:rFonts w:asciiTheme="minorHAnsi" w:eastAsiaTheme="minorEastAsia" w:hAnsiTheme="minorHAnsi" w:cstheme="minorBidi"/>
          <w:szCs w:val="22"/>
        </w:rPr>
      </w:pPr>
      <w:r>
        <w:t>272.</w:t>
      </w:r>
      <w:r>
        <w:tab/>
        <w:t>Fees prescribed</w:t>
      </w:r>
      <w:r>
        <w:tab/>
      </w:r>
      <w:r>
        <w:fldChar w:fldCharType="begin"/>
      </w:r>
      <w:r>
        <w:instrText xml:space="preserve"> PAGEREF _Toc194933217 \h </w:instrText>
      </w:r>
      <w:r>
        <w:fldChar w:fldCharType="separate"/>
      </w:r>
      <w:r>
        <w:t>175</w:t>
      </w:r>
      <w:r>
        <w:fldChar w:fldCharType="end"/>
      </w:r>
    </w:p>
    <w:p>
      <w:pPr>
        <w:pStyle w:val="TOC2"/>
        <w:tabs>
          <w:tab w:val="right" w:leader="dot" w:pos="7077"/>
        </w:tabs>
        <w:rPr>
          <w:rFonts w:asciiTheme="minorHAnsi" w:eastAsiaTheme="minorEastAsia" w:hAnsiTheme="minorHAnsi" w:cstheme="minorBidi"/>
          <w:b w:val="0"/>
          <w:sz w:val="22"/>
          <w:szCs w:val="22"/>
        </w:rPr>
      </w:pPr>
      <w:r>
        <w:t>Part 22A</w:t>
      </w:r>
      <w:r>
        <w:rPr>
          <w:b w:val="0"/>
        </w:rPr>
        <w:t> </w:t>
      </w:r>
      <w:r>
        <w:t>—</w:t>
      </w:r>
      <w:r>
        <w:rPr>
          <w:b w:val="0"/>
        </w:rPr>
        <w:t> </w:t>
      </w:r>
      <w:r>
        <w:t>Miscellaneous</w:t>
      </w:r>
    </w:p>
    <w:p>
      <w:pPr>
        <w:pStyle w:val="TOC8"/>
        <w:rPr>
          <w:rFonts w:asciiTheme="minorHAnsi" w:eastAsiaTheme="minorEastAsia" w:hAnsiTheme="minorHAnsi" w:cstheme="minorBidi"/>
          <w:szCs w:val="22"/>
        </w:rPr>
      </w:pPr>
      <w:r>
        <w:t>272A.</w:t>
      </w:r>
      <w:r>
        <w:tab/>
        <w:t>Exception for offence involving compliance with ADG Code</w:t>
      </w:r>
      <w:r>
        <w:tab/>
      </w:r>
      <w:r>
        <w:fldChar w:fldCharType="begin"/>
      </w:r>
      <w:r>
        <w:instrText xml:space="preserve"> PAGEREF _Toc194933219 \h </w:instrText>
      </w:r>
      <w:r>
        <w:fldChar w:fldCharType="separate"/>
      </w:r>
      <w:r>
        <w:t>176</w:t>
      </w:r>
      <w:r>
        <w:fldChar w:fldCharType="end"/>
      </w:r>
    </w:p>
    <w:p>
      <w:pPr>
        <w:pStyle w:val="TOC2"/>
        <w:tabs>
          <w:tab w:val="right" w:leader="dot" w:pos="7077"/>
        </w:tabs>
        <w:rPr>
          <w:rFonts w:asciiTheme="minorHAnsi" w:eastAsiaTheme="minorEastAsia" w:hAnsiTheme="minorHAnsi" w:cstheme="minorBidi"/>
          <w:b w:val="0"/>
          <w:sz w:val="22"/>
          <w:szCs w:val="22"/>
        </w:rPr>
      </w:pPr>
      <w:r>
        <w:t>Part 23 — Transitional</w:t>
      </w:r>
    </w:p>
    <w:p>
      <w:pPr>
        <w:pStyle w:val="TOC4"/>
        <w:tabs>
          <w:tab w:val="right" w:leader="dot" w:pos="7077"/>
        </w:tabs>
        <w:rPr>
          <w:rFonts w:asciiTheme="minorHAnsi" w:eastAsiaTheme="minorEastAsia" w:hAnsiTheme="minorHAnsi" w:cstheme="minorBidi"/>
          <w:b w:val="0"/>
          <w:szCs w:val="22"/>
        </w:rPr>
      </w:pPr>
      <w:r>
        <w:t xml:space="preserve">Division 1 — Provisions for </w:t>
      </w:r>
      <w:r>
        <w:rPr>
          <w:i/>
        </w:rPr>
        <w:t>Dangerous Goods (Transport) Act 1998</w:t>
      </w:r>
    </w:p>
    <w:p>
      <w:pPr>
        <w:pStyle w:val="TOC8"/>
        <w:rPr>
          <w:rFonts w:asciiTheme="minorHAnsi" w:eastAsiaTheme="minorEastAsia" w:hAnsiTheme="minorHAnsi" w:cstheme="minorBidi"/>
          <w:szCs w:val="22"/>
        </w:rPr>
      </w:pPr>
      <w:r>
        <w:t>273.</w:t>
      </w:r>
      <w:r>
        <w:tab/>
        <w:t>Terms used</w:t>
      </w:r>
      <w:r>
        <w:tab/>
      </w:r>
      <w:r>
        <w:fldChar w:fldCharType="begin"/>
      </w:r>
      <w:r>
        <w:instrText xml:space="preserve"> PAGEREF _Toc194933222 \h </w:instrText>
      </w:r>
      <w:r>
        <w:fldChar w:fldCharType="separate"/>
      </w:r>
      <w:r>
        <w:t>177</w:t>
      </w:r>
      <w:r>
        <w:fldChar w:fldCharType="end"/>
      </w:r>
    </w:p>
    <w:p>
      <w:pPr>
        <w:pStyle w:val="TOC8"/>
        <w:rPr>
          <w:rFonts w:asciiTheme="minorHAnsi" w:eastAsiaTheme="minorEastAsia" w:hAnsiTheme="minorHAnsi" w:cstheme="minorBidi"/>
          <w:szCs w:val="22"/>
        </w:rPr>
      </w:pPr>
      <w:r>
        <w:rPr>
          <w:color w:val="000000"/>
        </w:rPr>
        <w:t>274.</w:t>
      </w:r>
      <w:r>
        <w:rPr>
          <w:color w:val="000000"/>
        </w:rPr>
        <w:tab/>
        <w:t>Lawful conduct under repealed regulations</w:t>
      </w:r>
      <w:r>
        <w:tab/>
      </w:r>
      <w:r>
        <w:fldChar w:fldCharType="begin"/>
      </w:r>
      <w:r>
        <w:instrText xml:space="preserve"> PAGEREF _Toc194933223 \h </w:instrText>
      </w:r>
      <w:r>
        <w:fldChar w:fldCharType="separate"/>
      </w:r>
      <w:r>
        <w:t>177</w:t>
      </w:r>
      <w:r>
        <w:fldChar w:fldCharType="end"/>
      </w:r>
    </w:p>
    <w:p>
      <w:pPr>
        <w:pStyle w:val="TOC8"/>
        <w:rPr>
          <w:rFonts w:asciiTheme="minorHAnsi" w:eastAsiaTheme="minorEastAsia" w:hAnsiTheme="minorHAnsi" w:cstheme="minorBidi"/>
          <w:szCs w:val="22"/>
        </w:rPr>
      </w:pPr>
      <w:r>
        <w:t>275.</w:t>
      </w:r>
      <w:r>
        <w:tab/>
        <w:t>Continuing effect of certain determinations</w:t>
      </w:r>
      <w:r>
        <w:tab/>
      </w:r>
      <w:r>
        <w:fldChar w:fldCharType="begin"/>
      </w:r>
      <w:r>
        <w:instrText xml:space="preserve"> PAGEREF _Toc194933224 \h </w:instrText>
      </w:r>
      <w:r>
        <w:fldChar w:fldCharType="separate"/>
      </w:r>
      <w:r>
        <w:t>178</w:t>
      </w:r>
      <w:r>
        <w:fldChar w:fldCharType="end"/>
      </w:r>
    </w:p>
    <w:p>
      <w:pPr>
        <w:pStyle w:val="TOC8"/>
        <w:rPr>
          <w:rFonts w:asciiTheme="minorHAnsi" w:eastAsiaTheme="minorEastAsia" w:hAnsiTheme="minorHAnsi" w:cstheme="minorBidi"/>
          <w:szCs w:val="22"/>
        </w:rPr>
      </w:pPr>
      <w:r>
        <w:t>276.</w:t>
      </w:r>
      <w:r>
        <w:tab/>
        <w:t>Continuing effect of certain corresponding determinations</w:t>
      </w:r>
      <w:r>
        <w:tab/>
      </w:r>
      <w:r>
        <w:fldChar w:fldCharType="begin"/>
      </w:r>
      <w:r>
        <w:instrText xml:space="preserve"> PAGEREF _Toc194933225 \h </w:instrText>
      </w:r>
      <w:r>
        <w:fldChar w:fldCharType="separate"/>
      </w:r>
      <w:r>
        <w:t>178</w:t>
      </w:r>
      <w:r>
        <w:fldChar w:fldCharType="end"/>
      </w:r>
    </w:p>
    <w:p>
      <w:pPr>
        <w:pStyle w:val="TOC8"/>
        <w:rPr>
          <w:rFonts w:asciiTheme="minorHAnsi" w:eastAsiaTheme="minorEastAsia" w:hAnsiTheme="minorHAnsi" w:cstheme="minorBidi"/>
          <w:szCs w:val="22"/>
        </w:rPr>
      </w:pPr>
      <w:r>
        <w:rPr>
          <w:color w:val="000000"/>
        </w:rPr>
        <w:t>277.</w:t>
      </w:r>
      <w:r>
        <w:rPr>
          <w:color w:val="000000"/>
        </w:rPr>
        <w:tab/>
        <w:t>Continuing effect of certain exemptions</w:t>
      </w:r>
      <w:r>
        <w:tab/>
      </w:r>
      <w:r>
        <w:fldChar w:fldCharType="begin"/>
      </w:r>
      <w:r>
        <w:instrText xml:space="preserve"> PAGEREF _Toc194933226 \h </w:instrText>
      </w:r>
      <w:r>
        <w:fldChar w:fldCharType="separate"/>
      </w:r>
      <w:r>
        <w:t>179</w:t>
      </w:r>
      <w:r>
        <w:fldChar w:fldCharType="end"/>
      </w:r>
    </w:p>
    <w:p>
      <w:pPr>
        <w:pStyle w:val="TOC8"/>
        <w:rPr>
          <w:rFonts w:asciiTheme="minorHAnsi" w:eastAsiaTheme="minorEastAsia" w:hAnsiTheme="minorHAnsi" w:cstheme="minorBidi"/>
          <w:szCs w:val="22"/>
        </w:rPr>
      </w:pPr>
      <w:r>
        <w:t>278.</w:t>
      </w:r>
      <w:r>
        <w:tab/>
        <w:t>Continuing effect of certain corresponding exemptions</w:t>
      </w:r>
      <w:r>
        <w:tab/>
      </w:r>
      <w:r>
        <w:fldChar w:fldCharType="begin"/>
      </w:r>
      <w:r>
        <w:instrText xml:space="preserve"> PAGEREF _Toc194933227 \h </w:instrText>
      </w:r>
      <w:r>
        <w:fldChar w:fldCharType="separate"/>
      </w:r>
      <w:r>
        <w:t>179</w:t>
      </w:r>
      <w:r>
        <w:fldChar w:fldCharType="end"/>
      </w:r>
    </w:p>
    <w:p>
      <w:pPr>
        <w:pStyle w:val="TOC8"/>
        <w:rPr>
          <w:rFonts w:asciiTheme="minorHAnsi" w:eastAsiaTheme="minorEastAsia" w:hAnsiTheme="minorHAnsi" w:cstheme="minorBidi"/>
          <w:szCs w:val="22"/>
        </w:rPr>
      </w:pPr>
      <w:r>
        <w:t>279.</w:t>
      </w:r>
      <w:r>
        <w:tab/>
        <w:t>Continuing effect of certain approvals</w:t>
      </w:r>
      <w:r>
        <w:tab/>
      </w:r>
      <w:r>
        <w:fldChar w:fldCharType="begin"/>
      </w:r>
      <w:r>
        <w:instrText xml:space="preserve"> PAGEREF _Toc194933228 \h </w:instrText>
      </w:r>
      <w:r>
        <w:fldChar w:fldCharType="separate"/>
      </w:r>
      <w:r>
        <w:t>180</w:t>
      </w:r>
      <w:r>
        <w:fldChar w:fldCharType="end"/>
      </w:r>
    </w:p>
    <w:p>
      <w:pPr>
        <w:pStyle w:val="TOC8"/>
        <w:rPr>
          <w:rFonts w:asciiTheme="minorHAnsi" w:eastAsiaTheme="minorEastAsia" w:hAnsiTheme="minorHAnsi" w:cstheme="minorBidi"/>
          <w:szCs w:val="22"/>
        </w:rPr>
      </w:pPr>
      <w:r>
        <w:t>280.</w:t>
      </w:r>
      <w:r>
        <w:tab/>
        <w:t>Continuing effect of certain corresponding approvals</w:t>
      </w:r>
      <w:r>
        <w:tab/>
      </w:r>
      <w:r>
        <w:fldChar w:fldCharType="begin"/>
      </w:r>
      <w:r>
        <w:instrText xml:space="preserve"> PAGEREF _Toc194933229 \h </w:instrText>
      </w:r>
      <w:r>
        <w:fldChar w:fldCharType="separate"/>
      </w:r>
      <w:r>
        <w:t>181</w:t>
      </w:r>
      <w:r>
        <w:fldChar w:fldCharType="end"/>
      </w:r>
    </w:p>
    <w:p>
      <w:pPr>
        <w:pStyle w:val="TOC8"/>
        <w:rPr>
          <w:rFonts w:asciiTheme="minorHAnsi" w:eastAsiaTheme="minorEastAsia" w:hAnsiTheme="minorHAnsi" w:cstheme="minorBidi"/>
          <w:szCs w:val="22"/>
        </w:rPr>
      </w:pPr>
      <w:r>
        <w:t>281.</w:t>
      </w:r>
      <w:r>
        <w:tab/>
        <w:t>Continuing effect of certain licences</w:t>
      </w:r>
      <w:r>
        <w:tab/>
      </w:r>
      <w:r>
        <w:fldChar w:fldCharType="begin"/>
      </w:r>
      <w:r>
        <w:instrText xml:space="preserve"> PAGEREF _Toc194933230 \h </w:instrText>
      </w:r>
      <w:r>
        <w:fldChar w:fldCharType="separate"/>
      </w:r>
      <w:r>
        <w:t>181</w:t>
      </w:r>
      <w:r>
        <w:fldChar w:fldCharType="end"/>
      </w:r>
    </w:p>
    <w:p>
      <w:pPr>
        <w:pStyle w:val="TOC8"/>
        <w:rPr>
          <w:rFonts w:asciiTheme="minorHAnsi" w:eastAsiaTheme="minorEastAsia" w:hAnsiTheme="minorHAnsi" w:cstheme="minorBidi"/>
          <w:szCs w:val="22"/>
        </w:rPr>
      </w:pPr>
      <w:r>
        <w:t>282.</w:t>
      </w:r>
      <w:r>
        <w:tab/>
        <w:t>Continuing effect of certain corresponding licences</w:t>
      </w:r>
      <w:r>
        <w:tab/>
      </w:r>
      <w:r>
        <w:fldChar w:fldCharType="begin"/>
      </w:r>
      <w:r>
        <w:instrText xml:space="preserve"> PAGEREF _Toc194933231 \h </w:instrText>
      </w:r>
      <w:r>
        <w:fldChar w:fldCharType="separate"/>
      </w:r>
      <w:r>
        <w:t>182</w:t>
      </w:r>
      <w:r>
        <w:fldChar w:fldCharType="end"/>
      </w:r>
    </w:p>
    <w:p>
      <w:pPr>
        <w:pStyle w:val="TOC4"/>
        <w:tabs>
          <w:tab w:val="right" w:leader="dot" w:pos="7077"/>
        </w:tabs>
        <w:rPr>
          <w:rFonts w:asciiTheme="minorHAnsi" w:eastAsiaTheme="minorEastAsia" w:hAnsiTheme="minorHAnsi" w:cstheme="minorBidi"/>
          <w:b w:val="0"/>
          <w:szCs w:val="22"/>
        </w:rPr>
      </w:pPr>
      <w:r>
        <w:t>Division 2 — Other provisions</w:t>
      </w:r>
    </w:p>
    <w:p>
      <w:pPr>
        <w:pStyle w:val="TOC8"/>
        <w:rPr>
          <w:rFonts w:asciiTheme="minorHAnsi" w:eastAsiaTheme="minorEastAsia" w:hAnsiTheme="minorHAnsi" w:cstheme="minorBidi"/>
          <w:szCs w:val="22"/>
        </w:rPr>
      </w:pPr>
      <w:r>
        <w:t>283.</w:t>
      </w:r>
      <w:r>
        <w:tab/>
        <w:t>Assessing fitness to drive</w:t>
      </w:r>
      <w:r>
        <w:tab/>
      </w:r>
      <w:r>
        <w:fldChar w:fldCharType="begin"/>
      </w:r>
      <w:r>
        <w:instrText xml:space="preserve"> PAGEREF _Toc194933233 \h </w:instrText>
      </w:r>
      <w:r>
        <w:fldChar w:fldCharType="separate"/>
      </w:r>
      <w:r>
        <w:t>183</w:t>
      </w:r>
      <w:r>
        <w:fldChar w:fldCharType="end"/>
      </w:r>
    </w:p>
    <w:p>
      <w:pPr>
        <w:pStyle w:val="TOC4"/>
        <w:tabs>
          <w:tab w:val="right" w:leader="dot" w:pos="7077"/>
        </w:tabs>
        <w:rPr>
          <w:rFonts w:asciiTheme="minorHAnsi" w:eastAsiaTheme="minorEastAsia" w:hAnsiTheme="minorHAnsi" w:cstheme="minorBidi"/>
          <w:b w:val="0"/>
          <w:szCs w:val="22"/>
        </w:rPr>
      </w:pPr>
      <w:r>
        <w:t xml:space="preserve">Division 3 — Provision for </w:t>
      </w:r>
      <w:r>
        <w:rPr>
          <w:i/>
        </w:rPr>
        <w:t>Dangerous Goods Safety (Road and Rail Transport of Non</w:t>
      </w:r>
      <w:r>
        <w:rPr>
          <w:i/>
        </w:rPr>
        <w:noBreakHyphen/>
        <w:t>explosives) Amendment Regulations 2014</w:t>
      </w:r>
    </w:p>
    <w:p>
      <w:pPr>
        <w:pStyle w:val="TOC8"/>
        <w:rPr>
          <w:rFonts w:asciiTheme="minorHAnsi" w:eastAsiaTheme="minorEastAsia" w:hAnsiTheme="minorHAnsi" w:cstheme="minorBidi"/>
          <w:szCs w:val="22"/>
        </w:rPr>
      </w:pPr>
      <w:r>
        <w:t>284.</w:t>
      </w:r>
      <w:r>
        <w:tab/>
        <w:t>Transitional provision for offence involving compliance with ADG Code</w:t>
      </w:r>
      <w:r>
        <w:tab/>
      </w:r>
      <w:r>
        <w:fldChar w:fldCharType="begin"/>
      </w:r>
      <w:r>
        <w:instrText xml:space="preserve"> PAGEREF _Toc194933235 \h </w:instrText>
      </w:r>
      <w:r>
        <w:fldChar w:fldCharType="separate"/>
      </w:r>
      <w:r>
        <w:t>183</w:t>
      </w:r>
      <w:r>
        <w:fldChar w:fldCharType="end"/>
      </w:r>
    </w:p>
    <w:p>
      <w:pPr>
        <w:pStyle w:val="TOC4"/>
        <w:tabs>
          <w:tab w:val="right" w:leader="dot" w:pos="7077"/>
        </w:tabs>
        <w:rPr>
          <w:rFonts w:asciiTheme="minorHAnsi" w:eastAsiaTheme="minorEastAsia" w:hAnsiTheme="minorHAnsi" w:cstheme="minorBidi"/>
          <w:b w:val="0"/>
          <w:szCs w:val="22"/>
        </w:rPr>
      </w:pPr>
      <w:r>
        <w:lastRenderedPageBreak/>
        <w:t xml:space="preserve">Division 4 — Provision for </w:t>
      </w:r>
      <w:r>
        <w:rPr>
          <w:i/>
        </w:rPr>
        <w:t>Dangerous Goods Safety (Road and Rail Transport of Non</w:t>
      </w:r>
      <w:r>
        <w:rPr>
          <w:i/>
        </w:rPr>
        <w:noBreakHyphen/>
        <w:t>explosives) Amendment Regulations (No. 2) 2015</w:t>
      </w:r>
    </w:p>
    <w:p>
      <w:pPr>
        <w:pStyle w:val="TOC8"/>
        <w:rPr>
          <w:rFonts w:asciiTheme="minorHAnsi" w:eastAsiaTheme="minorEastAsia" w:hAnsiTheme="minorHAnsi" w:cstheme="minorBidi"/>
          <w:szCs w:val="22"/>
        </w:rPr>
      </w:pPr>
      <w:r>
        <w:t>285.</w:t>
      </w:r>
      <w:r>
        <w:tab/>
        <w:t>Transitional provision for offence involving compliance with ADG Code</w:t>
      </w:r>
      <w:r>
        <w:tab/>
      </w:r>
      <w:r>
        <w:fldChar w:fldCharType="begin"/>
      </w:r>
      <w:r>
        <w:instrText xml:space="preserve"> PAGEREF _Toc194933237 \h </w:instrText>
      </w:r>
      <w:r>
        <w:fldChar w:fldCharType="separate"/>
      </w:r>
      <w:r>
        <w:t>184</w:t>
      </w:r>
      <w:r>
        <w:fldChar w:fldCharType="end"/>
      </w:r>
    </w:p>
    <w:p>
      <w:pPr>
        <w:pStyle w:val="TOC4"/>
        <w:tabs>
          <w:tab w:val="right" w:leader="dot" w:pos="7077"/>
        </w:tabs>
        <w:rPr>
          <w:rFonts w:asciiTheme="minorHAnsi" w:eastAsiaTheme="minorEastAsia" w:hAnsiTheme="minorHAnsi" w:cstheme="minorBidi"/>
          <w:b w:val="0"/>
          <w:szCs w:val="22"/>
        </w:rPr>
      </w:pPr>
      <w:r>
        <w:t xml:space="preserve">Division 5 — Provisions for </w:t>
      </w:r>
      <w:r>
        <w:rPr>
          <w:i/>
        </w:rPr>
        <w:t>Dangerous Goods Safety (Road and Rail Transport of Non</w:t>
      </w:r>
      <w:r>
        <w:rPr>
          <w:i/>
        </w:rPr>
        <w:noBreakHyphen/>
        <w:t>explosives) Amendment Regulations 2017</w:t>
      </w:r>
    </w:p>
    <w:p>
      <w:pPr>
        <w:pStyle w:val="TOC8"/>
        <w:rPr>
          <w:rFonts w:asciiTheme="minorHAnsi" w:eastAsiaTheme="minorEastAsia" w:hAnsiTheme="minorHAnsi" w:cstheme="minorBidi"/>
          <w:szCs w:val="22"/>
        </w:rPr>
      </w:pPr>
      <w:r>
        <w:t>286.</w:t>
      </w:r>
      <w:r>
        <w:tab/>
        <w:t>Term used: commencement day</w:t>
      </w:r>
      <w:r>
        <w:tab/>
      </w:r>
      <w:r>
        <w:fldChar w:fldCharType="begin"/>
      </w:r>
      <w:r>
        <w:instrText xml:space="preserve"> PAGEREF _Toc194933239 \h </w:instrText>
      </w:r>
      <w:r>
        <w:fldChar w:fldCharType="separate"/>
      </w:r>
      <w:r>
        <w:t>185</w:t>
      </w:r>
      <w:r>
        <w:fldChar w:fldCharType="end"/>
      </w:r>
    </w:p>
    <w:p>
      <w:pPr>
        <w:pStyle w:val="TOC8"/>
        <w:rPr>
          <w:rFonts w:asciiTheme="minorHAnsi" w:eastAsiaTheme="minorEastAsia" w:hAnsiTheme="minorHAnsi" w:cstheme="minorBidi"/>
          <w:szCs w:val="22"/>
        </w:rPr>
      </w:pPr>
      <w:r>
        <w:t>287.</w:t>
      </w:r>
      <w:r>
        <w:tab/>
        <w:t>Assessing fitness to drive</w:t>
      </w:r>
      <w:r>
        <w:tab/>
      </w:r>
      <w:r>
        <w:fldChar w:fldCharType="begin"/>
      </w:r>
      <w:r>
        <w:instrText xml:space="preserve"> PAGEREF _Toc194933240 \h </w:instrText>
      </w:r>
      <w:r>
        <w:fldChar w:fldCharType="separate"/>
      </w:r>
      <w:r>
        <w:t>185</w:t>
      </w:r>
      <w:r>
        <w:fldChar w:fldCharType="end"/>
      </w:r>
    </w:p>
    <w:p>
      <w:pPr>
        <w:pStyle w:val="TOC8"/>
        <w:rPr>
          <w:rFonts w:asciiTheme="minorHAnsi" w:eastAsiaTheme="minorEastAsia" w:hAnsiTheme="minorHAnsi" w:cstheme="minorBidi"/>
          <w:szCs w:val="22"/>
        </w:rPr>
      </w:pPr>
      <w:r>
        <w:t>288.</w:t>
      </w:r>
      <w:r>
        <w:tab/>
        <w:t>Transitional provision for offence involving compliance with ADG Code</w:t>
      </w:r>
      <w:r>
        <w:tab/>
      </w:r>
      <w:r>
        <w:fldChar w:fldCharType="begin"/>
      </w:r>
      <w:r>
        <w:instrText xml:space="preserve"> PAGEREF _Toc194933241 \h </w:instrText>
      </w:r>
      <w:r>
        <w:fldChar w:fldCharType="separate"/>
      </w:r>
      <w:r>
        <w:t>185</w:t>
      </w:r>
      <w:r>
        <w:fldChar w:fldCharType="end"/>
      </w:r>
    </w:p>
    <w:p>
      <w:pPr>
        <w:pStyle w:val="TOC4"/>
        <w:tabs>
          <w:tab w:val="right" w:leader="dot" w:pos="7077"/>
        </w:tabs>
        <w:rPr>
          <w:rFonts w:asciiTheme="minorHAnsi" w:eastAsiaTheme="minorEastAsia" w:hAnsiTheme="minorHAnsi" w:cstheme="minorBidi"/>
          <w:b w:val="0"/>
          <w:szCs w:val="22"/>
        </w:rPr>
      </w:pPr>
      <w:r>
        <w:t xml:space="preserve">Division 6 — Provisions for </w:t>
      </w:r>
      <w:r>
        <w:rPr>
          <w:i/>
          <w:iCs/>
        </w:rPr>
        <w:t>Dangerous Goods Safety (Road and Rail Transport of Non</w:t>
      </w:r>
      <w:r>
        <w:rPr>
          <w:i/>
          <w:iCs/>
        </w:rPr>
        <w:noBreakHyphen/>
        <w:t>explosives) Amendment Regulations 2018</w:t>
      </w:r>
    </w:p>
    <w:p>
      <w:pPr>
        <w:pStyle w:val="TOC8"/>
        <w:rPr>
          <w:rFonts w:asciiTheme="minorHAnsi" w:eastAsiaTheme="minorEastAsia" w:hAnsiTheme="minorHAnsi" w:cstheme="minorBidi"/>
          <w:szCs w:val="22"/>
        </w:rPr>
      </w:pPr>
      <w:r>
        <w:t>289.</w:t>
      </w:r>
      <w:r>
        <w:tab/>
        <w:t>Term used: commencement day</w:t>
      </w:r>
      <w:r>
        <w:tab/>
      </w:r>
      <w:r>
        <w:fldChar w:fldCharType="begin"/>
      </w:r>
      <w:r>
        <w:instrText xml:space="preserve"> PAGEREF _Toc194933243 \h </w:instrText>
      </w:r>
      <w:r>
        <w:fldChar w:fldCharType="separate"/>
      </w:r>
      <w:r>
        <w:t>186</w:t>
      </w:r>
      <w:r>
        <w:fldChar w:fldCharType="end"/>
      </w:r>
    </w:p>
    <w:p>
      <w:pPr>
        <w:pStyle w:val="TOC8"/>
        <w:rPr>
          <w:rFonts w:asciiTheme="minorHAnsi" w:eastAsiaTheme="minorEastAsia" w:hAnsiTheme="minorHAnsi" w:cstheme="minorBidi"/>
          <w:szCs w:val="22"/>
        </w:rPr>
      </w:pPr>
      <w:r>
        <w:t>290.</w:t>
      </w:r>
      <w:r>
        <w:tab/>
        <w:t>Transitional provision for offence involving compliance with ADG Code</w:t>
      </w:r>
      <w:r>
        <w:tab/>
      </w:r>
      <w:r>
        <w:fldChar w:fldCharType="begin"/>
      </w:r>
      <w:r>
        <w:instrText xml:space="preserve"> PAGEREF _Toc194933244 \h </w:instrText>
      </w:r>
      <w:r>
        <w:fldChar w:fldCharType="separate"/>
      </w:r>
      <w:r>
        <w:t>186</w:t>
      </w:r>
      <w:r>
        <w:fldChar w:fldCharType="end"/>
      </w:r>
    </w:p>
    <w:p>
      <w:pPr>
        <w:pStyle w:val="TOC4"/>
        <w:tabs>
          <w:tab w:val="right" w:leader="dot" w:pos="7077"/>
        </w:tabs>
        <w:rPr>
          <w:rFonts w:asciiTheme="minorHAnsi" w:eastAsiaTheme="minorEastAsia" w:hAnsiTheme="minorHAnsi" w:cstheme="minorBidi"/>
          <w:b w:val="0"/>
          <w:szCs w:val="22"/>
        </w:rPr>
      </w:pPr>
      <w:r>
        <w:t xml:space="preserve">Division 7 — Provision for </w:t>
      </w:r>
      <w:r>
        <w:rPr>
          <w:i/>
        </w:rPr>
        <w:t>Dangerous Goods Safety Regulations Amendment Regulations 2020</w:t>
      </w:r>
    </w:p>
    <w:p>
      <w:pPr>
        <w:pStyle w:val="TOC8"/>
        <w:rPr>
          <w:rFonts w:asciiTheme="minorHAnsi" w:eastAsiaTheme="minorEastAsia" w:hAnsiTheme="minorHAnsi" w:cstheme="minorBidi"/>
          <w:szCs w:val="22"/>
        </w:rPr>
      </w:pPr>
      <w:r>
        <w:t>291.</w:t>
      </w:r>
      <w:r>
        <w:tab/>
        <w:t>Transitional provision for offence involving compliance with ADG Code</w:t>
      </w:r>
      <w:r>
        <w:tab/>
      </w:r>
      <w:r>
        <w:fldChar w:fldCharType="begin"/>
      </w:r>
      <w:r>
        <w:instrText xml:space="preserve"> PAGEREF _Toc194933246 \h </w:instrText>
      </w:r>
      <w:r>
        <w:fldChar w:fldCharType="separate"/>
      </w:r>
      <w:r>
        <w:t>187</w:t>
      </w:r>
      <w:r>
        <w:fldChar w:fldCharType="end"/>
      </w:r>
    </w:p>
    <w:p>
      <w:pPr>
        <w:pStyle w:val="TOC2"/>
        <w:tabs>
          <w:tab w:val="right" w:leader="dot" w:pos="7077"/>
        </w:tabs>
        <w:rPr>
          <w:rFonts w:asciiTheme="minorHAnsi" w:eastAsiaTheme="minorEastAsia" w:hAnsiTheme="minorHAnsi" w:cstheme="minorBidi"/>
          <w:b w:val="0"/>
          <w:sz w:val="22"/>
          <w:szCs w:val="22"/>
        </w:rPr>
      </w:pPr>
      <w:r>
        <w:t>Schedule 1 — Infringement notice offences and modified penalties</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_Toc194933249 \h </w:instrText>
      </w:r>
      <w:r>
        <w:fldChar w:fldCharType="separate"/>
      </w:r>
      <w:r>
        <w:t>192</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_Toc194933250 \h </w:instrText>
      </w:r>
      <w:r>
        <w:fldChar w:fldCharType="separate"/>
      </w:r>
      <w:r>
        <w:t>195</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PrincipalActReg"/>
      </w:pPr>
      <w:r>
        <w:lastRenderedPageBreak/>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2" w:name="_Toc194911636"/>
      <w:bookmarkStart w:id="3" w:name="_Toc194914350"/>
      <w:bookmarkStart w:id="4" w:name="_Toc194914720"/>
      <w:bookmarkStart w:id="5" w:name="_Toc194932882"/>
      <w:r>
        <w:rPr>
          <w:rStyle w:val="CharPartNo"/>
        </w:rPr>
        <w:t>Part 1</w:t>
      </w:r>
      <w:r>
        <w:t> — </w:t>
      </w:r>
      <w:r>
        <w:rPr>
          <w:rStyle w:val="CharPartText"/>
        </w:rPr>
        <w:t>Preliminary</w:t>
      </w:r>
      <w:bookmarkEnd w:id="2"/>
      <w:bookmarkEnd w:id="3"/>
      <w:bookmarkEnd w:id="4"/>
      <w:bookmarkEnd w:id="5"/>
    </w:p>
    <w:p>
      <w:pPr>
        <w:pStyle w:val="Heading3"/>
      </w:pPr>
      <w:bookmarkStart w:id="6" w:name="_Toc194911637"/>
      <w:bookmarkStart w:id="7" w:name="_Toc194914351"/>
      <w:bookmarkStart w:id="8" w:name="_Toc194914721"/>
      <w:bookmarkStart w:id="9" w:name="_Toc194932883"/>
      <w:r>
        <w:rPr>
          <w:rStyle w:val="CharDivNo"/>
        </w:rPr>
        <w:t>Division 1</w:t>
      </w:r>
      <w:r>
        <w:t> — </w:t>
      </w:r>
      <w:r>
        <w:rPr>
          <w:rStyle w:val="CharDivText"/>
        </w:rPr>
        <w:t>Introductory</w:t>
      </w:r>
      <w:bookmarkEnd w:id="6"/>
      <w:bookmarkEnd w:id="7"/>
      <w:bookmarkEnd w:id="8"/>
      <w:bookmarkEnd w:id="9"/>
    </w:p>
    <w:p>
      <w:pPr>
        <w:pStyle w:val="Heading5"/>
      </w:pPr>
      <w:bookmarkStart w:id="10" w:name="_Toc194932884"/>
      <w:r>
        <w:rPr>
          <w:rStyle w:val="CharSectno"/>
        </w:rPr>
        <w:t>1</w:t>
      </w:r>
      <w:r>
        <w:t>.</w:t>
      </w:r>
      <w:r>
        <w:tab/>
        <w:t>Citation</w:t>
      </w:r>
      <w:bookmarkEnd w:id="10"/>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t>.</w:t>
      </w:r>
    </w:p>
    <w:p>
      <w:pPr>
        <w:pStyle w:val="Heading5"/>
        <w:rPr>
          <w:spacing w:val="-2"/>
        </w:rPr>
      </w:pPr>
      <w:bookmarkStart w:id="11" w:name="_Toc194932885"/>
      <w:r>
        <w:rPr>
          <w:rStyle w:val="CharSectno"/>
        </w:rPr>
        <w:t>2</w:t>
      </w:r>
      <w:r>
        <w:rPr>
          <w:spacing w:val="-2"/>
        </w:rPr>
        <w:t>.</w:t>
      </w:r>
      <w:r>
        <w:rPr>
          <w:spacing w:val="-2"/>
        </w:rPr>
        <w:tab/>
        <w:t>Commencement</w:t>
      </w:r>
      <w:bookmarkEnd w:id="11"/>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p>
    <w:p>
      <w:pPr>
        <w:pStyle w:val="Heading5"/>
      </w:pPr>
      <w:bookmarkStart w:id="12" w:name="_Toc194932886"/>
      <w:r>
        <w:rPr>
          <w:rStyle w:val="CharSectno"/>
        </w:rPr>
        <w:t>3</w:t>
      </w:r>
      <w:r>
        <w:t>.</w:t>
      </w:r>
      <w:r>
        <w:tab/>
        <w:t>Main objects</w:t>
      </w:r>
      <w:bookmarkEnd w:id="12"/>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lastRenderedPageBreak/>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13" w:name="_Toc194911641"/>
      <w:bookmarkStart w:id="14" w:name="_Toc194914355"/>
      <w:bookmarkStart w:id="15" w:name="_Toc194914725"/>
      <w:bookmarkStart w:id="16" w:name="_Toc194932887"/>
      <w:r>
        <w:rPr>
          <w:rStyle w:val="CharDivNo"/>
        </w:rPr>
        <w:t>Division 2</w:t>
      </w:r>
      <w:r>
        <w:t> — </w:t>
      </w:r>
      <w:r>
        <w:rPr>
          <w:rStyle w:val="CharDivText"/>
        </w:rPr>
        <w:t>Interpretation</w:t>
      </w:r>
      <w:bookmarkEnd w:id="13"/>
      <w:bookmarkEnd w:id="14"/>
      <w:bookmarkEnd w:id="15"/>
      <w:bookmarkEnd w:id="16"/>
    </w:p>
    <w:p>
      <w:pPr>
        <w:pStyle w:val="Heading5"/>
      </w:pPr>
      <w:bookmarkStart w:id="17" w:name="_Toc194932888"/>
      <w:r>
        <w:rPr>
          <w:rStyle w:val="CharSectno"/>
        </w:rPr>
        <w:t>4</w:t>
      </w:r>
      <w:r>
        <w:t>.</w:t>
      </w:r>
      <w:r>
        <w:tab/>
        <w:t>Terms used</w:t>
      </w:r>
      <w:bookmarkEnd w:id="17"/>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Agreement Concerning the International Carriage of Dangerous Goods by Road </w:t>
      </w:r>
      <w:r>
        <w:t>published by the Inland Transport Committee of the Economic Commission for Europe;</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rStyle w:val="DraftersNotes"/>
          <w:b w:val="0"/>
          <w:i w:val="0"/>
        </w:rPr>
      </w:pPr>
      <w:r>
        <w:tab/>
      </w:r>
      <w:r>
        <w:rPr>
          <w:rStyle w:val="CharDefText"/>
        </w:rPr>
        <w:t>ammonium nitrate explosion risk goods</w:t>
      </w:r>
      <w:r>
        <w:t xml:space="preserve"> has the meaning given in regulation 4A;</w:t>
      </w:r>
    </w:p>
    <w:p>
      <w:pPr>
        <w:pStyle w:val="Defstart"/>
        <w:rPr>
          <w:color w:val="000000"/>
        </w:rPr>
      </w:pPr>
      <w:r>
        <w:rPr>
          <w:color w:val="000000"/>
        </w:rPr>
        <w:lastRenderedPageBreak/>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tab/>
      </w:r>
      <w:r>
        <w:rPr>
          <w:rStyle w:val="CharDefText"/>
        </w:rPr>
        <w:t>article</w:t>
      </w:r>
      <w:r>
        <w:t xml:space="preserve"> means a manufactured item, other than a fluid or particle, that — </w:t>
      </w:r>
    </w:p>
    <w:p>
      <w:pPr>
        <w:pStyle w:val="Defpara"/>
      </w:pPr>
      <w:r>
        <w:tab/>
        <w:t>(a)</w:t>
      </w:r>
      <w:r>
        <w:tab/>
        <w:t>is formed into a particular shape or design during manufacture; and</w:t>
      </w:r>
    </w:p>
    <w:p>
      <w:pPr>
        <w:pStyle w:val="Defpara"/>
      </w:pPr>
      <w:r>
        <w:tab/>
        <w:t>(b)</w:t>
      </w:r>
      <w:r>
        <w:tab/>
        <w:t>has hazard properties and a function that are wholly or partly dependent on that shape or design,</w:t>
      </w:r>
    </w:p>
    <w:p>
      <w:pPr>
        <w:pStyle w:val="Defstart"/>
      </w:pPr>
      <w:r>
        <w:tab/>
        <w:t>and includes batteries, aerosols, gas</w:t>
      </w:r>
      <w:r>
        <w:noBreakHyphen/>
        <w:t>filled lighters, seat belt pre</w:t>
      </w:r>
      <w:r>
        <w:noBreakHyphen/>
        <w:t>tensioners and refrigerating machines;</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lastRenderedPageBreak/>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keepNext/>
        <w:keepLines/>
      </w:pPr>
      <w:r>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Ministerial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lastRenderedPageBreak/>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pPr>
        <w:pStyle w:val="Defstart"/>
      </w:pPr>
      <w:r>
        <w:tab/>
      </w:r>
      <w:r>
        <w:rPr>
          <w:rStyle w:val="CharDefText"/>
        </w:rPr>
        <w:t>driving licences register</w:t>
      </w:r>
      <w:r>
        <w:t xml:space="preserve"> means a register kept by the driver licensing authority of a State or Territory that records </w:t>
      </w:r>
      <w:r>
        <w:lastRenderedPageBreak/>
        <w:t>information about driver licences granted under a law of that State or Territory;</w:t>
      </w:r>
    </w:p>
    <w:p>
      <w:pPr>
        <w:pStyle w:val="Defstart"/>
        <w:keepNex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 or</w:t>
      </w:r>
    </w:p>
    <w:p>
      <w:pPr>
        <w:pStyle w:val="Defpara"/>
      </w:pPr>
      <w:r>
        <w:tab/>
        <w:t>(c)</w:t>
      </w:r>
      <w:r>
        <w:tab/>
        <w:t>plastic wrapping intended for the packaging of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tab/>
      </w:r>
      <w:r>
        <w:rPr>
          <w:rStyle w:val="CharDefText"/>
        </w:rPr>
        <w:t>freight container</w:t>
      </w:r>
      <w:r>
        <w:t xml:space="preserve"> means a container that — </w:t>
      </w:r>
    </w:p>
    <w:p>
      <w:pPr>
        <w:pStyle w:val="Defpara"/>
      </w:pPr>
      <w:r>
        <w:tab/>
        <w:t>(a)</w:t>
      </w:r>
      <w:r>
        <w:tab/>
        <w:t>is of a permanent character suitable for repeated use; and</w:t>
      </w:r>
    </w:p>
    <w:p>
      <w:pPr>
        <w:pStyle w:val="Defpara"/>
      </w:pPr>
      <w:r>
        <w:tab/>
        <w:t>(b)</w:t>
      </w:r>
      <w:r>
        <w:tab/>
        <w:t xml:space="preserve">is designed to facilitate the transport of goods by one or more modes of transport, without the need for the goods </w:t>
      </w:r>
      <w:r>
        <w:lastRenderedPageBreak/>
        <w:t>to be unloaded and reloaded when the container is transferred from one mode to another; and</w:t>
      </w:r>
    </w:p>
    <w:p>
      <w:pPr>
        <w:pStyle w:val="Defpara"/>
      </w:pPr>
      <w:r>
        <w:tab/>
        <w:t>(c)</w:t>
      </w:r>
      <w:r>
        <w:tab/>
        <w:t>is fitted with devices that permit the ready stowage and handling of the container, particularly in relation to the transfer of the container from one mode of transport to another; and</w:t>
      </w:r>
    </w:p>
    <w:p>
      <w:pPr>
        <w:pStyle w:val="Defpara"/>
      </w:pPr>
      <w:r>
        <w:tab/>
        <w:t>(d)</w:t>
      </w:r>
      <w:r>
        <w:tab/>
        <w:t>is designed in a way that facilitates the ease of loading and unloading of goods from the container; and</w:t>
      </w:r>
    </w:p>
    <w:p>
      <w:pPr>
        <w:pStyle w:val="Defpara"/>
      </w:pPr>
      <w:r>
        <w:tab/>
        <w:t>(e)</w:t>
      </w:r>
      <w:r>
        <w:tab/>
        <w:t>for a container used to transport goods other than radioactive material — has an internal volume of not less than 1 m</w:t>
      </w:r>
      <w:r>
        <w:rPr>
          <w:vertAlign w:val="superscript"/>
        </w:rPr>
        <w:t>3</w:t>
      </w:r>
      <w:r>
        <w: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rPr>
          <w:rStyle w:val="DraftersNotes"/>
          <w:b w:val="0"/>
          <w:i w:val="0"/>
        </w:rPr>
      </w:pPr>
      <w:r>
        <w:tab/>
      </w:r>
      <w:r>
        <w:rPr>
          <w:rStyle w:val="CharDefText"/>
        </w:rPr>
        <w:t>IMDG Code</w:t>
      </w:r>
      <w:r>
        <w:t xml:space="preserve"> means the </w:t>
      </w:r>
      <w:r>
        <w:rPr>
          <w:i/>
          <w:iCs/>
        </w:rPr>
        <w:t>IMDG Code: International Maritime Dangerous Goods Code</w:t>
      </w:r>
      <w:r>
        <w:t xml:space="preserve"> published by the International Maritime Organization;</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lastRenderedPageBreak/>
        <w:tab/>
      </w:r>
      <w:r>
        <w:rPr>
          <w:rStyle w:val="CharDefText"/>
        </w:rPr>
        <w:t>inner packaging</w:t>
      </w:r>
      <w:r>
        <w:t xml:space="preserve"> has the meaning given in the ADG Code section 1.2.1;</w:t>
      </w:r>
    </w:p>
    <w:p>
      <w:pPr>
        <w:pStyle w:val="Defstart"/>
      </w:pPr>
      <w:r>
        <w:tab/>
      </w:r>
      <w:r>
        <w:rPr>
          <w:rStyle w:val="CharDefText"/>
        </w:rPr>
        <w:t>intermediate packaging</w:t>
      </w:r>
      <w:r>
        <w:t xml:space="preserve"> has the meaning given in the ADG Code section 1.2.1;</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tab/>
      </w:r>
      <w:r>
        <w:rPr>
          <w:rStyle w:val="CharDefText"/>
        </w:rPr>
        <w:t>large packaging</w:t>
      </w:r>
      <w:r>
        <w:t xml:space="preserve"> means packaging that — </w:t>
      </w:r>
    </w:p>
    <w:p>
      <w:pPr>
        <w:pStyle w:val="Defpara"/>
      </w:pPr>
      <w:r>
        <w:tab/>
        <w:t>(a)</w:t>
      </w:r>
      <w:r>
        <w:tab/>
        <w:t>consists of outer packaging that contains articles or inner packagings; and</w:t>
      </w:r>
    </w:p>
    <w:p>
      <w:pPr>
        <w:pStyle w:val="Defpara"/>
      </w:pPr>
      <w:r>
        <w:tab/>
        <w:t>(b)</w:t>
      </w:r>
      <w:r>
        <w:tab/>
        <w:t>is designed for mechanical handling; and</w:t>
      </w:r>
    </w:p>
    <w:p>
      <w:pPr>
        <w:pStyle w:val="Defpara"/>
      </w:pPr>
      <w:r>
        <w:tab/>
        <w:t>(c)</w:t>
      </w:r>
      <w:r>
        <w:tab/>
        <w:t xml:space="preserve">has — </w:t>
      </w:r>
    </w:p>
    <w:p>
      <w:pPr>
        <w:pStyle w:val="Defsubpara"/>
      </w:pPr>
      <w:r>
        <w:tab/>
        <w:t>(i)</w:t>
      </w:r>
      <w:r>
        <w:tab/>
        <w:t xml:space="preserve">a net mass of more than 400 kg or a capacity of more than 450 litres; and </w:t>
      </w:r>
    </w:p>
    <w:p>
      <w:pPr>
        <w:pStyle w:val="Defsubpara"/>
      </w:pPr>
      <w:r>
        <w:tab/>
        <w:t>(ii)</w:t>
      </w:r>
      <w:r>
        <w:tab/>
        <w:t>a volume of not more than 3 m</w:t>
      </w:r>
      <w:r>
        <w:rPr>
          <w:vertAlign w:val="superscript"/>
        </w:rPr>
        <w:t>3</w:t>
      </w:r>
      <w:r>
        <w:t>;</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tab/>
      </w:r>
      <w:r>
        <w:rPr>
          <w:rStyle w:val="CharDefText"/>
        </w:rPr>
        <w:t>Ministerial Council</w:t>
      </w:r>
      <w:r>
        <w:t xml:space="preserve"> means the body (however described) that consists of the Minister of the Commonwealth, and the Minister of each State and Territory, who is responsible, or principally responsible, for matters relating to infrastructure and transport;</w:t>
      </w:r>
    </w:p>
    <w:p>
      <w:pPr>
        <w:pStyle w:val="Defstart"/>
      </w:pPr>
      <w:r>
        <w:tab/>
      </w:r>
      <w:r>
        <w:rPr>
          <w:rStyle w:val="CharDefText"/>
        </w:rPr>
        <w:t>model subordinate instrument</w:t>
      </w:r>
      <w:r>
        <w:t xml:space="preserve"> means the </w:t>
      </w:r>
      <w:r>
        <w:rPr>
          <w:i/>
        </w:rPr>
        <w:t>Model Subordinate Instrument on the Transport of Dangerous Goods by Road or Rail</w:t>
      </w:r>
      <w:r>
        <w:t xml:space="preserve"> as agreed to from time to time by the Ministerial Council and published on the website maintained by the Parliamentary Counsel’s Committee;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pPr>
      <w:r>
        <w:lastRenderedPageBreak/>
        <w:tab/>
      </w:r>
      <w:r>
        <w:rPr>
          <w:rStyle w:val="CharDefText"/>
        </w:rPr>
        <w:t>National Transport Commission</w:t>
      </w:r>
      <w:r>
        <w:t xml:space="preserve"> means the National Transport Commission established under the </w:t>
      </w:r>
      <w:r>
        <w:rPr>
          <w:i/>
        </w:rPr>
        <w:t>National Transport Commission Act 2003</w:t>
      </w:r>
      <w:r>
        <w:t xml:space="preserve"> (Commonwealth);</w:t>
      </w:r>
    </w:p>
    <w:p>
      <w:pPr>
        <w:pStyle w:val="Defstart"/>
      </w:pPr>
      <w:r>
        <w:tab/>
      </w:r>
      <w:r>
        <w:rPr>
          <w:rStyle w:val="CharDefText"/>
        </w:rPr>
        <w:t>outer packaging</w:t>
      </w:r>
      <w:r>
        <w:t xml:space="preserve"> has the meaning given in the ADG Code section 1.2.1;</w:t>
      </w:r>
    </w:p>
    <w:p>
      <w:pPr>
        <w:pStyle w:val="Defstart"/>
      </w:pPr>
      <w:r>
        <w:tab/>
      </w:r>
      <w:r>
        <w:rPr>
          <w:rStyle w:val="CharDefText"/>
        </w:rPr>
        <w:t>overpack</w:t>
      </w:r>
      <w:r>
        <w:t xml:space="preserve"> means an enclosure, other than large packaging, used to contain one or more packages in a way that forms one unit for convenience of stowage and handling during transport;</w:t>
      </w:r>
    </w:p>
    <w:p>
      <w:pPr>
        <w:pStyle w:val="PermNoteHeading"/>
      </w:pPr>
      <w:r>
        <w:tab/>
        <w:t>Examples for this definition:</w:t>
      </w:r>
    </w:p>
    <w:p>
      <w:pPr>
        <w:pStyle w:val="PermNoteText"/>
      </w:pPr>
      <w:r>
        <w:tab/>
        <w:t>1.</w:t>
      </w:r>
      <w:r>
        <w:tab/>
        <w:t>Packages placed or stacked on a pallet and secured by strapping, shrink wrapping, stretch wrapping or another suitable way.</w:t>
      </w:r>
    </w:p>
    <w:p>
      <w:pPr>
        <w:pStyle w:val="PermNoteText"/>
      </w:pPr>
      <w:r>
        <w:tab/>
        <w:t>2.</w:t>
      </w:r>
      <w:r>
        <w:tab/>
        <w:t>Packages placed in protective outer packaging such as in a box or crate.</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includes — </w:t>
      </w:r>
    </w:p>
    <w:p>
      <w:pPr>
        <w:pStyle w:val="Defpara"/>
      </w:pPr>
      <w:r>
        <w:tab/>
        <w:t>(a)</w:t>
      </w:r>
      <w:r>
        <w:tab/>
        <w:t>inner packaging, intermediate packaging, outer packaging, an overpack, large packaging, an IBC, an MEGC, a tank (including the tank of a tank vehicle), a bulk container or freight container, a drum, a barrel, a jerry can, a box and a bag; and</w:t>
      </w:r>
    </w:p>
    <w:p>
      <w:pPr>
        <w:pStyle w:val="Defpara"/>
      </w:pPr>
      <w:r>
        <w:tab/>
        <w:t>(b)</w:t>
      </w:r>
      <w:r>
        <w:tab/>
        <w:t>any other components or materials used for containing the contents of the packaging or performing another safety function in relation to the transport of the packaging and its contents;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lastRenderedPageBreak/>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pPr>
      <w:r>
        <w:tab/>
      </w:r>
      <w:r>
        <w:rPr>
          <w:rStyle w:val="CharDefText"/>
        </w:rPr>
        <w:t>portable tank</w:t>
      </w:r>
      <w:r>
        <w:t xml:space="preserve"> means a tank used for the transport of a solid, liquid or gas that — </w:t>
      </w:r>
    </w:p>
    <w:p>
      <w:pPr>
        <w:pStyle w:val="Defpara"/>
      </w:pPr>
      <w:r>
        <w:tab/>
        <w:t>(a)</w:t>
      </w:r>
      <w:r>
        <w:tab/>
        <w:t>includes a shell fitted with service equipment and structural equipment necessary for the transport of the solid, liquid or gas; and</w:t>
      </w:r>
    </w:p>
    <w:p>
      <w:pPr>
        <w:pStyle w:val="Defpara"/>
      </w:pPr>
      <w:r>
        <w:tab/>
        <w:t>(b)</w:t>
      </w:r>
      <w:r>
        <w:tab/>
        <w:t>is capable of being loaded and unloaded without removing its structural equipment; and</w:t>
      </w:r>
    </w:p>
    <w:p>
      <w:pPr>
        <w:pStyle w:val="Defpara"/>
      </w:pPr>
      <w:r>
        <w:tab/>
        <w:t>(c)</w:t>
      </w:r>
      <w:r>
        <w:tab/>
        <w:t>has stabilising components external to its shell, and is capable of being lifted when full; and</w:t>
      </w:r>
    </w:p>
    <w:p>
      <w:pPr>
        <w:pStyle w:val="Defpara"/>
      </w:pPr>
      <w:r>
        <w:tab/>
        <w:t>(d)</w:t>
      </w:r>
      <w:r>
        <w:tab/>
        <w:t>is designed primarily to be loaded on to a vehicle or vessel and is equipped with skids, mountings or accessories to facilitate mechanical handling; and</w:t>
      </w:r>
    </w:p>
    <w:p>
      <w:pPr>
        <w:pStyle w:val="Defpara"/>
      </w:pPr>
      <w:r>
        <w:tab/>
        <w:t>(e)</w:t>
      </w:r>
      <w:r>
        <w:tab/>
        <w:t>for a tank used for transporting a substance of UN Class 1 and UN Class 3 to 9 — is a multimodal tank; and</w:t>
      </w:r>
    </w:p>
    <w:p>
      <w:pPr>
        <w:pStyle w:val="Defpara"/>
      </w:pPr>
      <w:r>
        <w:tab/>
        <w:t>(f)</w:t>
      </w:r>
      <w:r>
        <w:tab/>
        <w:t>for a tank used for transporting non</w:t>
      </w:r>
      <w:r>
        <w:noBreakHyphen/>
        <w:t>refrigerated, liquefied gases of UN Class 2 — is a multimodal tank having a capacity of more than 450 litres; and</w:t>
      </w:r>
    </w:p>
    <w:p>
      <w:pPr>
        <w:pStyle w:val="Defpara"/>
      </w:pPr>
      <w:r>
        <w:tab/>
        <w:t>(g)</w:t>
      </w:r>
      <w:r>
        <w:tab/>
        <w:t>for a tank used for transporting refrigerated, liquefied gases of UN Class 2 — is a thermally insulated tank having a capacity of more than 450 litres; and</w:t>
      </w:r>
    </w:p>
    <w:p>
      <w:pPr>
        <w:pStyle w:val="Defpara"/>
      </w:pPr>
      <w:r>
        <w:tab/>
        <w:t>(h)</w:t>
      </w:r>
      <w:r>
        <w:tab/>
        <w:t>is not an item that is not considered to be a portable tank for the purposes of the ADG Code;</w:t>
      </w:r>
    </w:p>
    <w:p>
      <w:pPr>
        <w:pStyle w:val="PermNoteHeading"/>
      </w:pPr>
      <w:r>
        <w:tab/>
        <w:t>Note for this definition:</w:t>
      </w:r>
    </w:p>
    <w:p>
      <w:pPr>
        <w:pStyle w:val="PermNoteText"/>
      </w:pPr>
      <w:r>
        <w:tab/>
      </w:r>
      <w:r>
        <w:tab/>
        <w:t>In relation to paragraph (h), see the definition of portable tank in the ADG Code section 1.2.1 for the list of items that are not considered to be a portable tank for the purposes of the ADG Code.</w:t>
      </w:r>
    </w:p>
    <w:p>
      <w:pPr>
        <w:pStyle w:val="Defstart"/>
      </w:pPr>
      <w:r>
        <w:rPr>
          <w:b/>
        </w:rPr>
        <w:lastRenderedPageBreak/>
        <w:tab/>
      </w:r>
      <w:r>
        <w:rPr>
          <w:rStyle w:val="CharDefText"/>
        </w:rPr>
        <w:t>premises</w:t>
      </w:r>
      <w:r>
        <w:t xml:space="preserve"> includes a structure, whether permanent or temporary, and land, but does not include </w:t>
      </w:r>
      <w:r>
        <w:rPr>
          <w:color w:val="000000"/>
        </w:rPr>
        <w:t>a vehicle</w:t>
      </w:r>
      <w:r>
        <w:t>;</w:t>
      </w:r>
    </w:p>
    <w:p>
      <w:pPr>
        <w:pStyle w:val="Defstart"/>
        <w:keepNex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keepNext w:val="0"/>
      </w:pPr>
      <w:r>
        <w:tab/>
        <w:t>Note for this definition:</w:t>
      </w:r>
    </w:p>
    <w:p>
      <w:pPr>
        <w:pStyle w:val="PermNoteText"/>
        <w:rPr>
          <w:rFonts w:cs="Arial"/>
          <w:color w:val="000000"/>
        </w:rPr>
      </w:pPr>
      <w:r>
        <w:tab/>
      </w:r>
      <w:r>
        <w:tab/>
      </w:r>
      <w:r>
        <w:rPr>
          <w:rFonts w:cs="Arial"/>
          <w:color w:val="000000"/>
        </w:rPr>
        <w:t>Cylindrical receptacles equipped with rolling hoops, and spheres on skids.</w:t>
      </w:r>
    </w:p>
    <w:p>
      <w:pPr>
        <w:pStyle w:val="Defstart"/>
        <w:keepNex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pPr>
      <w:r>
        <w:tab/>
      </w:r>
      <w:r>
        <w:rPr>
          <w:rStyle w:val="CharDefText"/>
        </w:rPr>
        <w:t>rail tank wagon</w:t>
      </w:r>
      <w:r>
        <w:t xml:space="preserve"> means a rail wagon of which a tank forms an integral part;</w:t>
      </w:r>
    </w:p>
    <w:p>
      <w:pPr>
        <w:pStyle w:val="Defstart"/>
      </w:pPr>
      <w:r>
        <w:tab/>
      </w:r>
      <w:r>
        <w:rPr>
          <w:rStyle w:val="CharDefText"/>
        </w:rPr>
        <w:t>rail wagon</w:t>
      </w:r>
      <w:r>
        <w:t xml:space="preserve"> means a unit of rolling stock that — </w:t>
      </w:r>
    </w:p>
    <w:p>
      <w:pPr>
        <w:pStyle w:val="Defpara"/>
      </w:pPr>
      <w:r>
        <w:tab/>
        <w:t>(a)</w:t>
      </w:r>
      <w:r>
        <w:tab/>
        <w:t>is designed to carry freight by rail; and</w:t>
      </w:r>
    </w:p>
    <w:p>
      <w:pPr>
        <w:pStyle w:val="Defpara"/>
      </w:pPr>
      <w:r>
        <w:tab/>
        <w:t>(b)</w:t>
      </w:r>
      <w:r>
        <w:tab/>
        <w:t>bears a unique identifying number or alphanumeric identifier;</w:t>
      </w:r>
    </w:p>
    <w:p>
      <w:pPr>
        <w:pStyle w:val="Defstart"/>
        <w:keepNext/>
        <w:rPr>
          <w:color w:val="000000"/>
        </w:rPr>
      </w:pPr>
      <w:r>
        <w:rPr>
          <w:b/>
          <w:color w:val="000000"/>
        </w:rPr>
        <w:lastRenderedPageBreak/>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pPr>
      <w:r>
        <w:tab/>
      </w:r>
      <w:r>
        <w:rPr>
          <w:rStyle w:val="CharDefText"/>
        </w:rPr>
        <w:t>road tank vehicle</w:t>
      </w:r>
      <w:r>
        <w:t xml:space="preserve"> means a tank vehicle that is a road vehicle;</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tab/>
      </w:r>
      <w:r>
        <w:rPr>
          <w:rStyle w:val="CharDefText"/>
        </w:rPr>
        <w:t>Subsidiary Hazard</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keepNext/>
      </w:pPr>
      <w:r>
        <w:lastRenderedPageBreak/>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pPr>
      <w:r>
        <w:tab/>
      </w:r>
      <w:r>
        <w:rPr>
          <w:rStyle w:val="CharDefText"/>
        </w:rPr>
        <w:t>transport documentation</w:t>
      </w:r>
      <w:r>
        <w:t xml:space="preserve"> means documentation that complies with the requirements of the ADG Code Chapter 11.1;</w:t>
      </w:r>
    </w:p>
    <w:p>
      <w:pPr>
        <w:pStyle w:val="Defstart"/>
      </w:pPr>
      <w:r>
        <w:tab/>
      </w:r>
      <w:r>
        <w:rPr>
          <w:rStyle w:val="CharDefText"/>
        </w:rPr>
        <w:t>tube</w:t>
      </w:r>
      <w:r>
        <w:t xml:space="preserve"> means a pressure receptacle of seamless or composite construction having a water capacity exceeding 150 litres but not more than 3 000 litres;</w:t>
      </w:r>
    </w:p>
    <w:p>
      <w:pPr>
        <w:pStyle w:val="Defstart"/>
        <w:keepLines/>
      </w:pPr>
      <w:r>
        <w:rPr>
          <w:b/>
        </w:rPr>
        <w:tab/>
      </w:r>
      <w:r>
        <w:rPr>
          <w:rStyle w:val="CharDefText"/>
        </w:rPr>
        <w:t>UN approved</w:t>
      </w:r>
      <w:r>
        <w:t xml:space="preserve"> means approved in accordance with the </w:t>
      </w:r>
      <w:r>
        <w:rPr>
          <w:i/>
          <w:iCs/>
        </w:rPr>
        <w:t>Model Regulations for the Transport of Dangerous Goods</w:t>
      </w:r>
      <w:r>
        <w:t xml:space="preserve"> annexed to the </w:t>
      </w:r>
      <w:r>
        <w:rPr>
          <w:i/>
        </w:rPr>
        <w:t>Recommendations on the Transport of Dangerous Goods</w:t>
      </w:r>
      <w:r>
        <w:t xml:space="preserve"> published by the United Nations;</w:t>
      </w:r>
    </w:p>
    <w:p>
      <w:pPr>
        <w:pStyle w:val="Defstart"/>
        <w:keepNex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rPr>
          <w:rStyle w:val="DraftersNotes"/>
          <w:b w:val="0"/>
          <w:i w:val="0"/>
        </w:rPr>
      </w:pPr>
      <w:r>
        <w:tab/>
      </w:r>
      <w:r>
        <w:rPr>
          <w:rStyle w:val="CharDefText"/>
        </w:rPr>
        <w:t>UN Number</w:t>
      </w:r>
      <w:r>
        <w:t xml:space="preserve"> (or “UN” followed by a number), in relation to dangerous goods, means the identification serial number in the ADG Code section 3.2.3 Table 3.2.3 column 1 in relation to those goods;</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keepNext/>
        <w:rPr>
          <w:color w:val="000000"/>
        </w:rPr>
      </w:pPr>
      <w:r>
        <w:rPr>
          <w:b/>
          <w:color w:val="000000"/>
        </w:rPr>
        <w:lastRenderedPageBreak/>
        <w:tab/>
      </w:r>
      <w:r>
        <w:rPr>
          <w:rStyle w:val="CharDefText"/>
          <w:color w:val="000000"/>
        </w:rPr>
        <w:t>vehicle</w:t>
      </w:r>
      <w:r>
        <w:rPr>
          <w:bCs/>
          <w:color w:val="000000"/>
        </w:rPr>
        <w:t xml:space="preserve"> means</w:t>
      </w:r>
      <w:r>
        <w:rPr>
          <w:color w:val="000000"/>
        </w:rPr>
        <w:t xml:space="preserve"> — </w:t>
      </w:r>
    </w:p>
    <w:p>
      <w:pPr>
        <w:pStyle w:val="Defpara"/>
        <w:keepNext/>
      </w:pPr>
      <w:r>
        <w:tab/>
        <w:t>(a)</w:t>
      </w:r>
      <w:r>
        <w:tab/>
        <w:t>a road vehicle, including a combination; or</w:t>
      </w:r>
    </w:p>
    <w:p>
      <w:pPr>
        <w:pStyle w:val="Defpara"/>
        <w:keepNext/>
      </w:pPr>
      <w:r>
        <w:tab/>
        <w:t>(b)</w:t>
      </w:r>
      <w:r>
        <w:tab/>
        <w:t>a unit of rolling stock.</w:t>
      </w:r>
    </w:p>
    <w:p>
      <w:pPr>
        <w:pStyle w:val="Footnotesection"/>
        <w:rPr>
          <w:szCs w:val="24"/>
        </w:rPr>
      </w:pPr>
      <w:r>
        <w:rPr>
          <w:szCs w:val="24"/>
        </w:rPr>
        <w:tab/>
        <w:t>[Regulation 4 amended: Gazette 30 Jun 2008 p. 3130; 22 Jun 2010 p. 2717</w:t>
      </w:r>
      <w:r>
        <w:rPr>
          <w:szCs w:val="24"/>
        </w:rPr>
        <w:noBreakHyphen/>
        <w:t>19; 19 Feb 2013 p. 989; 13 Jun 2014 p. 1929</w:t>
      </w:r>
      <w:r>
        <w:rPr>
          <w:szCs w:val="24"/>
        </w:rPr>
        <w:noBreakHyphen/>
        <w:t>31; 8 Jan 2015 p. 131; 17 Nov 2015 p. 4696; 5 Feb 2016 p. 360; 11 Jul 2017 p. 3820</w:t>
      </w:r>
      <w:r>
        <w:rPr>
          <w:szCs w:val="24"/>
        </w:rPr>
        <w:noBreakHyphen/>
        <w:t>1; 31 Aug 2018 p. 3043</w:t>
      </w:r>
      <w:r>
        <w:rPr>
          <w:szCs w:val="24"/>
        </w:rPr>
        <w:noBreakHyphen/>
        <w:t>4; SL 2020/193 r. 10; SL 2024/22 r. 4; SL </w:t>
      </w:r>
      <w:r>
        <w:t>2024/285 r. 4</w:t>
      </w:r>
      <w:r>
        <w:rPr>
          <w:szCs w:val="24"/>
        </w:rPr>
        <w:t>.]</w:t>
      </w:r>
    </w:p>
    <w:p>
      <w:pPr>
        <w:pStyle w:val="Heading5"/>
      </w:pPr>
      <w:bookmarkStart w:id="18" w:name="_Toc184909807"/>
      <w:bookmarkStart w:id="19" w:name="_Toc185340669"/>
      <w:bookmarkStart w:id="20" w:name="_Toc194932889"/>
      <w:r>
        <w:rPr>
          <w:rStyle w:val="CharSectno"/>
        </w:rPr>
        <w:t>4A</w:t>
      </w:r>
      <w:r>
        <w:t>.</w:t>
      </w:r>
      <w:r>
        <w:tab/>
        <w:t>Meaning of ammonium nitrate explosion risk goods</w:t>
      </w:r>
      <w:bookmarkEnd w:id="18"/>
      <w:bookmarkEnd w:id="19"/>
      <w:bookmarkEnd w:id="20"/>
    </w:p>
    <w:p>
      <w:pPr>
        <w:pStyle w:val="Subsection"/>
        <w:rPr>
          <w:rStyle w:val="DraftersNotes"/>
          <w:b w:val="0"/>
          <w:i w:val="0"/>
        </w:rPr>
      </w:pPr>
      <w:r>
        <w:tab/>
      </w:r>
      <w:r>
        <w:tab/>
        <w:t xml:space="preserve">The dangerous goods listed in the Table are </w:t>
      </w:r>
      <w:r>
        <w:rPr>
          <w:rStyle w:val="CharDefText"/>
        </w:rPr>
        <w:t>ammonium nitrate explosion risk goods</w:t>
      </w:r>
      <w:r>
        <w:t>.</w:t>
      </w:r>
    </w:p>
    <w:p>
      <w:pPr>
        <w:pStyle w:val="THeadingNAm"/>
      </w:pPr>
      <w:r>
        <w:t>Table</w:t>
      </w:r>
    </w:p>
    <w:tbl>
      <w:tblPr>
        <w:tblW w:w="6229" w:type="dxa"/>
        <w:tblInd w:w="8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4130"/>
        <w:gridCol w:w="1021"/>
        <w:gridCol w:w="1078"/>
      </w:tblGrid>
      <w:tr>
        <w:trPr>
          <w:tblHeader/>
        </w:trPr>
        <w:tc>
          <w:tcPr>
            <w:tcW w:w="4130" w:type="dxa"/>
          </w:tcPr>
          <w:p>
            <w:pPr>
              <w:pStyle w:val="TableNAm"/>
              <w:rPr>
                <w:b/>
                <w:bCs/>
              </w:rPr>
            </w:pPr>
            <w:r>
              <w:rPr>
                <w:b/>
                <w:bCs/>
              </w:rPr>
              <w:t>Ammonium nitrate explosion risk goods</w:t>
            </w:r>
          </w:p>
        </w:tc>
        <w:tc>
          <w:tcPr>
            <w:tcW w:w="1021" w:type="dxa"/>
          </w:tcPr>
          <w:p>
            <w:pPr>
              <w:pStyle w:val="TableNAm"/>
              <w:rPr>
                <w:b/>
                <w:bCs/>
              </w:rPr>
            </w:pPr>
            <w:r>
              <w:rPr>
                <w:b/>
                <w:bCs/>
              </w:rPr>
              <w:t>UN No.</w:t>
            </w:r>
          </w:p>
        </w:tc>
        <w:tc>
          <w:tcPr>
            <w:tcW w:w="1078" w:type="dxa"/>
          </w:tcPr>
          <w:p>
            <w:pPr>
              <w:pStyle w:val="TableNAm"/>
              <w:rPr>
                <w:b/>
                <w:bCs/>
              </w:rPr>
            </w:pPr>
            <w:r>
              <w:rPr>
                <w:b/>
                <w:bCs/>
              </w:rPr>
              <w:t>Division</w:t>
            </w:r>
          </w:p>
        </w:tc>
      </w:tr>
      <w:tr>
        <w:tc>
          <w:tcPr>
            <w:tcW w:w="4130" w:type="dxa"/>
          </w:tcPr>
          <w:p>
            <w:pPr>
              <w:pStyle w:val="TableNAm"/>
            </w:pPr>
            <w:r>
              <w:t>Ammonium nitrate, with not more than 0.2% total combustible material, including any organic substance calculated as carbon, to the exclusion of any other added substance</w:t>
            </w:r>
          </w:p>
        </w:tc>
        <w:tc>
          <w:tcPr>
            <w:tcW w:w="1021" w:type="dxa"/>
          </w:tcPr>
          <w:p>
            <w:pPr>
              <w:pStyle w:val="TableNAm"/>
            </w:pPr>
            <w:r>
              <w:t>1942</w:t>
            </w:r>
          </w:p>
        </w:tc>
        <w:tc>
          <w:tcPr>
            <w:tcW w:w="1078" w:type="dxa"/>
          </w:tcPr>
          <w:p>
            <w:pPr>
              <w:pStyle w:val="TableNAm"/>
            </w:pPr>
            <w:r>
              <w:t>5.1</w:t>
            </w:r>
          </w:p>
        </w:tc>
      </w:tr>
      <w:tr>
        <w:tc>
          <w:tcPr>
            <w:tcW w:w="4130" w:type="dxa"/>
          </w:tcPr>
          <w:p>
            <w:pPr>
              <w:pStyle w:val="TableNAm"/>
            </w:pPr>
            <w:r>
              <w:t>Ammonium nitrate based fertiliser</w:t>
            </w:r>
          </w:p>
        </w:tc>
        <w:tc>
          <w:tcPr>
            <w:tcW w:w="1021" w:type="dxa"/>
          </w:tcPr>
          <w:p>
            <w:pPr>
              <w:pStyle w:val="TableNAm"/>
            </w:pPr>
            <w:r>
              <w:t>2067</w:t>
            </w:r>
          </w:p>
        </w:tc>
        <w:tc>
          <w:tcPr>
            <w:tcW w:w="1078" w:type="dxa"/>
          </w:tcPr>
          <w:p>
            <w:pPr>
              <w:pStyle w:val="TableNAm"/>
            </w:pPr>
            <w:r>
              <w:t>5.1</w:t>
            </w:r>
          </w:p>
        </w:tc>
      </w:tr>
      <w:tr>
        <w:tc>
          <w:tcPr>
            <w:tcW w:w="4130" w:type="dxa"/>
          </w:tcPr>
          <w:p>
            <w:pPr>
              <w:pStyle w:val="TableNAm"/>
            </w:pPr>
            <w:r>
              <w:t>Ammonium nitrate, liquid (hot concentrated solution)</w:t>
            </w:r>
          </w:p>
        </w:tc>
        <w:tc>
          <w:tcPr>
            <w:tcW w:w="1021" w:type="dxa"/>
          </w:tcPr>
          <w:p>
            <w:pPr>
              <w:pStyle w:val="TableNAm"/>
            </w:pPr>
            <w:r>
              <w:t>2426</w:t>
            </w:r>
          </w:p>
        </w:tc>
        <w:tc>
          <w:tcPr>
            <w:tcW w:w="1078" w:type="dxa"/>
          </w:tcPr>
          <w:p>
            <w:pPr>
              <w:pStyle w:val="TableNAm"/>
            </w:pPr>
            <w:r>
              <w:t>5.1</w:t>
            </w:r>
          </w:p>
        </w:tc>
      </w:tr>
      <w:tr>
        <w:tc>
          <w:tcPr>
            <w:tcW w:w="4130" w:type="dxa"/>
          </w:tcPr>
          <w:p>
            <w:pPr>
              <w:pStyle w:val="TableNAm"/>
            </w:pPr>
            <w:r>
              <w:t>Ammonium nitrate emulsion or suspension or gel, intermediate for blasting explosives</w:t>
            </w:r>
          </w:p>
        </w:tc>
        <w:tc>
          <w:tcPr>
            <w:tcW w:w="1021" w:type="dxa"/>
          </w:tcPr>
          <w:p>
            <w:pPr>
              <w:pStyle w:val="TableNAm"/>
            </w:pPr>
            <w:r>
              <w:t>3375</w:t>
            </w:r>
          </w:p>
        </w:tc>
        <w:tc>
          <w:tcPr>
            <w:tcW w:w="1078" w:type="dxa"/>
          </w:tcPr>
          <w:p>
            <w:pPr>
              <w:pStyle w:val="TableNAm"/>
            </w:pPr>
            <w:r>
              <w:t>5.1</w:t>
            </w:r>
          </w:p>
        </w:tc>
      </w:tr>
    </w:tbl>
    <w:p>
      <w:pPr>
        <w:pStyle w:val="Footnotesection"/>
        <w:rPr>
          <w:szCs w:val="24"/>
        </w:rPr>
      </w:pPr>
      <w:r>
        <w:rPr>
          <w:szCs w:val="24"/>
        </w:rPr>
        <w:tab/>
        <w:t>[Regulation 4A inserted: SL </w:t>
      </w:r>
      <w:r>
        <w:t>2024/285 r. 5</w:t>
      </w:r>
      <w:r>
        <w:rPr>
          <w:szCs w:val="24"/>
        </w:rPr>
        <w:t>.]</w:t>
      </w:r>
    </w:p>
    <w:p>
      <w:pPr>
        <w:pStyle w:val="Heading5"/>
      </w:pPr>
      <w:bookmarkStart w:id="21" w:name="_Toc194932890"/>
      <w:r>
        <w:rPr>
          <w:rStyle w:val="CharSectno"/>
        </w:rPr>
        <w:lastRenderedPageBreak/>
        <w:t>5</w:t>
      </w:r>
      <w:r>
        <w:t>.</w:t>
      </w:r>
      <w:r>
        <w:tab/>
        <w:t>Examples and notes in these regulations</w:t>
      </w:r>
      <w:bookmarkEnd w:id="21"/>
    </w:p>
    <w:p>
      <w:pPr>
        <w:pStyle w:val="Subsection"/>
        <w:keepLines/>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22" w:name="_Toc194932891"/>
      <w:r>
        <w:rPr>
          <w:rStyle w:val="CharSectno"/>
        </w:rPr>
        <w:t>6</w:t>
      </w:r>
      <w:r>
        <w:t>.</w:t>
      </w:r>
      <w:r>
        <w:tab/>
        <w:t>References to determinations, exemptions, approvals and licences</w:t>
      </w:r>
      <w:bookmarkEnd w:id="22"/>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23" w:name="_Toc194932892"/>
      <w:r>
        <w:rPr>
          <w:rStyle w:val="CharSectno"/>
        </w:rPr>
        <w:t>7</w:t>
      </w:r>
      <w:r>
        <w:t>.</w:t>
      </w:r>
      <w:r>
        <w:tab/>
        <w:t>References to variation of determinations, exemptions, approvals and licences</w:t>
      </w:r>
      <w:bookmarkEnd w:id="23"/>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keepNext/>
      </w:pPr>
      <w:r>
        <w:tab/>
        <w:t>(b)</w:t>
      </w:r>
      <w:r>
        <w:tab/>
        <w:t xml:space="preserve">a corresponding determination, corresponding exemption, corresponding approval, corresponding </w:t>
      </w:r>
      <w:r>
        <w:lastRenderedPageBreak/>
        <w:t>dangerous goods driver licence or corresponding dangerous goods vehicle licence,</w:t>
      </w:r>
    </w:p>
    <w:p>
      <w:pPr>
        <w:pStyle w:val="Subsection"/>
        <w:keepNext/>
      </w:pPr>
      <w:r>
        <w:tab/>
      </w:r>
      <w:r>
        <w:tab/>
        <w:t>includes a reference to a variation by addition, omission or substitution.</w:t>
      </w:r>
    </w:p>
    <w:p>
      <w:pPr>
        <w:pStyle w:val="Heading5"/>
      </w:pPr>
      <w:bookmarkStart w:id="24" w:name="_Toc194932893"/>
      <w:r>
        <w:rPr>
          <w:rStyle w:val="CharSectno"/>
        </w:rPr>
        <w:t>8</w:t>
      </w:r>
      <w:r>
        <w:t>.</w:t>
      </w:r>
      <w:r>
        <w:tab/>
        <w:t>Inconsistency between these regulations and documents adopted</w:t>
      </w:r>
      <w:bookmarkEnd w:id="24"/>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25" w:name="_Toc194932894"/>
      <w:r>
        <w:rPr>
          <w:rStyle w:val="CharSectno"/>
        </w:rPr>
        <w:t>9</w:t>
      </w:r>
      <w:r>
        <w:t>.</w:t>
      </w:r>
      <w:r>
        <w:tab/>
        <w:t>References in ADG Code</w:t>
      </w:r>
      <w:bookmarkEnd w:id="25"/>
    </w:p>
    <w:p>
      <w:pPr>
        <w:pStyle w:val="Subsection"/>
        <w:keepNext/>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 xml:space="preserve">a reference in the ADG Code to a numbered Regulation is to be taken to be a reference to the provision in these regulations that corresponds to the provision of that number in the </w:t>
      </w:r>
      <w:r>
        <w:t>model subordinate instrument.</w:t>
      </w:r>
    </w:p>
    <w:p>
      <w:pPr>
        <w:pStyle w:val="Footnotesection"/>
        <w:rPr>
          <w:szCs w:val="24"/>
        </w:rPr>
      </w:pPr>
      <w:r>
        <w:rPr>
          <w:szCs w:val="24"/>
        </w:rPr>
        <w:tab/>
        <w:t>[Regulation 9 amended: Gazette 31 Aug 2018 p. 3044.]</w:t>
      </w:r>
    </w:p>
    <w:p>
      <w:pPr>
        <w:pStyle w:val="Heading3"/>
        <w:widowControl w:val="0"/>
        <w:spacing w:before="220"/>
      </w:pPr>
      <w:bookmarkStart w:id="26" w:name="_Toc194911648"/>
      <w:bookmarkStart w:id="27" w:name="_Toc194914363"/>
      <w:bookmarkStart w:id="28" w:name="_Toc194914733"/>
      <w:bookmarkStart w:id="29" w:name="_Toc194932895"/>
      <w:r>
        <w:rPr>
          <w:rStyle w:val="CharDivNo"/>
        </w:rPr>
        <w:lastRenderedPageBreak/>
        <w:t>Division 3</w:t>
      </w:r>
      <w:r>
        <w:t> — </w:t>
      </w:r>
      <w:r>
        <w:rPr>
          <w:rStyle w:val="CharDivText"/>
        </w:rPr>
        <w:t>Application</w:t>
      </w:r>
      <w:bookmarkEnd w:id="26"/>
      <w:bookmarkEnd w:id="27"/>
      <w:bookmarkEnd w:id="28"/>
      <w:bookmarkEnd w:id="29"/>
    </w:p>
    <w:p>
      <w:pPr>
        <w:pStyle w:val="Heading5"/>
        <w:rPr>
          <w:color w:val="000000"/>
        </w:rPr>
      </w:pPr>
      <w:bookmarkStart w:id="30" w:name="_Toc194932896"/>
      <w:r>
        <w:rPr>
          <w:rStyle w:val="CharSectno"/>
          <w:color w:val="000000"/>
        </w:rPr>
        <w:t>10</w:t>
      </w:r>
      <w:r>
        <w:rPr>
          <w:color w:val="000000"/>
        </w:rPr>
        <w:t>.</w:t>
      </w:r>
      <w:r>
        <w:rPr>
          <w:color w:val="000000"/>
        </w:rPr>
        <w:tab/>
        <w:t>Application to transport by road and rail</w:t>
      </w:r>
      <w:bookmarkEnd w:id="30"/>
    </w:p>
    <w:p>
      <w:pPr>
        <w:pStyle w:val="Subsection"/>
        <w:keepNext/>
        <w:rPr>
          <w:color w:val="000000"/>
        </w:rPr>
      </w:pPr>
      <w:r>
        <w:tab/>
      </w:r>
      <w:r>
        <w:tab/>
      </w:r>
      <w:r>
        <w:rPr>
          <w:color w:val="000000"/>
        </w:rPr>
        <w:t>Unless the contrary intention appears, these regulations apply to the transport of dangerous goods by road or rail.</w:t>
      </w:r>
    </w:p>
    <w:p>
      <w:pPr>
        <w:pStyle w:val="PermNoteHeading"/>
      </w:pPr>
      <w:r>
        <w:tab/>
        <w:t>Notes for this regulation:</w:t>
      </w:r>
    </w:p>
    <w:p>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31" w:name="_Toc194932897"/>
      <w:r>
        <w:rPr>
          <w:rStyle w:val="CharSectno"/>
        </w:rPr>
        <w:t>11</w:t>
      </w:r>
      <w:r>
        <w:t>.</w:t>
      </w:r>
      <w:r>
        <w:tab/>
        <w:t>Dangerous situations</w:t>
      </w:r>
      <w:bookmarkEnd w:id="31"/>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keepLines/>
      </w:pPr>
      <w:r>
        <w:tab/>
        <w:t>(b)</w:t>
      </w:r>
      <w:r>
        <w:tab/>
        <w:t>an emergency service officer who is acting to reduce, eliminate or avert any risk to people, property or the environment from dangerous goods in a dangerous situation.</w:t>
      </w:r>
    </w:p>
    <w:p>
      <w:pPr>
        <w:pStyle w:val="Heading5"/>
      </w:pPr>
      <w:bookmarkStart w:id="32" w:name="_Toc194932898"/>
      <w:r>
        <w:rPr>
          <w:rStyle w:val="CharSectno"/>
          <w:color w:val="000000"/>
        </w:rPr>
        <w:t>12</w:t>
      </w:r>
      <w:r>
        <w:rPr>
          <w:color w:val="000000"/>
        </w:rPr>
        <w:t>.</w:t>
      </w:r>
      <w:r>
        <w:rPr>
          <w:color w:val="000000"/>
        </w:rPr>
        <w:tab/>
        <w:t>Exempt transport</w:t>
      </w:r>
      <w:bookmarkEnd w:id="32"/>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keepLines w:val="0"/>
      </w:pPr>
      <w:r>
        <w:tab/>
        <w:t>(i)</w:t>
      </w:r>
      <w:r>
        <w:tab/>
        <w:t>any substance or article that, under the ADG Code, is within Division 1.4S; and</w:t>
      </w:r>
    </w:p>
    <w:p>
      <w:pPr>
        <w:pStyle w:val="Defsubpara"/>
        <w:keepNext/>
      </w:pPr>
      <w:r>
        <w:lastRenderedPageBreak/>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keepNext/>
        <w:rPr>
          <w:color w:val="000000"/>
        </w:rPr>
      </w:pPr>
      <w:r>
        <w:rPr>
          <w:color w:val="000000"/>
        </w:rPr>
        <w:tab/>
        <w:t>(e)</w:t>
      </w:r>
      <w:r>
        <w:rPr>
          <w:color w:val="000000"/>
        </w:rPr>
        <w:tab/>
        <w:t>the goods are not being transported by the person on a passenger train.</w:t>
      </w:r>
    </w:p>
    <w:p>
      <w:pPr>
        <w:pStyle w:val="Footnotesection"/>
      </w:pPr>
      <w:r>
        <w:tab/>
        <w:t>[Regulation 12 amended: Gazette 22 Jun 2010 p. 2719; 13 Jun 2014 p. 1932.]</w:t>
      </w:r>
    </w:p>
    <w:p>
      <w:pPr>
        <w:pStyle w:val="Heading5"/>
      </w:pPr>
      <w:bookmarkStart w:id="33" w:name="_Toc194932899"/>
      <w:r>
        <w:rPr>
          <w:rStyle w:val="CharSectno"/>
        </w:rPr>
        <w:t>13</w:t>
      </w:r>
      <w:r>
        <w:t>.</w:t>
      </w:r>
      <w:r>
        <w:tab/>
        <w:t>Further</w:t>
      </w:r>
      <w:r>
        <w:rPr>
          <w:color w:val="000000"/>
        </w:rPr>
        <w:t xml:space="preserve"> exemptions</w:t>
      </w:r>
      <w:bookmarkEnd w:id="33"/>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set out in the ADG Code section 1.1.1.2(3)(a);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lastRenderedPageBreak/>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Gazette 13 Jun 2014 p. 1932; 11 Jul 2017 p. 3821.]</w:t>
      </w:r>
    </w:p>
    <w:p>
      <w:pPr>
        <w:pStyle w:val="Heading5"/>
      </w:pPr>
      <w:bookmarkStart w:id="34" w:name="_Toc194932900"/>
      <w:r>
        <w:rPr>
          <w:rStyle w:val="CharSectno"/>
        </w:rPr>
        <w:t>13A</w:t>
      </w:r>
      <w:r>
        <w:t>.</w:t>
      </w:r>
      <w:r>
        <w:tab/>
        <w:t>Partial exemption for transport by complying MPU</w:t>
      </w:r>
      <w:bookmarkEnd w:id="34"/>
    </w:p>
    <w:p>
      <w:pPr>
        <w:pStyle w:val="Subsection"/>
      </w:pPr>
      <w:r>
        <w:tab/>
        <w:t>(1)</w:t>
      </w:r>
      <w:r>
        <w:tab/>
        <w:t xml:space="preserve">In this regulation — </w:t>
      </w:r>
    </w:p>
    <w:p>
      <w:pPr>
        <w:pStyle w:val="Defstart"/>
      </w:pPr>
      <w:r>
        <w:tab/>
      </w:r>
      <w:r>
        <w:rPr>
          <w:rStyle w:val="CharDefText"/>
        </w:rPr>
        <w:t>complying MPU</w:t>
      </w:r>
      <w:r>
        <w:t xml:space="preserve"> means an MPU that complies with an approved code of practice (if any) in respect of the following matters — </w:t>
      </w:r>
    </w:p>
    <w:p>
      <w:pPr>
        <w:pStyle w:val="Defpara"/>
      </w:pPr>
      <w:r>
        <w:tab/>
        <w:t>(a)</w:t>
      </w:r>
      <w:r>
        <w:tab/>
        <w:t>packaging of dangerous goods carried by the MPU;</w:t>
      </w:r>
    </w:p>
    <w:p>
      <w:pPr>
        <w:pStyle w:val="Defpara"/>
      </w:pPr>
      <w:r>
        <w:tab/>
        <w:t>(b)</w:t>
      </w:r>
      <w:r>
        <w:tab/>
        <w:t>consignment procedures for dangerous goods carried by the MPU;</w:t>
      </w:r>
    </w:p>
    <w:p>
      <w:pPr>
        <w:pStyle w:val="Defpara"/>
      </w:pPr>
      <w:r>
        <w:tab/>
        <w:t>(c)</w:t>
      </w:r>
      <w:r>
        <w:tab/>
        <w:t>safety standards for vehicles and equipment;</w:t>
      </w:r>
    </w:p>
    <w:p>
      <w:pPr>
        <w:pStyle w:val="Defpara"/>
      </w:pPr>
      <w:r>
        <w:tab/>
        <w:t>(d)</w:t>
      </w:r>
      <w:r>
        <w:tab/>
        <w:t>stowage and constraint of dangerous goods carried by the MPU;</w:t>
      </w:r>
    </w:p>
    <w:p>
      <w:pPr>
        <w:pStyle w:val="Defpara"/>
        <w:keepNext/>
      </w:pPr>
      <w:r>
        <w:tab/>
        <w:t>(e)</w:t>
      </w:r>
      <w:r>
        <w:tab/>
        <w:t>segregation of dangerous goods carried by the MPU;</w:t>
      </w:r>
    </w:p>
    <w:p>
      <w:pPr>
        <w:pStyle w:val="Defpara"/>
      </w:pPr>
      <w:r>
        <w:tab/>
        <w:t>(f)</w:t>
      </w:r>
      <w:r>
        <w:tab/>
        <w:t>bulk transfer of dangerous goods carried by the MPU;</w:t>
      </w:r>
    </w:p>
    <w:p>
      <w:pPr>
        <w:pStyle w:val="Defpara"/>
      </w:pPr>
      <w:r>
        <w:tab/>
        <w:t>(g)</w:t>
      </w:r>
      <w:r>
        <w:tab/>
        <w:t>documentation of dangerous goods carried by the MPU;</w:t>
      </w:r>
    </w:p>
    <w:p>
      <w:pPr>
        <w:pStyle w:val="Defpara"/>
      </w:pPr>
      <w:r>
        <w:tab/>
        <w:t>(h)</w:t>
      </w:r>
      <w:r>
        <w:tab/>
        <w:t>safety equipment carried by the MPU;</w:t>
      </w:r>
    </w:p>
    <w:p>
      <w:pPr>
        <w:pStyle w:val="Defpara"/>
      </w:pPr>
      <w:r>
        <w:tab/>
        <w:t>(i)</w:t>
      </w:r>
      <w:r>
        <w:tab/>
        <w:t>procedures during transport of dangerous goods by the MPU;</w:t>
      </w:r>
    </w:p>
    <w:p>
      <w:pPr>
        <w:pStyle w:val="Defstart"/>
      </w:pPr>
      <w:r>
        <w:tab/>
      </w:r>
      <w:r>
        <w:rPr>
          <w:rStyle w:val="CharDefText"/>
        </w:rPr>
        <w:t>mobile processing unit (MPU)</w:t>
      </w:r>
      <w:r>
        <w:t xml:space="preserve"> has the meaning given in the </w:t>
      </w:r>
      <w:r>
        <w:rPr>
          <w:i/>
        </w:rPr>
        <w:t>Dangerous Goods Safety (Explosives) Regulations 2007</w:t>
      </w:r>
      <w:r>
        <w:t xml:space="preserve"> regulation 3 but does not include a trailer that is towed by a mobile processing unit.</w:t>
      </w:r>
    </w:p>
    <w:p>
      <w:pPr>
        <w:pStyle w:val="Subsection"/>
        <w:keepNext/>
      </w:pPr>
      <w:r>
        <w:lastRenderedPageBreak/>
        <w:tab/>
        <w:t>(2)</w:t>
      </w:r>
      <w:r>
        <w:tab/>
        <w:t>Parts 4, 5, 6, 8, 9, 10, 11, 12 and 13 and regulation 215 do not apply in respect of the transport by a person of the ingredients of an explosive if the transport is by means of a complying MPU.</w:t>
      </w:r>
    </w:p>
    <w:p>
      <w:pPr>
        <w:pStyle w:val="Footnotesection"/>
        <w:spacing w:before="100"/>
        <w:ind w:left="890" w:hanging="890"/>
        <w:rPr>
          <w:color w:val="000000"/>
        </w:rPr>
      </w:pPr>
      <w:r>
        <w:tab/>
        <w:t>[Regulation 13A inserted: Gazette 11 Jul 2017 p. 3822.]</w:t>
      </w:r>
    </w:p>
    <w:p>
      <w:pPr>
        <w:pStyle w:val="Heading5"/>
      </w:pPr>
      <w:bookmarkStart w:id="35" w:name="_Toc194932901"/>
      <w:r>
        <w:rPr>
          <w:rStyle w:val="CharSectno"/>
        </w:rPr>
        <w:t>13B</w:t>
      </w:r>
      <w:r>
        <w:t>.</w:t>
      </w:r>
      <w:r>
        <w:tab/>
        <w:t>Special provisions for tools of trade and dangerous goods for private use</w:t>
      </w:r>
      <w:bookmarkEnd w:id="35"/>
    </w:p>
    <w:p>
      <w:pPr>
        <w:pStyle w:val="Subsection"/>
      </w:pPr>
      <w:r>
        <w:tab/>
        <w:t>(1)</w:t>
      </w:r>
      <w:r>
        <w:tab/>
        <w:t xml:space="preserve">This regulation applies to a load if — </w:t>
      </w:r>
    </w:p>
    <w:p>
      <w:pPr>
        <w:pStyle w:val="Indenta"/>
      </w:pPr>
      <w:r>
        <w:tab/>
        <w:t>(a)</w:t>
      </w:r>
      <w:r>
        <w:tab/>
        <w:t>for loads not including dangerous goods of UN Division 2.1 (other than aerosols), UN Division 2.3 or Packing Group 1 — the load includes an aggregate quantity of dangerous goods of less than 500; and</w:t>
      </w:r>
    </w:p>
    <w:p>
      <w:pPr>
        <w:pStyle w:val="Indenta"/>
      </w:pPr>
      <w:r>
        <w:tab/>
        <w:t>(b)</w:t>
      </w:r>
      <w:r>
        <w:tab/>
        <w:t xml:space="preserve">for loads including dangerous goods of UN Division 2.1 (other than aerosols), UN Division 2.3 or Packing Group 1 — </w:t>
      </w:r>
    </w:p>
    <w:p>
      <w:pPr>
        <w:pStyle w:val="Indenti"/>
      </w:pPr>
      <w:r>
        <w:tab/>
        <w:t>(i)</w:t>
      </w:r>
      <w:r>
        <w:tab/>
        <w:t>the load includes an aggregate quantity of dangerous goods of less than 250; and</w:t>
      </w:r>
    </w:p>
    <w:p>
      <w:pPr>
        <w:pStyle w:val="Indenti"/>
      </w:pPr>
      <w:r>
        <w:tab/>
        <w:t>(ii)</w:t>
      </w:r>
      <w:r>
        <w:tab/>
        <w:t>any dangerous goods of UN Division 2.3 or Packing Group 1 together constitute less than 100 of the aggregate quantity;</w:t>
      </w:r>
    </w:p>
    <w:p>
      <w:pPr>
        <w:pStyle w:val="Indenta"/>
      </w:pPr>
      <w:r>
        <w:tab/>
      </w:r>
      <w:r>
        <w:tab/>
        <w:t>and</w:t>
      </w:r>
    </w:p>
    <w:p>
      <w:pPr>
        <w:pStyle w:val="Indenta"/>
      </w:pPr>
      <w:r>
        <w:tab/>
        <w:t>(c)</w:t>
      </w:r>
      <w:r>
        <w:tab/>
        <w:t xml:space="preserve">the goods are not being transported in the course of a business of transporting goods but are being transported — </w:t>
      </w:r>
    </w:p>
    <w:p>
      <w:pPr>
        <w:pStyle w:val="Indenti"/>
      </w:pPr>
      <w:r>
        <w:tab/>
        <w:t>(i)</w:t>
      </w:r>
      <w:r>
        <w:tab/>
        <w:t>by a person who intends to use them; or</w:t>
      </w:r>
    </w:p>
    <w:p>
      <w:pPr>
        <w:pStyle w:val="Indenti"/>
      </w:pPr>
      <w:r>
        <w:tab/>
        <w:t>(ii)</w:t>
      </w:r>
      <w:r>
        <w:tab/>
        <w:t>so they can be used for a commercial purpose.</w:t>
      </w:r>
    </w:p>
    <w:p>
      <w:pPr>
        <w:pStyle w:val="Subsection"/>
      </w:pPr>
      <w:r>
        <w:tab/>
        <w:t>(2)</w:t>
      </w:r>
      <w:r>
        <w:tab/>
        <w:t>A person transporting a load to which this regulation applies is exempt from all the obligations imposed by these regulations other than those imposed by this regulation.</w:t>
      </w:r>
    </w:p>
    <w:p>
      <w:pPr>
        <w:pStyle w:val="Subsection"/>
        <w:keepNext/>
      </w:pPr>
      <w:r>
        <w:lastRenderedPageBreak/>
        <w:tab/>
        <w:t>(3)</w:t>
      </w:r>
      <w:r>
        <w:tab/>
        <w:t xml:space="preserve">A person must not transport a load to which this regulation applies unless each package in the load — </w:t>
      </w:r>
    </w:p>
    <w:p>
      <w:pPr>
        <w:pStyle w:val="Indenta"/>
      </w:pPr>
      <w:r>
        <w:tab/>
        <w:t>(a)</w:t>
      </w:r>
      <w:r>
        <w:tab/>
        <w:t>complies with the packaging requirements appropriate to the quantity of dangerous goods, as specified in Part 4; and</w:t>
      </w:r>
    </w:p>
    <w:p>
      <w:pPr>
        <w:pStyle w:val="Indenta"/>
      </w:pPr>
      <w:r>
        <w:tab/>
        <w:t>(b)</w:t>
      </w:r>
      <w:r>
        <w:tab/>
        <w:t>is labelled and marked as specified in Part 5 Division 1; and</w:t>
      </w:r>
    </w:p>
    <w:p>
      <w:pPr>
        <w:pStyle w:val="Indenta"/>
      </w:pPr>
      <w:r>
        <w:tab/>
        <w:t>(c)</w:t>
      </w:r>
      <w:r>
        <w:tab/>
        <w:t xml:space="preserve">is loaded, secured, segregated, unloaded and otherwise transported in such a way as to ensure that — </w:t>
      </w:r>
    </w:p>
    <w:p>
      <w:pPr>
        <w:pStyle w:val="Indenti"/>
      </w:pPr>
      <w:r>
        <w:tab/>
        <w:t>(i)</w:t>
      </w:r>
      <w:r>
        <w:tab/>
        <w:t>its packaging remains fit for purpose; and</w:t>
      </w:r>
    </w:p>
    <w:p>
      <w:pPr>
        <w:pStyle w:val="Indenti"/>
      </w:pPr>
      <w:r>
        <w:tab/>
        <w:t>(ii)</w:t>
      </w:r>
      <w:r>
        <w:tab/>
        <w:t>the risks to any person, property or the environment are eliminated, or if it is not practicable to eliminate the risks, are minimised to the maximum extent that is practicable.</w:t>
      </w:r>
    </w:p>
    <w:p>
      <w:pPr>
        <w:pStyle w:val="Penstart"/>
      </w:pPr>
      <w:r>
        <w:tab/>
        <w:t>Penalty for this subregulation: a fine of $1 500.</w:t>
      </w:r>
    </w:p>
    <w:p>
      <w:pPr>
        <w:pStyle w:val="Subsection"/>
      </w:pPr>
      <w:r>
        <w:tab/>
        <w:t>(4)</w:t>
      </w:r>
      <w:r>
        <w:tab/>
        <w:t xml:space="preserve">If a load to which this regulation applies contains an aggregate quantity of dangerous goods of UN Class 3, 4, 5 or 6 of more than 250, a person must not transport the load — </w:t>
      </w:r>
    </w:p>
    <w:p>
      <w:pPr>
        <w:pStyle w:val="Indenta"/>
      </w:pPr>
      <w:r>
        <w:tab/>
        <w:t>(a)</w:t>
      </w:r>
      <w:r>
        <w:tab/>
        <w:t>in the passenger compartment of a vehicle; or</w:t>
      </w:r>
    </w:p>
    <w:p>
      <w:pPr>
        <w:pStyle w:val="Indenta"/>
      </w:pPr>
      <w:r>
        <w:tab/>
        <w:t>(b)</w:t>
      </w:r>
      <w:r>
        <w:tab/>
        <w:t>in an enclosed space that is not separated from the passenger compartment of a vehicle.</w:t>
      </w:r>
    </w:p>
    <w:p>
      <w:pPr>
        <w:pStyle w:val="Penstart"/>
      </w:pPr>
      <w:r>
        <w:tab/>
        <w:t>Penalty for this subregulation: a fine of $1 500.</w:t>
      </w:r>
    </w:p>
    <w:p>
      <w:pPr>
        <w:pStyle w:val="Subsection"/>
      </w:pPr>
      <w:r>
        <w:tab/>
        <w:t>(5)</w:t>
      </w:r>
      <w:r>
        <w:tab/>
        <w:t xml:space="preserve">If a load to which this regulation applies contains an aggregate quantity of dangerous goods of UN Division 2.1, UN Division 2.3 or Packing Group 1 of more than 25% of a placard load, a person must not transport the load — </w:t>
      </w:r>
    </w:p>
    <w:p>
      <w:pPr>
        <w:pStyle w:val="Indenta"/>
      </w:pPr>
      <w:r>
        <w:tab/>
        <w:t>(a)</w:t>
      </w:r>
      <w:r>
        <w:tab/>
        <w:t>in the passenger compartment of a vehicle; or</w:t>
      </w:r>
    </w:p>
    <w:p>
      <w:pPr>
        <w:pStyle w:val="Indenta"/>
        <w:keepNext/>
      </w:pPr>
      <w:r>
        <w:lastRenderedPageBreak/>
        <w:tab/>
        <w:t>(b)</w:t>
      </w:r>
      <w:r>
        <w:tab/>
        <w:t xml:space="preserve">in any other enclosed space in a vehicle unless the space is sufficiently ventilated to prevent an accumulation of vapours or fumes that is likely to cause risk. </w:t>
      </w:r>
    </w:p>
    <w:p>
      <w:pPr>
        <w:pStyle w:val="Penstart"/>
        <w:keepNext/>
      </w:pPr>
      <w:r>
        <w:tab/>
        <w:t>Penalty for this subregulation: a fine of $1 500.</w:t>
      </w:r>
    </w:p>
    <w:p>
      <w:pPr>
        <w:pStyle w:val="Footnotesection"/>
        <w:spacing w:before="100"/>
        <w:ind w:left="890" w:hanging="890"/>
        <w:rPr>
          <w:color w:val="000000"/>
        </w:rPr>
      </w:pPr>
      <w:r>
        <w:tab/>
        <w:t>[Regulation 13B inserted: Gazette 11 Jul 2017 p. 3822</w:t>
      </w:r>
      <w:r>
        <w:noBreakHyphen/>
        <w:t>4; amended: Gazette 31 Aug 2018 p. 3044.]</w:t>
      </w:r>
    </w:p>
    <w:p>
      <w:pPr>
        <w:pStyle w:val="Heading3"/>
      </w:pPr>
      <w:bookmarkStart w:id="36" w:name="_Toc194911655"/>
      <w:bookmarkStart w:id="37" w:name="_Toc194914370"/>
      <w:bookmarkStart w:id="38" w:name="_Toc194914740"/>
      <w:bookmarkStart w:id="39" w:name="_Toc194932902"/>
      <w:r>
        <w:rPr>
          <w:rStyle w:val="CharDivNo"/>
        </w:rPr>
        <w:t>Division 4</w:t>
      </w:r>
      <w:r>
        <w:t> — </w:t>
      </w:r>
      <w:r>
        <w:rPr>
          <w:rStyle w:val="CharDivText"/>
        </w:rPr>
        <w:t>Instruction and training</w:t>
      </w:r>
      <w:bookmarkEnd w:id="36"/>
      <w:bookmarkEnd w:id="37"/>
      <w:bookmarkEnd w:id="38"/>
      <w:bookmarkEnd w:id="39"/>
    </w:p>
    <w:p>
      <w:pPr>
        <w:pStyle w:val="Heading5"/>
        <w:rPr>
          <w:color w:val="000000"/>
        </w:rPr>
      </w:pPr>
      <w:bookmarkStart w:id="40" w:name="_Toc194932903"/>
      <w:r>
        <w:rPr>
          <w:rStyle w:val="CharSectno"/>
          <w:color w:val="000000"/>
        </w:rPr>
        <w:t>14</w:t>
      </w:r>
      <w:r>
        <w:rPr>
          <w:color w:val="000000"/>
        </w:rPr>
        <w:t>.</w:t>
      </w:r>
      <w:r>
        <w:rPr>
          <w:color w:val="000000"/>
        </w:rPr>
        <w:tab/>
        <w:t>Instruction and training</w:t>
      </w:r>
      <w:bookmarkEnd w:id="40"/>
    </w:p>
    <w:p>
      <w:pPr>
        <w:pStyle w:val="Subsection"/>
        <w:keepNext/>
        <w:keepLines/>
        <w:rPr>
          <w:color w:val="000000"/>
        </w:rPr>
      </w:pPr>
      <w:r>
        <w:rPr>
          <w:color w:val="000000"/>
        </w:rPr>
        <w:tab/>
        <w:t>(1)</w:t>
      </w:r>
      <w:r>
        <w:rPr>
          <w:color w:val="000000"/>
        </w:rPr>
        <w:tab/>
        <w:t xml:space="preserve">This regulation applies to any task involved in the transport of dangerous goods, including the following — </w:t>
      </w:r>
    </w:p>
    <w:p>
      <w:pPr>
        <w:pStyle w:val="Indenta"/>
        <w:keepNext/>
        <w:rPr>
          <w:color w:val="000000"/>
        </w:rPr>
      </w:pPr>
      <w:r>
        <w:rPr>
          <w:color w:val="000000"/>
        </w:rPr>
        <w:tab/>
        <w:t>(a)</w:t>
      </w:r>
      <w:r>
        <w:rPr>
          <w:color w:val="000000"/>
        </w:rPr>
        <w:tab/>
        <w:t>packing dangerous goods;</w:t>
      </w:r>
    </w:p>
    <w:p>
      <w:pPr>
        <w:pStyle w:val="Indenta"/>
        <w:keepNext/>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 xml:space="preserve">has not received, or is not receiving, appropriate instruction and training to ensure that he or she is able to </w:t>
      </w:r>
      <w:r>
        <w:rPr>
          <w:color w:val="000000"/>
        </w:rPr>
        <w:lastRenderedPageBreak/>
        <w:t>perform the task safely and in accordance with these regulations; or</w:t>
      </w:r>
    </w:p>
    <w:p>
      <w:pPr>
        <w:pStyle w:val="Indenta"/>
        <w:keepNext/>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Gazette 13 Jun 2014 p. 1932.]</w:t>
      </w:r>
    </w:p>
    <w:p>
      <w:pPr>
        <w:pStyle w:val="Heading5"/>
      </w:pPr>
      <w:bookmarkStart w:id="41" w:name="_Toc184909809"/>
      <w:bookmarkStart w:id="42" w:name="_Toc185340671"/>
      <w:bookmarkStart w:id="43" w:name="_Toc194932904"/>
      <w:r>
        <w:rPr>
          <w:rStyle w:val="CharSectno"/>
        </w:rPr>
        <w:t>14A</w:t>
      </w:r>
      <w:r>
        <w:t>.</w:t>
      </w:r>
      <w:r>
        <w:tab/>
        <w:t>Transport of ammonium nitrate explosion risk goods — instruction and training</w:t>
      </w:r>
      <w:bookmarkEnd w:id="41"/>
      <w:bookmarkEnd w:id="42"/>
      <w:bookmarkEnd w:id="43"/>
    </w:p>
    <w:p>
      <w:pPr>
        <w:pStyle w:val="Subsection"/>
      </w:pPr>
      <w:r>
        <w:tab/>
      </w:r>
      <w:r>
        <w:tab/>
        <w:t xml:space="preserve">A person must not transport a placard load of ammonium nitrate explosion risk goods by road vehicle unless the person has received appropriate instruction and training in the use of — </w:t>
      </w:r>
    </w:p>
    <w:p>
      <w:pPr>
        <w:pStyle w:val="Indenta"/>
        <w:rPr>
          <w:rStyle w:val="DraftersNotes"/>
          <w:b w:val="0"/>
          <w:i w:val="0"/>
        </w:rPr>
      </w:pPr>
      <w:r>
        <w:tab/>
        <w:t>(a)</w:t>
      </w:r>
      <w:r>
        <w:tab/>
        <w:t>the additional fire fighting equipment with which the road vehicle is equipped that meets the requirements of regulation 165(1)(c); and</w:t>
      </w:r>
    </w:p>
    <w:p>
      <w:pPr>
        <w:pStyle w:val="Indenta"/>
      </w:pPr>
      <w:r>
        <w:tab/>
        <w:t>(b)</w:t>
      </w:r>
      <w:r>
        <w:tab/>
        <w:t>the temperature monitoring equipment with which the road vehicle is equipped to enable compliance with regulation 170A(2)(a).</w:t>
      </w:r>
    </w:p>
    <w:p>
      <w:pPr>
        <w:pStyle w:val="Penstart"/>
        <w:rPr>
          <w:rStyle w:val="DraftersNotes"/>
          <w:b w:val="0"/>
          <w:i w:val="0"/>
        </w:rPr>
      </w:pPr>
      <w:r>
        <w:tab/>
        <w:t>Penalty: a fine of $10 000.</w:t>
      </w:r>
    </w:p>
    <w:p>
      <w:pPr>
        <w:pStyle w:val="Footnotesection"/>
        <w:rPr>
          <w:szCs w:val="24"/>
        </w:rPr>
      </w:pPr>
      <w:r>
        <w:rPr>
          <w:szCs w:val="24"/>
        </w:rPr>
        <w:tab/>
        <w:t>[Regulation 14A inserted: SL </w:t>
      </w:r>
      <w:r>
        <w:t>2024/285 r. 6</w:t>
      </w:r>
      <w:r>
        <w:rPr>
          <w:szCs w:val="24"/>
        </w:rPr>
        <w:t>.]</w:t>
      </w:r>
    </w:p>
    <w:p>
      <w:pPr>
        <w:pStyle w:val="Heading5"/>
        <w:rPr>
          <w:color w:val="000000"/>
        </w:rPr>
      </w:pPr>
      <w:bookmarkStart w:id="44" w:name="_Toc194932905"/>
      <w:r>
        <w:rPr>
          <w:rStyle w:val="CharSectno"/>
          <w:color w:val="000000"/>
        </w:rPr>
        <w:t>15</w:t>
      </w:r>
      <w:r>
        <w:rPr>
          <w:color w:val="000000"/>
        </w:rPr>
        <w:t>.</w:t>
      </w:r>
      <w:r>
        <w:rPr>
          <w:color w:val="000000"/>
        </w:rPr>
        <w:tab/>
        <w:t>Approvals — tests and training courses for drivers</w:t>
      </w:r>
      <w:bookmarkEnd w:id="44"/>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lastRenderedPageBreak/>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45" w:name="_Toc194911658"/>
      <w:bookmarkStart w:id="46" w:name="_Toc194914374"/>
      <w:bookmarkStart w:id="47" w:name="_Toc194914744"/>
      <w:bookmarkStart w:id="48" w:name="_Toc194932906"/>
      <w:r>
        <w:rPr>
          <w:rStyle w:val="CharDivNo"/>
        </w:rPr>
        <w:t>Division 5</w:t>
      </w:r>
      <w:r>
        <w:t> — </w:t>
      </w:r>
      <w:r>
        <w:rPr>
          <w:rStyle w:val="CharDivText"/>
        </w:rPr>
        <w:t>Goods suspected of being dangerous goods</w:t>
      </w:r>
      <w:bookmarkEnd w:id="45"/>
      <w:bookmarkEnd w:id="46"/>
      <w:bookmarkEnd w:id="47"/>
      <w:bookmarkEnd w:id="48"/>
    </w:p>
    <w:p>
      <w:pPr>
        <w:pStyle w:val="Heading5"/>
      </w:pPr>
      <w:bookmarkStart w:id="49" w:name="_Toc194932907"/>
      <w:r>
        <w:rPr>
          <w:rStyle w:val="CharSectno"/>
        </w:rPr>
        <w:t>16</w:t>
      </w:r>
      <w:r>
        <w:t>.</w:t>
      </w:r>
      <w:r>
        <w:tab/>
      </w:r>
      <w:r>
        <w:rPr>
          <w:color w:val="000000"/>
        </w:rPr>
        <w:t>Goods suspected of being dangerous goods</w:t>
      </w:r>
      <w:bookmarkEnd w:id="49"/>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Gazette 22 Jun 2010 p. 2719.]</w:t>
      </w:r>
    </w:p>
    <w:p>
      <w:pPr>
        <w:pStyle w:val="Heading3"/>
      </w:pPr>
      <w:bookmarkStart w:id="50" w:name="_Toc194911660"/>
      <w:bookmarkStart w:id="51" w:name="_Toc194914376"/>
      <w:bookmarkStart w:id="52" w:name="_Toc194914746"/>
      <w:bookmarkStart w:id="53" w:name="_Toc194932908"/>
      <w:r>
        <w:rPr>
          <w:rStyle w:val="CharDivNo"/>
        </w:rPr>
        <w:t>Division 6</w:t>
      </w:r>
      <w:r>
        <w:t> — </w:t>
      </w:r>
      <w:r>
        <w:rPr>
          <w:rStyle w:val="CharDivText"/>
        </w:rPr>
        <w:t>Determinations</w:t>
      </w:r>
      <w:bookmarkEnd w:id="50"/>
      <w:bookmarkEnd w:id="51"/>
      <w:bookmarkEnd w:id="52"/>
      <w:bookmarkEnd w:id="53"/>
    </w:p>
    <w:p>
      <w:pPr>
        <w:pStyle w:val="Heading5"/>
        <w:rPr>
          <w:color w:val="000000"/>
        </w:rPr>
      </w:pPr>
      <w:bookmarkStart w:id="54" w:name="_Toc194932909"/>
      <w:r>
        <w:rPr>
          <w:rStyle w:val="CharSectno"/>
          <w:color w:val="000000"/>
        </w:rPr>
        <w:t>17</w:t>
      </w:r>
      <w:r>
        <w:rPr>
          <w:color w:val="000000"/>
        </w:rPr>
        <w:t>.</w:t>
      </w:r>
      <w:r>
        <w:rPr>
          <w:color w:val="000000"/>
        </w:rPr>
        <w:tab/>
        <w:t>Determinations — dangerous goods</w:t>
      </w:r>
      <w:bookmarkEnd w:id="54"/>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 xml:space="preserve">dangerous goods that have a particular </w:t>
      </w:r>
      <w:r>
        <w:t>Subsidiary Hazard</w:t>
      </w:r>
      <w:r>
        <w:rPr>
          <w:color w:val="000000"/>
        </w:rPr>
        <w:t>; or</w:t>
      </w:r>
    </w:p>
    <w:p>
      <w:pPr>
        <w:pStyle w:val="Indenta"/>
        <w:rPr>
          <w:color w:val="000000"/>
        </w:rPr>
      </w:pPr>
      <w:r>
        <w:rPr>
          <w:color w:val="000000"/>
        </w:rPr>
        <w:lastRenderedPageBreak/>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pPr>
      <w:r>
        <w:tab/>
        <w:t>Note for this regulation:</w:t>
      </w:r>
    </w:p>
    <w:p>
      <w:pPr>
        <w:pStyle w:val="PermNoteText"/>
      </w:pPr>
      <w:r>
        <w:tab/>
      </w:r>
      <w:r>
        <w:tab/>
        <w:t xml:space="preserve">As to determinations that particular dangerous goods are or are not too dangerous to transport, see the </w:t>
      </w:r>
      <w:r>
        <w:rPr>
          <w:i/>
        </w:rPr>
        <w:t>Dangerous Goods Safety (General) Regulations 2007</w:t>
      </w:r>
      <w:r>
        <w:t>.</w:t>
      </w:r>
    </w:p>
    <w:p>
      <w:pPr>
        <w:pStyle w:val="Footnotesection"/>
        <w:rPr>
          <w:szCs w:val="24"/>
        </w:rPr>
      </w:pPr>
      <w:r>
        <w:rPr>
          <w:szCs w:val="24"/>
        </w:rPr>
        <w:tab/>
        <w:t>[Regulation 17 amended: Gazette 31 Aug 2018 p. 3047.]</w:t>
      </w:r>
    </w:p>
    <w:p>
      <w:pPr>
        <w:pStyle w:val="Heading5"/>
        <w:keepLines w:val="0"/>
        <w:rPr>
          <w:color w:val="000000"/>
        </w:rPr>
      </w:pPr>
      <w:bookmarkStart w:id="55" w:name="_Toc194932910"/>
      <w:r>
        <w:rPr>
          <w:rStyle w:val="CharSectno"/>
          <w:color w:val="000000"/>
        </w:rPr>
        <w:t>18</w:t>
      </w:r>
      <w:r>
        <w:rPr>
          <w:color w:val="000000"/>
        </w:rPr>
        <w:t>.</w:t>
      </w:r>
      <w:r>
        <w:rPr>
          <w:color w:val="000000"/>
        </w:rPr>
        <w:tab/>
        <w:t>Determinations — packaging</w:t>
      </w:r>
      <w:bookmarkEnd w:id="55"/>
    </w:p>
    <w:p>
      <w:pPr>
        <w:pStyle w:val="Subsection"/>
        <w:keepNext/>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Gazette 13 Jun 2014 p. 1932.]</w:t>
      </w:r>
    </w:p>
    <w:p>
      <w:pPr>
        <w:pStyle w:val="Heading5"/>
      </w:pPr>
      <w:bookmarkStart w:id="56" w:name="_Toc194932911"/>
      <w:r>
        <w:rPr>
          <w:rStyle w:val="CharSectno"/>
        </w:rPr>
        <w:t>19</w:t>
      </w:r>
      <w:r>
        <w:t>.</w:t>
      </w:r>
      <w:r>
        <w:tab/>
        <w:t>Determinations — vehicles, routes, areas, times etc.</w:t>
      </w:r>
      <w:bookmarkEnd w:id="56"/>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lastRenderedPageBreak/>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57" w:name="_Toc194932912"/>
      <w:r>
        <w:rPr>
          <w:rStyle w:val="CharSectno"/>
        </w:rPr>
        <w:t>20</w:t>
      </w:r>
      <w:r>
        <w:t>.</w:t>
      </w:r>
      <w:r>
        <w:tab/>
        <w:t>Determinations may be subject to conditions</w:t>
      </w:r>
      <w:bookmarkEnd w:id="57"/>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58" w:name="_Toc194932913"/>
      <w:r>
        <w:rPr>
          <w:rStyle w:val="CharSectno"/>
          <w:color w:val="000000"/>
        </w:rPr>
        <w:t>21</w:t>
      </w:r>
      <w:r>
        <w:rPr>
          <w:color w:val="000000"/>
        </w:rPr>
        <w:t>.</w:t>
      </w:r>
      <w:r>
        <w:rPr>
          <w:color w:val="000000"/>
        </w:rPr>
        <w:tab/>
        <w:t>Effect of determinations on contrary obligations under these regulations</w:t>
      </w:r>
      <w:bookmarkEnd w:id="58"/>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59" w:name="_Toc194932914"/>
      <w:r>
        <w:rPr>
          <w:rStyle w:val="CharSectno"/>
          <w:color w:val="000000"/>
        </w:rPr>
        <w:t>22</w:t>
      </w:r>
      <w:r>
        <w:rPr>
          <w:color w:val="000000"/>
        </w:rPr>
        <w:t>.</w:t>
      </w:r>
      <w:r>
        <w:rPr>
          <w:color w:val="000000"/>
        </w:rPr>
        <w:tab/>
        <w:t>Offence to do any thing prohibited by a determination</w:t>
      </w:r>
      <w:bookmarkEnd w:id="59"/>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60" w:name="_Toc194932915"/>
      <w:r>
        <w:rPr>
          <w:rStyle w:val="CharSectno"/>
        </w:rPr>
        <w:t>23</w:t>
      </w:r>
      <w:r>
        <w:t>.</w:t>
      </w:r>
      <w:r>
        <w:tab/>
        <w:t>Register of determinations</w:t>
      </w:r>
      <w:bookmarkEnd w:id="60"/>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lastRenderedPageBreak/>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61" w:name="_Toc194932916"/>
      <w:r>
        <w:rPr>
          <w:rStyle w:val="CharSectno"/>
        </w:rPr>
        <w:t>24</w:t>
      </w:r>
      <w:r>
        <w:t>.</w:t>
      </w:r>
      <w:r>
        <w:tab/>
        <w:t>Records of determinations</w:t>
      </w:r>
      <w:bookmarkEnd w:id="61"/>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62" w:name="_Toc194911669"/>
      <w:bookmarkStart w:id="63" w:name="_Toc194914385"/>
      <w:bookmarkStart w:id="64" w:name="_Toc194914755"/>
      <w:bookmarkStart w:id="65" w:name="_Toc194932917"/>
      <w:r>
        <w:rPr>
          <w:rStyle w:val="CharDivNo"/>
        </w:rPr>
        <w:t>Division 7</w:t>
      </w:r>
      <w:r>
        <w:t> — </w:t>
      </w:r>
      <w:r>
        <w:rPr>
          <w:rStyle w:val="CharDivText"/>
        </w:rPr>
        <w:t>Registers of determinations, exemptions, approvals and licences</w:t>
      </w:r>
      <w:bookmarkEnd w:id="62"/>
      <w:bookmarkEnd w:id="63"/>
      <w:bookmarkEnd w:id="64"/>
      <w:bookmarkEnd w:id="65"/>
    </w:p>
    <w:p>
      <w:pPr>
        <w:pStyle w:val="Heading5"/>
      </w:pPr>
      <w:bookmarkStart w:id="66" w:name="_Toc194932918"/>
      <w:r>
        <w:rPr>
          <w:rStyle w:val="CharSectno"/>
        </w:rPr>
        <w:t>25</w:t>
      </w:r>
      <w:r>
        <w:t>.</w:t>
      </w:r>
      <w:r>
        <w:tab/>
        <w:t>Term used: register</w:t>
      </w:r>
      <w:bookmarkEnd w:id="66"/>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lastRenderedPageBreak/>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67" w:name="_Toc194932919"/>
      <w:r>
        <w:rPr>
          <w:rStyle w:val="CharSectno"/>
        </w:rPr>
        <w:t>26</w:t>
      </w:r>
      <w:r>
        <w:t>.</w:t>
      </w:r>
      <w:r>
        <w:tab/>
        <w:t>Registers may be kept on computer</w:t>
      </w:r>
      <w:bookmarkEnd w:id="67"/>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68" w:name="_Toc194932920"/>
      <w:r>
        <w:rPr>
          <w:rStyle w:val="CharSectno"/>
        </w:rPr>
        <w:t>27</w:t>
      </w:r>
      <w:r>
        <w:t>.</w:t>
      </w:r>
      <w:r>
        <w:tab/>
        <w:t>Inspection of registers</w:t>
      </w:r>
      <w:bookmarkEnd w:id="68"/>
    </w:p>
    <w:p>
      <w:pPr>
        <w:pStyle w:val="Subsection"/>
        <w:keepNext/>
      </w:pPr>
      <w:r>
        <w:tab/>
        <w:t>(1)</w:t>
      </w:r>
      <w:r>
        <w:tab/>
        <w:t>The Chief Officer must ensure that each register is available for inspection by the corresponding authorities and the public.</w:t>
      </w:r>
    </w:p>
    <w:p>
      <w:pPr>
        <w:pStyle w:val="Subsection"/>
        <w:keepNext/>
        <w:keepLines/>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69" w:name="_Toc194911673"/>
      <w:bookmarkStart w:id="70" w:name="_Toc194914389"/>
      <w:bookmarkStart w:id="71" w:name="_Toc194914759"/>
      <w:bookmarkStart w:id="72" w:name="_Toc194932921"/>
      <w:r>
        <w:rPr>
          <w:rStyle w:val="CharPartNo"/>
        </w:rPr>
        <w:lastRenderedPageBreak/>
        <w:t>Part 2</w:t>
      </w:r>
      <w:r>
        <w:t> — </w:t>
      </w:r>
      <w:r>
        <w:rPr>
          <w:rStyle w:val="CharPartText"/>
        </w:rPr>
        <w:t>Key concepts</w:t>
      </w:r>
      <w:bookmarkEnd w:id="69"/>
      <w:bookmarkEnd w:id="70"/>
      <w:bookmarkEnd w:id="71"/>
      <w:bookmarkEnd w:id="72"/>
    </w:p>
    <w:p>
      <w:pPr>
        <w:pStyle w:val="Heading3"/>
        <w:spacing w:before="200"/>
      </w:pPr>
      <w:bookmarkStart w:id="73" w:name="_Toc194911674"/>
      <w:bookmarkStart w:id="74" w:name="_Toc194914390"/>
      <w:bookmarkStart w:id="75" w:name="_Toc194914760"/>
      <w:bookmarkStart w:id="76" w:name="_Toc194932922"/>
      <w:r>
        <w:rPr>
          <w:rStyle w:val="CharDivNo"/>
        </w:rPr>
        <w:t>Division 1</w:t>
      </w:r>
      <w:r>
        <w:t> — </w:t>
      </w:r>
      <w:r>
        <w:rPr>
          <w:rStyle w:val="CharDivText"/>
        </w:rPr>
        <w:t>Kinds of goods</w:t>
      </w:r>
      <w:bookmarkEnd w:id="73"/>
      <w:bookmarkEnd w:id="74"/>
      <w:bookmarkEnd w:id="75"/>
      <w:bookmarkEnd w:id="76"/>
    </w:p>
    <w:p>
      <w:pPr>
        <w:pStyle w:val="Heading5"/>
        <w:spacing w:before="180"/>
      </w:pPr>
      <w:bookmarkStart w:id="77" w:name="_Toc194932923"/>
      <w:r>
        <w:rPr>
          <w:rStyle w:val="CharSectno"/>
        </w:rPr>
        <w:t>28</w:t>
      </w:r>
      <w:r>
        <w:t>.</w:t>
      </w:r>
      <w:r>
        <w:tab/>
        <w:t>Term used: dangerous goods</w:t>
      </w:r>
      <w:bookmarkEnd w:id="77"/>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keepNext/>
        <w:rPr>
          <w:color w:val="000000"/>
        </w:rPr>
      </w:pPr>
      <w:r>
        <w:rPr>
          <w:color w:val="000000"/>
        </w:rPr>
        <w:lastRenderedPageBreak/>
        <w:tab/>
        <w:t>(b)</w:t>
      </w:r>
      <w:r>
        <w:rPr>
          <w:color w:val="000000"/>
        </w:rPr>
        <w:tab/>
        <w:t>Division 6.2 (infectious substances);</w:t>
      </w:r>
    </w:p>
    <w:p>
      <w:pPr>
        <w:pStyle w:val="Indenta"/>
        <w:keepNext/>
      </w:pPr>
      <w:r>
        <w:tab/>
        <w:t>(c)</w:t>
      </w:r>
      <w:r>
        <w:tab/>
        <w:t>Class 7 (radioactive materials).</w:t>
      </w:r>
    </w:p>
    <w:p>
      <w:pPr>
        <w:pStyle w:val="Footnotesection"/>
      </w:pPr>
      <w:r>
        <w:tab/>
        <w:t>[Regulation 28 amended: Gazette 22 Jun 2010 p. 2720.]</w:t>
      </w:r>
    </w:p>
    <w:p>
      <w:pPr>
        <w:pStyle w:val="Heading5"/>
        <w:spacing w:before="240"/>
      </w:pPr>
      <w:bookmarkStart w:id="78" w:name="_Toc194932924"/>
      <w:r>
        <w:rPr>
          <w:rStyle w:val="CharSectno"/>
        </w:rPr>
        <w:t>29</w:t>
      </w:r>
      <w:r>
        <w:t>.</w:t>
      </w:r>
      <w:r>
        <w:tab/>
        <w:t>Terms used: UN Class, UN Division</w:t>
      </w:r>
      <w:bookmarkEnd w:id="78"/>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pPr>
      <w:r>
        <w:tab/>
        <w:t>Notes for this regulation:</w:t>
      </w:r>
    </w:p>
    <w:p>
      <w:pPr>
        <w:pStyle w:val="PermNoteText"/>
      </w:pPr>
      <w:r>
        <w:tab/>
        <w:t>1.</w:t>
      </w:r>
      <w:r>
        <w:tab/>
        <w:t>Under the UN classification system there are 9 classes of dangerous goods.  Under that system some Classes are further divided into Divisions and some Divisions are divided into Categories.</w:t>
      </w:r>
    </w:p>
    <w:p>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pPr>
      <w:bookmarkStart w:id="79" w:name="_Toc194932925"/>
      <w:r>
        <w:rPr>
          <w:rStyle w:val="CharSectno"/>
        </w:rPr>
        <w:t>30</w:t>
      </w:r>
      <w:r>
        <w:t>.</w:t>
      </w:r>
      <w:r>
        <w:tab/>
        <w:t>Term used: Subsidiary Hazard</w:t>
      </w:r>
      <w:bookmarkEnd w:id="79"/>
    </w:p>
    <w:p>
      <w:pPr>
        <w:pStyle w:val="Subsection"/>
      </w:pPr>
      <w:r>
        <w:tab/>
      </w:r>
      <w:r>
        <w:tab/>
        <w:t xml:space="preserve">For the purposes of these regulations, the </w:t>
      </w:r>
      <w:r>
        <w:rPr>
          <w:rStyle w:val="CharDefText"/>
        </w:rPr>
        <w:t>Subsidiary Hazard</w:t>
      </w:r>
      <w:r>
        <w:t>, if any, of particular dangerous goods is —</w:t>
      </w:r>
    </w:p>
    <w:p>
      <w:pPr>
        <w:pStyle w:val="Indenta"/>
      </w:pPr>
      <w:r>
        <w:tab/>
        <w:t>(a)</w:t>
      </w:r>
      <w:r>
        <w:tab/>
        <w:t>if a determination made under regulation 17(1)(c) that the goods have a particular Subsidiary Hazard is in effect — the Subsidiary Hazard specified in the determination; or</w:t>
      </w:r>
    </w:p>
    <w:p>
      <w:pPr>
        <w:pStyle w:val="Indenta"/>
        <w:keepNext/>
      </w:pPr>
      <w:r>
        <w:lastRenderedPageBreak/>
        <w:tab/>
        <w:t>(b)</w:t>
      </w:r>
      <w:r>
        <w:tab/>
        <w:t>if no such determination is in effect — the Subsidiary Hazard determined for the goods in accordance with the ADG Code.</w:t>
      </w:r>
    </w:p>
    <w:p>
      <w:pPr>
        <w:pStyle w:val="PermNoteHeading"/>
      </w:pPr>
      <w:r>
        <w:tab/>
        <w:t>Note for this regulation:</w:t>
      </w:r>
    </w:p>
    <w:p>
      <w:pPr>
        <w:pStyle w:val="PermNoteText"/>
      </w:pPr>
      <w:r>
        <w:tab/>
      </w:r>
      <w:r>
        <w:tab/>
        <w:t>Dangerous goods that are able to be assigned to more than 1 UN Class or UN Division are assigned a Subsidiary Hazard.  The Subsidiary Hazard or Hazards are the other UN Class or Classes or UN Division or Divisions to which the goods also belong.  Under the ADG Code, if particular dangerous goods are listed in the Dangerous Goods List, their Subsidiary Hazard, if any, is that listed in column 4 of that list opposite the name and description of those goods, unless Chapter 3.3 of that Code provides for those goods to be assigned a different Subsidiary Hazard.</w:t>
      </w:r>
    </w:p>
    <w:p>
      <w:pPr>
        <w:pStyle w:val="Footnotesection"/>
        <w:rPr>
          <w:szCs w:val="24"/>
        </w:rPr>
      </w:pPr>
      <w:r>
        <w:rPr>
          <w:szCs w:val="24"/>
        </w:rPr>
        <w:tab/>
        <w:t>[Regulation 30 inserted: Gazette 31 Aug 2018 p. 3045.]</w:t>
      </w:r>
    </w:p>
    <w:p>
      <w:pPr>
        <w:pStyle w:val="Heading5"/>
      </w:pPr>
      <w:bookmarkStart w:id="80" w:name="_Toc194932926"/>
      <w:r>
        <w:rPr>
          <w:rStyle w:val="CharSectno"/>
          <w:color w:val="000000"/>
        </w:rPr>
        <w:t>31</w:t>
      </w:r>
      <w:r>
        <w:rPr>
          <w:color w:val="000000"/>
        </w:rPr>
        <w:t>.</w:t>
      </w:r>
      <w:r>
        <w:rPr>
          <w:color w:val="000000"/>
        </w:rPr>
        <w:tab/>
        <w:t>Term used: Packing Group</w:t>
      </w:r>
      <w:bookmarkEnd w:id="80"/>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pPr>
      <w:r>
        <w:tab/>
        <w:t>Notes for this regulation:</w:t>
      </w:r>
    </w:p>
    <w:p>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t>(a)</w:t>
      </w:r>
      <w:r>
        <w:tab/>
      </w:r>
      <w:r>
        <w:rPr>
          <w:color w:val="000000"/>
        </w:rPr>
        <w:t>Packing Group I (substances presenting high danger);</w:t>
      </w:r>
    </w:p>
    <w:p>
      <w:pPr>
        <w:pStyle w:val="PermNotePara"/>
        <w:rPr>
          <w:color w:val="000000"/>
        </w:rPr>
      </w:pPr>
      <w:r>
        <w:tab/>
        <w:t>(b)</w:t>
      </w:r>
      <w:r>
        <w:tab/>
      </w:r>
      <w:r>
        <w:rPr>
          <w:color w:val="000000"/>
        </w:rPr>
        <w:t>Packing Group II (substances presenting medium danger);</w:t>
      </w:r>
    </w:p>
    <w:p>
      <w:pPr>
        <w:pStyle w:val="PermNotePara"/>
        <w:rPr>
          <w:color w:val="000000"/>
        </w:rPr>
      </w:pPr>
      <w:r>
        <w:tab/>
        <w:t>(c)</w:t>
      </w:r>
      <w:r>
        <w:tab/>
      </w:r>
      <w:r>
        <w:rPr>
          <w:color w:val="000000"/>
        </w:rPr>
        <w:t>Packing Group III (substances presenting low danger).</w:t>
      </w:r>
    </w:p>
    <w:p>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81" w:name="_Toc194932927"/>
      <w:r>
        <w:rPr>
          <w:rStyle w:val="CharSectno"/>
        </w:rPr>
        <w:lastRenderedPageBreak/>
        <w:t>32</w:t>
      </w:r>
      <w:r>
        <w:t>.</w:t>
      </w:r>
      <w:r>
        <w:tab/>
        <w:t>Term used: incompatible</w:t>
      </w:r>
      <w:bookmarkEnd w:id="81"/>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82" w:name="_Toc194911680"/>
      <w:bookmarkStart w:id="83" w:name="_Toc194914396"/>
      <w:bookmarkStart w:id="84" w:name="_Toc194914766"/>
      <w:bookmarkStart w:id="85" w:name="_Toc194932928"/>
      <w:r>
        <w:rPr>
          <w:rStyle w:val="CharDivNo"/>
        </w:rPr>
        <w:t>Division 2</w:t>
      </w:r>
      <w:r>
        <w:t> — </w:t>
      </w:r>
      <w:r>
        <w:rPr>
          <w:rStyle w:val="CharDivText"/>
        </w:rPr>
        <w:t>Containers and loads</w:t>
      </w:r>
      <w:bookmarkEnd w:id="82"/>
      <w:bookmarkEnd w:id="83"/>
      <w:bookmarkEnd w:id="84"/>
      <w:bookmarkEnd w:id="85"/>
    </w:p>
    <w:p>
      <w:pPr>
        <w:pStyle w:val="Heading5"/>
      </w:pPr>
      <w:bookmarkStart w:id="86" w:name="_Toc194932929"/>
      <w:r>
        <w:rPr>
          <w:rStyle w:val="CharSectno"/>
        </w:rPr>
        <w:t>33</w:t>
      </w:r>
      <w:r>
        <w:t>.</w:t>
      </w:r>
      <w:r>
        <w:tab/>
        <w:t>Meaning of bulk container</w:t>
      </w:r>
      <w:bookmarkEnd w:id="86"/>
    </w:p>
    <w:p>
      <w:pPr>
        <w:pStyle w:val="Subsection"/>
      </w:pPr>
      <w:r>
        <w:tab/>
        <w:t>(1)</w:t>
      </w:r>
      <w:r>
        <w:tab/>
        <w:t xml:space="preserve">A </w:t>
      </w:r>
      <w:r>
        <w:rPr>
          <w:rStyle w:val="CharDefText"/>
        </w:rPr>
        <w:t>bulk container</w:t>
      </w:r>
      <w:r>
        <w:t xml:space="preserve"> is a system for containing solid substances, including any liner or coating that — </w:t>
      </w:r>
    </w:p>
    <w:p>
      <w:pPr>
        <w:pStyle w:val="Indenta"/>
      </w:pPr>
      <w:r>
        <w:tab/>
        <w:t>(a)</w:t>
      </w:r>
      <w:r>
        <w:tab/>
        <w:t>is designed for transporting solid substances which are in direct contact with the system; and</w:t>
      </w:r>
    </w:p>
    <w:p>
      <w:pPr>
        <w:pStyle w:val="Indenta"/>
      </w:pPr>
      <w:r>
        <w:tab/>
        <w:t>(b)</w:t>
      </w:r>
      <w:r>
        <w:tab/>
        <w:t>is of a permanent character suitable for repeated use; and</w:t>
      </w:r>
    </w:p>
    <w:p>
      <w:pPr>
        <w:pStyle w:val="Indenta"/>
      </w:pPr>
      <w:r>
        <w:tab/>
        <w:t>(c)</w:t>
      </w:r>
      <w:r>
        <w:tab/>
        <w:t xml:space="preserve">is designed to facilitate the transport of solid substances by one or more modes of transport, without the need for </w:t>
      </w:r>
      <w:r>
        <w:lastRenderedPageBreak/>
        <w:t>the substances to be unloaded and reloaded when transferred from one mode to another; and</w:t>
      </w:r>
    </w:p>
    <w:p>
      <w:pPr>
        <w:pStyle w:val="Indenta"/>
      </w:pPr>
      <w:r>
        <w:tab/>
        <w:t>(d)</w:t>
      </w:r>
      <w:r>
        <w:tab/>
        <w:t>is fitted with devices that permit ready handling; and</w:t>
      </w:r>
    </w:p>
    <w:p>
      <w:pPr>
        <w:pStyle w:val="Indenta"/>
      </w:pPr>
      <w:r>
        <w:tab/>
        <w:t>(e)</w:t>
      </w:r>
      <w:r>
        <w:tab/>
        <w:t>has a capacity of not less than 1 m</w:t>
      </w:r>
      <w:r>
        <w:rPr>
          <w:vertAlign w:val="superscript"/>
        </w:rPr>
        <w:t>3</w:t>
      </w:r>
      <w:r>
        <w:t>.</w:t>
      </w:r>
    </w:p>
    <w:p>
      <w:pPr>
        <w:pStyle w:val="PermNoteHeading"/>
      </w:pPr>
      <w:r>
        <w:tab/>
        <w:t>Examples for this subregulation:</w:t>
      </w:r>
    </w:p>
    <w:p>
      <w:pPr>
        <w:pStyle w:val="PermNoteText"/>
      </w:pPr>
      <w:r>
        <w:tab/>
      </w:r>
      <w:r>
        <w:tab/>
        <w:t>Freight containers, offshore bulk containers, skips, bulk bins, swap bodies, trough</w:t>
      </w:r>
      <w:r>
        <w:noBreakHyphen/>
        <w:t>shaped containers, roller containers, load compartments of vehicles and flexible containers.</w:t>
      </w:r>
    </w:p>
    <w:p>
      <w:pPr>
        <w:pStyle w:val="Subsection"/>
      </w:pPr>
      <w:r>
        <w:tab/>
        <w:t>(2)</w:t>
      </w:r>
      <w:r>
        <w:tab/>
        <w:t xml:space="preserve">However, an IBC, large packaging or a portable tank is not a </w:t>
      </w:r>
      <w:r>
        <w:rPr>
          <w:rStyle w:val="CharDefText"/>
        </w:rPr>
        <w:t>bulk container</w:t>
      </w:r>
      <w:r>
        <w:t>.</w:t>
      </w:r>
    </w:p>
    <w:p>
      <w:pPr>
        <w:pStyle w:val="Footnotesection"/>
      </w:pPr>
      <w:r>
        <w:tab/>
        <w:t>[Regulation 33 inserted: SL 2024/22 r. 5.]</w:t>
      </w:r>
    </w:p>
    <w:p>
      <w:pPr>
        <w:pStyle w:val="Heading5"/>
      </w:pPr>
      <w:bookmarkStart w:id="87" w:name="_Toc194932930"/>
      <w:r>
        <w:rPr>
          <w:rStyle w:val="CharSectno"/>
        </w:rPr>
        <w:t>34</w:t>
      </w:r>
      <w:r>
        <w:t>.</w:t>
      </w:r>
      <w:r>
        <w:tab/>
        <w:t>Terms used: IBC, intermediate bulk container</w:t>
      </w:r>
      <w:bookmarkEnd w:id="87"/>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lastRenderedPageBreak/>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Gazette 22 Jun 2010 p. 2720.]</w:t>
      </w:r>
    </w:p>
    <w:p>
      <w:pPr>
        <w:pStyle w:val="Heading5"/>
        <w:rPr>
          <w:color w:val="000000"/>
        </w:rPr>
      </w:pPr>
      <w:bookmarkStart w:id="88" w:name="_Toc194932931"/>
      <w:r>
        <w:rPr>
          <w:rStyle w:val="CharSectno"/>
          <w:color w:val="000000"/>
        </w:rPr>
        <w:t>35</w:t>
      </w:r>
      <w:r>
        <w:rPr>
          <w:color w:val="000000"/>
        </w:rPr>
        <w:t>.</w:t>
      </w:r>
      <w:r>
        <w:rPr>
          <w:color w:val="000000"/>
        </w:rPr>
        <w:tab/>
        <w:t>Terms used: MEGC, multiple</w:t>
      </w:r>
      <w:r>
        <w:rPr>
          <w:color w:val="000000"/>
        </w:rPr>
        <w:noBreakHyphen/>
        <w:t>element gas container</w:t>
      </w:r>
      <w:bookmarkEnd w:id="88"/>
    </w:p>
    <w:p>
      <w:pPr>
        <w:pStyle w:val="Subsection"/>
        <w:keepNext/>
        <w:keepLines/>
        <w:outlineLvl w:val="0"/>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or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 xml:space="preserve">any service equipment and structural equipment necessary for the transport of gases in the </w:t>
      </w:r>
      <w:r>
        <w:t>cylinders or tubes.</w:t>
      </w:r>
    </w:p>
    <w:p>
      <w:pPr>
        <w:pStyle w:val="Footnotesection"/>
        <w:rPr>
          <w:color w:val="000000"/>
        </w:rPr>
      </w:pPr>
      <w:r>
        <w:tab/>
        <w:t>[Regulation 35 amended: Gazette 17 Nov 2015 p. 4696.]</w:t>
      </w:r>
    </w:p>
    <w:p>
      <w:pPr>
        <w:pStyle w:val="Heading5"/>
      </w:pPr>
      <w:bookmarkStart w:id="89" w:name="_Toc194932932"/>
      <w:r>
        <w:rPr>
          <w:rStyle w:val="CharSectno"/>
        </w:rPr>
        <w:t>36</w:t>
      </w:r>
      <w:r>
        <w:t>.</w:t>
      </w:r>
      <w:r>
        <w:tab/>
        <w:t>References to tank</w:t>
      </w:r>
      <w:bookmarkEnd w:id="89"/>
    </w:p>
    <w:p>
      <w:pPr>
        <w:pStyle w:val="Subsection"/>
      </w:pPr>
      <w:r>
        <w:tab/>
        <w:t>(1)</w:t>
      </w:r>
      <w:r>
        <w:tab/>
        <w:t xml:space="preserve">Unless the context otherwise requires, a reference in these regulations to a </w:t>
      </w:r>
      <w:r>
        <w:rPr>
          <w:rStyle w:val="CharDefText"/>
        </w:rPr>
        <w:t>tank</w:t>
      </w:r>
      <w:r>
        <w:t xml:space="preserve"> is a reference to a portable tank, a road tank vehicle, a rail tank wagon, or a receptacle used to contain a solid, liquid or gas.</w:t>
      </w:r>
    </w:p>
    <w:p>
      <w:pPr>
        <w:pStyle w:val="Subsection"/>
      </w:pPr>
      <w:r>
        <w:tab/>
        <w:t>(2)</w:t>
      </w:r>
      <w:r>
        <w:tab/>
        <w:t>However, a reference to a tank includes an item mentioned in subregulation (1) that is used to transport a gas (as defined in the ADG Code section 2.2.1.1) only if it has a capacity of not less than 450 litres.</w:t>
      </w:r>
    </w:p>
    <w:p>
      <w:pPr>
        <w:pStyle w:val="Footnotesection"/>
      </w:pPr>
      <w:r>
        <w:tab/>
        <w:t>[Regulation 36 inserted: SL 2024/22 r. 6.]</w:t>
      </w:r>
    </w:p>
    <w:p>
      <w:pPr>
        <w:pStyle w:val="Ednotesection"/>
        <w:rPr>
          <w:color w:val="000000"/>
        </w:rPr>
      </w:pPr>
      <w:r>
        <w:t>[</w:t>
      </w:r>
      <w:r>
        <w:rPr>
          <w:b/>
        </w:rPr>
        <w:t>37.</w:t>
      </w:r>
      <w:r>
        <w:tab/>
        <w:t>Deleted: Gazette 13 Jun 2014 p. 1932.]</w:t>
      </w:r>
    </w:p>
    <w:p>
      <w:pPr>
        <w:pStyle w:val="Heading5"/>
      </w:pPr>
      <w:bookmarkStart w:id="90" w:name="_Toc194932933"/>
      <w:r>
        <w:rPr>
          <w:rStyle w:val="CharSectno"/>
        </w:rPr>
        <w:lastRenderedPageBreak/>
        <w:t>38</w:t>
      </w:r>
      <w:r>
        <w:t>.</w:t>
      </w:r>
      <w:r>
        <w:tab/>
        <w:t>Loads</w:t>
      </w:r>
      <w:bookmarkEnd w:id="90"/>
    </w:p>
    <w:p>
      <w:pPr>
        <w:pStyle w:val="Subsection"/>
        <w:keepNext/>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Gazette 22 Jun 2010 p. 2720; amended: Gazette 13 Jun 2014 p. 1933.]</w:t>
      </w:r>
    </w:p>
    <w:p>
      <w:pPr>
        <w:pStyle w:val="Heading3"/>
      </w:pPr>
      <w:bookmarkStart w:id="91" w:name="_Toc194911686"/>
      <w:bookmarkStart w:id="92" w:name="_Toc194914402"/>
      <w:bookmarkStart w:id="93" w:name="_Toc194914772"/>
      <w:bookmarkStart w:id="94" w:name="_Toc194932934"/>
      <w:r>
        <w:rPr>
          <w:rStyle w:val="CharDivNo"/>
        </w:rPr>
        <w:t>Division 3</w:t>
      </w:r>
      <w:r>
        <w:t> — </w:t>
      </w:r>
      <w:r>
        <w:rPr>
          <w:rStyle w:val="CharDivText"/>
        </w:rPr>
        <w:t>Persons with special duties</w:t>
      </w:r>
      <w:bookmarkEnd w:id="91"/>
      <w:bookmarkEnd w:id="92"/>
      <w:bookmarkEnd w:id="93"/>
      <w:bookmarkEnd w:id="94"/>
    </w:p>
    <w:p>
      <w:pPr>
        <w:pStyle w:val="Heading5"/>
      </w:pPr>
      <w:bookmarkStart w:id="95" w:name="_Toc194932935"/>
      <w:r>
        <w:rPr>
          <w:rStyle w:val="CharSectno"/>
        </w:rPr>
        <w:t>39</w:t>
      </w:r>
      <w:r>
        <w:t>.</w:t>
      </w:r>
      <w:r>
        <w:tab/>
        <w:t>Term used: owner</w:t>
      </w:r>
      <w:bookmarkEnd w:id="95"/>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96" w:name="_Toc194932936"/>
      <w:r>
        <w:rPr>
          <w:rStyle w:val="CharSectno"/>
        </w:rPr>
        <w:t>40</w:t>
      </w:r>
      <w:r>
        <w:t>.</w:t>
      </w:r>
      <w:r>
        <w:tab/>
        <w:t>Terms used: consigns, consignor</w:t>
      </w:r>
      <w:bookmarkEnd w:id="96"/>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t>as the consignor of the goods.</w:t>
      </w:r>
    </w:p>
    <w:p>
      <w:pPr>
        <w:pStyle w:val="Subsection"/>
      </w:pPr>
      <w:r>
        <w:lastRenderedPageBreak/>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the goods are imported into Australia; and</w:t>
      </w:r>
    </w:p>
    <w:p>
      <w:pPr>
        <w:pStyle w:val="Indenta"/>
      </w:pPr>
      <w:r>
        <w:tab/>
        <w:t>(b)</w:t>
      </w:r>
      <w:r>
        <w:tab/>
        <w:t>the person is the importer of the goods.</w:t>
      </w:r>
    </w:p>
    <w:p>
      <w:pPr>
        <w:pStyle w:val="Footnotesection"/>
        <w:rPr>
          <w:szCs w:val="24"/>
        </w:rPr>
      </w:pPr>
      <w:r>
        <w:rPr>
          <w:szCs w:val="24"/>
        </w:rPr>
        <w:tab/>
        <w:t>[Regulation 40 amended: Gazette 31 Aug 2018 p. 3047.]</w:t>
      </w:r>
    </w:p>
    <w:p>
      <w:pPr>
        <w:pStyle w:val="Heading5"/>
      </w:pPr>
      <w:bookmarkStart w:id="97" w:name="_Toc194932937"/>
      <w:r>
        <w:rPr>
          <w:rStyle w:val="CharSectno"/>
        </w:rPr>
        <w:t>41</w:t>
      </w:r>
      <w:r>
        <w:t>.</w:t>
      </w:r>
      <w:r>
        <w:tab/>
        <w:t>Terms used: packs, packer</w:t>
      </w:r>
      <w:bookmarkEnd w:id="97"/>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98" w:name="_Toc194932938"/>
      <w:r>
        <w:rPr>
          <w:rStyle w:val="CharSectno"/>
        </w:rPr>
        <w:lastRenderedPageBreak/>
        <w:t>42</w:t>
      </w:r>
      <w:r>
        <w:t>.</w:t>
      </w:r>
      <w:r>
        <w:tab/>
        <w:t>Terms used: loads, loader</w:t>
      </w:r>
      <w:bookmarkEnd w:id="98"/>
    </w:p>
    <w:p>
      <w:pPr>
        <w:pStyle w:val="Subsection"/>
        <w:keepNext/>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99" w:name="_Toc194932939"/>
      <w:r>
        <w:rPr>
          <w:rStyle w:val="CharSectno"/>
        </w:rPr>
        <w:t>43</w:t>
      </w:r>
      <w:r>
        <w:t>.</w:t>
      </w:r>
      <w:r>
        <w:tab/>
        <w:t>Term used: prime contractor</w:t>
      </w:r>
      <w:bookmarkEnd w:id="99"/>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100" w:name="_Toc194932940"/>
      <w:r>
        <w:rPr>
          <w:rStyle w:val="CharSectno"/>
        </w:rPr>
        <w:t>44</w:t>
      </w:r>
      <w:r>
        <w:t>.</w:t>
      </w:r>
      <w:r>
        <w:tab/>
        <w:t>Term used: rail operator</w:t>
      </w:r>
      <w:bookmarkEnd w:id="100"/>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101" w:name="_Toc194911693"/>
      <w:bookmarkStart w:id="102" w:name="_Toc194914409"/>
      <w:bookmarkStart w:id="103" w:name="_Toc194914779"/>
      <w:bookmarkStart w:id="104" w:name="_Toc194932941"/>
      <w:r>
        <w:rPr>
          <w:rStyle w:val="CharDivNo"/>
        </w:rPr>
        <w:t>Division 4</w:t>
      </w:r>
      <w:r>
        <w:t> — </w:t>
      </w:r>
      <w:r>
        <w:rPr>
          <w:rStyle w:val="CharDivText"/>
        </w:rPr>
        <w:t>Miscellaneous</w:t>
      </w:r>
      <w:bookmarkEnd w:id="101"/>
      <w:bookmarkEnd w:id="102"/>
      <w:bookmarkEnd w:id="103"/>
      <w:bookmarkEnd w:id="104"/>
    </w:p>
    <w:p>
      <w:pPr>
        <w:pStyle w:val="Heading5"/>
        <w:rPr>
          <w:color w:val="000000"/>
        </w:rPr>
      </w:pPr>
      <w:bookmarkStart w:id="105" w:name="_Toc194932942"/>
      <w:r>
        <w:rPr>
          <w:rStyle w:val="CharSectno"/>
          <w:color w:val="000000"/>
        </w:rPr>
        <w:t>45</w:t>
      </w:r>
      <w:r>
        <w:rPr>
          <w:color w:val="000000"/>
        </w:rPr>
        <w:t>.</w:t>
      </w:r>
      <w:r>
        <w:rPr>
          <w:color w:val="000000"/>
        </w:rPr>
        <w:tab/>
        <w:t>Term used: packed in limited quantities</w:t>
      </w:r>
      <w:bookmarkEnd w:id="105"/>
    </w:p>
    <w:p>
      <w:pPr>
        <w:pStyle w:val="Subsection"/>
        <w:outlineLvl w:val="0"/>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lastRenderedPageBreak/>
        <w:tab/>
        <w:t>(b)</w:t>
      </w:r>
      <w:r>
        <w:rPr>
          <w:color w:val="000000"/>
        </w:rPr>
        <w:tab/>
        <w:t xml:space="preserve">the quantity of dangerous goods in each inner packaging or in each article that contains the goods does not exceed the quantity specified, or referred to, in </w:t>
      </w:r>
      <w:r>
        <w:t>column 7a</w:t>
      </w:r>
      <w:r>
        <w:rPr>
          <w:color w:val="000000"/>
        </w:rPr>
        <w:t xml:space="preserve"> of the Dangerous Goods List for those goods.</w:t>
      </w:r>
    </w:p>
    <w:p>
      <w:pPr>
        <w:pStyle w:val="Footnotesection"/>
        <w:rPr>
          <w:szCs w:val="24"/>
        </w:rPr>
      </w:pPr>
      <w:r>
        <w:rPr>
          <w:szCs w:val="24"/>
        </w:rPr>
        <w:tab/>
        <w:t>[Regulation 45 amended: Gazette 31 Aug 2018 p. 3045.]</w:t>
      </w:r>
    </w:p>
    <w:p>
      <w:pPr>
        <w:pStyle w:val="Heading2"/>
        <w:rPr>
          <w:color w:val="000000"/>
        </w:rPr>
      </w:pPr>
      <w:bookmarkStart w:id="106" w:name="_Toc194911695"/>
      <w:bookmarkStart w:id="107" w:name="_Toc194914411"/>
      <w:bookmarkStart w:id="108" w:name="_Toc194914781"/>
      <w:bookmarkStart w:id="109" w:name="_Toc194932943"/>
      <w:r>
        <w:rPr>
          <w:rStyle w:val="CharPartNo"/>
          <w:color w:val="000000"/>
        </w:rPr>
        <w:lastRenderedPageBreak/>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106"/>
      <w:bookmarkEnd w:id="107"/>
      <w:bookmarkEnd w:id="108"/>
      <w:bookmarkEnd w:id="109"/>
    </w:p>
    <w:p>
      <w:pPr>
        <w:pStyle w:val="Heading5"/>
      </w:pPr>
      <w:bookmarkStart w:id="110" w:name="_Toc194932944"/>
      <w:r>
        <w:rPr>
          <w:rStyle w:val="CharSectno"/>
          <w:color w:val="000000"/>
        </w:rPr>
        <w:t>46</w:t>
      </w:r>
      <w:r>
        <w:t>.</w:t>
      </w:r>
      <w:r>
        <w:tab/>
        <w:t>Application of this Part</w:t>
      </w:r>
      <w:bookmarkEnd w:id="110"/>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Gazette 22 Jun 2010 p. 2721.]</w:t>
      </w:r>
    </w:p>
    <w:p>
      <w:pPr>
        <w:pStyle w:val="Heading5"/>
        <w:rPr>
          <w:color w:val="000000"/>
        </w:rPr>
      </w:pPr>
      <w:bookmarkStart w:id="111" w:name="_Toc194932945"/>
      <w:r>
        <w:rPr>
          <w:rStyle w:val="CharSectno"/>
          <w:color w:val="000000"/>
        </w:rPr>
        <w:t>47</w:t>
      </w:r>
      <w:r>
        <w:rPr>
          <w:color w:val="000000"/>
        </w:rPr>
        <w:t>.</w:t>
      </w:r>
      <w:r>
        <w:rPr>
          <w:color w:val="000000"/>
        </w:rPr>
        <w:tab/>
        <w:t>Duty on consignors</w:t>
      </w:r>
      <w:bookmarkEnd w:id="111"/>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112" w:name="_Toc194932946"/>
      <w:r>
        <w:rPr>
          <w:rStyle w:val="CharSectno"/>
          <w:color w:val="000000"/>
        </w:rPr>
        <w:t>48A</w:t>
      </w:r>
      <w:r>
        <w:t>.</w:t>
      </w:r>
      <w:r>
        <w:tab/>
        <w:t>Duty on packers</w:t>
      </w:r>
      <w:bookmarkEnd w:id="112"/>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lastRenderedPageBreak/>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Gazette 22 Jun 2010 p. 2721.]</w:t>
      </w:r>
    </w:p>
    <w:p>
      <w:pPr>
        <w:pStyle w:val="Heading5"/>
        <w:spacing w:before="180"/>
      </w:pPr>
      <w:bookmarkStart w:id="113" w:name="_Toc194932947"/>
      <w:r>
        <w:rPr>
          <w:rStyle w:val="CharSectno"/>
          <w:color w:val="000000"/>
        </w:rPr>
        <w:t>48B</w:t>
      </w:r>
      <w:r>
        <w:t>.</w:t>
      </w:r>
      <w:r>
        <w:tab/>
        <w:t>Duty on loaders</w:t>
      </w:r>
      <w:bookmarkEnd w:id="113"/>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Gazette 22 Jun 2010 p. 2722.]</w:t>
      </w:r>
    </w:p>
    <w:p>
      <w:pPr>
        <w:pStyle w:val="Heading5"/>
        <w:spacing w:before="180"/>
        <w:rPr>
          <w:color w:val="000000"/>
        </w:rPr>
      </w:pPr>
      <w:bookmarkStart w:id="114" w:name="_Toc194932948"/>
      <w:r>
        <w:rPr>
          <w:rStyle w:val="CharSectno"/>
          <w:color w:val="000000"/>
        </w:rPr>
        <w:t>48</w:t>
      </w:r>
      <w:r>
        <w:rPr>
          <w:color w:val="000000"/>
        </w:rPr>
        <w:t>.</w:t>
      </w:r>
      <w:r>
        <w:rPr>
          <w:color w:val="000000"/>
        </w:rPr>
        <w:tab/>
        <w:t>Duty on prime contractors and rail operators</w:t>
      </w:r>
      <w:bookmarkEnd w:id="114"/>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115" w:name="_Toc194932949"/>
      <w:r>
        <w:rPr>
          <w:rStyle w:val="CharSectno"/>
          <w:color w:val="000000"/>
        </w:rPr>
        <w:t>49</w:t>
      </w:r>
      <w:r>
        <w:rPr>
          <w:color w:val="000000"/>
        </w:rPr>
        <w:t>.</w:t>
      </w:r>
      <w:r>
        <w:rPr>
          <w:color w:val="000000"/>
        </w:rPr>
        <w:tab/>
        <w:t>Duty on drivers</w:t>
      </w:r>
      <w:bookmarkEnd w:id="115"/>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keepNext/>
        <w:spacing w:before="60"/>
        <w:rPr>
          <w:color w:val="000000"/>
        </w:rPr>
      </w:pPr>
      <w:r>
        <w:rPr>
          <w:color w:val="000000"/>
        </w:rPr>
        <w:lastRenderedPageBreak/>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116" w:name="_Toc194911702"/>
      <w:bookmarkStart w:id="117" w:name="_Toc194914418"/>
      <w:bookmarkStart w:id="118" w:name="_Toc194914788"/>
      <w:bookmarkStart w:id="119" w:name="_Toc194932950"/>
      <w:r>
        <w:rPr>
          <w:rStyle w:val="CharPartNo"/>
        </w:rPr>
        <w:lastRenderedPageBreak/>
        <w:t>Part 4</w:t>
      </w:r>
      <w:r>
        <w:t> — </w:t>
      </w:r>
      <w:r>
        <w:rPr>
          <w:rStyle w:val="CharPartText"/>
        </w:rPr>
        <w:t>Packaging</w:t>
      </w:r>
      <w:bookmarkEnd w:id="116"/>
      <w:bookmarkEnd w:id="117"/>
      <w:bookmarkEnd w:id="118"/>
      <w:bookmarkEnd w:id="119"/>
    </w:p>
    <w:p>
      <w:pPr>
        <w:pStyle w:val="Heading3"/>
      </w:pPr>
      <w:bookmarkStart w:id="120" w:name="_Toc194911703"/>
      <w:bookmarkStart w:id="121" w:name="_Toc194914419"/>
      <w:bookmarkStart w:id="122" w:name="_Toc194914789"/>
      <w:bookmarkStart w:id="123" w:name="_Toc194932951"/>
      <w:r>
        <w:rPr>
          <w:rStyle w:val="CharDivNo"/>
        </w:rPr>
        <w:t>Division 1</w:t>
      </w:r>
      <w:r>
        <w:t> — </w:t>
      </w:r>
      <w:r>
        <w:rPr>
          <w:rStyle w:val="CharDivText"/>
        </w:rPr>
        <w:t>General</w:t>
      </w:r>
      <w:bookmarkEnd w:id="120"/>
      <w:bookmarkEnd w:id="121"/>
      <w:bookmarkEnd w:id="122"/>
      <w:bookmarkEnd w:id="123"/>
    </w:p>
    <w:p>
      <w:pPr>
        <w:pStyle w:val="Heading5"/>
      </w:pPr>
      <w:bookmarkStart w:id="124" w:name="_Toc194932952"/>
      <w:r>
        <w:rPr>
          <w:rStyle w:val="CharSectno"/>
        </w:rPr>
        <w:t>50</w:t>
      </w:r>
      <w:r>
        <w:t>.</w:t>
      </w:r>
      <w:r>
        <w:tab/>
      </w:r>
      <w:r>
        <w:rPr>
          <w:color w:val="000000"/>
        </w:rPr>
        <w:t>Application of Part</w:t>
      </w:r>
      <w:bookmarkEnd w:id="124"/>
    </w:p>
    <w:p>
      <w:pPr>
        <w:pStyle w:val="Subsection"/>
      </w:pPr>
      <w:r>
        <w:tab/>
      </w:r>
      <w:r>
        <w:tab/>
        <w:t>This Part does not apply to dangerous goods that are —</w:t>
      </w:r>
    </w:p>
    <w:p>
      <w:pPr>
        <w:pStyle w:val="Indenta"/>
      </w:pPr>
      <w:r>
        <w:tab/>
        <w:t>(a)</w:t>
      </w:r>
      <w:r>
        <w:tab/>
        <w:t xml:space="preserve">packed in limited quantities; </w:t>
      </w:r>
      <w:r>
        <w:rPr>
          <w:color w:val="000000"/>
        </w:rPr>
        <w:t>or</w:t>
      </w:r>
    </w:p>
    <w:p>
      <w:pPr>
        <w:pStyle w:val="Indenta"/>
      </w:pPr>
      <w:r>
        <w:tab/>
        <w:t>(b)</w:t>
      </w:r>
      <w:r>
        <w:tab/>
        <w:t>packed in excepted quantities within the meaning of regulation 106(6).</w:t>
      </w:r>
    </w:p>
    <w:p>
      <w:pPr>
        <w:pStyle w:val="Footnotesection"/>
      </w:pPr>
      <w:r>
        <w:tab/>
        <w:t>[Regulation 50 inserted: SL 2020/193 r. 11)</w:t>
      </w:r>
    </w:p>
    <w:p>
      <w:pPr>
        <w:pStyle w:val="Ednotesection"/>
      </w:pPr>
      <w:r>
        <w:rPr>
          <w:rStyle w:val="CharSchNo"/>
          <w:color w:val="000000"/>
        </w:rPr>
        <w:t xml:space="preserve"> </w:t>
      </w:r>
      <w:r>
        <w:t>[</w:t>
      </w:r>
      <w:r>
        <w:rPr>
          <w:b/>
          <w:bCs/>
        </w:rPr>
        <w:t>51.</w:t>
      </w:r>
      <w:r>
        <w:tab/>
        <w:t>Deleted: Gazette 22 Jun 2010 p. 2722.]</w:t>
      </w:r>
    </w:p>
    <w:p>
      <w:pPr>
        <w:pStyle w:val="Heading5"/>
        <w:rPr>
          <w:color w:val="000000"/>
        </w:rPr>
      </w:pPr>
      <w:bookmarkStart w:id="125" w:name="_Toc194932953"/>
      <w:r>
        <w:rPr>
          <w:rStyle w:val="CharSectno"/>
          <w:color w:val="000000"/>
        </w:rPr>
        <w:t>52</w:t>
      </w:r>
      <w:r>
        <w:rPr>
          <w:color w:val="000000"/>
        </w:rPr>
        <w:t>.</w:t>
      </w:r>
      <w:r>
        <w:rPr>
          <w:color w:val="000000"/>
        </w:rPr>
        <w:tab/>
        <w:t>References to ADG Code Part 4 include Dangerous Goods List requirements</w:t>
      </w:r>
      <w:bookmarkEnd w:id="125"/>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126" w:name="_Toc194911706"/>
      <w:bookmarkStart w:id="127" w:name="_Toc194914422"/>
      <w:bookmarkStart w:id="128" w:name="_Toc194914792"/>
      <w:bookmarkStart w:id="129" w:name="_Toc194932954"/>
      <w:r>
        <w:rPr>
          <w:rStyle w:val="CharDivNo"/>
          <w:color w:val="000000"/>
        </w:rPr>
        <w:t>Division 2</w:t>
      </w:r>
      <w:r>
        <w:rPr>
          <w:color w:val="000000"/>
        </w:rPr>
        <w:t> — </w:t>
      </w:r>
      <w:r>
        <w:rPr>
          <w:rStyle w:val="CharDivText"/>
          <w:color w:val="000000"/>
        </w:rPr>
        <w:t>Suitability and design of packaging</w:t>
      </w:r>
      <w:bookmarkEnd w:id="126"/>
      <w:bookmarkEnd w:id="127"/>
      <w:bookmarkEnd w:id="128"/>
      <w:bookmarkEnd w:id="129"/>
    </w:p>
    <w:p>
      <w:pPr>
        <w:pStyle w:val="Heading5"/>
        <w:rPr>
          <w:color w:val="000000"/>
        </w:rPr>
      </w:pPr>
      <w:bookmarkStart w:id="130" w:name="_Toc194932955"/>
      <w:r>
        <w:rPr>
          <w:rStyle w:val="CharSectno"/>
          <w:color w:val="000000"/>
        </w:rPr>
        <w:t>53</w:t>
      </w:r>
      <w:r>
        <w:rPr>
          <w:color w:val="000000"/>
        </w:rPr>
        <w:t>.</w:t>
      </w:r>
      <w:r>
        <w:rPr>
          <w:color w:val="000000"/>
        </w:rPr>
        <w:tab/>
        <w:t>Suitability of packaging for transport</w:t>
      </w:r>
      <w:bookmarkEnd w:id="130"/>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lastRenderedPageBreak/>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 or</w:t>
      </w:r>
    </w:p>
    <w:p>
      <w:pPr>
        <w:pStyle w:val="Indenta"/>
      </w:pPr>
      <w:r>
        <w:tab/>
        <w:t>(g)</w:t>
      </w:r>
      <w:r>
        <w:tab/>
        <w:t>for goods purported to be packed in limited quantities — the packaging of the goods does not comply with the ADG Code Chapter 3.4; or</w:t>
      </w:r>
    </w:p>
    <w:p>
      <w:pPr>
        <w:pStyle w:val="Indenta"/>
      </w:pPr>
      <w:r>
        <w:tab/>
        <w:t>(h)</w:t>
      </w:r>
      <w:r>
        <w:tab/>
        <w:t>for goods purported to be packed in excepted quantities within the meaning of regulation 106(6) — the packaging of the goods does not comply with the ADG Code Chapter 3.5.</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Gazette 22 Jun 2010 p. 2722</w:t>
      </w:r>
      <w:r>
        <w:noBreakHyphen/>
        <w:t>3; SL 2020/193 r. 12.]</w:t>
      </w:r>
    </w:p>
    <w:p>
      <w:pPr>
        <w:pStyle w:val="Heading5"/>
      </w:pPr>
      <w:bookmarkStart w:id="131" w:name="_Toc194932956"/>
      <w:r>
        <w:rPr>
          <w:rStyle w:val="CharSectno"/>
        </w:rPr>
        <w:t>54</w:t>
      </w:r>
      <w:r>
        <w:t>.</w:t>
      </w:r>
      <w:r>
        <w:tab/>
        <w:t>Marking packaging</w:t>
      </w:r>
      <w:bookmarkEnd w:id="131"/>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132" w:name="_Toc194932957"/>
      <w:r>
        <w:rPr>
          <w:rStyle w:val="CharSectno"/>
        </w:rPr>
        <w:t>55</w:t>
      </w:r>
      <w:r>
        <w:t>.</w:t>
      </w:r>
      <w:r>
        <w:tab/>
        <w:t>Applications for approval of packaging designs</w:t>
      </w:r>
      <w:bookmarkEnd w:id="132"/>
    </w:p>
    <w:p>
      <w:pPr>
        <w:pStyle w:val="Subsection"/>
      </w:pPr>
      <w:r>
        <w:tab/>
        <w:t>(1)</w:t>
      </w:r>
      <w:r>
        <w:tab/>
        <w:t>This regulation applies to packaging that is required to undergo tests under the ADG Code Part 6.</w:t>
      </w:r>
    </w:p>
    <w:p>
      <w:pPr>
        <w:pStyle w:val="Subsection"/>
        <w:rPr>
          <w:color w:val="000000"/>
        </w:rPr>
      </w:pPr>
      <w:r>
        <w:rPr>
          <w:color w:val="3366FF"/>
        </w:rPr>
        <w:lastRenderedPageBreak/>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Gazette 3 Aug 2012 p. 3757.]</w:t>
      </w:r>
    </w:p>
    <w:p>
      <w:pPr>
        <w:pStyle w:val="Heading5"/>
        <w:spacing w:before="180"/>
      </w:pPr>
      <w:bookmarkStart w:id="133" w:name="_Toc194932958"/>
      <w:r>
        <w:rPr>
          <w:rStyle w:val="CharSectno"/>
        </w:rPr>
        <w:t>56</w:t>
      </w:r>
      <w:r>
        <w:t>.</w:t>
      </w:r>
      <w:r>
        <w:tab/>
        <w:t>Approvals — packaging designs</w:t>
      </w:r>
      <w:bookmarkEnd w:id="133"/>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rPr>
        <w:t>Work Health and Safety (General) Regulations 2022</w:t>
      </w:r>
      <w:r>
        <w:t xml:space="preserve"> regulation 243, </w:t>
      </w:r>
      <w:r>
        <w:rPr>
          <w:color w:val="000000"/>
        </w:rPr>
        <w:t>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keepNext/>
        <w:rPr>
          <w:color w:val="000000"/>
        </w:rPr>
      </w:pPr>
      <w:r>
        <w:lastRenderedPageBreak/>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Gazette 22 Jun 2010 p. 2723; SL 2022/24 r. 4.]</w:t>
      </w:r>
    </w:p>
    <w:p>
      <w:pPr>
        <w:pStyle w:val="Heading5"/>
      </w:pPr>
      <w:bookmarkStart w:id="134" w:name="_Toc194932959"/>
      <w:r>
        <w:rPr>
          <w:rStyle w:val="CharSectno"/>
        </w:rPr>
        <w:t>57</w:t>
      </w:r>
      <w:r>
        <w:t>.</w:t>
      </w:r>
      <w:r>
        <w:tab/>
        <w:t>Term used: recognised testing facilities</w:t>
      </w:r>
      <w:bookmarkEnd w:id="134"/>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135" w:name="_Toc194932960"/>
      <w:r>
        <w:rPr>
          <w:rStyle w:val="CharSectno"/>
        </w:rPr>
        <w:t>58</w:t>
      </w:r>
      <w:r>
        <w:t>.</w:t>
      </w:r>
      <w:r>
        <w:tab/>
        <w:t>Test certificates</w:t>
      </w:r>
      <w:bookmarkEnd w:id="135"/>
    </w:p>
    <w:p>
      <w:pPr>
        <w:pStyle w:val="Subsection"/>
      </w:pPr>
      <w:r>
        <w:tab/>
        <w:t>(1)</w:t>
      </w:r>
      <w:r>
        <w:tab/>
        <w:t>A recognised testing facility may certify in writing that packaging of a particular design has passed particular performance tests for particular dangerous goods.</w:t>
      </w:r>
    </w:p>
    <w:p>
      <w:pPr>
        <w:pStyle w:val="Subsection"/>
        <w:keepNext/>
      </w:pPr>
      <w:r>
        <w:lastRenderedPageBreak/>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Australia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136" w:name="_Toc194932961"/>
      <w:r>
        <w:rPr>
          <w:rStyle w:val="CharSectno"/>
        </w:rPr>
        <w:t>59</w:t>
      </w:r>
      <w:r>
        <w:t>.</w:t>
      </w:r>
      <w:r>
        <w:tab/>
        <w:t>Approvals — overpacks</w:t>
      </w:r>
      <w:bookmarkEnd w:id="136"/>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137" w:name="_Toc194932962"/>
      <w:r>
        <w:rPr>
          <w:rStyle w:val="CharSectno"/>
        </w:rPr>
        <w:lastRenderedPageBreak/>
        <w:t>60</w:t>
      </w:r>
      <w:r>
        <w:t>.</w:t>
      </w:r>
      <w:r>
        <w:tab/>
        <w:t>Authorised bodies may give approvals</w:t>
      </w:r>
      <w:bookmarkEnd w:id="137"/>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lastRenderedPageBreak/>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138" w:name="_Toc194911715"/>
      <w:bookmarkStart w:id="139" w:name="_Toc194914431"/>
      <w:bookmarkStart w:id="140" w:name="_Toc194914801"/>
      <w:bookmarkStart w:id="141" w:name="_Toc194932963"/>
      <w:r>
        <w:rPr>
          <w:rStyle w:val="CharDivNo"/>
        </w:rPr>
        <w:t>Division 3</w:t>
      </w:r>
      <w:r>
        <w:t> — </w:t>
      </w:r>
      <w:r>
        <w:rPr>
          <w:rStyle w:val="CharDivText"/>
        </w:rPr>
        <w:t>Prohibition on the sale or supply of non</w:t>
      </w:r>
      <w:r>
        <w:rPr>
          <w:rStyle w:val="CharDivText"/>
        </w:rPr>
        <w:noBreakHyphen/>
        <w:t>compliant packaging</w:t>
      </w:r>
      <w:bookmarkEnd w:id="138"/>
      <w:bookmarkEnd w:id="139"/>
      <w:bookmarkEnd w:id="140"/>
      <w:bookmarkEnd w:id="141"/>
    </w:p>
    <w:p>
      <w:pPr>
        <w:pStyle w:val="Heading5"/>
        <w:spacing w:before="240"/>
        <w:rPr>
          <w:color w:val="000000"/>
        </w:rPr>
      </w:pPr>
      <w:bookmarkStart w:id="142" w:name="_Toc194932964"/>
      <w:r>
        <w:rPr>
          <w:rStyle w:val="CharSectno"/>
          <w:color w:val="000000"/>
        </w:rPr>
        <w:t>61</w:t>
      </w:r>
      <w:r>
        <w:rPr>
          <w:color w:val="000000"/>
        </w:rPr>
        <w:t>.</w:t>
      </w:r>
      <w:r>
        <w:rPr>
          <w:color w:val="000000"/>
        </w:rPr>
        <w:tab/>
        <w:t>Offence to sell or supply non</w:t>
      </w:r>
      <w:r>
        <w:rPr>
          <w:color w:val="000000"/>
        </w:rPr>
        <w:noBreakHyphen/>
        <w:t>compliant packaging</w:t>
      </w:r>
      <w:bookmarkEnd w:id="142"/>
    </w:p>
    <w:p>
      <w:pPr>
        <w:pStyle w:val="Subsection"/>
        <w:spacing w:before="120"/>
        <w:rPr>
          <w:color w:val="000000"/>
        </w:rPr>
      </w:pPr>
      <w:r>
        <w:tab/>
        <w:t>(1)</w:t>
      </w:r>
      <w:r>
        <w:tab/>
      </w:r>
      <w:r>
        <w:rPr>
          <w:color w:val="000000"/>
        </w:rPr>
        <w:t xml:space="preserve">A person must not sell, supply or offer to sell or supply any packaging for use in the transport of dangerous goods if it does not comply with the requirements of the ADG Code Parts 4 and 6 or </w:t>
      </w:r>
      <w:r>
        <w:t>Chapter 3.4 or 3.5.</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Footnotesection"/>
      </w:pPr>
      <w:r>
        <w:tab/>
        <w:t>[Regulation 61 amended: SL 2020/193 r. 13.]</w:t>
      </w:r>
    </w:p>
    <w:p>
      <w:pPr>
        <w:pStyle w:val="Heading3"/>
      </w:pPr>
      <w:bookmarkStart w:id="143" w:name="_Toc194911717"/>
      <w:bookmarkStart w:id="144" w:name="_Toc194914433"/>
      <w:bookmarkStart w:id="145" w:name="_Toc194914803"/>
      <w:bookmarkStart w:id="146" w:name="_Toc194932965"/>
      <w:r>
        <w:rPr>
          <w:rStyle w:val="CharDivNo"/>
        </w:rPr>
        <w:t>Division 4</w:t>
      </w:r>
      <w:r>
        <w:t> — </w:t>
      </w:r>
      <w:r>
        <w:rPr>
          <w:rStyle w:val="CharDivText"/>
        </w:rPr>
        <w:t>Offences relating to general packaging</w:t>
      </w:r>
      <w:bookmarkEnd w:id="143"/>
      <w:bookmarkEnd w:id="144"/>
      <w:bookmarkEnd w:id="145"/>
      <w:bookmarkEnd w:id="146"/>
    </w:p>
    <w:p>
      <w:pPr>
        <w:pStyle w:val="Footnoteheading"/>
      </w:pPr>
      <w:r>
        <w:tab/>
        <w:t>[Heading inserted: Gazette 22 Jun 2010 p. 2724.]</w:t>
      </w:r>
    </w:p>
    <w:p>
      <w:pPr>
        <w:pStyle w:val="Heading5"/>
        <w:spacing w:before="180"/>
      </w:pPr>
      <w:bookmarkStart w:id="147" w:name="_Toc194932966"/>
      <w:r>
        <w:rPr>
          <w:rStyle w:val="CharSectno"/>
        </w:rPr>
        <w:t>62</w:t>
      </w:r>
      <w:r>
        <w:t>.</w:t>
      </w:r>
      <w:r>
        <w:tab/>
        <w:t>Term used: general packaging</w:t>
      </w:r>
      <w:bookmarkEnd w:id="147"/>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Gazette 22 Jun 2010 p. 2724.]</w:t>
      </w:r>
    </w:p>
    <w:p>
      <w:pPr>
        <w:pStyle w:val="Heading5"/>
        <w:spacing w:before="180"/>
      </w:pPr>
      <w:bookmarkStart w:id="148" w:name="_Toc194932967"/>
      <w:r>
        <w:rPr>
          <w:rStyle w:val="CharSectno"/>
        </w:rPr>
        <w:lastRenderedPageBreak/>
        <w:t>63</w:t>
      </w:r>
      <w:r>
        <w:t>.</w:t>
      </w:r>
      <w:r>
        <w:tab/>
        <w:t>Duty on consignors</w:t>
      </w:r>
      <w:bookmarkEnd w:id="148"/>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Gazette 22 Jun 2010 p. 2724.]</w:t>
      </w:r>
    </w:p>
    <w:p>
      <w:pPr>
        <w:pStyle w:val="Heading5"/>
        <w:spacing w:before="180"/>
      </w:pPr>
      <w:bookmarkStart w:id="149" w:name="_Toc194932968"/>
      <w:r>
        <w:rPr>
          <w:rStyle w:val="CharSectno"/>
        </w:rPr>
        <w:t>64</w:t>
      </w:r>
      <w:r>
        <w:t>.</w:t>
      </w:r>
      <w:r>
        <w:tab/>
        <w:t>Duty on packers</w:t>
      </w:r>
      <w:bookmarkEnd w:id="149"/>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Gazette 22 Jun 2010 p. 2724.]</w:t>
      </w:r>
    </w:p>
    <w:p>
      <w:pPr>
        <w:pStyle w:val="Heading5"/>
        <w:spacing w:before="240"/>
      </w:pPr>
      <w:bookmarkStart w:id="150" w:name="_Toc194932969"/>
      <w:r>
        <w:rPr>
          <w:rStyle w:val="CharSectno"/>
        </w:rPr>
        <w:t>65</w:t>
      </w:r>
      <w:r>
        <w:t>.</w:t>
      </w:r>
      <w:r>
        <w:tab/>
        <w:t>Duty on loaders</w:t>
      </w:r>
      <w:bookmarkEnd w:id="150"/>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Gazette 22 Jun 2010 p. 2725.]</w:t>
      </w:r>
    </w:p>
    <w:p>
      <w:pPr>
        <w:pStyle w:val="Heading5"/>
        <w:spacing w:before="240"/>
      </w:pPr>
      <w:bookmarkStart w:id="151" w:name="_Toc194932970"/>
      <w:r>
        <w:rPr>
          <w:rStyle w:val="CharSectno"/>
        </w:rPr>
        <w:lastRenderedPageBreak/>
        <w:t>66</w:t>
      </w:r>
      <w:r>
        <w:t>.</w:t>
      </w:r>
      <w:r>
        <w:tab/>
        <w:t>Duty on prime contractors and rail operators</w:t>
      </w:r>
      <w:bookmarkEnd w:id="151"/>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Gazette 22 Jun 2010 p. 2725.]</w:t>
      </w:r>
    </w:p>
    <w:p>
      <w:pPr>
        <w:pStyle w:val="Heading5"/>
        <w:spacing w:before="240"/>
      </w:pPr>
      <w:bookmarkStart w:id="152" w:name="_Toc194932971"/>
      <w:r>
        <w:rPr>
          <w:rStyle w:val="CharSectno"/>
        </w:rPr>
        <w:t>67</w:t>
      </w:r>
      <w:r>
        <w:t>.</w:t>
      </w:r>
      <w:r>
        <w:tab/>
        <w:t>Duty on drivers</w:t>
      </w:r>
      <w:bookmarkEnd w:id="152"/>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Gazette 22 Jun 2010 p. 2725.]</w:t>
      </w:r>
    </w:p>
    <w:p>
      <w:pPr>
        <w:pStyle w:val="Heading3"/>
        <w:spacing w:before="220"/>
      </w:pPr>
      <w:bookmarkStart w:id="153" w:name="_Toc194911724"/>
      <w:bookmarkStart w:id="154" w:name="_Toc194914440"/>
      <w:bookmarkStart w:id="155" w:name="_Toc194914810"/>
      <w:bookmarkStart w:id="156" w:name="_Toc194932972"/>
      <w:r>
        <w:rPr>
          <w:rStyle w:val="CharDivNo"/>
        </w:rPr>
        <w:t>Division 5</w:t>
      </w:r>
      <w:r>
        <w:t> — </w:t>
      </w:r>
      <w:r>
        <w:rPr>
          <w:rStyle w:val="CharDivText"/>
        </w:rPr>
        <w:t>Offences relating to other packaging</w:t>
      </w:r>
      <w:bookmarkEnd w:id="153"/>
      <w:bookmarkEnd w:id="154"/>
      <w:bookmarkEnd w:id="155"/>
      <w:bookmarkEnd w:id="156"/>
    </w:p>
    <w:p>
      <w:pPr>
        <w:pStyle w:val="Footnoteheading"/>
      </w:pPr>
      <w:r>
        <w:tab/>
        <w:t>[Heading inserted: Gazette 22 Jun 2010 p. 2725.]</w:t>
      </w:r>
    </w:p>
    <w:p>
      <w:pPr>
        <w:pStyle w:val="Heading5"/>
        <w:spacing w:before="180"/>
      </w:pPr>
      <w:bookmarkStart w:id="157" w:name="_Toc194932973"/>
      <w:r>
        <w:rPr>
          <w:rStyle w:val="CharSectno"/>
        </w:rPr>
        <w:t>68</w:t>
      </w:r>
      <w:r>
        <w:t>.</w:t>
      </w:r>
      <w:r>
        <w:tab/>
        <w:t>Term used: other packaging</w:t>
      </w:r>
      <w:bookmarkEnd w:id="157"/>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Gazette 22 Jun 2010 p. 2725.]</w:t>
      </w:r>
    </w:p>
    <w:p>
      <w:pPr>
        <w:pStyle w:val="Heading5"/>
        <w:spacing w:before="180"/>
      </w:pPr>
      <w:bookmarkStart w:id="158" w:name="_Toc194932974"/>
      <w:r>
        <w:rPr>
          <w:rStyle w:val="CharSectno"/>
        </w:rPr>
        <w:lastRenderedPageBreak/>
        <w:t>69</w:t>
      </w:r>
      <w:r>
        <w:t>.</w:t>
      </w:r>
      <w:r>
        <w:tab/>
        <w:t>Duty on manufacturers of portable tanks, MEGCs or tank vehicles</w:t>
      </w:r>
      <w:bookmarkEnd w:id="158"/>
    </w:p>
    <w:p>
      <w:pPr>
        <w:pStyle w:val="Subsection"/>
        <w:keepNext/>
      </w:pPr>
      <w:r>
        <w:tab/>
        <w:t>(1)</w:t>
      </w:r>
      <w:r>
        <w:tab/>
        <w:t xml:space="preserve">A person who manufactures a portable tank for use in the transport of dangerous goods must attach a compliance plate to the tank in accordance with — </w:t>
      </w:r>
    </w:p>
    <w:p>
      <w:pPr>
        <w:pStyle w:val="Indenta"/>
      </w:pPr>
      <w:r>
        <w:tab/>
        <w:t>(a)</w:t>
      </w:r>
      <w:r>
        <w:tab/>
        <w:t>if the tank is not made of fibre reinforced plastic — the ADG Code Chapter 6.7; or</w:t>
      </w:r>
    </w:p>
    <w:p>
      <w:pPr>
        <w:pStyle w:val="Indenta"/>
      </w:pPr>
      <w:r>
        <w:tab/>
        <w:t>(b)</w:t>
      </w:r>
      <w:r>
        <w:tab/>
        <w:t>if the tank is made of fibre reinforced plastic — the ADG Code Chapter 6.7 and section 6.9.2.10.</w:t>
      </w:r>
    </w:p>
    <w:p>
      <w:pPr>
        <w:pStyle w:val="Penstart"/>
      </w:pPr>
      <w:r>
        <w:tab/>
        <w:t>Penalty for this subregulation: a fine of $10 000.</w:t>
      </w:r>
    </w:p>
    <w:p>
      <w:pPr>
        <w:pStyle w:val="Subsection"/>
      </w:pPr>
      <w:r>
        <w:tab/>
        <w:t>(2)</w:t>
      </w:r>
      <w:r>
        <w:tab/>
        <w:t>A person who manufactures an MEGC for use in the transport of dangerous goods must attach a compliance plate to the MEGC in accordance with the ADG Code Chapter 6.7.</w:t>
      </w:r>
    </w:p>
    <w:p>
      <w:pPr>
        <w:pStyle w:val="Penstart"/>
      </w:pPr>
      <w:r>
        <w:tab/>
        <w:t>Penalty for this subregulation: a fine of $10 000.</w:t>
      </w:r>
    </w:p>
    <w:p>
      <w:pPr>
        <w:pStyle w:val="Subsection"/>
      </w:pPr>
      <w:r>
        <w:tab/>
        <w:t>(2A)</w:t>
      </w:r>
      <w:r>
        <w:tab/>
        <w:t xml:space="preserve">Subregulation (1) does not apply to a person in relation to a portable tank if — </w:t>
      </w:r>
    </w:p>
    <w:p>
      <w:pPr>
        <w:pStyle w:val="Indenta"/>
      </w:pPr>
      <w:r>
        <w:tab/>
        <w:t>(a)</w:t>
      </w:r>
      <w:r>
        <w:tab/>
        <w:t>the ADG Code Chapter 6.7 permits the marking of the tank instead of the attachment of a compliance plate; and</w:t>
      </w:r>
    </w:p>
    <w:p>
      <w:pPr>
        <w:pStyle w:val="Indenta"/>
      </w:pPr>
      <w:r>
        <w:tab/>
        <w:t>(b)</w:t>
      </w:r>
      <w:r>
        <w:tab/>
        <w:t>the tank is marked as required by that Chapter and, if applicable, ADG Code section 6.9.2.10.</w:t>
      </w:r>
    </w:p>
    <w:p>
      <w:pPr>
        <w:pStyle w:val="Subsection"/>
        <w:spacing w:before="120"/>
      </w:pPr>
      <w:r>
        <w:tab/>
        <w:t>(3)</w:t>
      </w:r>
      <w:r>
        <w:tab/>
        <w:t>A person who manufactures a tank vehicle for use in the transport of dangerous goods must attach a compliance plate to the vehicle in accordance with the ADG Code section 6.10.2.2.</w:t>
      </w:r>
    </w:p>
    <w:p>
      <w:pPr>
        <w:pStyle w:val="Penstart"/>
      </w:pPr>
      <w:r>
        <w:tab/>
        <w:t>Penalty for this subregulation: a fine of $10 000.</w:t>
      </w:r>
    </w:p>
    <w:p>
      <w:pPr>
        <w:pStyle w:val="Footnotesection"/>
      </w:pPr>
      <w:r>
        <w:tab/>
        <w:t>[Regulation 69 inserted: Gazette 22 Jun 2010 p. 2726; amended: SL 2024/22 r. 7.]</w:t>
      </w:r>
    </w:p>
    <w:p>
      <w:pPr>
        <w:pStyle w:val="Heading5"/>
        <w:spacing w:before="180"/>
      </w:pPr>
      <w:bookmarkStart w:id="159" w:name="_Toc194932975"/>
      <w:r>
        <w:rPr>
          <w:rStyle w:val="CharSectno"/>
        </w:rPr>
        <w:lastRenderedPageBreak/>
        <w:t>70</w:t>
      </w:r>
      <w:r>
        <w:t>.</w:t>
      </w:r>
      <w:r>
        <w:tab/>
        <w:t>Duty on owners of demountable tanks, portable tanks and MEGCs</w:t>
      </w:r>
      <w:bookmarkEnd w:id="159"/>
    </w:p>
    <w:p>
      <w:pPr>
        <w:pStyle w:val="Subsection"/>
        <w:keepLines/>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Gazette 22 Jun 2010 p. 2726.]</w:t>
      </w:r>
    </w:p>
    <w:p>
      <w:pPr>
        <w:pStyle w:val="Heading5"/>
      </w:pPr>
      <w:bookmarkStart w:id="160" w:name="_Toc194932976"/>
      <w:r>
        <w:rPr>
          <w:rStyle w:val="CharSectno"/>
        </w:rPr>
        <w:t>71</w:t>
      </w:r>
      <w:r>
        <w:t>.</w:t>
      </w:r>
      <w:r>
        <w:tab/>
        <w:t>Duty on consignors</w:t>
      </w:r>
      <w:bookmarkEnd w:id="160"/>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Gazette 22 Jun 2010 p. 2726</w:t>
      </w:r>
      <w:r>
        <w:noBreakHyphen/>
        <w:t>7.]</w:t>
      </w:r>
    </w:p>
    <w:p>
      <w:pPr>
        <w:pStyle w:val="Heading5"/>
        <w:spacing w:before="180"/>
      </w:pPr>
      <w:bookmarkStart w:id="161" w:name="_Toc194932977"/>
      <w:r>
        <w:rPr>
          <w:rStyle w:val="CharSectno"/>
        </w:rPr>
        <w:t>72</w:t>
      </w:r>
      <w:r>
        <w:t>.</w:t>
      </w:r>
      <w:r>
        <w:tab/>
        <w:t>Duty on packers</w:t>
      </w:r>
      <w:bookmarkEnd w:id="161"/>
    </w:p>
    <w:p>
      <w:pPr>
        <w:pStyle w:val="Subsection"/>
        <w:keepNext/>
        <w:spacing w:before="120"/>
      </w:pPr>
      <w:r>
        <w:tab/>
        <w:t>(1)</w:t>
      </w:r>
      <w:r>
        <w:tab/>
        <w:t xml:space="preserve">A person must not pack dangerous goods for transport in any other packaging if the person knows, or ought reasonably to </w:t>
      </w:r>
      <w:r>
        <w:lastRenderedPageBreak/>
        <w:t>know, that the packaging is unsuitable for the transport of the goods.</w:t>
      </w:r>
    </w:p>
    <w:p>
      <w:pPr>
        <w:pStyle w:val="Subsection"/>
        <w:keepNext/>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keepNext/>
      </w:pPr>
      <w:r>
        <w:tab/>
        <w:t>Penalty: a fine of $5 000.</w:t>
      </w:r>
    </w:p>
    <w:p>
      <w:pPr>
        <w:pStyle w:val="Footnotesection"/>
      </w:pPr>
      <w:r>
        <w:tab/>
        <w:t>[Regulation 72 inserted: Gazette 22 Jun 2010 p. 2727.]</w:t>
      </w:r>
    </w:p>
    <w:p>
      <w:pPr>
        <w:pStyle w:val="Heading5"/>
        <w:keepNext w:val="0"/>
        <w:keepLines w:val="0"/>
        <w:spacing w:before="180"/>
      </w:pPr>
      <w:bookmarkStart w:id="162" w:name="_Toc194932978"/>
      <w:r>
        <w:rPr>
          <w:rStyle w:val="CharSectno"/>
        </w:rPr>
        <w:t>73</w:t>
      </w:r>
      <w:r>
        <w:t>.</w:t>
      </w:r>
      <w:r>
        <w:tab/>
        <w:t>Duty on loaders</w:t>
      </w:r>
      <w:bookmarkEnd w:id="162"/>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Gazette 22 Jun 2010 p. 2727.]</w:t>
      </w:r>
    </w:p>
    <w:p>
      <w:pPr>
        <w:pStyle w:val="Heading5"/>
      </w:pPr>
      <w:bookmarkStart w:id="163" w:name="_Toc194932979"/>
      <w:r>
        <w:rPr>
          <w:rStyle w:val="CharSectno"/>
        </w:rPr>
        <w:t>74</w:t>
      </w:r>
      <w:r>
        <w:t>.</w:t>
      </w:r>
      <w:r>
        <w:tab/>
        <w:t>Duty on prime contractors and rail operators</w:t>
      </w:r>
      <w:bookmarkEnd w:id="163"/>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keepNext/>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lastRenderedPageBreak/>
        <w:tab/>
        <w:t>(b)</w:t>
      </w:r>
      <w:r>
        <w:tab/>
        <w:t>the goods have not been packed in the packaging in accordance with any relevant provision of the ADG Code Part 4.</w:t>
      </w:r>
    </w:p>
    <w:p>
      <w:pPr>
        <w:pStyle w:val="Penstart"/>
        <w:keepNext/>
      </w:pPr>
      <w:r>
        <w:tab/>
        <w:t>Penalty: a fine of $10 000.</w:t>
      </w:r>
    </w:p>
    <w:p>
      <w:pPr>
        <w:pStyle w:val="Footnotesection"/>
        <w:ind w:left="890" w:hanging="890"/>
      </w:pPr>
      <w:r>
        <w:tab/>
        <w:t>[Regulation 74 inserted: Gazette 22 Jun 2010 p. 2728.]</w:t>
      </w:r>
    </w:p>
    <w:p>
      <w:pPr>
        <w:pStyle w:val="Heading5"/>
      </w:pPr>
      <w:bookmarkStart w:id="164" w:name="_Toc194932980"/>
      <w:r>
        <w:rPr>
          <w:rStyle w:val="CharSectno"/>
        </w:rPr>
        <w:t>75</w:t>
      </w:r>
      <w:r>
        <w:t>.</w:t>
      </w:r>
      <w:r>
        <w:tab/>
        <w:t>Duty on drivers</w:t>
      </w:r>
      <w:bookmarkEnd w:id="164"/>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Gazette 22 Jun 2010 p. 2728.]</w:t>
      </w:r>
    </w:p>
    <w:p>
      <w:pPr>
        <w:pStyle w:val="Ednotesection"/>
        <w:spacing w:before="200"/>
      </w:pPr>
      <w:r>
        <w:t>[</w:t>
      </w:r>
      <w:r>
        <w:rPr>
          <w:b/>
          <w:bCs/>
        </w:rPr>
        <w:t>76</w:t>
      </w:r>
      <w:r>
        <w:rPr>
          <w:b/>
          <w:bCs/>
        </w:rPr>
        <w:noBreakHyphen/>
        <w:t>82.</w:t>
      </w:r>
      <w:r>
        <w:tab/>
        <w:t>Deleted: Gazette 22 Jun 2010 p. 2724.]</w:t>
      </w:r>
    </w:p>
    <w:p>
      <w:pPr>
        <w:pStyle w:val="Ednotedivision"/>
        <w:spacing w:before="200"/>
      </w:pPr>
      <w:r>
        <w:t>[Divisions 6</w:t>
      </w:r>
      <w:r>
        <w:noBreakHyphen/>
        <w:t>8 (r. 83</w:t>
      </w:r>
      <w:r>
        <w:noBreakHyphen/>
        <w:t>100) deleted: Gazette 22 Jun 2010 p. 2724.]</w:t>
      </w:r>
    </w:p>
    <w:p>
      <w:pPr>
        <w:pStyle w:val="Heading3"/>
        <w:spacing w:before="200"/>
      </w:pPr>
      <w:bookmarkStart w:id="165" w:name="_Toc194911733"/>
      <w:bookmarkStart w:id="166" w:name="_Toc194914449"/>
      <w:bookmarkStart w:id="167" w:name="_Toc194914819"/>
      <w:bookmarkStart w:id="168" w:name="_Toc194932981"/>
      <w:r>
        <w:rPr>
          <w:rStyle w:val="CharDivNo"/>
        </w:rPr>
        <w:t>Division 9</w:t>
      </w:r>
      <w:r>
        <w:t> — </w:t>
      </w:r>
      <w:r>
        <w:rPr>
          <w:rStyle w:val="CharDivText"/>
        </w:rPr>
        <w:t>Offences relating to overpacks</w:t>
      </w:r>
      <w:bookmarkEnd w:id="165"/>
      <w:bookmarkEnd w:id="166"/>
      <w:bookmarkEnd w:id="167"/>
      <w:bookmarkEnd w:id="168"/>
    </w:p>
    <w:p>
      <w:pPr>
        <w:pStyle w:val="Heading5"/>
        <w:spacing w:before="180"/>
        <w:rPr>
          <w:color w:val="000000"/>
        </w:rPr>
      </w:pPr>
      <w:bookmarkStart w:id="169" w:name="_Toc194932982"/>
      <w:r>
        <w:rPr>
          <w:rStyle w:val="CharSectno"/>
        </w:rPr>
        <w:t>101</w:t>
      </w:r>
      <w:r>
        <w:t>.</w:t>
      </w:r>
      <w:r>
        <w:tab/>
        <w:t>Duty on consignors</w:t>
      </w:r>
      <w:bookmarkEnd w:id="169"/>
    </w:p>
    <w:p>
      <w:pPr>
        <w:pStyle w:val="Subsection"/>
        <w:keepNext/>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lastRenderedPageBreak/>
        <w:tab/>
        <w:t>(ii)</w:t>
      </w:r>
      <w:r>
        <w:tab/>
        <w:t>an approval given under regulation 59.</w:t>
      </w:r>
    </w:p>
    <w:p>
      <w:pPr>
        <w:pStyle w:val="Penstart"/>
      </w:pPr>
      <w:r>
        <w:tab/>
        <w:t>Penalty: a fine of $5 000.</w:t>
      </w:r>
    </w:p>
    <w:p>
      <w:pPr>
        <w:pStyle w:val="Heading5"/>
      </w:pPr>
      <w:bookmarkStart w:id="170" w:name="_Toc194932983"/>
      <w:r>
        <w:rPr>
          <w:rStyle w:val="CharSectno"/>
        </w:rPr>
        <w:t>102</w:t>
      </w:r>
      <w:r>
        <w:t>.</w:t>
      </w:r>
      <w:r>
        <w:tab/>
        <w:t>Duty on packers</w:t>
      </w:r>
      <w:bookmarkEnd w:id="170"/>
    </w:p>
    <w:p>
      <w:pPr>
        <w:pStyle w:val="Subsection"/>
        <w:keepNext/>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71" w:name="_Toc194932984"/>
      <w:r>
        <w:rPr>
          <w:rStyle w:val="CharSectno"/>
        </w:rPr>
        <w:t>103</w:t>
      </w:r>
      <w:r>
        <w:t>.</w:t>
      </w:r>
      <w:r>
        <w:tab/>
        <w:t>Duty on loaders</w:t>
      </w:r>
      <w:bookmarkEnd w:id="171"/>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keepNext/>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72" w:name="_Toc194932985"/>
      <w:r>
        <w:rPr>
          <w:rStyle w:val="CharSectno"/>
        </w:rPr>
        <w:t>104</w:t>
      </w:r>
      <w:r>
        <w:t>.</w:t>
      </w:r>
      <w:r>
        <w:tab/>
        <w:t>Duty on prime contractors and rail operators</w:t>
      </w:r>
      <w:bookmarkEnd w:id="172"/>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keepNext/>
        <w:rPr>
          <w:color w:val="000000"/>
        </w:rPr>
      </w:pPr>
      <w:r>
        <w:rPr>
          <w:color w:val="000000"/>
        </w:rPr>
        <w:lastRenderedPageBreak/>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173" w:name="_Toc194932986"/>
      <w:r>
        <w:rPr>
          <w:rStyle w:val="CharSectno"/>
        </w:rPr>
        <w:t>105</w:t>
      </w:r>
      <w:r>
        <w:t>.</w:t>
      </w:r>
      <w:r>
        <w:tab/>
        <w:t>Duty on drivers</w:t>
      </w:r>
      <w:bookmarkEnd w:id="173"/>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174" w:name="_Toc194911739"/>
      <w:bookmarkStart w:id="175" w:name="_Toc194914455"/>
      <w:bookmarkStart w:id="176" w:name="_Toc194914825"/>
      <w:bookmarkStart w:id="177" w:name="_Toc194932987"/>
      <w:r>
        <w:rPr>
          <w:rStyle w:val="CharPartNo"/>
        </w:rPr>
        <w:lastRenderedPageBreak/>
        <w:t>Part 5</w:t>
      </w:r>
      <w:r>
        <w:t> — </w:t>
      </w:r>
      <w:r>
        <w:rPr>
          <w:rStyle w:val="CharPartText"/>
        </w:rPr>
        <w:t>Consignment procedures</w:t>
      </w:r>
      <w:bookmarkEnd w:id="174"/>
      <w:bookmarkEnd w:id="175"/>
      <w:bookmarkEnd w:id="176"/>
      <w:bookmarkEnd w:id="177"/>
    </w:p>
    <w:p>
      <w:pPr>
        <w:pStyle w:val="Heading3"/>
      </w:pPr>
      <w:bookmarkStart w:id="178" w:name="_Toc194911740"/>
      <w:bookmarkStart w:id="179" w:name="_Toc194914456"/>
      <w:bookmarkStart w:id="180" w:name="_Toc194914826"/>
      <w:bookmarkStart w:id="181" w:name="_Toc194932988"/>
      <w:r>
        <w:rPr>
          <w:rStyle w:val="CharDivNo"/>
        </w:rPr>
        <w:t>Division 1</w:t>
      </w:r>
      <w:r>
        <w:t> — </w:t>
      </w:r>
      <w:r>
        <w:rPr>
          <w:rStyle w:val="CharDivText"/>
        </w:rPr>
        <w:t>Marking and labelling</w:t>
      </w:r>
      <w:bookmarkEnd w:id="178"/>
      <w:bookmarkEnd w:id="179"/>
      <w:bookmarkEnd w:id="180"/>
      <w:bookmarkEnd w:id="181"/>
    </w:p>
    <w:p>
      <w:pPr>
        <w:pStyle w:val="Heading5"/>
        <w:rPr>
          <w:color w:val="000000"/>
        </w:rPr>
      </w:pPr>
      <w:bookmarkStart w:id="182" w:name="_Toc194932989"/>
      <w:r>
        <w:rPr>
          <w:rStyle w:val="CharSectno"/>
          <w:color w:val="000000"/>
        </w:rPr>
        <w:t>106</w:t>
      </w:r>
      <w:r>
        <w:rPr>
          <w:color w:val="000000"/>
        </w:rPr>
        <w:t>.</w:t>
      </w:r>
      <w:r>
        <w:rPr>
          <w:color w:val="000000"/>
        </w:rPr>
        <w:tab/>
        <w:t>Term used: appropriately marked</w:t>
      </w:r>
      <w:bookmarkEnd w:id="182"/>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pPr>
      <w:r>
        <w:tab/>
        <w:t>(5)</w:t>
      </w:r>
      <w:r>
        <w:tab/>
        <w:t xml:space="preserve">A package of dangerous goods packed in excepted quantities is also </w:t>
      </w:r>
      <w:r>
        <w:rPr>
          <w:rStyle w:val="CharDefText"/>
        </w:rPr>
        <w:t>appropriately marked</w:t>
      </w:r>
      <w:r>
        <w:t xml:space="preserve"> if it is marked and labelled in accordance with the ADG Code Chapter 3.5.</w:t>
      </w:r>
    </w:p>
    <w:p>
      <w:pPr>
        <w:pStyle w:val="Subsection"/>
      </w:pPr>
      <w:r>
        <w:tab/>
        <w:t>(6)</w:t>
      </w:r>
      <w:r>
        <w:tab/>
        <w:t>For the purposes of subregulation (5), dangerous goods are packed in excepted quantities if —</w:t>
      </w:r>
    </w:p>
    <w:p>
      <w:pPr>
        <w:pStyle w:val="Indenta"/>
      </w:pPr>
      <w:r>
        <w:tab/>
        <w:t>(a)</w:t>
      </w:r>
      <w:r>
        <w:tab/>
        <w:t>the goods are assigned to code E1, E2, E3, E4 or E5 in the Dangerous Goods List column 7b; and</w:t>
      </w:r>
    </w:p>
    <w:p>
      <w:pPr>
        <w:pStyle w:val="Indenta"/>
      </w:pPr>
      <w:r>
        <w:lastRenderedPageBreak/>
        <w:tab/>
        <w:t>(b)</w:t>
      </w:r>
      <w:r>
        <w:tab/>
        <w:t>the goods are packed in accordance with the ADG Code Chapter 3.5; and</w:t>
      </w:r>
    </w:p>
    <w:p>
      <w:pPr>
        <w:pStyle w:val="Indenta"/>
      </w:pPr>
      <w:r>
        <w:tab/>
        <w:t>(c)</w:t>
      </w:r>
      <w:r>
        <w:tab/>
        <w:t>the quantity of dangerous goods does not exceed the quantity specified in the ADG Code section 3.5.1.2.</w:t>
      </w:r>
    </w:p>
    <w:p>
      <w:pPr>
        <w:pStyle w:val="Footnotesection"/>
      </w:pPr>
      <w:r>
        <w:tab/>
        <w:t>[Regulation 106 amended: Gazette 22 Jun 2010 p. 2729; 13 Jun 2014 p. 1933; 11 Jul 2017 p. 3824; 31 Aug 2018 p. 3045.]</w:t>
      </w:r>
    </w:p>
    <w:p>
      <w:pPr>
        <w:pStyle w:val="Heading5"/>
      </w:pPr>
      <w:bookmarkStart w:id="183" w:name="_Toc194932990"/>
      <w:r>
        <w:rPr>
          <w:rStyle w:val="CharSectno"/>
        </w:rPr>
        <w:t>107</w:t>
      </w:r>
      <w:r>
        <w:t>.</w:t>
      </w:r>
      <w:r>
        <w:tab/>
        <w:t>Duty on consignors</w:t>
      </w:r>
      <w:bookmarkEnd w:id="183"/>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Gazette 13 Jun 2014 p. 1933</w:t>
      </w:r>
      <w:r>
        <w:noBreakHyphen/>
        <w:t>4.]</w:t>
      </w:r>
    </w:p>
    <w:p>
      <w:pPr>
        <w:pStyle w:val="Heading5"/>
        <w:spacing w:before="180"/>
      </w:pPr>
      <w:bookmarkStart w:id="184" w:name="_Toc194932991"/>
      <w:r>
        <w:rPr>
          <w:rStyle w:val="CharSectno"/>
        </w:rPr>
        <w:t>108</w:t>
      </w:r>
      <w:r>
        <w:t>.</w:t>
      </w:r>
      <w:r>
        <w:tab/>
        <w:t>Duty on packers</w:t>
      </w:r>
      <w:bookmarkEnd w:id="184"/>
    </w:p>
    <w:p>
      <w:pPr>
        <w:pStyle w:val="Subsection"/>
        <w:keepNext/>
        <w:spacing w:before="120"/>
      </w:pPr>
      <w:r>
        <w:rPr>
          <w:color w:val="000000"/>
        </w:rPr>
        <w:tab/>
        <w:t>(1)</w:t>
      </w:r>
      <w:r>
        <w:rPr>
          <w:color w:val="000000"/>
        </w:rPr>
        <w:tab/>
        <w:t xml:space="preserve">A person must not pack dangerous goods for transport if the person knows, or ought reasonably to know, that any of the </w:t>
      </w:r>
      <w:r>
        <w:rPr>
          <w:color w:val="000000"/>
        </w:rPr>
        <w:lastRenderedPageBreak/>
        <w:t>packaging to be used to transport the goods is not appropriately marked.</w:t>
      </w:r>
    </w:p>
    <w:p>
      <w:pPr>
        <w:pStyle w:val="Subsection"/>
        <w:spacing w:before="120"/>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Gazette 13 Jun 2014 p. 1934.]</w:t>
      </w:r>
    </w:p>
    <w:p>
      <w:pPr>
        <w:pStyle w:val="Heading5"/>
      </w:pPr>
      <w:bookmarkStart w:id="185" w:name="_Toc194932992"/>
      <w:r>
        <w:rPr>
          <w:rStyle w:val="CharSectno"/>
        </w:rPr>
        <w:t>109</w:t>
      </w:r>
      <w:r>
        <w:t>.</w:t>
      </w:r>
      <w:r>
        <w:tab/>
        <w:t>Duty on prime contractors and rail operators</w:t>
      </w:r>
      <w:bookmarkEnd w:id="185"/>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lastRenderedPageBreak/>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Gazette 13 Jun 2014 p. 1934</w:t>
      </w:r>
      <w:r>
        <w:noBreakHyphen/>
        <w:t>5.]</w:t>
      </w:r>
    </w:p>
    <w:p>
      <w:pPr>
        <w:pStyle w:val="Heading5"/>
      </w:pPr>
      <w:bookmarkStart w:id="186" w:name="_Toc194932993"/>
      <w:r>
        <w:rPr>
          <w:rStyle w:val="CharSectno"/>
          <w:color w:val="000000"/>
        </w:rPr>
        <w:t>109A</w:t>
      </w:r>
      <w:r>
        <w:t>.</w:t>
      </w:r>
      <w:r>
        <w:tab/>
        <w:t>Further duties if dangerous goods transported in portable tank or by tank vehicle</w:t>
      </w:r>
      <w:bookmarkEnd w:id="186"/>
    </w:p>
    <w:p>
      <w:pPr>
        <w:pStyle w:val="Subsection"/>
      </w:pPr>
      <w:r>
        <w:tab/>
        <w:t>(1)</w:t>
      </w:r>
      <w:r>
        <w:tab/>
        <w:t>A person must not consign dangerous goods for transport in a portable tank, or by a tank vehicle, if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Subsection"/>
        <w:keepNext/>
      </w:pPr>
      <w:r>
        <w:tab/>
        <w:t>(2)</w:t>
      </w:r>
      <w:r>
        <w:tab/>
        <w:t>A prime contractor must not transport dangerous goods in a portable tank, or by a tank vehicle, if the prime contractor knows, or ought reasonably to know, that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Footnotesection"/>
        <w:spacing w:before="100"/>
        <w:ind w:left="890" w:hanging="890"/>
      </w:pPr>
      <w:r>
        <w:tab/>
        <w:t>[Regulation 109A inserted: Gazette 31 Aug 2018 p. 3046.]</w:t>
      </w:r>
    </w:p>
    <w:p>
      <w:pPr>
        <w:pStyle w:val="Heading3"/>
      </w:pPr>
      <w:bookmarkStart w:id="187" w:name="_Toc194911746"/>
      <w:bookmarkStart w:id="188" w:name="_Toc194914462"/>
      <w:bookmarkStart w:id="189" w:name="_Toc194914832"/>
      <w:bookmarkStart w:id="190" w:name="_Toc194932994"/>
      <w:r>
        <w:rPr>
          <w:rStyle w:val="CharDivNo"/>
        </w:rPr>
        <w:lastRenderedPageBreak/>
        <w:t>Division 2</w:t>
      </w:r>
      <w:r>
        <w:t> — </w:t>
      </w:r>
      <w:r>
        <w:rPr>
          <w:rStyle w:val="CharDivText"/>
        </w:rPr>
        <w:t>Placarding</w:t>
      </w:r>
      <w:bookmarkEnd w:id="187"/>
      <w:bookmarkEnd w:id="188"/>
      <w:bookmarkEnd w:id="189"/>
      <w:bookmarkEnd w:id="190"/>
    </w:p>
    <w:p>
      <w:pPr>
        <w:pStyle w:val="Heading5"/>
      </w:pPr>
      <w:bookmarkStart w:id="191" w:name="_Toc194932995"/>
      <w:r>
        <w:rPr>
          <w:rStyle w:val="CharSectno"/>
        </w:rPr>
        <w:t>110</w:t>
      </w:r>
      <w:r>
        <w:t>.</w:t>
      </w:r>
      <w:r>
        <w:tab/>
        <w:t>When loads must be placarded</w:t>
      </w:r>
      <w:bookmarkEnd w:id="191"/>
    </w:p>
    <w:p>
      <w:pPr>
        <w:pStyle w:val="Subsection"/>
      </w:pPr>
      <w:r>
        <w:tab/>
        <w:t>(1)</w:t>
      </w:r>
      <w:r>
        <w:tab/>
        <w:t xml:space="preserve">In this regulation — </w:t>
      </w:r>
    </w:p>
    <w:p>
      <w:pPr>
        <w:pStyle w:val="Defstart"/>
      </w:pPr>
      <w:r>
        <w:tab/>
      </w:r>
      <w:r>
        <w:rPr>
          <w:rStyle w:val="CharDefText"/>
        </w:rPr>
        <w:t>classification code</w:t>
      </w:r>
      <w:r>
        <w:t xml:space="preserve"> has the meaning given in the </w:t>
      </w:r>
      <w:r>
        <w:rPr>
          <w:i/>
        </w:rPr>
        <w:t>Dangerous Goods Safety (Explosives) Regulations 2007</w:t>
      </w:r>
      <w:r>
        <w:t xml:space="preserve"> regulation 3;</w:t>
      </w:r>
    </w:p>
    <w:p>
      <w:pPr>
        <w:pStyle w:val="Defstart"/>
      </w:pPr>
      <w:r>
        <w:tab/>
      </w:r>
      <w:r>
        <w:rPr>
          <w:rStyle w:val="CharDefText"/>
        </w:rPr>
        <w:t>specified goods</w:t>
      </w:r>
      <w:r>
        <w:t xml:space="preserve"> means dangerous goods that are — </w:t>
      </w:r>
    </w:p>
    <w:p>
      <w:pPr>
        <w:pStyle w:val="Defpara"/>
      </w:pPr>
      <w:r>
        <w:rPr>
          <w:color w:val="000000"/>
        </w:rPr>
        <w:tab/>
        <w:t>(a)</w:t>
      </w:r>
      <w:r>
        <w:rPr>
          <w:color w:val="000000"/>
        </w:rPr>
        <w:tab/>
      </w:r>
      <w:r>
        <w:t>packed in limited quantities; or</w:t>
      </w:r>
    </w:p>
    <w:p>
      <w:pPr>
        <w:pStyle w:val="Defpara"/>
      </w:pPr>
      <w:r>
        <w:rPr>
          <w:color w:val="000000"/>
        </w:rPr>
        <w:tab/>
        <w:t>(b)</w:t>
      </w:r>
      <w:r>
        <w:rPr>
          <w:color w:val="000000"/>
        </w:rPr>
        <w:tab/>
      </w:r>
      <w:r>
        <w:t xml:space="preserve">any of the following — </w:t>
      </w:r>
    </w:p>
    <w:p>
      <w:pPr>
        <w:pStyle w:val="Defsubpara"/>
      </w:pPr>
      <w:r>
        <w:tab/>
        <w:t>(i)</w:t>
      </w:r>
      <w:r>
        <w:tab/>
        <w:t>fireworks that are bonbons, party poppers or sparklers with a classification code of 1.4S;</w:t>
      </w:r>
    </w:p>
    <w:p>
      <w:pPr>
        <w:pStyle w:val="Defsubpara"/>
      </w:pPr>
      <w:r>
        <w:tab/>
        <w:t>(ii)</w:t>
      </w:r>
      <w:r>
        <w:tab/>
        <w:t>domestic smoke detectors containing radioactive material;</w:t>
      </w:r>
    </w:p>
    <w:p>
      <w:pPr>
        <w:pStyle w:val="Defsubpara"/>
      </w:pPr>
      <w:r>
        <w:tab/>
        <w:t>(iii)</w:t>
      </w:r>
      <w:r>
        <w:tab/>
        <w:t>lighters or lighter refills containing flammable gas;</w:t>
      </w:r>
    </w:p>
    <w:p>
      <w:pPr>
        <w:pStyle w:val="Defsubpara"/>
      </w:pPr>
      <w:r>
        <w:tab/>
        <w:t>(iv)</w:t>
      </w:r>
      <w:r>
        <w:tab/>
        <w:t>fire extinguishers containing compressed or liquefied gas, up to a net mass of 23 kg;</w:t>
      </w:r>
    </w:p>
    <w:p>
      <w:pPr>
        <w:pStyle w:val="Defpara"/>
      </w:pPr>
      <w:r>
        <w:tab/>
      </w:r>
      <w:r>
        <w:tab/>
      </w:r>
      <w:r>
        <w:rPr>
          <w:color w:val="000000"/>
        </w:rPr>
        <w:t>or</w:t>
      </w:r>
    </w:p>
    <w:p>
      <w:pPr>
        <w:pStyle w:val="Defpara"/>
      </w:pPr>
      <w:r>
        <w:rPr>
          <w:color w:val="000000"/>
        </w:rPr>
        <w:tab/>
        <w:t>(c)</w:t>
      </w:r>
      <w:r>
        <w:rPr>
          <w:color w:val="000000"/>
        </w:rPr>
        <w:tab/>
      </w:r>
      <w:r>
        <w:t>a combination of the dangerous goods referred to in paragraphs (a) and (b).</w:t>
      </w:r>
    </w:p>
    <w:p>
      <w:pPr>
        <w:pStyle w:val="Subsection"/>
      </w:pPr>
      <w:r>
        <w:rPr>
          <w:color w:val="000000"/>
        </w:rPr>
        <w:tab/>
        <w:t>(2)</w:t>
      </w:r>
      <w:r>
        <w:rPr>
          <w:color w:val="000000"/>
        </w:rPr>
        <w:tab/>
        <w:t xml:space="preserve">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other than an article, with a capacity of more than 500 L; or</w:t>
      </w:r>
    </w:p>
    <w:p>
      <w:pPr>
        <w:pStyle w:val="Indenti"/>
        <w:keepNext/>
      </w:pPr>
      <w:r>
        <w:tab/>
        <w:t>(ii)</w:t>
      </w:r>
      <w:r>
        <w:tab/>
        <w:t>more than 500 kg of dangerous goods in a receptacle, other than an article;</w:t>
      </w:r>
    </w:p>
    <w:p>
      <w:pPr>
        <w:pStyle w:val="Indenta"/>
      </w:pPr>
      <w:r>
        <w:tab/>
      </w:r>
      <w:r>
        <w:tab/>
        <w:t>or</w:t>
      </w:r>
    </w:p>
    <w:p>
      <w:pPr>
        <w:pStyle w:val="Indenta"/>
        <w:keepNext/>
        <w:rPr>
          <w:color w:val="000000"/>
        </w:rPr>
      </w:pPr>
      <w:r>
        <w:rPr>
          <w:color w:val="000000"/>
        </w:rPr>
        <w:lastRenderedPageBreak/>
        <w:tab/>
        <w:t>(b)</w:t>
      </w:r>
      <w:r>
        <w:rPr>
          <w:color w:val="000000"/>
        </w:rPr>
        <w:tab/>
        <w:t xml:space="preserve">it contains an aggregate quantity of dangerous goods (other than specified goods) of 250 or more and those goods include — </w:t>
      </w:r>
    </w:p>
    <w:p>
      <w:pPr>
        <w:pStyle w:val="Indenti"/>
      </w:pPr>
      <w:r>
        <w:tab/>
        <w:t>(i)</w:t>
      </w:r>
      <w:r>
        <w:tab/>
        <w:t xml:space="preserve">dangerous goods of </w:t>
      </w:r>
      <w:r>
        <w:rPr>
          <w:color w:val="000000"/>
        </w:rPr>
        <w:t>UN Division 2.1 (other than aerosols); or</w:t>
      </w:r>
    </w:p>
    <w:p>
      <w:pPr>
        <w:pStyle w:val="Indenti"/>
      </w:pPr>
      <w:r>
        <w:tab/>
        <w:t>(ii)</w:t>
      </w:r>
      <w:r>
        <w:tab/>
        <w:t>dangerous goods of UN Division 2.3; or</w:t>
      </w:r>
    </w:p>
    <w:p>
      <w:pPr>
        <w:pStyle w:val="Indenti"/>
      </w:pPr>
      <w:r>
        <w:tab/>
        <w:t>(iii)</w:t>
      </w:r>
      <w:r>
        <w:tab/>
        <w:t>dangerous goods of Packing Group I;</w:t>
      </w:r>
    </w:p>
    <w:p>
      <w:pPr>
        <w:pStyle w:val="Indenta"/>
      </w:pPr>
      <w:r>
        <w:tab/>
      </w:r>
      <w:r>
        <w:tab/>
        <w:t>or</w:t>
      </w:r>
    </w:p>
    <w:p>
      <w:pPr>
        <w:pStyle w:val="Indenta"/>
      </w:pPr>
      <w:r>
        <w:rPr>
          <w:color w:val="000000"/>
        </w:rPr>
        <w:tab/>
        <w:t>(c)</w:t>
      </w:r>
      <w:r>
        <w:rPr>
          <w:color w:val="000000"/>
        </w:rPr>
        <w:tab/>
        <w:t xml:space="preserve">it contains an aggregate quantity of dangerous goods (other than specified goods) of </w:t>
      </w:r>
      <w:r>
        <w:t>1 000 or more; or</w:t>
      </w:r>
    </w:p>
    <w:p>
      <w:pPr>
        <w:pStyle w:val="Indenta"/>
      </w:pPr>
      <w:r>
        <w:rPr>
          <w:color w:val="000000"/>
        </w:rPr>
        <w:tab/>
        <w:t>(d)</w:t>
      </w:r>
      <w:r>
        <w:rPr>
          <w:color w:val="000000"/>
        </w:rPr>
        <w:tab/>
      </w:r>
      <w:r>
        <w:t xml:space="preserve">it contains specified goods and either — </w:t>
      </w:r>
    </w:p>
    <w:p>
      <w:pPr>
        <w:pStyle w:val="Indenti"/>
      </w:pPr>
      <w:r>
        <w:tab/>
        <w:t>(i)</w:t>
      </w:r>
      <w:r>
        <w:tab/>
        <w:t>the specified goods include an aggregate quantity of 2 000 or more of any one UN number from a single place of consignment; or</w:t>
      </w:r>
    </w:p>
    <w:p>
      <w:pPr>
        <w:pStyle w:val="Indenti"/>
      </w:pPr>
      <w:r>
        <w:tab/>
        <w:t>(ii)</w:t>
      </w:r>
      <w:r>
        <w:tab/>
        <w:t>the total gross mass of the specified goods is 8 tonnes or more.</w:t>
      </w:r>
    </w:p>
    <w:p>
      <w:pPr>
        <w:pStyle w:val="Subsection"/>
      </w:pPr>
      <w:r>
        <w:rPr>
          <w:color w:val="000000"/>
        </w:rPr>
        <w:tab/>
        <w:t>(3)</w:t>
      </w:r>
      <w:r>
        <w:rPr>
          <w:color w:val="000000"/>
        </w:rPr>
        <w:tab/>
      </w:r>
      <w:r>
        <w:t xml:space="preserve">A load that contains dangerous goods, but is not required to be placarded under subregulation (2), must be placarded if the load meets the following conditions — </w:t>
      </w:r>
    </w:p>
    <w:p>
      <w:pPr>
        <w:pStyle w:val="Indenta"/>
      </w:pPr>
      <w:r>
        <w:rPr>
          <w:color w:val="000000"/>
        </w:rPr>
        <w:tab/>
        <w:t>(a)</w:t>
      </w:r>
      <w:r>
        <w:rPr>
          <w:color w:val="000000"/>
        </w:rPr>
        <w:tab/>
      </w:r>
      <w:r>
        <w:t>the load contains a mixture of specified goods and other dangerous goods;</w:t>
      </w:r>
    </w:p>
    <w:p>
      <w:pPr>
        <w:pStyle w:val="Indenta"/>
      </w:pPr>
      <w:r>
        <w:rPr>
          <w:color w:val="000000"/>
        </w:rPr>
        <w:tab/>
        <w:t>(b)</w:t>
      </w:r>
      <w:r>
        <w:rPr>
          <w:color w:val="000000"/>
        </w:rPr>
        <w:tab/>
        <w:t xml:space="preserve">either of </w:t>
      </w:r>
      <w:r>
        <w:t xml:space="preserve">the following applies — </w:t>
      </w:r>
    </w:p>
    <w:p>
      <w:pPr>
        <w:pStyle w:val="Indenti"/>
      </w:pPr>
      <w:r>
        <w:tab/>
        <w:t>(i)</w:t>
      </w:r>
      <w:r>
        <w:tab/>
        <w:t>if the load contains dangerous goods referred to in subregulation (2)(b)(i) to (iii) — the aggregate quantity of those goods, plus 10% of the total gross mass of the specified goods, is 250 or more;</w:t>
      </w:r>
    </w:p>
    <w:p>
      <w:pPr>
        <w:pStyle w:val="Indenti"/>
        <w:keepNext/>
      </w:pPr>
      <w:r>
        <w:tab/>
        <w:t>(ii)</w:t>
      </w:r>
      <w:r>
        <w:tab/>
        <w:t xml:space="preserve">otherwise — the aggregate quantity of dangerous goods that are not specified goods, plus 25% of </w:t>
      </w:r>
      <w:r>
        <w:lastRenderedPageBreak/>
        <w:t>the total gross mass of the specified goods, is 1 000 or more.</w:t>
      </w:r>
    </w:p>
    <w:p>
      <w:pPr>
        <w:pStyle w:val="PermNoteHeading"/>
      </w:pPr>
      <w:r>
        <w:tab/>
        <w:t>Note for this regulation:</w:t>
      </w:r>
    </w:p>
    <w:p>
      <w:pPr>
        <w:pStyle w:val="PermNoteText"/>
      </w:pPr>
      <w:r>
        <w:tab/>
      </w:r>
      <w:r>
        <w:tab/>
        <w:t>See the ADG Code Table 5.3.</w:t>
      </w:r>
    </w:p>
    <w:p>
      <w:pPr>
        <w:pStyle w:val="Footnotesection"/>
      </w:pPr>
      <w:r>
        <w:tab/>
        <w:t>[Regulation 110 inserted: SL 2020/193 r. 14.]</w:t>
      </w:r>
    </w:p>
    <w:p>
      <w:pPr>
        <w:pStyle w:val="Heading5"/>
      </w:pPr>
      <w:bookmarkStart w:id="192" w:name="_Toc194932996"/>
      <w:r>
        <w:rPr>
          <w:rStyle w:val="CharSectno"/>
        </w:rPr>
        <w:t>111</w:t>
      </w:r>
      <w:r>
        <w:t>.</w:t>
      </w:r>
      <w:r>
        <w:tab/>
        <w:t>Terms used: placard, appropriately placarded</w:t>
      </w:r>
      <w:bookmarkEnd w:id="192"/>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Gazette 13 Jun 2014 p. 1935.]</w:t>
      </w:r>
    </w:p>
    <w:p>
      <w:pPr>
        <w:pStyle w:val="Heading5"/>
      </w:pPr>
      <w:bookmarkStart w:id="193" w:name="_Toc194932997"/>
      <w:r>
        <w:rPr>
          <w:rStyle w:val="CharSectno"/>
        </w:rPr>
        <w:t>112</w:t>
      </w:r>
      <w:r>
        <w:t>.</w:t>
      </w:r>
      <w:r>
        <w:tab/>
        <w:t>Duty on consignors</w:t>
      </w:r>
      <w:bookmarkEnd w:id="193"/>
    </w:p>
    <w:p>
      <w:pPr>
        <w:pStyle w:val="Subsection"/>
      </w:pPr>
      <w:r>
        <w:tab/>
        <w:t>(1)</w:t>
      </w:r>
      <w:r>
        <w:tab/>
        <w:t>A person must not consign a placard load for transport if the load is not appropriately placarded.</w:t>
      </w:r>
    </w:p>
    <w:p>
      <w:pPr>
        <w:pStyle w:val="Penstart"/>
      </w:pPr>
      <w:r>
        <w:tab/>
        <w:t>Penalty for this subregulation: a fine of $10 000.</w:t>
      </w:r>
    </w:p>
    <w:p>
      <w:pPr>
        <w:pStyle w:val="Subsection"/>
      </w:pPr>
      <w:r>
        <w:tab/>
        <w:t>(2)</w:t>
      </w:r>
      <w:r>
        <w:tab/>
        <w:t>A person must not consign a placard load for transport if the placarding of the load is false or misleading in a material particular.</w:t>
      </w:r>
    </w:p>
    <w:p>
      <w:pPr>
        <w:pStyle w:val="Penstart"/>
      </w:pPr>
      <w:r>
        <w:tab/>
        <w:t>Penalty for this subregulation: a fine of $10 000.</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Penstart"/>
      </w:pPr>
      <w:r>
        <w:tab/>
        <w:t>Penalty for this subregulation: a fine of $10 000.</w:t>
      </w:r>
    </w:p>
    <w:p>
      <w:pPr>
        <w:pStyle w:val="Subsection"/>
        <w:keepLines/>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lastRenderedPageBreak/>
        <w:tab/>
        <w:t>(5)</w:t>
      </w:r>
      <w:r>
        <w:tab/>
        <w:t xml:space="preserve">A person must not consign a load of dangerous goods (other than a placard load) for transport in or on a cargo transport unit if — </w:t>
      </w:r>
    </w:p>
    <w:p>
      <w:pPr>
        <w:pStyle w:val="Indenta"/>
      </w:pPr>
      <w:r>
        <w:tab/>
        <w:t>(a)</w:t>
      </w:r>
      <w:r>
        <w:tab/>
        <w:t>the load is placarded; and</w:t>
      </w:r>
    </w:p>
    <w:p>
      <w:pPr>
        <w:pStyle w:val="Indenta"/>
      </w:pPr>
      <w:r>
        <w:tab/>
        <w:t>(b)</w:t>
      </w:r>
      <w:r>
        <w:tab/>
        <w:t>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112 amended: Gazette 13 Jun 2014 p. 1935</w:t>
      </w:r>
      <w:r>
        <w:noBreakHyphen/>
        <w:t>6; 17 Nov 2015 p. 4696-7.]</w:t>
      </w:r>
    </w:p>
    <w:p>
      <w:pPr>
        <w:pStyle w:val="Heading5"/>
      </w:pPr>
      <w:bookmarkStart w:id="194" w:name="_Toc194932998"/>
      <w:r>
        <w:rPr>
          <w:rStyle w:val="CharSectno"/>
        </w:rPr>
        <w:t>113</w:t>
      </w:r>
      <w:r>
        <w:t>.</w:t>
      </w:r>
      <w:r>
        <w:tab/>
        <w:t>Duty on loaders</w:t>
      </w:r>
      <w:bookmarkEnd w:id="194"/>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Penstart"/>
      </w:pPr>
      <w:r>
        <w:tab/>
        <w:t>Penalty for this subregulation: a fine of $10 000.</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Penstart"/>
      </w:pPr>
      <w:r>
        <w:tab/>
        <w:t>Penalty for this subregulation: a fine of $10 000.</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for this subregulation: a fine of $10 000.</w:t>
      </w:r>
    </w:p>
    <w:p>
      <w:pPr>
        <w:pStyle w:val="Subsection"/>
        <w:keepLines/>
      </w:pPr>
      <w:r>
        <w:tab/>
        <w:t>(4)</w:t>
      </w:r>
      <w:r>
        <w:tab/>
        <w:t>Subregulation (3) does not apply if the placarding of the load complies with the requirements of the ICAO Technical Instructions or the IMDG Code with respect to the contents of the load.</w:t>
      </w:r>
    </w:p>
    <w:p>
      <w:pPr>
        <w:pStyle w:val="Subsection"/>
        <w:keepNext/>
      </w:pPr>
      <w:r>
        <w:tab/>
        <w:t>(5)</w:t>
      </w:r>
      <w:r>
        <w:tab/>
        <w:t xml:space="preserve">A person who loads dangerous goods (other than a placard load) into or on to a cargo transport unit for transport in or on the unit </w:t>
      </w:r>
      <w:r>
        <w:lastRenderedPageBreak/>
        <w:t>must not placard the load with placarding that the person knows, or ought reasonably to know, is false or misleading in a material particular.</w:t>
      </w:r>
    </w:p>
    <w:p>
      <w:pPr>
        <w:pStyle w:val="Penstart"/>
        <w:keepNext/>
      </w:pPr>
      <w:r>
        <w:tab/>
        <w:t>Penalty for this subregulation: a fine of $10 000.</w:t>
      </w:r>
    </w:p>
    <w:p>
      <w:pPr>
        <w:pStyle w:val="Footnotesection"/>
      </w:pPr>
      <w:r>
        <w:tab/>
        <w:t>[Regulation 113 amended: Gazette 22 Jun 2010 p. 2730; 13 Jun 2014 p. 1936; 17 Nov 2015 p. 4697.]</w:t>
      </w:r>
    </w:p>
    <w:p>
      <w:pPr>
        <w:pStyle w:val="Heading5"/>
      </w:pPr>
      <w:bookmarkStart w:id="195" w:name="_Toc194932999"/>
      <w:r>
        <w:rPr>
          <w:rStyle w:val="CharSectno"/>
        </w:rPr>
        <w:t>114</w:t>
      </w:r>
      <w:r>
        <w:t>.</w:t>
      </w:r>
      <w:r>
        <w:tab/>
        <w:t>Duty on prime contractors and rail operators</w:t>
      </w:r>
      <w:bookmarkEnd w:id="195"/>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Penstart"/>
      </w:pPr>
      <w:r>
        <w:tab/>
        <w:t>Penalty for this subregulation: a fine of $10 000.</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keepNext/>
      </w:pPr>
      <w:r>
        <w:lastRenderedPageBreak/>
        <w:tab/>
        <w:t>(5)</w:t>
      </w:r>
      <w:r>
        <w:tab/>
        <w:t xml:space="preserve">A prime contractor or rail operator must not transport a load of dangerous goods (other than a placard load) in or on a cargo transport unit if — </w:t>
      </w:r>
    </w:p>
    <w:p>
      <w:pPr>
        <w:pStyle w:val="Indenta"/>
      </w:pPr>
      <w:r>
        <w:tab/>
        <w:t>(a)</w:t>
      </w:r>
      <w:r>
        <w:tab/>
        <w:t>the load is placarded; and</w:t>
      </w:r>
    </w:p>
    <w:p>
      <w:pPr>
        <w:pStyle w:val="Indenta"/>
      </w:pPr>
      <w:r>
        <w:tab/>
        <w:t>(b)</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114 amended: Gazette 13 Jun 2014 p. 1936</w:t>
      </w:r>
      <w:r>
        <w:noBreakHyphen/>
        <w:t>7; 17 Nov 2015 p. 4698.]</w:t>
      </w:r>
    </w:p>
    <w:p>
      <w:pPr>
        <w:pStyle w:val="Heading5"/>
      </w:pPr>
      <w:bookmarkStart w:id="196" w:name="_Toc194933000"/>
      <w:r>
        <w:rPr>
          <w:rStyle w:val="CharSectno"/>
        </w:rPr>
        <w:t>115</w:t>
      </w:r>
      <w:r>
        <w:t>.</w:t>
      </w:r>
      <w:r>
        <w:tab/>
        <w:t>Duty on drivers</w:t>
      </w:r>
      <w:bookmarkEnd w:id="196"/>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Penstart"/>
      </w:pPr>
      <w:r>
        <w:tab/>
        <w:t>Penalty for this subregulation: a fine of $10 000.</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for this subregulation: a fine of $10 000.</w:t>
      </w:r>
    </w:p>
    <w:p>
      <w:pPr>
        <w:pStyle w:val="Subsection"/>
      </w:pPr>
      <w:r>
        <w:tab/>
        <w:t>(4)</w:t>
      </w:r>
      <w:r>
        <w:tab/>
        <w:t xml:space="preserve">A person must not drive a road vehicle that is, or that incorporates, a cargo transport unit if — </w:t>
      </w:r>
    </w:p>
    <w:p>
      <w:pPr>
        <w:pStyle w:val="Indenta"/>
      </w:pPr>
      <w:r>
        <w:tab/>
        <w:t>(a)</w:t>
      </w:r>
      <w:r>
        <w:tab/>
        <w:t>the unit is transporting a load of dangerous goods (other than a placard load); and</w:t>
      </w:r>
    </w:p>
    <w:p>
      <w:pPr>
        <w:pStyle w:val="Indenta"/>
      </w:pPr>
      <w:r>
        <w:tab/>
        <w:t>(b)</w:t>
      </w:r>
      <w:r>
        <w:tab/>
        <w:t>the load is placarded; and</w:t>
      </w:r>
    </w:p>
    <w:p>
      <w:pPr>
        <w:pStyle w:val="Indenta"/>
      </w:pPr>
      <w:r>
        <w:lastRenderedPageBreak/>
        <w:tab/>
        <w:t>(c)</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115 amended: Gazette 13 Jun 2014 p. 1937; 17 Nov 2015 p. 4698-9.]</w:t>
      </w:r>
    </w:p>
    <w:p>
      <w:pPr>
        <w:pStyle w:val="Heading2"/>
      </w:pPr>
      <w:bookmarkStart w:id="197" w:name="_Toc194911753"/>
      <w:bookmarkStart w:id="198" w:name="_Toc194914469"/>
      <w:bookmarkStart w:id="199" w:name="_Toc194914839"/>
      <w:bookmarkStart w:id="200" w:name="_Toc194933001"/>
      <w:r>
        <w:rPr>
          <w:rStyle w:val="CharPartNo"/>
        </w:rPr>
        <w:lastRenderedPageBreak/>
        <w:t>Part 6</w:t>
      </w:r>
      <w:r>
        <w:rPr>
          <w:rStyle w:val="CharDivNo"/>
        </w:rPr>
        <w:t> </w:t>
      </w:r>
      <w:r>
        <w:t>—</w:t>
      </w:r>
      <w:r>
        <w:rPr>
          <w:rStyle w:val="CharDivText"/>
        </w:rPr>
        <w:t> </w:t>
      </w:r>
      <w:r>
        <w:rPr>
          <w:rStyle w:val="CharPartText"/>
        </w:rPr>
        <w:t>Safety standards for vehicles and equipment</w:t>
      </w:r>
      <w:bookmarkEnd w:id="197"/>
      <w:bookmarkEnd w:id="198"/>
      <w:bookmarkEnd w:id="199"/>
      <w:bookmarkEnd w:id="200"/>
    </w:p>
    <w:p>
      <w:pPr>
        <w:pStyle w:val="Heading5"/>
        <w:spacing w:before="180"/>
      </w:pPr>
      <w:bookmarkStart w:id="201" w:name="_Toc194933002"/>
      <w:r>
        <w:rPr>
          <w:rStyle w:val="CharSectno"/>
        </w:rPr>
        <w:t>116</w:t>
      </w:r>
      <w:r>
        <w:t>.</w:t>
      </w:r>
      <w:r>
        <w:tab/>
        <w:t>Duty on owners</w:t>
      </w:r>
      <w:bookmarkEnd w:id="201"/>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w:t>
      </w:r>
      <w:r>
        <w:t>6.10</w:t>
      </w:r>
      <w:r>
        <w:rPr>
          <w:color w:val="000000"/>
        </w:rPr>
        <w:t>.</w:t>
      </w:r>
    </w:p>
    <w:p>
      <w:pPr>
        <w:pStyle w:val="Penstart"/>
      </w:pPr>
      <w:r>
        <w:tab/>
        <w:t>Penalty: a fine of $10 000.</w:t>
      </w:r>
    </w:p>
    <w:p>
      <w:pPr>
        <w:pStyle w:val="Footnotesection"/>
      </w:pPr>
      <w:r>
        <w:tab/>
        <w:t>[Regulation 116 amended: SL 2024/22 r. 14.]</w:t>
      </w:r>
    </w:p>
    <w:p>
      <w:pPr>
        <w:pStyle w:val="Heading5"/>
        <w:spacing w:before="180"/>
      </w:pPr>
      <w:bookmarkStart w:id="202" w:name="_Toc194933003"/>
      <w:r>
        <w:rPr>
          <w:rStyle w:val="CharSectno"/>
        </w:rPr>
        <w:t>117</w:t>
      </w:r>
      <w:r>
        <w:t>.</w:t>
      </w:r>
      <w:r>
        <w:tab/>
        <w:t>Duty on consignors</w:t>
      </w:r>
      <w:bookmarkEnd w:id="202"/>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 xml:space="preserve">and </w:t>
      </w:r>
      <w:r>
        <w:t>6.10.</w:t>
      </w:r>
    </w:p>
    <w:p>
      <w:pPr>
        <w:pStyle w:val="Penstart"/>
      </w:pPr>
      <w:r>
        <w:tab/>
        <w:t>Penalty: a fine of $10 000.</w:t>
      </w:r>
    </w:p>
    <w:p>
      <w:pPr>
        <w:pStyle w:val="Footnotesection"/>
      </w:pPr>
      <w:r>
        <w:tab/>
        <w:t>[Regulation 117 amended: SL 2024/22 r. 14.]</w:t>
      </w:r>
    </w:p>
    <w:p>
      <w:pPr>
        <w:pStyle w:val="Heading5"/>
        <w:spacing w:before="180"/>
      </w:pPr>
      <w:bookmarkStart w:id="203" w:name="_Toc194933004"/>
      <w:r>
        <w:rPr>
          <w:rStyle w:val="CharSectno"/>
        </w:rPr>
        <w:t>118</w:t>
      </w:r>
      <w:r>
        <w:t>.</w:t>
      </w:r>
      <w:r>
        <w:tab/>
        <w:t>Duty on loaders</w:t>
      </w:r>
      <w:bookmarkEnd w:id="203"/>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6.10.</w:t>
      </w:r>
    </w:p>
    <w:p>
      <w:pPr>
        <w:pStyle w:val="Penstart"/>
        <w:rPr>
          <w:color w:val="000000"/>
        </w:rPr>
      </w:pPr>
      <w:r>
        <w:tab/>
        <w:t xml:space="preserve">Penalty: a fine </w:t>
      </w:r>
      <w:r>
        <w:rPr>
          <w:color w:val="000000"/>
        </w:rPr>
        <w:t>of $10 000.</w:t>
      </w:r>
    </w:p>
    <w:p>
      <w:pPr>
        <w:pStyle w:val="Footnotesection"/>
      </w:pPr>
      <w:r>
        <w:tab/>
        <w:t>[Regulation 118 amended: SL 2024/22 r. 14.]</w:t>
      </w:r>
    </w:p>
    <w:p>
      <w:pPr>
        <w:pStyle w:val="Heading5"/>
        <w:spacing w:before="180"/>
      </w:pPr>
      <w:bookmarkStart w:id="204" w:name="_Toc194933005"/>
      <w:r>
        <w:rPr>
          <w:rStyle w:val="CharSectno"/>
        </w:rPr>
        <w:t>119</w:t>
      </w:r>
      <w:r>
        <w:t>.</w:t>
      </w:r>
      <w:r>
        <w:tab/>
        <w:t>Duties on prime contractors and rail operators</w:t>
      </w:r>
      <w:bookmarkEnd w:id="204"/>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 xml:space="preserve">and </w:t>
      </w:r>
      <w:r>
        <w:t>6.10.</w:t>
      </w:r>
    </w:p>
    <w:p>
      <w:pPr>
        <w:pStyle w:val="Penstart"/>
      </w:pPr>
      <w:r>
        <w:tab/>
        <w:t>Penalty: a fine of $10 000.</w:t>
      </w:r>
    </w:p>
    <w:p>
      <w:pPr>
        <w:pStyle w:val="Footnotesection"/>
      </w:pPr>
      <w:r>
        <w:tab/>
        <w:t>[Regulation 119 amended: SL 2024/22 r. 14.]</w:t>
      </w:r>
    </w:p>
    <w:p>
      <w:pPr>
        <w:pStyle w:val="Heading5"/>
        <w:spacing w:before="180"/>
      </w:pPr>
      <w:bookmarkStart w:id="205" w:name="_Toc194933006"/>
      <w:r>
        <w:rPr>
          <w:rStyle w:val="CharSectno"/>
        </w:rPr>
        <w:lastRenderedPageBreak/>
        <w:t>120</w:t>
      </w:r>
      <w:r>
        <w:t>.</w:t>
      </w:r>
      <w:r>
        <w:tab/>
        <w:t>Duty on drivers</w:t>
      </w:r>
      <w:bookmarkEnd w:id="205"/>
    </w:p>
    <w:p>
      <w:pPr>
        <w:pStyle w:val="Subsection"/>
        <w:keepNext/>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 xml:space="preserve">and </w:t>
      </w:r>
      <w:r>
        <w:t>6.10.</w:t>
      </w:r>
    </w:p>
    <w:p>
      <w:pPr>
        <w:pStyle w:val="Penstart"/>
      </w:pPr>
      <w:r>
        <w:tab/>
        <w:t>Penalty: a fine of $10 000.</w:t>
      </w:r>
    </w:p>
    <w:p>
      <w:pPr>
        <w:pStyle w:val="Footnotesection"/>
      </w:pPr>
      <w:r>
        <w:tab/>
        <w:t>[Regulation 120 amended: SL 2024/22 r. 14.]</w:t>
      </w:r>
    </w:p>
    <w:p>
      <w:pPr>
        <w:pStyle w:val="Heading2"/>
      </w:pPr>
      <w:bookmarkStart w:id="206" w:name="_Toc194911759"/>
      <w:bookmarkStart w:id="207" w:name="_Toc194914475"/>
      <w:bookmarkStart w:id="208" w:name="_Toc194914845"/>
      <w:bookmarkStart w:id="209" w:name="_Toc194933007"/>
      <w:r>
        <w:rPr>
          <w:rStyle w:val="CharPartNo"/>
        </w:rPr>
        <w:lastRenderedPageBreak/>
        <w:t>Part 7</w:t>
      </w:r>
      <w:r>
        <w:rPr>
          <w:rStyle w:val="CharDivNo"/>
        </w:rPr>
        <w:t> </w:t>
      </w:r>
      <w:r>
        <w:t>—</w:t>
      </w:r>
      <w:r>
        <w:rPr>
          <w:rStyle w:val="CharDivText"/>
        </w:rPr>
        <w:t> </w:t>
      </w:r>
      <w:r>
        <w:rPr>
          <w:rStyle w:val="CharPartText"/>
        </w:rPr>
        <w:t>Transport operations relating to certain dangerous goods and nominally empty storage vessels</w:t>
      </w:r>
      <w:bookmarkEnd w:id="206"/>
      <w:bookmarkEnd w:id="207"/>
      <w:bookmarkEnd w:id="208"/>
      <w:bookmarkEnd w:id="209"/>
    </w:p>
    <w:p>
      <w:pPr>
        <w:pStyle w:val="Footnoteheading"/>
      </w:pPr>
      <w:r>
        <w:tab/>
        <w:t>[Heading inserted: Gazette 11 Jul 2017 p. 3825; amended: SL 2020/193 r. 15.]</w:t>
      </w:r>
    </w:p>
    <w:p>
      <w:pPr>
        <w:pStyle w:val="Heading5"/>
      </w:pPr>
      <w:bookmarkStart w:id="210" w:name="_Toc194933008"/>
      <w:r>
        <w:rPr>
          <w:rStyle w:val="CharSectno"/>
        </w:rPr>
        <w:t>120A</w:t>
      </w:r>
      <w:r>
        <w:t>.</w:t>
      </w:r>
      <w:r>
        <w:tab/>
        <w:t>Term used: nominally empty storage vessels</w:t>
      </w:r>
      <w:bookmarkEnd w:id="210"/>
    </w:p>
    <w:p>
      <w:pPr>
        <w:pStyle w:val="Subsection"/>
      </w:pPr>
      <w:r>
        <w:tab/>
      </w:r>
      <w:r>
        <w:tab/>
        <w:t>In this Part —</w:t>
      </w:r>
    </w:p>
    <w:p>
      <w:pPr>
        <w:pStyle w:val="Defstart"/>
      </w:pPr>
      <w:r>
        <w:tab/>
      </w:r>
      <w:r>
        <w:rPr>
          <w:rStyle w:val="CharDefText"/>
        </w:rPr>
        <w:t>nominally empty storage vessels</w:t>
      </w:r>
      <w:r>
        <w:t xml:space="preserve"> means nominally empty tanks or hoppers described in the ADG Code section 7.2.7.1.</w:t>
      </w:r>
    </w:p>
    <w:p>
      <w:pPr>
        <w:pStyle w:val="Footnotesection"/>
      </w:pPr>
      <w:r>
        <w:tab/>
        <w:t>[Regulation 120A inserted: SL 2020/193 r. 16.]</w:t>
      </w:r>
    </w:p>
    <w:p>
      <w:pPr>
        <w:pStyle w:val="Heading5"/>
        <w:spacing w:before="160"/>
        <w:rPr>
          <w:color w:val="000000"/>
        </w:rPr>
      </w:pPr>
      <w:bookmarkStart w:id="211" w:name="_Toc194933009"/>
      <w:r>
        <w:rPr>
          <w:rStyle w:val="CharSectno"/>
          <w:color w:val="000000"/>
        </w:rPr>
        <w:t>121</w:t>
      </w:r>
      <w:r>
        <w:rPr>
          <w:color w:val="000000"/>
        </w:rPr>
        <w:t>.</w:t>
      </w:r>
      <w:r>
        <w:rPr>
          <w:color w:val="000000"/>
        </w:rPr>
        <w:tab/>
        <w:t>Application of Part</w:t>
      </w:r>
      <w:bookmarkEnd w:id="211"/>
    </w:p>
    <w:p>
      <w:pPr>
        <w:pStyle w:val="Subsection"/>
        <w:spacing w:before="120"/>
      </w:pPr>
      <w:r>
        <w:tab/>
        <w:t>(1)</w:t>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Hazard of 6.1;</w:t>
      </w:r>
    </w:p>
    <w:p>
      <w:pPr>
        <w:pStyle w:val="Indenta"/>
      </w:pPr>
      <w:r>
        <w:tab/>
        <w:t>(f)</w:t>
      </w:r>
      <w:r>
        <w:tab/>
        <w:t>dangerous when wet substances of UN Division 4.3.</w:t>
      </w:r>
    </w:p>
    <w:p>
      <w:pPr>
        <w:pStyle w:val="Subsection"/>
        <w:keepNext/>
      </w:pPr>
      <w:r>
        <w:tab/>
        <w:t>(2)</w:t>
      </w:r>
      <w:r>
        <w:tab/>
        <w:t>This Part also applies to the transport of nominally empty storage vessels.</w:t>
      </w:r>
    </w:p>
    <w:p>
      <w:pPr>
        <w:pStyle w:val="Footnotesection"/>
      </w:pPr>
      <w:r>
        <w:tab/>
        <w:t>[Regulation 121 amended: Gazette 11 Jul 2017 p. 3825</w:t>
      </w:r>
      <w:r>
        <w:noBreakHyphen/>
        <w:t>6; 31 Aug 2018 p. 3047; SL 2020/193 r. 17.]</w:t>
      </w:r>
    </w:p>
    <w:p>
      <w:pPr>
        <w:pStyle w:val="Heading5"/>
        <w:spacing w:before="160"/>
        <w:rPr>
          <w:color w:val="000000"/>
        </w:rPr>
      </w:pPr>
      <w:bookmarkStart w:id="212" w:name="_Toc194933010"/>
      <w:r>
        <w:rPr>
          <w:rStyle w:val="CharSectno"/>
          <w:color w:val="000000"/>
        </w:rPr>
        <w:lastRenderedPageBreak/>
        <w:t>122</w:t>
      </w:r>
      <w:r>
        <w:rPr>
          <w:color w:val="000000"/>
        </w:rPr>
        <w:t>.</w:t>
      </w:r>
      <w:r>
        <w:rPr>
          <w:color w:val="000000"/>
        </w:rPr>
        <w:tab/>
        <w:t>Duty on consignors</w:t>
      </w:r>
      <w:bookmarkEnd w:id="212"/>
    </w:p>
    <w:p>
      <w:pPr>
        <w:pStyle w:val="Subsection"/>
        <w:spacing w:before="120"/>
        <w:rPr>
          <w:color w:val="000000"/>
        </w:rPr>
      </w:pPr>
      <w:r>
        <w:tab/>
        <w:t>(1)</w:t>
      </w:r>
      <w:r>
        <w:tab/>
        <w:t>A person</w:t>
      </w:r>
      <w:r>
        <w:rPr>
          <w:color w:val="000000"/>
        </w:rPr>
        <w:t xml:space="preserve">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pPr>
      <w:r>
        <w:tab/>
        <w:t>Penalty for this subregulation: a fine of $5 000.</w:t>
      </w:r>
    </w:p>
    <w:p>
      <w:pPr>
        <w:pStyle w:val="Subsection"/>
      </w:pPr>
      <w:r>
        <w:tab/>
        <w:t>(2)</w:t>
      </w:r>
      <w:r>
        <w:tab/>
        <w:t>A person must not consign nominally empty storage vessels for transport if the person knows, or ought reasonably to know, that the storage vessels are not loaded or stowed, or cannot be transported or unloaded, in accordance with the ADG Code Chapter 7.2.</w:t>
      </w:r>
    </w:p>
    <w:p>
      <w:pPr>
        <w:pStyle w:val="Penstart"/>
      </w:pPr>
      <w:r>
        <w:tab/>
        <w:t>Penalty for this subregulation: a fine of $5 000.</w:t>
      </w:r>
    </w:p>
    <w:p>
      <w:pPr>
        <w:pStyle w:val="Footnotesection"/>
      </w:pPr>
      <w:r>
        <w:tab/>
        <w:t>[Regulation 122 amended: Gazette 11 Jul 2017 p. 3826; SL 2020/193 r. 18.]</w:t>
      </w:r>
    </w:p>
    <w:p>
      <w:pPr>
        <w:pStyle w:val="Heading5"/>
        <w:spacing w:before="160"/>
        <w:rPr>
          <w:color w:val="000000"/>
        </w:rPr>
      </w:pPr>
      <w:bookmarkStart w:id="213" w:name="_Toc194933011"/>
      <w:r>
        <w:rPr>
          <w:rStyle w:val="CharSectno"/>
          <w:color w:val="000000"/>
        </w:rPr>
        <w:t>123</w:t>
      </w:r>
      <w:r>
        <w:rPr>
          <w:color w:val="000000"/>
        </w:rPr>
        <w:t>.</w:t>
      </w:r>
      <w:r>
        <w:rPr>
          <w:color w:val="000000"/>
        </w:rPr>
        <w:tab/>
        <w:t>Duty on loaders</w:t>
      </w:r>
      <w:bookmarkEnd w:id="213"/>
    </w:p>
    <w:p>
      <w:pPr>
        <w:pStyle w:val="Subsection"/>
        <w:spacing w:before="120"/>
        <w:rPr>
          <w:color w:val="000000"/>
        </w:rPr>
      </w:pPr>
      <w:r>
        <w:tab/>
        <w:t>(1)</w:t>
      </w:r>
      <w:r>
        <w:tab/>
        <w:t>A person</w:t>
      </w:r>
      <w:r>
        <w:rPr>
          <w:color w:val="000000"/>
        </w:rPr>
        <w:t xml:space="preserve"> must not load dangerous goods to which this Part applies</w:t>
      </w:r>
      <w:r>
        <w:t xml:space="preserve"> on to a vehicle</w:t>
      </w:r>
      <w:r>
        <w:rPr>
          <w:color w:val="000000"/>
        </w:rPr>
        <w:t xml:space="preserve"> for transport otherwise than in accordance with the ADG Code Chapter 7.1.</w:t>
      </w:r>
    </w:p>
    <w:p>
      <w:pPr>
        <w:pStyle w:val="Penstart"/>
      </w:pPr>
      <w:r>
        <w:tab/>
        <w:t>Penalty for this subregulation: a fine of $5 000.</w:t>
      </w:r>
    </w:p>
    <w:p>
      <w:pPr>
        <w:pStyle w:val="Subsection"/>
      </w:pPr>
      <w:r>
        <w:tab/>
        <w:t>(2)</w:t>
      </w:r>
      <w:r>
        <w:tab/>
        <w:t>A person must not load nominally empty storage vessels on to a vehicle for transport otherwise than in accordance with the ADG Code Chapter 7.2.</w:t>
      </w:r>
    </w:p>
    <w:p>
      <w:pPr>
        <w:pStyle w:val="Penstart"/>
      </w:pPr>
      <w:r>
        <w:tab/>
        <w:t>Penalty for this subregulation: a fine of $5 000.</w:t>
      </w:r>
    </w:p>
    <w:p>
      <w:pPr>
        <w:pStyle w:val="Footnotesection"/>
        <w:spacing w:before="80"/>
        <w:ind w:left="890" w:hanging="890"/>
        <w:rPr>
          <w:color w:val="000000"/>
        </w:rPr>
      </w:pPr>
      <w:r>
        <w:tab/>
        <w:t>[Regulation 123 amended: Gazette 22 Jun 2010 p. 2730; 11 Jul 2017 p. 3826; SL 2020/193 r. 19.]</w:t>
      </w:r>
    </w:p>
    <w:p>
      <w:pPr>
        <w:pStyle w:val="Heading5"/>
        <w:rPr>
          <w:color w:val="000000"/>
        </w:rPr>
      </w:pPr>
      <w:bookmarkStart w:id="214" w:name="_Toc194933012"/>
      <w:r>
        <w:rPr>
          <w:rStyle w:val="CharSectno"/>
          <w:color w:val="000000"/>
        </w:rPr>
        <w:t>124</w:t>
      </w:r>
      <w:r>
        <w:rPr>
          <w:color w:val="000000"/>
        </w:rPr>
        <w:t>.</w:t>
      </w:r>
      <w:r>
        <w:rPr>
          <w:color w:val="000000"/>
        </w:rPr>
        <w:tab/>
        <w:t>Duty on prime contractors and rail operators</w:t>
      </w:r>
      <w:bookmarkEnd w:id="214"/>
    </w:p>
    <w:p>
      <w:pPr>
        <w:pStyle w:val="Subsection"/>
        <w:rPr>
          <w:color w:val="000000"/>
        </w:rPr>
      </w:pPr>
      <w:r>
        <w:tab/>
        <w:t>(1)</w:t>
      </w:r>
      <w:r>
        <w:tab/>
        <w:t>A prime</w:t>
      </w:r>
      <w:r>
        <w:rPr>
          <w:color w:val="3366FF"/>
        </w:rPr>
        <w:t xml:space="preserve"> </w:t>
      </w:r>
      <w:r>
        <w:rPr>
          <w:color w:val="000000"/>
        </w:rPr>
        <w:t xml:space="preserve">contractor or rail operator must not transport dangerous goods to which this Part applies if the prime contractor or rail </w:t>
      </w:r>
      <w:r>
        <w:rPr>
          <w:color w:val="000000"/>
        </w:rPr>
        <w:lastRenderedPageBreak/>
        <w:t>operator knows, or ought reasonably to know, that the transport does not comply with the ADG Code Chapter 7.1.</w:t>
      </w:r>
    </w:p>
    <w:p>
      <w:pPr>
        <w:pStyle w:val="Penstart"/>
      </w:pPr>
      <w:r>
        <w:tab/>
        <w:t>Penalty for this subregulation: a fine of $5 000.</w:t>
      </w:r>
    </w:p>
    <w:p>
      <w:pPr>
        <w:pStyle w:val="Subsection"/>
      </w:pPr>
      <w:r>
        <w:tab/>
        <w:t>(2)</w:t>
      </w:r>
      <w:r>
        <w:tab/>
        <w:t>A prime contractor or rail operator must not transport nominally empty storage vessels if the prime contractor or rail operator knows, or ought reasonably to know, that the transport does not comply with the ADG Code Chapter 7.2.</w:t>
      </w:r>
    </w:p>
    <w:p>
      <w:pPr>
        <w:pStyle w:val="Penstart"/>
      </w:pPr>
      <w:r>
        <w:tab/>
        <w:t>Penalty for this subregulation: a fine of $5 000.</w:t>
      </w:r>
    </w:p>
    <w:p>
      <w:pPr>
        <w:pStyle w:val="Footnotesection"/>
        <w:spacing w:before="80"/>
        <w:ind w:left="890" w:hanging="890"/>
        <w:rPr>
          <w:color w:val="000000"/>
        </w:rPr>
      </w:pPr>
      <w:r>
        <w:tab/>
        <w:t>[Regulation 124 amended: Gazette 11 Jul 2017 p. 3827; SL 2020/193 r. 20.]</w:t>
      </w:r>
    </w:p>
    <w:p>
      <w:pPr>
        <w:pStyle w:val="Heading5"/>
        <w:rPr>
          <w:color w:val="000000"/>
        </w:rPr>
      </w:pPr>
      <w:bookmarkStart w:id="215" w:name="_Toc194933013"/>
      <w:r>
        <w:rPr>
          <w:rStyle w:val="CharSectno"/>
          <w:color w:val="000000"/>
        </w:rPr>
        <w:t>125</w:t>
      </w:r>
      <w:r>
        <w:rPr>
          <w:color w:val="000000"/>
        </w:rPr>
        <w:t>.</w:t>
      </w:r>
      <w:r>
        <w:rPr>
          <w:color w:val="000000"/>
        </w:rPr>
        <w:tab/>
        <w:t>Duty on drivers</w:t>
      </w:r>
      <w:bookmarkEnd w:id="215"/>
    </w:p>
    <w:p>
      <w:pPr>
        <w:pStyle w:val="Subsection"/>
        <w:rPr>
          <w:color w:val="000000"/>
        </w:rPr>
      </w:pPr>
      <w:r>
        <w:tab/>
        <w:t>(1)</w:t>
      </w:r>
      <w:r>
        <w:tab/>
        <w:t>A person</w:t>
      </w:r>
      <w:r>
        <w:rPr>
          <w:color w:val="000000"/>
        </w:rPr>
        <w:t xml:space="preserve"> must not drive a road vehicle transporting dangerous goods to which this Part applies if the person knows, or ought reasonably to know, that the dangerous goods are not being transported in accordance with the ADG Code Chapter 7.1.</w:t>
      </w:r>
    </w:p>
    <w:p>
      <w:pPr>
        <w:pStyle w:val="Penstart"/>
      </w:pPr>
      <w:r>
        <w:tab/>
        <w:t>Penalty for this subregulation: a fine of $3 000.</w:t>
      </w:r>
    </w:p>
    <w:p>
      <w:pPr>
        <w:pStyle w:val="Subsection"/>
      </w:pPr>
      <w:r>
        <w:tab/>
        <w:t>(2)</w:t>
      </w:r>
      <w:r>
        <w:tab/>
        <w:t>A person must not drive a road vehicle transporting nominally empty storage vessels if the person knows, or ought reasonably to know, that the storage vessels are not being transported in accordance with the ADG Code Chapter 7.2.</w:t>
      </w:r>
    </w:p>
    <w:p>
      <w:pPr>
        <w:pStyle w:val="Penstart"/>
      </w:pPr>
      <w:r>
        <w:tab/>
        <w:t>Penalty for this subregulation: a fine of $3 000.</w:t>
      </w:r>
    </w:p>
    <w:p>
      <w:pPr>
        <w:pStyle w:val="Footnotesection"/>
        <w:spacing w:before="80"/>
        <w:ind w:left="890" w:hanging="890"/>
        <w:rPr>
          <w:color w:val="000000"/>
        </w:rPr>
      </w:pPr>
      <w:r>
        <w:tab/>
        <w:t>[Regulation 125 amended: Gazette 11 Jul 2017 p. 3827; SL 2020/193 r. 21.]</w:t>
      </w:r>
    </w:p>
    <w:p>
      <w:pPr>
        <w:pStyle w:val="Heading2"/>
      </w:pPr>
      <w:bookmarkStart w:id="216" w:name="_Toc194911766"/>
      <w:bookmarkStart w:id="217" w:name="_Toc194914482"/>
      <w:bookmarkStart w:id="218" w:name="_Toc194914852"/>
      <w:bookmarkStart w:id="219" w:name="_Toc194933014"/>
      <w:r>
        <w:rPr>
          <w:rStyle w:val="CharPartNo"/>
        </w:rPr>
        <w:lastRenderedPageBreak/>
        <w:t>Part 8</w:t>
      </w:r>
      <w:r>
        <w:rPr>
          <w:b w:val="0"/>
        </w:rPr>
        <w:t> </w:t>
      </w:r>
      <w:r>
        <w:t>—</w:t>
      </w:r>
      <w:r>
        <w:rPr>
          <w:b w:val="0"/>
        </w:rPr>
        <w:t> </w:t>
      </w:r>
      <w:r>
        <w:rPr>
          <w:rStyle w:val="CharPartText"/>
        </w:rPr>
        <w:t>Stowage and restraint</w:t>
      </w:r>
      <w:bookmarkEnd w:id="216"/>
      <w:bookmarkEnd w:id="217"/>
      <w:bookmarkEnd w:id="218"/>
      <w:bookmarkEnd w:id="219"/>
    </w:p>
    <w:p>
      <w:pPr>
        <w:pStyle w:val="Footnoteheading"/>
      </w:pPr>
      <w:r>
        <w:tab/>
        <w:t>[Heading inserted: Gazette 22 Jun 2010 p. 2730.]</w:t>
      </w:r>
    </w:p>
    <w:p>
      <w:pPr>
        <w:pStyle w:val="Heading5"/>
        <w:spacing w:before="180"/>
      </w:pPr>
      <w:bookmarkStart w:id="220" w:name="_Toc194933015"/>
      <w:r>
        <w:rPr>
          <w:rStyle w:val="CharSectno"/>
        </w:rPr>
        <w:t>126</w:t>
      </w:r>
      <w:r>
        <w:t>.</w:t>
      </w:r>
      <w:r>
        <w:tab/>
        <w:t>Duty on consignors</w:t>
      </w:r>
      <w:bookmarkEnd w:id="220"/>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Gazette 22 Jun 2010 p. 2730</w:t>
      </w:r>
      <w:r>
        <w:noBreakHyphen/>
        <w:t>1; amended: Gazette 13 Jun 2014 p. 1937.]</w:t>
      </w:r>
    </w:p>
    <w:p>
      <w:pPr>
        <w:pStyle w:val="Heading5"/>
        <w:spacing w:before="180"/>
      </w:pPr>
      <w:bookmarkStart w:id="221" w:name="_Toc194933016"/>
      <w:r>
        <w:rPr>
          <w:rStyle w:val="CharSectno"/>
        </w:rPr>
        <w:t>127</w:t>
      </w:r>
      <w:r>
        <w:t>.</w:t>
      </w:r>
      <w:r>
        <w:tab/>
        <w:t>Duty on loaders</w:t>
      </w:r>
      <w:bookmarkEnd w:id="221"/>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Gazette 22 Jun 2010 p. 2731; amended: Gazette 13 Jun 2014 p. 1938.]</w:t>
      </w:r>
    </w:p>
    <w:p>
      <w:pPr>
        <w:pStyle w:val="Heading5"/>
        <w:keepLines w:val="0"/>
        <w:spacing w:before="180"/>
      </w:pPr>
      <w:bookmarkStart w:id="222" w:name="_Toc194933017"/>
      <w:r>
        <w:rPr>
          <w:rStyle w:val="CharSectno"/>
        </w:rPr>
        <w:lastRenderedPageBreak/>
        <w:t>128</w:t>
      </w:r>
      <w:r>
        <w:t>.</w:t>
      </w:r>
      <w:r>
        <w:tab/>
        <w:t>Duty on prime contractors and rail operators</w:t>
      </w:r>
      <w:bookmarkEnd w:id="222"/>
    </w:p>
    <w:p>
      <w:pPr>
        <w:pStyle w:val="Subsection"/>
        <w:spacing w:before="120"/>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Gazette 22 Jun 2010 p. 2731</w:t>
      </w:r>
      <w:r>
        <w:noBreakHyphen/>
        <w:t>2; amended: Gazette 13 Jun 2014 p. 1938.]</w:t>
      </w:r>
    </w:p>
    <w:p>
      <w:pPr>
        <w:pStyle w:val="Heading5"/>
        <w:ind w:left="0" w:firstLine="0"/>
      </w:pPr>
      <w:bookmarkStart w:id="223" w:name="_Toc194933018"/>
      <w:r>
        <w:rPr>
          <w:rStyle w:val="CharSectno"/>
        </w:rPr>
        <w:t>129</w:t>
      </w:r>
      <w:r>
        <w:t>.</w:t>
      </w:r>
      <w:r>
        <w:tab/>
        <w:t>Duty on drivers</w:t>
      </w:r>
      <w:bookmarkEnd w:id="223"/>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Gazette 22 Jun 2010 p. 2732; amended: Gazette 13 Jun 2014 p. 1938.]</w:t>
      </w:r>
    </w:p>
    <w:p>
      <w:pPr>
        <w:pStyle w:val="Heading2"/>
      </w:pPr>
      <w:bookmarkStart w:id="224" w:name="_Toc194911771"/>
      <w:bookmarkStart w:id="225" w:name="_Toc194914487"/>
      <w:bookmarkStart w:id="226" w:name="_Toc194914857"/>
      <w:bookmarkStart w:id="227" w:name="_Toc194933019"/>
      <w:r>
        <w:rPr>
          <w:rStyle w:val="CharPartNo"/>
        </w:rPr>
        <w:lastRenderedPageBreak/>
        <w:t>Part 9</w:t>
      </w:r>
      <w:r>
        <w:rPr>
          <w:rStyle w:val="CharDivNo"/>
        </w:rPr>
        <w:t> </w:t>
      </w:r>
      <w:r>
        <w:t>—</w:t>
      </w:r>
      <w:r>
        <w:rPr>
          <w:rStyle w:val="CharDivText"/>
        </w:rPr>
        <w:t> </w:t>
      </w:r>
      <w:r>
        <w:rPr>
          <w:rStyle w:val="CharPartText"/>
        </w:rPr>
        <w:t>Segregation</w:t>
      </w:r>
      <w:bookmarkEnd w:id="224"/>
      <w:bookmarkEnd w:id="225"/>
      <w:bookmarkEnd w:id="226"/>
      <w:bookmarkEnd w:id="227"/>
    </w:p>
    <w:p>
      <w:pPr>
        <w:pStyle w:val="Heading5"/>
      </w:pPr>
      <w:bookmarkStart w:id="228" w:name="_Toc194933020"/>
      <w:r>
        <w:rPr>
          <w:rStyle w:val="CharSectno"/>
        </w:rPr>
        <w:t>130</w:t>
      </w:r>
      <w:r>
        <w:t>.</w:t>
      </w:r>
      <w:r>
        <w:tab/>
        <w:t>Application of Part</w:t>
      </w:r>
      <w:bookmarkEnd w:id="228"/>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Hazard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Gazette 22 Jun 2010 p. 2732; 13 Jun 2014 p. 1939; 31 Aug 2018 p. 3047.]</w:t>
      </w:r>
    </w:p>
    <w:p>
      <w:pPr>
        <w:pStyle w:val="Heading5"/>
      </w:pPr>
      <w:bookmarkStart w:id="229" w:name="_Toc194933021"/>
      <w:r>
        <w:rPr>
          <w:rStyle w:val="CharSectno"/>
        </w:rPr>
        <w:t>131</w:t>
      </w:r>
      <w:r>
        <w:t>.</w:t>
      </w:r>
      <w:r>
        <w:tab/>
        <w:t>Exception for certain goods for driver’s personal use</w:t>
      </w:r>
      <w:bookmarkEnd w:id="229"/>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230" w:name="_Toc194933022"/>
      <w:r>
        <w:rPr>
          <w:rStyle w:val="CharSectno"/>
        </w:rPr>
        <w:t>132</w:t>
      </w:r>
      <w:r>
        <w:t>.</w:t>
      </w:r>
      <w:r>
        <w:tab/>
        <w:t>Duty on consignors</w:t>
      </w:r>
      <w:bookmarkEnd w:id="230"/>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lastRenderedPageBreak/>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31" w:name="_Toc194933023"/>
      <w:r>
        <w:rPr>
          <w:rStyle w:val="CharSectno"/>
        </w:rPr>
        <w:t>133</w:t>
      </w:r>
      <w:r>
        <w:t>.</w:t>
      </w:r>
      <w:r>
        <w:tab/>
        <w:t>Duty on loaders</w:t>
      </w:r>
      <w:bookmarkEnd w:id="231"/>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32" w:name="_Toc194933024"/>
      <w:r>
        <w:rPr>
          <w:rStyle w:val="CharSectno"/>
        </w:rPr>
        <w:t>134</w:t>
      </w:r>
      <w:r>
        <w:t>.</w:t>
      </w:r>
      <w:r>
        <w:tab/>
        <w:t>Duty on prime contractors</w:t>
      </w:r>
      <w:bookmarkEnd w:id="232"/>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33" w:name="_Toc194933025"/>
      <w:r>
        <w:rPr>
          <w:rStyle w:val="CharSectno"/>
        </w:rPr>
        <w:lastRenderedPageBreak/>
        <w:t>135</w:t>
      </w:r>
      <w:r>
        <w:t>.</w:t>
      </w:r>
      <w:r>
        <w:tab/>
        <w:t>Duty on rail operators</w:t>
      </w:r>
      <w:bookmarkEnd w:id="233"/>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34" w:name="_Toc194933026"/>
      <w:r>
        <w:rPr>
          <w:rStyle w:val="CharSectno"/>
        </w:rPr>
        <w:t>136</w:t>
      </w:r>
      <w:r>
        <w:t>.</w:t>
      </w:r>
      <w:r>
        <w:tab/>
        <w:t>Duty on drivers</w:t>
      </w:r>
      <w:bookmarkEnd w:id="234"/>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235" w:name="_Toc194933027"/>
      <w:r>
        <w:rPr>
          <w:rStyle w:val="CharSectno"/>
          <w:color w:val="000000"/>
        </w:rPr>
        <w:t>137</w:t>
      </w:r>
      <w:r>
        <w:rPr>
          <w:color w:val="000000"/>
        </w:rPr>
        <w:t>.</w:t>
      </w:r>
      <w:r>
        <w:rPr>
          <w:color w:val="000000"/>
        </w:rPr>
        <w:tab/>
        <w:t>Approvals — Type II segregation devices</w:t>
      </w:r>
      <w:bookmarkEnd w:id="235"/>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lastRenderedPageBreak/>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236" w:name="_Toc194933028"/>
      <w:r>
        <w:rPr>
          <w:rStyle w:val="CharSectno"/>
          <w:color w:val="000000"/>
        </w:rPr>
        <w:t>138</w:t>
      </w:r>
      <w:r>
        <w:rPr>
          <w:color w:val="000000"/>
        </w:rPr>
        <w:t>.</w:t>
      </w:r>
      <w:r>
        <w:rPr>
          <w:color w:val="000000"/>
        </w:rPr>
        <w:tab/>
        <w:t>Approvals — methods of segregation</w:t>
      </w:r>
      <w:bookmarkEnd w:id="236"/>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237" w:name="_Toc194911781"/>
      <w:bookmarkStart w:id="238" w:name="_Toc194914497"/>
      <w:bookmarkStart w:id="239" w:name="_Toc194914867"/>
      <w:bookmarkStart w:id="240" w:name="_Toc194933029"/>
      <w:r>
        <w:rPr>
          <w:rStyle w:val="CharPartNo"/>
        </w:rPr>
        <w:lastRenderedPageBreak/>
        <w:t>Part 10</w:t>
      </w:r>
      <w:r>
        <w:t> — </w:t>
      </w:r>
      <w:r>
        <w:rPr>
          <w:rStyle w:val="CharPartText"/>
        </w:rPr>
        <w:t>Bulk transfer of dangerous goods</w:t>
      </w:r>
      <w:bookmarkEnd w:id="237"/>
      <w:bookmarkEnd w:id="238"/>
      <w:bookmarkEnd w:id="239"/>
      <w:bookmarkEnd w:id="240"/>
    </w:p>
    <w:p>
      <w:pPr>
        <w:pStyle w:val="Heading3"/>
      </w:pPr>
      <w:bookmarkStart w:id="241" w:name="_Toc194911782"/>
      <w:bookmarkStart w:id="242" w:name="_Toc194914498"/>
      <w:bookmarkStart w:id="243" w:name="_Toc194914868"/>
      <w:bookmarkStart w:id="244" w:name="_Toc194933030"/>
      <w:r>
        <w:rPr>
          <w:rStyle w:val="CharDivNo"/>
        </w:rPr>
        <w:t>Division 1</w:t>
      </w:r>
      <w:r>
        <w:t> — </w:t>
      </w:r>
      <w:r>
        <w:rPr>
          <w:rStyle w:val="CharDivText"/>
        </w:rPr>
        <w:t>General</w:t>
      </w:r>
      <w:bookmarkEnd w:id="241"/>
      <w:bookmarkEnd w:id="242"/>
      <w:bookmarkEnd w:id="243"/>
      <w:bookmarkEnd w:id="244"/>
    </w:p>
    <w:p>
      <w:pPr>
        <w:pStyle w:val="Heading5"/>
        <w:rPr>
          <w:color w:val="000000"/>
        </w:rPr>
      </w:pPr>
      <w:bookmarkStart w:id="245" w:name="_Toc194933031"/>
      <w:r>
        <w:rPr>
          <w:rStyle w:val="CharSectno"/>
          <w:color w:val="000000"/>
        </w:rPr>
        <w:t>139</w:t>
      </w:r>
      <w:r>
        <w:rPr>
          <w:color w:val="000000"/>
        </w:rPr>
        <w:t>.</w:t>
      </w:r>
      <w:r>
        <w:rPr>
          <w:color w:val="000000"/>
        </w:rPr>
        <w:tab/>
        <w:t>Term used: bulk transfer</w:t>
      </w:r>
      <w:bookmarkEnd w:id="245"/>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246" w:name="_Toc194911784"/>
      <w:bookmarkStart w:id="247" w:name="_Toc194914500"/>
      <w:bookmarkStart w:id="248" w:name="_Toc194914870"/>
      <w:bookmarkStart w:id="249" w:name="_Toc194933032"/>
      <w:r>
        <w:rPr>
          <w:rStyle w:val="CharDivNo"/>
        </w:rPr>
        <w:t>Division 2</w:t>
      </w:r>
      <w:r>
        <w:t> — </w:t>
      </w:r>
      <w:r>
        <w:rPr>
          <w:rStyle w:val="CharDivText"/>
        </w:rPr>
        <w:t>Equipment and transfer</w:t>
      </w:r>
      <w:bookmarkEnd w:id="246"/>
      <w:bookmarkEnd w:id="247"/>
      <w:bookmarkEnd w:id="248"/>
      <w:bookmarkEnd w:id="249"/>
    </w:p>
    <w:p>
      <w:pPr>
        <w:pStyle w:val="Heading5"/>
      </w:pPr>
      <w:bookmarkStart w:id="250" w:name="_Toc194933033"/>
      <w:r>
        <w:rPr>
          <w:rStyle w:val="CharSectno"/>
        </w:rPr>
        <w:t>140</w:t>
      </w:r>
      <w:r>
        <w:t>.</w:t>
      </w:r>
      <w:r>
        <w:tab/>
        <w:t>Duty on transferors — hose assemblies</w:t>
      </w:r>
      <w:bookmarkEnd w:id="250"/>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Gazette 22 Jun 2010 p. 2733.]</w:t>
      </w:r>
    </w:p>
    <w:p>
      <w:pPr>
        <w:pStyle w:val="Heading5"/>
      </w:pPr>
      <w:bookmarkStart w:id="251" w:name="_Toc194933034"/>
      <w:r>
        <w:rPr>
          <w:rStyle w:val="CharSectno"/>
        </w:rPr>
        <w:lastRenderedPageBreak/>
        <w:t>141</w:t>
      </w:r>
      <w:r>
        <w:t>.</w:t>
      </w:r>
      <w:r>
        <w:tab/>
        <w:t>Duty on transferors — general</w:t>
      </w:r>
      <w:bookmarkEnd w:id="251"/>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252" w:name="_Toc194933035"/>
      <w:r>
        <w:rPr>
          <w:rStyle w:val="CharSectno"/>
        </w:rPr>
        <w:t>142</w:t>
      </w:r>
      <w:r>
        <w:t>.</w:t>
      </w:r>
      <w:r>
        <w:tab/>
        <w:t>Duty on occupiers</w:t>
      </w:r>
      <w:bookmarkEnd w:id="252"/>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keepNext/>
        <w:spacing w:before="120"/>
      </w:pPr>
      <w:r>
        <w:lastRenderedPageBreak/>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253" w:name="_Toc194933036"/>
      <w:r>
        <w:rPr>
          <w:rStyle w:val="CharSectno"/>
        </w:rPr>
        <w:t>143</w:t>
      </w:r>
      <w:r>
        <w:t>.</w:t>
      </w:r>
      <w:r>
        <w:tab/>
        <w:t>Duty on prime contractors</w:t>
      </w:r>
      <w:bookmarkEnd w:id="253"/>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254" w:name="_Toc194933037"/>
      <w:r>
        <w:rPr>
          <w:rStyle w:val="CharSectno"/>
        </w:rPr>
        <w:lastRenderedPageBreak/>
        <w:t>144</w:t>
      </w:r>
      <w:r>
        <w:t>.</w:t>
      </w:r>
      <w:r>
        <w:tab/>
        <w:t>Duty on rail operators</w:t>
      </w:r>
      <w:bookmarkEnd w:id="254"/>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255" w:name="_Toc194911790"/>
      <w:bookmarkStart w:id="256" w:name="_Toc194914506"/>
      <w:bookmarkStart w:id="257" w:name="_Toc194914876"/>
      <w:bookmarkStart w:id="258" w:name="_Toc194933038"/>
      <w:r>
        <w:rPr>
          <w:rStyle w:val="CharDivNo"/>
        </w:rPr>
        <w:t>Division 3</w:t>
      </w:r>
      <w:r>
        <w:t> — </w:t>
      </w:r>
      <w:r>
        <w:rPr>
          <w:rStyle w:val="CharDivText"/>
        </w:rPr>
        <w:t>Filling ratio and ullage for tank vehicles</w:t>
      </w:r>
      <w:bookmarkEnd w:id="255"/>
      <w:bookmarkEnd w:id="256"/>
      <w:bookmarkEnd w:id="257"/>
      <w:bookmarkEnd w:id="258"/>
    </w:p>
    <w:p>
      <w:pPr>
        <w:pStyle w:val="Heading5"/>
        <w:spacing w:before="240"/>
      </w:pPr>
      <w:bookmarkStart w:id="259" w:name="_Toc194933039"/>
      <w:r>
        <w:rPr>
          <w:rStyle w:val="CharSectno"/>
        </w:rPr>
        <w:t>145</w:t>
      </w:r>
      <w:r>
        <w:t>.</w:t>
      </w:r>
      <w:r>
        <w:tab/>
        <w:t>Application of Division</w:t>
      </w:r>
      <w:bookmarkEnd w:id="259"/>
    </w:p>
    <w:p>
      <w:pPr>
        <w:pStyle w:val="Subsection"/>
        <w:spacing w:before="180"/>
      </w:pPr>
      <w:r>
        <w:tab/>
      </w:r>
      <w:r>
        <w:tab/>
        <w:t>This Division applies to and in relation to bulk transfer into a tank vehicle.</w:t>
      </w:r>
    </w:p>
    <w:p>
      <w:pPr>
        <w:pStyle w:val="Heading5"/>
        <w:spacing w:before="240"/>
      </w:pPr>
      <w:bookmarkStart w:id="260" w:name="_Toc194933040"/>
      <w:r>
        <w:rPr>
          <w:rStyle w:val="CharSectno"/>
        </w:rPr>
        <w:t>146</w:t>
      </w:r>
      <w:r>
        <w:t>.</w:t>
      </w:r>
      <w:r>
        <w:tab/>
        <w:t>Duty on transferors</w:t>
      </w:r>
      <w:bookmarkEnd w:id="260"/>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lastRenderedPageBreak/>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Gazette 13 Jun 2014 p. 1939</w:t>
      </w:r>
      <w:r>
        <w:noBreakHyphen/>
        <w:t>40.]</w:t>
      </w:r>
    </w:p>
    <w:p>
      <w:pPr>
        <w:pStyle w:val="Heading5"/>
      </w:pPr>
      <w:bookmarkStart w:id="261" w:name="_Toc194933041"/>
      <w:r>
        <w:rPr>
          <w:rStyle w:val="CharSectno"/>
        </w:rPr>
        <w:t>147</w:t>
      </w:r>
      <w:r>
        <w:t>.</w:t>
      </w:r>
      <w:r>
        <w:tab/>
        <w:t>Duty on prime contractors and rail operators</w:t>
      </w:r>
      <w:bookmarkEnd w:id="261"/>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keepNext/>
      </w:pPr>
      <w:r>
        <w:lastRenderedPageBreak/>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Gazette 13 Jun 2014 p. 1940.]</w:t>
      </w:r>
    </w:p>
    <w:p>
      <w:pPr>
        <w:pStyle w:val="Heading5"/>
      </w:pPr>
      <w:bookmarkStart w:id="262" w:name="_Toc194933042"/>
      <w:r>
        <w:rPr>
          <w:rStyle w:val="CharSectno"/>
        </w:rPr>
        <w:t>148</w:t>
      </w:r>
      <w:r>
        <w:t>.</w:t>
      </w:r>
      <w:r>
        <w:tab/>
        <w:t>Duty on drivers</w:t>
      </w:r>
      <w:bookmarkEnd w:id="262"/>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Gazette 13 Jun 2014 p. 1941.]</w:t>
      </w:r>
    </w:p>
    <w:p>
      <w:pPr>
        <w:pStyle w:val="Heading2"/>
      </w:pPr>
      <w:bookmarkStart w:id="263" w:name="_Toc194911795"/>
      <w:bookmarkStart w:id="264" w:name="_Toc194914511"/>
      <w:bookmarkStart w:id="265" w:name="_Toc194914881"/>
      <w:bookmarkStart w:id="266" w:name="_Toc194933043"/>
      <w:r>
        <w:rPr>
          <w:rStyle w:val="CharPartNo"/>
        </w:rPr>
        <w:lastRenderedPageBreak/>
        <w:t>Part 11</w:t>
      </w:r>
      <w:r>
        <w:t> — </w:t>
      </w:r>
      <w:r>
        <w:rPr>
          <w:rStyle w:val="CharPartText"/>
        </w:rPr>
        <w:t>Documentation</w:t>
      </w:r>
      <w:bookmarkEnd w:id="263"/>
      <w:bookmarkEnd w:id="264"/>
      <w:bookmarkEnd w:id="265"/>
      <w:bookmarkEnd w:id="266"/>
    </w:p>
    <w:p>
      <w:pPr>
        <w:pStyle w:val="Heading3"/>
      </w:pPr>
      <w:bookmarkStart w:id="267" w:name="_Toc194911796"/>
      <w:bookmarkStart w:id="268" w:name="_Toc194914512"/>
      <w:bookmarkStart w:id="269" w:name="_Toc194914882"/>
      <w:bookmarkStart w:id="270" w:name="_Toc194933044"/>
      <w:r>
        <w:rPr>
          <w:rStyle w:val="CharDivNo"/>
        </w:rPr>
        <w:t>Division 1</w:t>
      </w:r>
      <w:r>
        <w:t> — </w:t>
      </w:r>
      <w:r>
        <w:rPr>
          <w:rStyle w:val="CharDivText"/>
        </w:rPr>
        <w:t>Transport documentation</w:t>
      </w:r>
      <w:bookmarkEnd w:id="267"/>
      <w:bookmarkEnd w:id="268"/>
      <w:bookmarkEnd w:id="269"/>
      <w:bookmarkEnd w:id="270"/>
    </w:p>
    <w:p>
      <w:pPr>
        <w:pStyle w:val="Heading5"/>
      </w:pPr>
      <w:bookmarkStart w:id="271" w:name="_Toc194933045"/>
      <w:r>
        <w:rPr>
          <w:rStyle w:val="CharSectno"/>
        </w:rPr>
        <w:t>149</w:t>
      </w:r>
      <w:r>
        <w:t>.</w:t>
      </w:r>
      <w:r>
        <w:tab/>
        <w:t>False or misleading information</w:t>
      </w:r>
      <w:bookmarkEnd w:id="271"/>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272" w:name="_Toc194933046"/>
      <w:r>
        <w:rPr>
          <w:rStyle w:val="CharSectno"/>
        </w:rPr>
        <w:t>150</w:t>
      </w:r>
      <w:r>
        <w:t>.</w:t>
      </w:r>
      <w:r>
        <w:tab/>
        <w:t>Duty on consignors — transport by road</w:t>
      </w:r>
      <w:bookmarkEnd w:id="272"/>
    </w:p>
    <w:p>
      <w:pPr>
        <w:pStyle w:val="Subsection"/>
      </w:pPr>
      <w:r>
        <w:tab/>
        <w:t>(1)</w:t>
      </w:r>
      <w:r>
        <w:tab/>
        <w:t>A person must not consign dangerous goods for transport in or on a road vehicle if the prime contractor or the driver of the road vehicle does not have transport documentation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for each load.</w:t>
      </w:r>
    </w:p>
    <w:p>
      <w:pPr>
        <w:pStyle w:val="Penstart"/>
      </w:pPr>
      <w:r>
        <w:tab/>
        <w:t>Penalty: a fine of $3 000.</w:t>
      </w:r>
    </w:p>
    <w:p>
      <w:pPr>
        <w:pStyle w:val="Footnotesection"/>
        <w:rPr>
          <w:szCs w:val="24"/>
        </w:rPr>
      </w:pPr>
      <w:r>
        <w:rPr>
          <w:szCs w:val="24"/>
        </w:rPr>
        <w:tab/>
        <w:t>[Regulation 150 amended: Gazette 31 Aug 2018 p. 3047.]</w:t>
      </w:r>
    </w:p>
    <w:p>
      <w:pPr>
        <w:pStyle w:val="Heading5"/>
        <w:spacing w:before="180"/>
      </w:pPr>
      <w:bookmarkStart w:id="273" w:name="_Toc194933047"/>
      <w:r>
        <w:rPr>
          <w:rStyle w:val="CharSectno"/>
        </w:rPr>
        <w:t>151</w:t>
      </w:r>
      <w:r>
        <w:t>.</w:t>
      </w:r>
      <w:r>
        <w:tab/>
        <w:t>Duty on consignors — transport by rail</w:t>
      </w:r>
      <w:bookmarkEnd w:id="273"/>
    </w:p>
    <w:p>
      <w:pPr>
        <w:pStyle w:val="Subsection"/>
        <w:spacing w:before="120"/>
      </w:pPr>
      <w:r>
        <w:tab/>
        <w:t>(1)</w:t>
      </w:r>
      <w:r>
        <w:tab/>
        <w:t>A person must not consign dangerous goods for transport in or on a unit of rolling stock if the rail operator does not have transport documentation for the goods.</w:t>
      </w:r>
    </w:p>
    <w:p>
      <w:pPr>
        <w:pStyle w:val="Penstart"/>
        <w:spacing w:before="60"/>
      </w:pPr>
      <w:r>
        <w:tab/>
        <w:t>Penalty: a fine of $3 000.</w:t>
      </w:r>
    </w:p>
    <w:p>
      <w:pPr>
        <w:pStyle w:val="Subsection"/>
      </w:pPr>
      <w:r>
        <w:tab/>
        <w:t>(2)</w:t>
      </w:r>
      <w:r>
        <w:tab/>
        <w:t xml:space="preserve">For the purposes of subregulation (1), a rail operator is to be taken to have the transport documentation if the contents of the </w:t>
      </w:r>
      <w:r>
        <w:lastRenderedPageBreak/>
        <w:t>transport documentation have been communicated to the rail operator by means of electronic data processing or electronic data interchange.</w:t>
      </w:r>
    </w:p>
    <w:p>
      <w:pPr>
        <w:pStyle w:val="Footnotesection"/>
        <w:rPr>
          <w:szCs w:val="24"/>
        </w:rPr>
      </w:pPr>
      <w:r>
        <w:rPr>
          <w:szCs w:val="24"/>
        </w:rPr>
        <w:tab/>
        <w:t>[Regulation 151 amended: Gazette 31 Aug 2018 p. 3047.]</w:t>
      </w:r>
    </w:p>
    <w:p>
      <w:pPr>
        <w:pStyle w:val="Heading5"/>
      </w:pPr>
      <w:bookmarkStart w:id="274" w:name="_Toc194933048"/>
      <w:r>
        <w:rPr>
          <w:rStyle w:val="CharSectno"/>
        </w:rPr>
        <w:t>152</w:t>
      </w:r>
      <w:r>
        <w:t>.</w:t>
      </w:r>
      <w:r>
        <w:tab/>
        <w:t>Duty on prime contractors</w:t>
      </w:r>
      <w:bookmarkEnd w:id="274"/>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Gazette 13 Jun 2014 p. 1942; amended: Gazette 11 Jul 2017 p. 3827; 31 Aug 2018 p. 3047.]</w:t>
      </w:r>
    </w:p>
    <w:p>
      <w:pPr>
        <w:pStyle w:val="Heading5"/>
      </w:pPr>
      <w:bookmarkStart w:id="275" w:name="_Toc194933049"/>
      <w:r>
        <w:rPr>
          <w:rStyle w:val="CharSectno"/>
        </w:rPr>
        <w:t>153</w:t>
      </w:r>
      <w:r>
        <w:t>.</w:t>
      </w:r>
      <w:r>
        <w:tab/>
        <w:t>Duty on rail operators</w:t>
      </w:r>
      <w:bookmarkEnd w:id="275"/>
    </w:p>
    <w:p>
      <w:pPr>
        <w:pStyle w:val="Subsection"/>
        <w:rPr>
          <w:bCs/>
          <w:iCs/>
        </w:rPr>
      </w:pPr>
      <w:r>
        <w:tab/>
      </w:r>
      <w:r>
        <w:tab/>
        <w:t>A rail operator must not transport dangerous goods by rail unless the driver of the train transporting the goods has been given transport documentation for the goods.</w:t>
      </w:r>
    </w:p>
    <w:p>
      <w:pPr>
        <w:pStyle w:val="Penstart"/>
      </w:pPr>
      <w:r>
        <w:tab/>
        <w:t>Penalty: a fine of $5 000.</w:t>
      </w:r>
    </w:p>
    <w:p>
      <w:pPr>
        <w:pStyle w:val="Footnotesection"/>
        <w:rPr>
          <w:szCs w:val="24"/>
        </w:rPr>
      </w:pPr>
      <w:r>
        <w:rPr>
          <w:szCs w:val="24"/>
        </w:rPr>
        <w:tab/>
        <w:t>[Regulation 153 amended: Gazette 31 Aug 2018 p. 3047.]</w:t>
      </w:r>
    </w:p>
    <w:p>
      <w:pPr>
        <w:pStyle w:val="Heading5"/>
      </w:pPr>
      <w:bookmarkStart w:id="276" w:name="_Toc194933050"/>
      <w:r>
        <w:rPr>
          <w:rStyle w:val="CharSectno"/>
        </w:rPr>
        <w:t>154</w:t>
      </w:r>
      <w:r>
        <w:t>.</w:t>
      </w:r>
      <w:r>
        <w:tab/>
        <w:t>Duty on drivers</w:t>
      </w:r>
      <w:bookmarkEnd w:id="276"/>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 xml:space="preserve">The driver of a road vehicle transporting dangerous goods must produce the transport documentation for the goods for inspection by a DGO, a police officer or an emergency service </w:t>
      </w:r>
      <w:r>
        <w:lastRenderedPageBreak/>
        <w:t>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Gazette 13 Jun 2014 p. 1942.]</w:t>
      </w:r>
    </w:p>
    <w:p>
      <w:pPr>
        <w:pStyle w:val="Heading5"/>
      </w:pPr>
      <w:bookmarkStart w:id="277" w:name="_Toc194933051"/>
      <w:r>
        <w:rPr>
          <w:rStyle w:val="CharSectno"/>
        </w:rPr>
        <w:t>155</w:t>
      </w:r>
      <w:r>
        <w:t>.</w:t>
      </w:r>
      <w:r>
        <w:tab/>
        <w:t>Duty on train drivers</w:t>
      </w:r>
      <w:bookmarkEnd w:id="277"/>
    </w:p>
    <w:p>
      <w:pPr>
        <w:pStyle w:val="Subsection"/>
      </w:pPr>
      <w:r>
        <w:tab/>
        <w:t>(1)</w:t>
      </w:r>
      <w:r>
        <w:tab/>
        <w:t>A person must not drive a train that the person knows, or ought reasonably to know, is transporting dangerous goods, if the person does not have transport documentation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Gazette 22 Jun 2010 p. 2733; 31 Aug 2018 p. 3047.]</w:t>
      </w:r>
    </w:p>
    <w:p>
      <w:pPr>
        <w:pStyle w:val="Heading5"/>
      </w:pPr>
      <w:bookmarkStart w:id="278" w:name="_Toc194933052"/>
      <w:r>
        <w:rPr>
          <w:rStyle w:val="CharSectno"/>
        </w:rPr>
        <w:t>156A</w:t>
      </w:r>
      <w:r>
        <w:t>.</w:t>
      </w:r>
      <w:r>
        <w:tab/>
        <w:t>Prime contractor’s duties: retention of documents</w:t>
      </w:r>
      <w:bookmarkEnd w:id="278"/>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lastRenderedPageBreak/>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Gazette 13 Jun 2014 p. 1943.]</w:t>
      </w:r>
    </w:p>
    <w:p>
      <w:pPr>
        <w:pStyle w:val="Heading3"/>
      </w:pPr>
      <w:bookmarkStart w:id="279" w:name="_Toc194911805"/>
      <w:bookmarkStart w:id="280" w:name="_Toc194914521"/>
      <w:bookmarkStart w:id="281" w:name="_Toc194914891"/>
      <w:bookmarkStart w:id="282" w:name="_Toc194933053"/>
      <w:r>
        <w:rPr>
          <w:rStyle w:val="CharDivNo"/>
        </w:rPr>
        <w:t>Division 2</w:t>
      </w:r>
      <w:r>
        <w:t> — </w:t>
      </w:r>
      <w:r>
        <w:rPr>
          <w:rStyle w:val="CharDivText"/>
        </w:rPr>
        <w:t>Emergency information</w:t>
      </w:r>
      <w:bookmarkEnd w:id="279"/>
      <w:bookmarkEnd w:id="280"/>
      <w:bookmarkEnd w:id="281"/>
      <w:bookmarkEnd w:id="282"/>
    </w:p>
    <w:p>
      <w:pPr>
        <w:pStyle w:val="Heading5"/>
        <w:ind w:left="1140" w:hanging="1140"/>
      </w:pPr>
      <w:bookmarkStart w:id="283" w:name="_Toc194933054"/>
      <w:r>
        <w:rPr>
          <w:rStyle w:val="CharSectno"/>
        </w:rPr>
        <w:t>156</w:t>
      </w:r>
      <w:r>
        <w:t>.</w:t>
      </w:r>
      <w:r>
        <w:tab/>
        <w:t>Term used: required emergency information</w:t>
      </w:r>
      <w:bookmarkEnd w:id="283"/>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284" w:name="_Toc194933055"/>
      <w:r>
        <w:rPr>
          <w:rStyle w:val="CharSectno"/>
        </w:rPr>
        <w:t>157</w:t>
      </w:r>
      <w:r>
        <w:t>.</w:t>
      </w:r>
      <w:r>
        <w:tab/>
        <w:t>Duty on consignors</w:t>
      </w:r>
      <w:bookmarkEnd w:id="284"/>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285" w:name="_Toc194933056"/>
      <w:r>
        <w:rPr>
          <w:rStyle w:val="CharSectno"/>
        </w:rPr>
        <w:t>158</w:t>
      </w:r>
      <w:r>
        <w:t>.</w:t>
      </w:r>
      <w:r>
        <w:tab/>
        <w:t>Duty on prime contractors</w:t>
      </w:r>
      <w:bookmarkEnd w:id="285"/>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286" w:name="_Toc194933057"/>
      <w:r>
        <w:rPr>
          <w:rStyle w:val="CharSectno"/>
        </w:rPr>
        <w:lastRenderedPageBreak/>
        <w:t>159</w:t>
      </w:r>
      <w:r>
        <w:t>.</w:t>
      </w:r>
      <w:r>
        <w:tab/>
        <w:t>Duty on rail operators</w:t>
      </w:r>
      <w:bookmarkEnd w:id="286"/>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Gazette 13 Jun 2014 p. 1943.]</w:t>
      </w:r>
    </w:p>
    <w:p>
      <w:pPr>
        <w:pStyle w:val="Heading5"/>
        <w:spacing w:before="240"/>
      </w:pPr>
      <w:bookmarkStart w:id="287" w:name="_Toc194933058"/>
      <w:r>
        <w:rPr>
          <w:rStyle w:val="CharSectno"/>
        </w:rPr>
        <w:t>160</w:t>
      </w:r>
      <w:r>
        <w:t>.</w:t>
      </w:r>
      <w:r>
        <w:tab/>
        <w:t>Duty on drivers</w:t>
      </w:r>
      <w:bookmarkEnd w:id="287"/>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keepNext/>
      </w:pPr>
      <w:r>
        <w:tab/>
        <w:t>(3)</w:t>
      </w:r>
      <w:r>
        <w:tab/>
        <w:t xml:space="preserve">The driver of a road vehicle transporting a placard load must produce the required emergency information for inspection by a </w:t>
      </w:r>
      <w:r>
        <w:lastRenderedPageBreak/>
        <w:t>DGO, a police officer or an emergency service officer, if the officer asks the driver to produce the information for inspection.</w:t>
      </w:r>
    </w:p>
    <w:p>
      <w:pPr>
        <w:pStyle w:val="Penstart"/>
      </w:pPr>
      <w:r>
        <w:tab/>
        <w:t>Penalty: a fine of $3 000.</w:t>
      </w:r>
    </w:p>
    <w:p>
      <w:pPr>
        <w:pStyle w:val="Heading5"/>
      </w:pPr>
      <w:bookmarkStart w:id="288" w:name="_Toc194933059"/>
      <w:r>
        <w:rPr>
          <w:rStyle w:val="CharSectno"/>
        </w:rPr>
        <w:t>161</w:t>
      </w:r>
      <w:r>
        <w:t>.</w:t>
      </w:r>
      <w:r>
        <w:tab/>
        <w:t>Duty on train drivers</w:t>
      </w:r>
      <w:bookmarkEnd w:id="288"/>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Gazette 22 Jun 2010 p. 2734.]</w:t>
      </w:r>
    </w:p>
    <w:p>
      <w:pPr>
        <w:pStyle w:val="Heading5"/>
      </w:pPr>
      <w:bookmarkStart w:id="289" w:name="_Toc194933060"/>
      <w:r>
        <w:rPr>
          <w:rStyle w:val="CharSectno"/>
        </w:rPr>
        <w:t>162</w:t>
      </w:r>
      <w:r>
        <w:t>.</w:t>
      </w:r>
      <w:r>
        <w:tab/>
        <w:t>Approvals — emergency information</w:t>
      </w:r>
      <w:bookmarkEnd w:id="289"/>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3"/>
      </w:pPr>
      <w:bookmarkStart w:id="290" w:name="_Toc194911813"/>
      <w:bookmarkStart w:id="291" w:name="_Toc194914529"/>
      <w:bookmarkStart w:id="292" w:name="_Toc194914899"/>
      <w:bookmarkStart w:id="293" w:name="_Toc194933061"/>
      <w:r>
        <w:rPr>
          <w:rStyle w:val="CharDivNo"/>
        </w:rPr>
        <w:lastRenderedPageBreak/>
        <w:t>Division 3</w:t>
      </w:r>
      <w:r>
        <w:t> — </w:t>
      </w:r>
      <w:r>
        <w:rPr>
          <w:rStyle w:val="CharDivText"/>
        </w:rPr>
        <w:t>Dangerous goods packed in limited quantities</w:t>
      </w:r>
      <w:bookmarkEnd w:id="290"/>
      <w:bookmarkEnd w:id="291"/>
      <w:bookmarkEnd w:id="292"/>
      <w:bookmarkEnd w:id="293"/>
    </w:p>
    <w:p>
      <w:pPr>
        <w:pStyle w:val="Footnoteheading"/>
        <w:keepNext/>
      </w:pPr>
      <w:r>
        <w:tab/>
        <w:t>[Heading inserted: SL 2020/193 r. 22.]</w:t>
      </w:r>
    </w:p>
    <w:p>
      <w:pPr>
        <w:pStyle w:val="Heading5"/>
      </w:pPr>
      <w:bookmarkStart w:id="294" w:name="_Toc194933062"/>
      <w:r>
        <w:rPr>
          <w:rStyle w:val="CharSectno"/>
        </w:rPr>
        <w:t>162A</w:t>
      </w:r>
      <w:r>
        <w:t>.</w:t>
      </w:r>
      <w:r>
        <w:tab/>
        <w:t>Duty on consignors</w:t>
      </w:r>
      <w:bookmarkEnd w:id="294"/>
    </w:p>
    <w:p>
      <w:pPr>
        <w:pStyle w:val="Subsection"/>
      </w:pPr>
      <w:r>
        <w:tab/>
      </w:r>
      <w:r>
        <w:tab/>
        <w:t>A person must not consign dangerous goods that are packed in limited quantities for transport unless the person has provided the prime contractor with the information required by the ADG Code section 3.4.12.1 in the form required by that section.</w:t>
      </w:r>
    </w:p>
    <w:p>
      <w:pPr>
        <w:pStyle w:val="Penstart"/>
      </w:pPr>
      <w:r>
        <w:tab/>
        <w:t>Penalty: a fine of $3 000.</w:t>
      </w:r>
    </w:p>
    <w:p>
      <w:pPr>
        <w:pStyle w:val="Footnotesection"/>
      </w:pPr>
      <w:r>
        <w:tab/>
        <w:t>[Regulation 162A inserted: SL 2020/193 r. 22.]</w:t>
      </w:r>
    </w:p>
    <w:p>
      <w:pPr>
        <w:pStyle w:val="Heading5"/>
      </w:pPr>
      <w:bookmarkStart w:id="295" w:name="_Toc194933063"/>
      <w:r>
        <w:rPr>
          <w:rStyle w:val="CharSectno"/>
        </w:rPr>
        <w:t>162B</w:t>
      </w:r>
      <w:r>
        <w:t>.</w:t>
      </w:r>
      <w:r>
        <w:tab/>
        <w:t>Duty on prime contractors</w:t>
      </w:r>
      <w:bookmarkEnd w:id="295"/>
    </w:p>
    <w:p>
      <w:pPr>
        <w:pStyle w:val="Subsection"/>
      </w:pPr>
      <w:r>
        <w:rPr>
          <w:b/>
        </w:rPr>
        <w:tab/>
      </w:r>
      <w:r>
        <w:rPr>
          <w:b/>
        </w:rPr>
        <w:tab/>
      </w:r>
      <w:r>
        <w:t>A prime contractor who receives information under the ADG Code section 3.4.12.1 must ensure that the information is readily ascertainable during transport of the dangerous goods.</w:t>
      </w:r>
    </w:p>
    <w:p>
      <w:pPr>
        <w:pStyle w:val="Penstart"/>
      </w:pPr>
      <w:r>
        <w:tab/>
        <w:t>Penalty: a fine of $5 000.</w:t>
      </w:r>
    </w:p>
    <w:p>
      <w:pPr>
        <w:pStyle w:val="Footnotesection"/>
      </w:pPr>
      <w:r>
        <w:tab/>
        <w:t>[Regulation 162B inserted: SL 2020/193 r. 22.]</w:t>
      </w:r>
    </w:p>
    <w:p>
      <w:pPr>
        <w:pStyle w:val="Heading5"/>
      </w:pPr>
      <w:bookmarkStart w:id="296" w:name="_Toc194933064"/>
      <w:r>
        <w:rPr>
          <w:rStyle w:val="CharSectno"/>
        </w:rPr>
        <w:t>162C</w:t>
      </w:r>
      <w:r>
        <w:t>.</w:t>
      </w:r>
      <w:r>
        <w:tab/>
        <w:t>False or misleading information</w:t>
      </w:r>
      <w:bookmarkEnd w:id="296"/>
    </w:p>
    <w:p>
      <w:pPr>
        <w:pStyle w:val="Subsection"/>
      </w:pPr>
      <w:r>
        <w:tab/>
      </w:r>
      <w:r>
        <w:tab/>
        <w:t>In providing information under the ADG Code section 3.4.12.1, a person must not include information that the person knows, or ought reasonably to know, is false or misleading in a material particular.</w:t>
      </w:r>
    </w:p>
    <w:p>
      <w:pPr>
        <w:pStyle w:val="Penstart"/>
      </w:pPr>
      <w:r>
        <w:tab/>
        <w:t>Penalty: a fine of $10 000.</w:t>
      </w:r>
    </w:p>
    <w:p>
      <w:pPr>
        <w:pStyle w:val="Footnotesection"/>
      </w:pPr>
      <w:r>
        <w:tab/>
        <w:t>[Regulation 162C inserted: SL 2020/193 r. 22.]</w:t>
      </w:r>
    </w:p>
    <w:p>
      <w:pPr>
        <w:pStyle w:val="Heading2"/>
      </w:pPr>
      <w:bookmarkStart w:id="297" w:name="_Toc194911817"/>
      <w:bookmarkStart w:id="298" w:name="_Toc194914533"/>
      <w:bookmarkStart w:id="299" w:name="_Toc194914903"/>
      <w:bookmarkStart w:id="300" w:name="_Toc194933065"/>
      <w:r>
        <w:rPr>
          <w:rStyle w:val="CharPartNo"/>
        </w:rPr>
        <w:lastRenderedPageBreak/>
        <w:t>Part 12</w:t>
      </w:r>
      <w:r>
        <w:rPr>
          <w:rStyle w:val="CharDivNo"/>
        </w:rPr>
        <w:t> </w:t>
      </w:r>
      <w:r>
        <w:t>—</w:t>
      </w:r>
      <w:r>
        <w:rPr>
          <w:rStyle w:val="CharDivText"/>
        </w:rPr>
        <w:t> </w:t>
      </w:r>
      <w:r>
        <w:rPr>
          <w:rStyle w:val="CharPartText"/>
        </w:rPr>
        <w:t>Safety equipment</w:t>
      </w:r>
      <w:bookmarkEnd w:id="297"/>
      <w:bookmarkEnd w:id="298"/>
      <w:bookmarkEnd w:id="299"/>
      <w:bookmarkEnd w:id="300"/>
    </w:p>
    <w:p>
      <w:pPr>
        <w:pStyle w:val="Heading5"/>
      </w:pPr>
      <w:bookmarkStart w:id="301" w:name="_Toc194933066"/>
      <w:r>
        <w:rPr>
          <w:rStyle w:val="CharSectno"/>
        </w:rPr>
        <w:t>163</w:t>
      </w:r>
      <w:r>
        <w:t>.</w:t>
      </w:r>
      <w:r>
        <w:tab/>
        <w:t>Duty on owners</w:t>
      </w:r>
      <w:bookmarkEnd w:id="301"/>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 and</w:t>
      </w:r>
    </w:p>
    <w:p>
      <w:pPr>
        <w:pStyle w:val="Indenta"/>
      </w:pPr>
      <w:r>
        <w:tab/>
        <w:t>(c)</w:t>
      </w:r>
      <w:r>
        <w:tab/>
        <w:t xml:space="preserve">if the placard load contains ammonium nitrate explosion risk goods — additional fire fighting equipment that — </w:t>
      </w:r>
    </w:p>
    <w:p>
      <w:pPr>
        <w:pStyle w:val="Indenti"/>
        <w:rPr>
          <w:rStyle w:val="DraftersNotes"/>
          <w:b w:val="0"/>
          <w:i w:val="0"/>
        </w:rPr>
      </w:pPr>
      <w:r>
        <w:tab/>
        <w:t>(i)</w:t>
      </w:r>
      <w:r>
        <w:tab/>
        <w:t>is operational at all times, including when the engine of the road vehicle is turned off; and</w:t>
      </w:r>
    </w:p>
    <w:p>
      <w:pPr>
        <w:pStyle w:val="Indenti"/>
      </w:pPr>
      <w:r>
        <w:tab/>
        <w:t>(ii)</w:t>
      </w:r>
      <w:r>
        <w:tab/>
        <w:t>is suitable for the control and extinguishment of the types of fire scenarios likely to be encountered in relation to ammonium nitrate explosion risk goods.</w:t>
      </w:r>
    </w:p>
    <w:p>
      <w:pPr>
        <w:pStyle w:val="Penstart"/>
      </w:pPr>
      <w:r>
        <w:tab/>
        <w:t>Penalty: a fine of $10 000.</w:t>
      </w:r>
    </w:p>
    <w:p>
      <w:pPr>
        <w:pStyle w:val="Footnotesection"/>
        <w:rPr>
          <w:szCs w:val="24"/>
        </w:rPr>
      </w:pPr>
      <w:r>
        <w:rPr>
          <w:szCs w:val="24"/>
        </w:rPr>
        <w:tab/>
        <w:t>[Regulation 163 amended: SL </w:t>
      </w:r>
      <w:r>
        <w:t>2024/285 r. 7</w:t>
      </w:r>
      <w:r>
        <w:rPr>
          <w:szCs w:val="24"/>
        </w:rPr>
        <w:t>.]</w:t>
      </w:r>
    </w:p>
    <w:p>
      <w:pPr>
        <w:pStyle w:val="Heading5"/>
      </w:pPr>
      <w:bookmarkStart w:id="302" w:name="_Toc194933067"/>
      <w:r>
        <w:rPr>
          <w:rStyle w:val="CharSectno"/>
        </w:rPr>
        <w:t>164</w:t>
      </w:r>
      <w:r>
        <w:t>.</w:t>
      </w:r>
      <w:r>
        <w:tab/>
        <w:t>Duty on prime contractors</w:t>
      </w:r>
      <w:bookmarkEnd w:id="302"/>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 and</w:t>
      </w:r>
    </w:p>
    <w:p>
      <w:pPr>
        <w:pStyle w:val="Indenta"/>
      </w:pPr>
      <w:r>
        <w:tab/>
      </w:r>
      <w:bookmarkStart w:id="303" w:name="_Hlk194912507"/>
      <w:r>
        <w:t>(c)</w:t>
      </w:r>
      <w:r>
        <w:tab/>
        <w:t xml:space="preserve">if the placard load contains ammonium nitrate explosion risk goods — additional fire fighting equipment that — </w:t>
      </w:r>
    </w:p>
    <w:p>
      <w:pPr>
        <w:pStyle w:val="Indenti"/>
      </w:pPr>
      <w:r>
        <w:tab/>
        <w:t>(i)</w:t>
      </w:r>
      <w:r>
        <w:tab/>
        <w:t>is operational at all times, including when the engine of the road vehicle is turned off; and</w:t>
      </w:r>
    </w:p>
    <w:p>
      <w:pPr>
        <w:pStyle w:val="Indenti"/>
      </w:pPr>
      <w:r>
        <w:tab/>
        <w:t>(ii)</w:t>
      </w:r>
      <w:r>
        <w:tab/>
        <w:t xml:space="preserve">is suitable for the control and extinguishment of the types of fire scenarios likely to be </w:t>
      </w:r>
      <w:r>
        <w:lastRenderedPageBreak/>
        <w:t>encountered in relation to ammonium nitrate explosion risk goods.</w:t>
      </w:r>
    </w:p>
    <w:bookmarkEnd w:id="303"/>
    <w:p>
      <w:pPr>
        <w:pStyle w:val="Penstart"/>
      </w:pPr>
      <w:r>
        <w:tab/>
        <w:t>Penalty for this subregulation: a fine of $10 000.</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fire fighting equipment with which the vehicle is equipped under subregulation (1) has not been inspected or tested in accordance with — </w:t>
      </w:r>
    </w:p>
    <w:p>
      <w:pPr>
        <w:pStyle w:val="Indenti"/>
      </w:pPr>
      <w:r>
        <w:tab/>
        <w:t>(i)</w:t>
      </w:r>
      <w:r>
        <w:tab/>
        <w:t>the ADG Code Part 12; and</w:t>
      </w:r>
    </w:p>
    <w:p>
      <w:pPr>
        <w:pStyle w:val="Indenti"/>
        <w:rPr>
          <w:rStyle w:val="DraftersNotes"/>
          <w:b w:val="0"/>
          <w:i w:val="0"/>
        </w:rPr>
      </w:pPr>
      <w:r>
        <w:tab/>
        <w:t>(ii)</w:t>
      </w:r>
      <w:r>
        <w:tab/>
        <w:t xml:space="preserve">AS 1851 </w:t>
      </w:r>
      <w:r>
        <w:rPr>
          <w:i/>
          <w:iCs/>
        </w:rPr>
        <w:t>Routine service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keepLines/>
      </w:pPr>
      <w:r>
        <w:tab/>
        <w:t>(c)</w:t>
      </w:r>
      <w:r>
        <w:tab/>
        <w:t>that any fire fighting equipment, portable warning device, or other equipment, with which the vehicle is equipped under subregulation (1) is not in good repair or proper working order.</w:t>
      </w:r>
    </w:p>
    <w:p>
      <w:pPr>
        <w:pStyle w:val="Penstart"/>
      </w:pPr>
      <w:r>
        <w:tab/>
        <w:t>Penalty for this subregulation: a fine of $10 000.</w:t>
      </w:r>
    </w:p>
    <w:p>
      <w:pPr>
        <w:pStyle w:val="Footnotesection"/>
        <w:rPr>
          <w:szCs w:val="24"/>
        </w:rPr>
      </w:pPr>
      <w:r>
        <w:tab/>
        <w:t>[Regulation 164 amended: Gazette 22 Jun 2010 p. 2734</w:t>
      </w:r>
      <w:r>
        <w:noBreakHyphen/>
        <w:t xml:space="preserve">5; </w:t>
      </w:r>
      <w:r>
        <w:rPr>
          <w:szCs w:val="24"/>
        </w:rPr>
        <w:t>SL </w:t>
      </w:r>
      <w:r>
        <w:t>2024/285 r. 8.]</w:t>
      </w:r>
    </w:p>
    <w:p>
      <w:pPr>
        <w:pStyle w:val="Heading5"/>
        <w:spacing w:before="180"/>
      </w:pPr>
      <w:bookmarkStart w:id="304" w:name="_Toc194933068"/>
      <w:r>
        <w:rPr>
          <w:rStyle w:val="CharSectno"/>
        </w:rPr>
        <w:t>165</w:t>
      </w:r>
      <w:r>
        <w:t>.</w:t>
      </w:r>
      <w:r>
        <w:tab/>
        <w:t>Duty on drivers</w:t>
      </w:r>
      <w:bookmarkEnd w:id="304"/>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 and</w:t>
      </w:r>
    </w:p>
    <w:p>
      <w:pPr>
        <w:pStyle w:val="Indenta"/>
        <w:keepNext/>
      </w:pPr>
      <w:r>
        <w:lastRenderedPageBreak/>
        <w:tab/>
        <w:t>(c)</w:t>
      </w:r>
      <w:r>
        <w:tab/>
        <w:t xml:space="preserve">if the placard load contains ammonium nitrate explosion risk goods — additional fire fighting equipment that — </w:t>
      </w:r>
    </w:p>
    <w:p>
      <w:pPr>
        <w:pStyle w:val="Indenti"/>
      </w:pPr>
      <w:r>
        <w:tab/>
        <w:t>(i)</w:t>
      </w:r>
      <w:r>
        <w:tab/>
        <w:t>is operational at all times, including when the engine of the road vehicle is turned off; and</w:t>
      </w:r>
    </w:p>
    <w:p>
      <w:pPr>
        <w:pStyle w:val="Indenti"/>
      </w:pPr>
      <w:r>
        <w:tab/>
        <w:t>(ii)</w:t>
      </w:r>
      <w:r>
        <w:tab/>
        <w:t>is suitable for the control and extinguishment of the types of fire scenarios likely to be encountered in relation to ammonium nitrate explosion risk goods.</w:t>
      </w:r>
    </w:p>
    <w:p>
      <w:pPr>
        <w:pStyle w:val="Penstart"/>
      </w:pPr>
      <w:r>
        <w:tab/>
        <w:t>Penalty for this subregulation: a fine of $3 000.</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fire fighting equipment with which the vehicle is equipped under subregulation (1) has not been inspected or tested in accordance with — </w:t>
      </w:r>
    </w:p>
    <w:p>
      <w:pPr>
        <w:pStyle w:val="Indenti"/>
      </w:pPr>
      <w:r>
        <w:tab/>
        <w:t>(i)</w:t>
      </w:r>
      <w:r>
        <w:tab/>
        <w:t>the ADG Code Part 12; and</w:t>
      </w:r>
    </w:p>
    <w:p>
      <w:pPr>
        <w:pStyle w:val="Indenti"/>
        <w:rPr>
          <w:rStyle w:val="DraftersNotes"/>
          <w:b w:val="0"/>
          <w:i w:val="0"/>
        </w:rPr>
      </w:pPr>
      <w:r>
        <w:tab/>
        <w:t>(ii)</w:t>
      </w:r>
      <w:r>
        <w:tab/>
        <w:t xml:space="preserve">AS 1851 </w:t>
      </w:r>
      <w:r>
        <w:rPr>
          <w:i/>
          <w:iCs/>
        </w:rPr>
        <w:t>Routine service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fighting equipment, portable warning device, or other equipment, with which the vehicle is equipped under subregulation (1) is not in good repair or proper working order; or</w:t>
      </w:r>
    </w:p>
    <w:p>
      <w:pPr>
        <w:pStyle w:val="Indenta"/>
        <w:keepNext/>
        <w:keepLines/>
      </w:pPr>
      <w:r>
        <w:tab/>
        <w:t>(d)</w:t>
      </w:r>
      <w:r>
        <w:tab/>
        <w:t>that any fire fighting equipment, portable warning device, or other equipment, with which the vehicle is equipped under subregulation (1) is not stowed in accordance with the ADG Code Part 12.</w:t>
      </w:r>
    </w:p>
    <w:p>
      <w:pPr>
        <w:pStyle w:val="Penstart"/>
      </w:pPr>
      <w:r>
        <w:tab/>
        <w:t>Penalty for this subregulation: a fine of $3 000.</w:t>
      </w:r>
    </w:p>
    <w:p>
      <w:pPr>
        <w:pStyle w:val="Footnotesection"/>
        <w:spacing w:before="80"/>
        <w:ind w:left="890" w:hanging="890"/>
      </w:pPr>
      <w:r>
        <w:tab/>
        <w:t xml:space="preserve">[Regulation 165 amended: Gazette 22 Jun 2010 p. 2735; </w:t>
      </w:r>
      <w:r>
        <w:rPr>
          <w:szCs w:val="24"/>
        </w:rPr>
        <w:t>SL </w:t>
      </w:r>
      <w:r>
        <w:t>2024/285 r. 9.]</w:t>
      </w:r>
    </w:p>
    <w:p>
      <w:pPr>
        <w:pStyle w:val="Heading2"/>
      </w:pPr>
      <w:bookmarkStart w:id="305" w:name="_Toc194911821"/>
      <w:bookmarkStart w:id="306" w:name="_Toc194914537"/>
      <w:bookmarkStart w:id="307" w:name="_Toc194914907"/>
      <w:bookmarkStart w:id="308" w:name="_Toc194933069"/>
      <w:r>
        <w:rPr>
          <w:rStyle w:val="CharPartNo"/>
        </w:rPr>
        <w:lastRenderedPageBreak/>
        <w:t>Part 13</w:t>
      </w:r>
      <w:r>
        <w:t> — </w:t>
      </w:r>
      <w:r>
        <w:rPr>
          <w:rStyle w:val="CharPartText"/>
        </w:rPr>
        <w:t>Procedures during transport</w:t>
      </w:r>
      <w:bookmarkEnd w:id="305"/>
      <w:bookmarkEnd w:id="306"/>
      <w:bookmarkEnd w:id="307"/>
      <w:bookmarkEnd w:id="308"/>
    </w:p>
    <w:p>
      <w:pPr>
        <w:pStyle w:val="Heading3"/>
      </w:pPr>
      <w:bookmarkStart w:id="309" w:name="_Toc194911822"/>
      <w:bookmarkStart w:id="310" w:name="_Toc194914538"/>
      <w:bookmarkStart w:id="311" w:name="_Toc194914908"/>
      <w:bookmarkStart w:id="312" w:name="_Toc194933070"/>
      <w:r>
        <w:rPr>
          <w:rStyle w:val="CharDivNo"/>
        </w:rPr>
        <w:t>Division 1</w:t>
      </w:r>
      <w:r>
        <w:t> — </w:t>
      </w:r>
      <w:r>
        <w:rPr>
          <w:rStyle w:val="CharDivText"/>
        </w:rPr>
        <w:t>Immobilised and stopped vehicles</w:t>
      </w:r>
      <w:bookmarkEnd w:id="309"/>
      <w:bookmarkEnd w:id="310"/>
      <w:bookmarkEnd w:id="311"/>
      <w:bookmarkEnd w:id="312"/>
    </w:p>
    <w:p>
      <w:pPr>
        <w:pStyle w:val="Heading5"/>
      </w:pPr>
      <w:bookmarkStart w:id="313" w:name="_Toc194933071"/>
      <w:r>
        <w:rPr>
          <w:rStyle w:val="CharSectno"/>
        </w:rPr>
        <w:t>166</w:t>
      </w:r>
      <w:r>
        <w:t>.</w:t>
      </w:r>
      <w:r>
        <w:tab/>
        <w:t>Duty on drivers</w:t>
      </w:r>
      <w:bookmarkEnd w:id="313"/>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w:t>
      </w:r>
    </w:p>
    <w:p>
      <w:pPr>
        <w:pStyle w:val="Indenta"/>
      </w:pPr>
      <w:r>
        <w:tab/>
        <w:t>(a)</w:t>
      </w:r>
      <w:r>
        <w:tab/>
        <w:t>the ADG Code Part 13; or</w:t>
      </w:r>
    </w:p>
    <w:p>
      <w:pPr>
        <w:pStyle w:val="Indenta"/>
      </w:pPr>
      <w:r>
        <w:tab/>
        <w:t>(b)</w:t>
      </w:r>
      <w:r>
        <w:tab/>
        <w:t>subregulations (3) and (4).</w:t>
      </w:r>
    </w:p>
    <w:p>
      <w:pPr>
        <w:pStyle w:val="Penstart"/>
      </w:pPr>
      <w:r>
        <w:tab/>
        <w:t>Penalty for this subregulation: a fine of $1 500.</w:t>
      </w:r>
    </w:p>
    <w:p>
      <w:pPr>
        <w:pStyle w:val="Subsection"/>
      </w:pPr>
      <w:r>
        <w:tab/>
        <w:t>(3)</w:t>
      </w:r>
      <w:r>
        <w:tab/>
        <w:t xml:space="preserve">For the purposes of subregulation (2)(b), the driver may alert other road users of the hazard by immediately placing and leaving on the road, in accordance with subregulation (4), 3 portable warning signs that comply with AS 3790 </w:t>
      </w:r>
      <w:r>
        <w:rPr>
          <w:i/>
          <w:iCs/>
        </w:rPr>
        <w:t>Portable Warning Triangles for Motor Vehicles</w:t>
      </w:r>
      <w:r>
        <w:t xml:space="preserve"> published by Standards Australia and that are in good order.</w:t>
      </w:r>
    </w:p>
    <w:p>
      <w:pPr>
        <w:pStyle w:val="Subsection"/>
      </w:pPr>
      <w:r>
        <w:tab/>
        <w:t>(4)</w:t>
      </w:r>
      <w:r>
        <w:tab/>
        <w:t xml:space="preserve">The portable warning signs must be placed as follows — </w:t>
      </w:r>
    </w:p>
    <w:p>
      <w:pPr>
        <w:pStyle w:val="Indenta"/>
      </w:pPr>
      <w:r>
        <w:tab/>
        <w:t>(a)</w:t>
      </w:r>
      <w:r>
        <w:tab/>
        <w:t>one sign must be placed in advance of the vehicle, one to the rear of the vehicle and one beside the vehicle on the side nearer to the centre of the road;</w:t>
      </w:r>
    </w:p>
    <w:p>
      <w:pPr>
        <w:pStyle w:val="Indenta"/>
      </w:pPr>
      <w:r>
        <w:tab/>
        <w:t>(b)</w:t>
      </w:r>
      <w:r>
        <w:tab/>
        <w:t>wherever practicable, the signs must be placed so that at least one sign is visible to an approaching driver at a distance of not less than 200 m;</w:t>
      </w:r>
    </w:p>
    <w:p>
      <w:pPr>
        <w:pStyle w:val="Indenta"/>
      </w:pPr>
      <w:r>
        <w:tab/>
        <w:t>(c)</w:t>
      </w:r>
      <w:r>
        <w:tab/>
        <w:t xml:space="preserve">if the speed limit on the road is lower than 80 km/h, the signs placed in advance and to the rear of the vehicle must be placed at a distance of between 50 m and 150 m from the vehicle and the third sign must be placed at the </w:t>
      </w:r>
      <w:r>
        <w:lastRenderedPageBreak/>
        <w:t>side of the vehicle in such a position as to give reasonable warning to drivers approaching from either direction;</w:t>
      </w:r>
    </w:p>
    <w:p>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pPr>
        <w:pStyle w:val="Footnotesection"/>
        <w:spacing w:before="80"/>
        <w:ind w:left="890" w:hanging="890"/>
      </w:pPr>
      <w:r>
        <w:tab/>
        <w:t xml:space="preserve">[Regulation 166 amended: Gazette 17 Nov 2015 p. 4699-700; </w:t>
      </w:r>
      <w:r>
        <w:rPr>
          <w:szCs w:val="24"/>
        </w:rPr>
        <w:t>SL </w:t>
      </w:r>
      <w:r>
        <w:t>2024/285 r. 10.]</w:t>
      </w:r>
    </w:p>
    <w:p>
      <w:pPr>
        <w:pStyle w:val="Heading5"/>
      </w:pPr>
      <w:bookmarkStart w:id="314" w:name="_Toc194933072"/>
      <w:r>
        <w:rPr>
          <w:rStyle w:val="CharSectno"/>
        </w:rPr>
        <w:t>167</w:t>
      </w:r>
      <w:r>
        <w:t>.</w:t>
      </w:r>
      <w:r>
        <w:tab/>
        <w:t>Duty on prime contractors</w:t>
      </w:r>
      <w:bookmarkEnd w:id="314"/>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keepNext/>
      </w:pPr>
      <w:r>
        <w:tab/>
        <w:t>(3)</w:t>
      </w:r>
      <w:r>
        <w:tab/>
        <w:t xml:space="preserve">If the road vehicle is towed while still carrying dangerous goods that would require the driver of the vehicle to hold a dangerous </w:t>
      </w:r>
      <w:r>
        <w:lastRenderedPageBreak/>
        <w:t xml:space="preserve">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Gazette 13 Jun 2014 p. 1943</w:t>
      </w:r>
      <w:r>
        <w:noBreakHyphen/>
        <w:t>4.]</w:t>
      </w:r>
    </w:p>
    <w:p>
      <w:pPr>
        <w:pStyle w:val="Heading5"/>
      </w:pPr>
      <w:bookmarkStart w:id="315" w:name="_Toc194933073"/>
      <w:r>
        <w:rPr>
          <w:rStyle w:val="CharSectno"/>
        </w:rPr>
        <w:t>168</w:t>
      </w:r>
      <w:r>
        <w:t>.</w:t>
      </w:r>
      <w:r>
        <w:tab/>
        <w:t>Duty on rail operators</w:t>
      </w:r>
      <w:bookmarkEnd w:id="315"/>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316" w:name="_Toc194911826"/>
      <w:bookmarkStart w:id="317" w:name="_Toc194914542"/>
      <w:bookmarkStart w:id="318" w:name="_Toc194914912"/>
      <w:bookmarkStart w:id="319" w:name="_Toc194933074"/>
      <w:r>
        <w:rPr>
          <w:rStyle w:val="CharDivNo"/>
        </w:rPr>
        <w:t>Division 2</w:t>
      </w:r>
      <w:r>
        <w:t> — </w:t>
      </w:r>
      <w:r>
        <w:rPr>
          <w:rStyle w:val="CharDivText"/>
        </w:rPr>
        <w:t>General precautions: duties on drivers</w:t>
      </w:r>
      <w:bookmarkEnd w:id="316"/>
      <w:bookmarkEnd w:id="317"/>
      <w:bookmarkEnd w:id="318"/>
      <w:bookmarkEnd w:id="319"/>
    </w:p>
    <w:p>
      <w:pPr>
        <w:pStyle w:val="Footnoteheading"/>
      </w:pPr>
      <w:r>
        <w:tab/>
        <w:t>[Heading inserted: SL 2020/193 r. 23.]</w:t>
      </w:r>
    </w:p>
    <w:p>
      <w:pPr>
        <w:pStyle w:val="Heading5"/>
      </w:pPr>
      <w:bookmarkStart w:id="320" w:name="_Toc194933075"/>
      <w:r>
        <w:rPr>
          <w:rStyle w:val="CharSectno"/>
        </w:rPr>
        <w:t>169</w:t>
      </w:r>
      <w:r>
        <w:t>.</w:t>
      </w:r>
      <w:r>
        <w:tab/>
        <w:t>Driving</w:t>
      </w:r>
      <w:bookmarkEnd w:id="320"/>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321" w:name="_Toc194933076"/>
      <w:r>
        <w:rPr>
          <w:rStyle w:val="CharSectno"/>
        </w:rPr>
        <w:t>170</w:t>
      </w:r>
      <w:r>
        <w:t>.</w:t>
      </w:r>
      <w:r>
        <w:tab/>
        <w:t>Parking</w:t>
      </w:r>
      <w:bookmarkEnd w:id="321"/>
    </w:p>
    <w:p>
      <w:pPr>
        <w:pStyle w:val="Subsection"/>
        <w:keepNext/>
      </w:pPr>
      <w:r>
        <w:tab/>
      </w:r>
      <w:r>
        <w:tab/>
        <w:t xml:space="preserve">The driver of a road vehicle transporting a placard load must not park the road vehicle, or leave the road vehicle standing, in </w:t>
      </w:r>
      <w:r>
        <w:rPr>
          <w:color w:val="000000"/>
        </w:rPr>
        <w:t xml:space="preserve">a </w:t>
      </w:r>
      <w:r>
        <w:rPr>
          <w:color w:val="000000"/>
        </w:rPr>
        <w:lastRenderedPageBreak/>
        <w:t>public or private place except in accordance with the ADG</w:t>
      </w:r>
      <w:r>
        <w:t xml:space="preserve"> Code Part 13.</w:t>
      </w:r>
    </w:p>
    <w:p>
      <w:pPr>
        <w:pStyle w:val="Penstart"/>
      </w:pPr>
      <w:r>
        <w:tab/>
        <w:t>Penalty: a fine of $3 000.</w:t>
      </w:r>
    </w:p>
    <w:p>
      <w:pPr>
        <w:pStyle w:val="Heading5"/>
      </w:pPr>
      <w:bookmarkStart w:id="322" w:name="_Toc184909815"/>
      <w:bookmarkStart w:id="323" w:name="_Toc185340677"/>
      <w:bookmarkStart w:id="324" w:name="_Toc194933077"/>
      <w:r>
        <w:rPr>
          <w:rStyle w:val="CharSectno"/>
        </w:rPr>
        <w:t>170A</w:t>
      </w:r>
      <w:r>
        <w:t>.</w:t>
      </w:r>
      <w:r>
        <w:tab/>
        <w:t>Temperature monitoring — ammonium nitrate explosion risk goods</w:t>
      </w:r>
      <w:bookmarkEnd w:id="322"/>
      <w:bookmarkEnd w:id="323"/>
      <w:bookmarkEnd w:id="324"/>
    </w:p>
    <w:p>
      <w:pPr>
        <w:pStyle w:val="Subsection"/>
      </w:pPr>
      <w:r>
        <w:tab/>
        <w:t>(1)</w:t>
      </w:r>
      <w:r>
        <w:tab/>
        <w:t xml:space="preserve">In this regulation — </w:t>
      </w:r>
    </w:p>
    <w:p>
      <w:pPr>
        <w:pStyle w:val="Defstart"/>
      </w:pPr>
      <w:r>
        <w:tab/>
      </w:r>
      <w:r>
        <w:rPr>
          <w:rStyle w:val="CharDefText"/>
        </w:rPr>
        <w:t>at the relevant times</w:t>
      </w:r>
      <w:r>
        <w:t xml:space="preserve"> means — </w:t>
      </w:r>
    </w:p>
    <w:p>
      <w:pPr>
        <w:pStyle w:val="Defpara"/>
      </w:pPr>
      <w:r>
        <w:tab/>
        <w:t>(a)</w:t>
      </w:r>
      <w:r>
        <w:tab/>
        <w:t xml:space="preserve">reasonably prior to each time — </w:t>
      </w:r>
    </w:p>
    <w:p>
      <w:pPr>
        <w:pStyle w:val="Defsubpara"/>
      </w:pPr>
      <w:r>
        <w:tab/>
        <w:t>(i)</w:t>
      </w:r>
      <w:r>
        <w:tab/>
        <w:t>the ammonium nitrate explosion risk goods are loaded onto the road vehicle; or</w:t>
      </w:r>
    </w:p>
    <w:p>
      <w:pPr>
        <w:pStyle w:val="Defsubpara"/>
      </w:pPr>
      <w:r>
        <w:tab/>
        <w:t>(ii)</w:t>
      </w:r>
      <w:r>
        <w:tab/>
        <w:t>the ammonium nitrate explosion risk goods are unloaded from the road vehicle;</w:t>
      </w:r>
    </w:p>
    <w:p>
      <w:pPr>
        <w:pStyle w:val="Defpara"/>
        <w:rPr>
          <w:rStyle w:val="DraftersNotes"/>
          <w:b w:val="0"/>
          <w:i w:val="0"/>
        </w:rPr>
      </w:pPr>
      <w:r>
        <w:tab/>
      </w:r>
      <w:r>
        <w:tab/>
        <w:t>or</w:t>
      </w:r>
    </w:p>
    <w:p>
      <w:pPr>
        <w:pStyle w:val="Defpara"/>
      </w:pPr>
      <w:r>
        <w:tab/>
        <w:t>(b)</w:t>
      </w:r>
      <w:r>
        <w:tab/>
        <w:t>each time the road vehicle parks;</w:t>
      </w:r>
    </w:p>
    <w:p>
      <w:pPr>
        <w:pStyle w:val="Defstart"/>
      </w:pPr>
      <w:r>
        <w:tab/>
      </w:r>
      <w:r>
        <w:rPr>
          <w:rStyle w:val="CharDefText"/>
        </w:rPr>
        <w:t>responsible person</w:t>
      </w:r>
      <w:r>
        <w:t xml:space="preserve">, in relation to a record or a copy of a record, means — </w:t>
      </w:r>
    </w:p>
    <w:p>
      <w:pPr>
        <w:pStyle w:val="Defpara"/>
      </w:pPr>
      <w:r>
        <w:tab/>
        <w:t>(a)</w:t>
      </w:r>
      <w:r>
        <w:tab/>
        <w:t>the driver who made the record or copy; and</w:t>
      </w:r>
    </w:p>
    <w:p>
      <w:pPr>
        <w:pStyle w:val="Defpara"/>
      </w:pPr>
      <w:r>
        <w:tab/>
        <w:t>(b)</w:t>
      </w:r>
      <w:r>
        <w:tab/>
        <w:t>the owner of the road vehicle to which the record or copy relates; and</w:t>
      </w:r>
    </w:p>
    <w:p>
      <w:pPr>
        <w:pStyle w:val="Defpara"/>
      </w:pPr>
      <w:r>
        <w:tab/>
        <w:t>(c)</w:t>
      </w:r>
      <w:r>
        <w:tab/>
        <w:t>the prime contractor who used the road vehicle to which the record or copy relates to transport the ammonium nitrate explosion risk goods.</w:t>
      </w:r>
    </w:p>
    <w:p>
      <w:pPr>
        <w:pStyle w:val="Subsection"/>
      </w:pPr>
      <w:r>
        <w:tab/>
        <w:t>(2)</w:t>
      </w:r>
      <w:r>
        <w:tab/>
        <w:t xml:space="preserve">The driver of a road vehicle transporting a placard load that contains ammonium nitrate explosion risk goods must at the relevant times — </w:t>
      </w:r>
    </w:p>
    <w:p>
      <w:pPr>
        <w:pStyle w:val="Indenta"/>
      </w:pPr>
      <w:r>
        <w:tab/>
        <w:t>(a)</w:t>
      </w:r>
      <w:r>
        <w:tab/>
        <w:t>monitor the temperature of all readily accessible wheel hubs or all readily accessible tyres of the road vehicle; and</w:t>
      </w:r>
    </w:p>
    <w:p>
      <w:pPr>
        <w:pStyle w:val="Indenta"/>
      </w:pPr>
      <w:r>
        <w:tab/>
        <w:t>(b)</w:t>
      </w:r>
      <w:r>
        <w:tab/>
        <w:t>record the temperatures.</w:t>
      </w:r>
    </w:p>
    <w:p>
      <w:pPr>
        <w:pStyle w:val="Penstart"/>
      </w:pPr>
      <w:r>
        <w:tab/>
        <w:t>Penalty for this subregulation: a fine of $5 000.</w:t>
      </w:r>
    </w:p>
    <w:p>
      <w:pPr>
        <w:pStyle w:val="Subsection"/>
      </w:pPr>
      <w:r>
        <w:lastRenderedPageBreak/>
        <w:tab/>
        <w:t>(3)</w:t>
      </w:r>
      <w:r>
        <w:tab/>
        <w:t>A record, or a copy of a record, made under subregulation (2)(b) must be retained by the responsible person for at least 3 months after the transport of the ammonium nitrate explosion risk goods finishes.</w:t>
      </w:r>
    </w:p>
    <w:p>
      <w:pPr>
        <w:pStyle w:val="Penstart"/>
      </w:pPr>
      <w:r>
        <w:tab/>
        <w:t>Penalty for this subregulation: a fine of $5 000.</w:t>
      </w:r>
    </w:p>
    <w:p>
      <w:pPr>
        <w:pStyle w:val="Subsection"/>
      </w:pPr>
      <w:r>
        <w:tab/>
        <w:t>(4)</w:t>
      </w:r>
      <w:r>
        <w:tab/>
        <w:t xml:space="preserve">It is not a failure to comply with subregulation (3) if — </w:t>
      </w:r>
    </w:p>
    <w:p>
      <w:pPr>
        <w:pStyle w:val="Indenta"/>
      </w:pPr>
      <w:r>
        <w:tab/>
        <w:t>(a)</w:t>
      </w:r>
      <w:r>
        <w:tab/>
        <w:t>the record or copy is retained in a form other than paper; and</w:t>
      </w:r>
    </w:p>
    <w:p>
      <w:pPr>
        <w:pStyle w:val="Indenta"/>
      </w:pPr>
      <w:r>
        <w:tab/>
        <w:t>(b)</w:t>
      </w:r>
      <w:r>
        <w:tab/>
        <w:t>a readily legible paper copy of the record or copy can be readily created at any time during the 3 months at the request of a DGO.</w:t>
      </w:r>
    </w:p>
    <w:p>
      <w:pPr>
        <w:pStyle w:val="Subsection"/>
      </w:pPr>
      <w:r>
        <w:tab/>
        <w:t>(5)</w:t>
      </w:r>
      <w:r>
        <w:tab/>
        <w:t>A person does not commit an offence under subregulation (3) if the record or copy is retained by another person.</w:t>
      </w:r>
    </w:p>
    <w:p>
      <w:pPr>
        <w:pStyle w:val="Footnotesection"/>
        <w:rPr>
          <w:szCs w:val="24"/>
        </w:rPr>
      </w:pPr>
      <w:r>
        <w:rPr>
          <w:szCs w:val="24"/>
        </w:rPr>
        <w:tab/>
        <w:t>[Regulation 170A inserted: SL </w:t>
      </w:r>
      <w:r>
        <w:t>2024/285 r. 11</w:t>
      </w:r>
      <w:r>
        <w:rPr>
          <w:szCs w:val="24"/>
        </w:rPr>
        <w:t>.]</w:t>
      </w:r>
    </w:p>
    <w:p>
      <w:pPr>
        <w:pStyle w:val="Heading5"/>
      </w:pPr>
      <w:bookmarkStart w:id="325" w:name="_Toc194933078"/>
      <w:r>
        <w:rPr>
          <w:rStyle w:val="CharSectno"/>
        </w:rPr>
        <w:t>171</w:t>
      </w:r>
      <w:r>
        <w:t>.</w:t>
      </w:r>
      <w:r>
        <w:tab/>
        <w:t>Control of ignition sources</w:t>
      </w:r>
      <w:bookmarkEnd w:id="325"/>
    </w:p>
    <w:p>
      <w:pPr>
        <w:pStyle w:val="Subsection"/>
        <w:keepNext/>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Hazard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keepNext/>
      </w:pPr>
      <w:r>
        <w:lastRenderedPageBreak/>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Gazette 22 Jun 2010 p. 2736; 31 Aug 2018 p. 3047.]</w:t>
      </w:r>
    </w:p>
    <w:p>
      <w:pPr>
        <w:pStyle w:val="Heading5"/>
      </w:pPr>
      <w:bookmarkStart w:id="326" w:name="_Toc194933079"/>
      <w:r>
        <w:rPr>
          <w:rStyle w:val="CharSectno"/>
          <w:color w:val="000000"/>
        </w:rPr>
        <w:t>172</w:t>
      </w:r>
      <w:r>
        <w:rPr>
          <w:color w:val="000000"/>
        </w:rPr>
        <w:t>.</w:t>
      </w:r>
      <w:r>
        <w:rPr>
          <w:color w:val="000000"/>
        </w:rPr>
        <w:tab/>
        <w:t>Unloading</w:t>
      </w:r>
      <w:bookmarkEnd w:id="326"/>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327" w:name="_Toc194933080"/>
      <w:r>
        <w:rPr>
          <w:rStyle w:val="CharSectno"/>
          <w:color w:val="000000"/>
        </w:rPr>
        <w:t>173</w:t>
      </w:r>
      <w:r>
        <w:rPr>
          <w:color w:val="000000"/>
        </w:rPr>
        <w:t>.</w:t>
      </w:r>
      <w:r>
        <w:rPr>
          <w:color w:val="000000"/>
        </w:rPr>
        <w:tab/>
        <w:t>Detaching trailer</w:t>
      </w:r>
      <w:bookmarkEnd w:id="327"/>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328" w:name="_Toc194933081"/>
      <w:r>
        <w:rPr>
          <w:rStyle w:val="CharSectno"/>
          <w:color w:val="000000"/>
        </w:rPr>
        <w:t>174</w:t>
      </w:r>
      <w:r>
        <w:rPr>
          <w:color w:val="000000"/>
        </w:rPr>
        <w:t>.</w:t>
      </w:r>
      <w:r>
        <w:rPr>
          <w:color w:val="000000"/>
        </w:rPr>
        <w:tab/>
        <w:t>Road tank vehicle equipped with burner</w:t>
      </w:r>
      <w:bookmarkEnd w:id="328"/>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3"/>
      </w:pPr>
      <w:bookmarkStart w:id="329" w:name="_Toc194911833"/>
      <w:bookmarkStart w:id="330" w:name="_Toc194914550"/>
      <w:bookmarkStart w:id="331" w:name="_Toc194914920"/>
      <w:bookmarkStart w:id="332" w:name="_Toc194933082"/>
      <w:r>
        <w:rPr>
          <w:rStyle w:val="CharDivNo"/>
        </w:rPr>
        <w:lastRenderedPageBreak/>
        <w:t>Division 3</w:t>
      </w:r>
      <w:r>
        <w:t> — </w:t>
      </w:r>
      <w:r>
        <w:rPr>
          <w:rStyle w:val="CharDivText"/>
        </w:rPr>
        <w:t>General precautions: duties on prime contractors</w:t>
      </w:r>
      <w:bookmarkEnd w:id="329"/>
      <w:bookmarkEnd w:id="330"/>
      <w:bookmarkEnd w:id="331"/>
      <w:bookmarkEnd w:id="332"/>
    </w:p>
    <w:p>
      <w:pPr>
        <w:pStyle w:val="Footnoteheading"/>
      </w:pPr>
      <w:r>
        <w:tab/>
        <w:t>[Heading inserted: SL 2020/193 r. 24.]</w:t>
      </w:r>
    </w:p>
    <w:p>
      <w:pPr>
        <w:pStyle w:val="Heading5"/>
      </w:pPr>
      <w:bookmarkStart w:id="333" w:name="_Toc194933083"/>
      <w:r>
        <w:rPr>
          <w:rStyle w:val="CharSectno"/>
        </w:rPr>
        <w:t>174A</w:t>
      </w:r>
      <w:r>
        <w:t>.</w:t>
      </w:r>
      <w:r>
        <w:tab/>
        <w:t>Parking</w:t>
      </w:r>
      <w:bookmarkEnd w:id="333"/>
    </w:p>
    <w:p>
      <w:pPr>
        <w:pStyle w:val="Subsection"/>
      </w:pPr>
      <w:r>
        <w:tab/>
      </w:r>
      <w:r>
        <w:tab/>
        <w:t>A prime contractor must not direct or induce the driver of a road vehicle transporting a placard load to park the road vehicle, or leave the road vehicle standing, in a public or private place except in accordance with the ADG Code Part 13.</w:t>
      </w:r>
    </w:p>
    <w:p>
      <w:pPr>
        <w:pStyle w:val="Penstart"/>
      </w:pPr>
      <w:r>
        <w:tab/>
        <w:t>Penalty: a fine of $3 000.</w:t>
      </w:r>
    </w:p>
    <w:p>
      <w:pPr>
        <w:pStyle w:val="Footnotesection"/>
      </w:pPr>
      <w:r>
        <w:tab/>
        <w:t>[Regulation 174A inserted: SL 2020/193 r. 24.]</w:t>
      </w:r>
    </w:p>
    <w:p>
      <w:pPr>
        <w:pStyle w:val="Heading5"/>
      </w:pPr>
      <w:bookmarkStart w:id="334" w:name="_Toc194933084"/>
      <w:r>
        <w:rPr>
          <w:rStyle w:val="CharSectno"/>
        </w:rPr>
        <w:t>174B</w:t>
      </w:r>
      <w:r>
        <w:t>.</w:t>
      </w:r>
      <w:r>
        <w:tab/>
        <w:t>Unloading</w:t>
      </w:r>
      <w:bookmarkEnd w:id="334"/>
    </w:p>
    <w:p>
      <w:pPr>
        <w:pStyle w:val="Subsection"/>
      </w:pPr>
      <w:r>
        <w:tab/>
      </w:r>
      <w:r>
        <w:tab/>
      </w:r>
      <w:r>
        <w:rPr>
          <w:color w:val="000000"/>
        </w:rPr>
        <w:t>A prime contractor must not direct or induce the driver of a road vehicle transporting a placard load to permit the dangerous goods to be unloaded from the vehicle except in accordance with the ADG Code Part 13.</w:t>
      </w:r>
    </w:p>
    <w:p>
      <w:pPr>
        <w:pStyle w:val="Penstart"/>
      </w:pPr>
      <w:r>
        <w:tab/>
        <w:t>Penalty: a fine of $10 000.</w:t>
      </w:r>
    </w:p>
    <w:p>
      <w:pPr>
        <w:pStyle w:val="Footnotesection"/>
      </w:pPr>
      <w:r>
        <w:tab/>
        <w:t>[Regulation 174B inserted: SL 2020/193 r. 24.]</w:t>
      </w:r>
    </w:p>
    <w:p>
      <w:pPr>
        <w:pStyle w:val="Heading5"/>
      </w:pPr>
      <w:bookmarkStart w:id="335" w:name="_Toc194933085"/>
      <w:r>
        <w:rPr>
          <w:rStyle w:val="CharSectno"/>
        </w:rPr>
        <w:t>174C</w:t>
      </w:r>
      <w:r>
        <w:t>.</w:t>
      </w:r>
      <w:r>
        <w:tab/>
        <w:t>Detaching trailer</w:t>
      </w:r>
      <w:bookmarkEnd w:id="335"/>
    </w:p>
    <w:p>
      <w:pPr>
        <w:pStyle w:val="Subsection"/>
      </w:pPr>
      <w:r>
        <w:tab/>
      </w:r>
      <w:r>
        <w:tab/>
      </w:r>
      <w:r>
        <w:rPr>
          <w:color w:val="000000"/>
        </w:rPr>
        <w:t>A prime contractor must not direct or induce the driver of a road vehicle that has attached to it a trailer transporting a placard load to detach the trailer or permit it to be detached from the vehicle except in accordance with the ADG Code Part 13.</w:t>
      </w:r>
    </w:p>
    <w:p>
      <w:pPr>
        <w:pStyle w:val="Penstart"/>
      </w:pPr>
      <w:r>
        <w:tab/>
        <w:t>Penalty: a fine of $10 000.</w:t>
      </w:r>
    </w:p>
    <w:p>
      <w:pPr>
        <w:pStyle w:val="Footnotesection"/>
      </w:pPr>
      <w:r>
        <w:tab/>
        <w:t>[Regulation 174C inserted: SL 2020/193 r. 24.]</w:t>
      </w:r>
    </w:p>
    <w:p>
      <w:pPr>
        <w:pStyle w:val="Heading5"/>
      </w:pPr>
      <w:bookmarkStart w:id="336" w:name="_Toc194933086"/>
      <w:r>
        <w:rPr>
          <w:rStyle w:val="CharSectno"/>
        </w:rPr>
        <w:lastRenderedPageBreak/>
        <w:t>174D</w:t>
      </w:r>
      <w:r>
        <w:t>.</w:t>
      </w:r>
      <w:r>
        <w:tab/>
      </w:r>
      <w:r>
        <w:rPr>
          <w:color w:val="000000"/>
        </w:rPr>
        <w:t>Road tank vehicle equipped with burner</w:t>
      </w:r>
      <w:bookmarkEnd w:id="336"/>
    </w:p>
    <w:p>
      <w:pPr>
        <w:pStyle w:val="Subsection"/>
        <w:keepLines/>
      </w:pPr>
      <w:r>
        <w:tab/>
      </w:r>
      <w:r>
        <w:tab/>
      </w:r>
      <w:r>
        <w:rPr>
          <w:color w:val="000000"/>
        </w:rPr>
        <w:t>A prime contractor must not direct or induce the driver of a road vehicle that is transporting a placard load, and that is equipped with a burner to heat the load, to operate the burner or permit it to be operated except in accordance with the ADG Code Part 13.</w:t>
      </w:r>
    </w:p>
    <w:p>
      <w:pPr>
        <w:pStyle w:val="Penstart"/>
      </w:pPr>
      <w:r>
        <w:tab/>
        <w:t>Penalty: a fine of $10 000.</w:t>
      </w:r>
    </w:p>
    <w:p>
      <w:pPr>
        <w:pStyle w:val="Footnotesection"/>
      </w:pPr>
      <w:r>
        <w:tab/>
        <w:t>[Regulation 174D inserted: SL 2020/193 r. 24.]</w:t>
      </w:r>
    </w:p>
    <w:p>
      <w:pPr>
        <w:pStyle w:val="Heading2"/>
      </w:pPr>
      <w:bookmarkStart w:id="337" w:name="_Toc194911838"/>
      <w:bookmarkStart w:id="338" w:name="_Toc194914555"/>
      <w:bookmarkStart w:id="339" w:name="_Toc194914925"/>
      <w:bookmarkStart w:id="340" w:name="_Toc194933087"/>
      <w:r>
        <w:rPr>
          <w:rStyle w:val="CharPartNo"/>
        </w:rPr>
        <w:lastRenderedPageBreak/>
        <w:t>Part 14</w:t>
      </w:r>
      <w:r>
        <w:t> — </w:t>
      </w:r>
      <w:r>
        <w:rPr>
          <w:rStyle w:val="CharPartText"/>
        </w:rPr>
        <w:t>Emergencies</w:t>
      </w:r>
      <w:bookmarkEnd w:id="337"/>
      <w:bookmarkEnd w:id="338"/>
      <w:bookmarkEnd w:id="339"/>
      <w:bookmarkEnd w:id="340"/>
    </w:p>
    <w:p>
      <w:pPr>
        <w:pStyle w:val="Heading3"/>
        <w:spacing w:before="200"/>
      </w:pPr>
      <w:bookmarkStart w:id="341" w:name="_Toc194911839"/>
      <w:bookmarkStart w:id="342" w:name="_Toc194914556"/>
      <w:bookmarkStart w:id="343" w:name="_Toc194914926"/>
      <w:bookmarkStart w:id="344" w:name="_Toc194933088"/>
      <w:r>
        <w:rPr>
          <w:rStyle w:val="CharDivNo"/>
        </w:rPr>
        <w:t>Division 1</w:t>
      </w:r>
      <w:r>
        <w:t> — </w:t>
      </w:r>
      <w:r>
        <w:rPr>
          <w:rStyle w:val="CharDivText"/>
        </w:rPr>
        <w:t>Emergencies generally</w:t>
      </w:r>
      <w:bookmarkEnd w:id="341"/>
      <w:bookmarkEnd w:id="342"/>
      <w:bookmarkEnd w:id="343"/>
      <w:bookmarkEnd w:id="344"/>
    </w:p>
    <w:p>
      <w:pPr>
        <w:pStyle w:val="Heading5"/>
        <w:spacing w:before="180"/>
      </w:pPr>
      <w:bookmarkStart w:id="345" w:name="_Toc194933089"/>
      <w:r>
        <w:rPr>
          <w:rStyle w:val="CharSectno"/>
        </w:rPr>
        <w:t>175</w:t>
      </w:r>
      <w:r>
        <w:t>.</w:t>
      </w:r>
      <w:r>
        <w:tab/>
        <w:t>Duty on drivers</w:t>
      </w:r>
      <w:bookmarkEnd w:id="345"/>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Gazette 19 Feb 2013 p. 989.]</w:t>
      </w:r>
    </w:p>
    <w:p>
      <w:pPr>
        <w:pStyle w:val="Heading5"/>
        <w:spacing w:before="180"/>
      </w:pPr>
      <w:bookmarkStart w:id="346" w:name="_Toc194933090"/>
      <w:r>
        <w:rPr>
          <w:rStyle w:val="CharSectno"/>
        </w:rPr>
        <w:t>176</w:t>
      </w:r>
      <w:r>
        <w:t>.</w:t>
      </w:r>
      <w:r>
        <w:tab/>
        <w:t>Duty on train drivers and rail operators</w:t>
      </w:r>
      <w:bookmarkEnd w:id="346"/>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keepNext/>
        <w:spacing w:before="60"/>
      </w:pPr>
      <w:r>
        <w:lastRenderedPageBreak/>
        <w:tab/>
        <w:t>(b)</w:t>
      </w:r>
      <w:r>
        <w:tab/>
        <w:t>provide any reasonable assistance required by a DGO, a police officer or an emergency service officer to deal with the situation.</w:t>
      </w:r>
    </w:p>
    <w:p>
      <w:pPr>
        <w:pStyle w:val="Penstart"/>
        <w:spacing w:before="40"/>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Gazette 19 Feb 2013 p. 989.]</w:t>
      </w:r>
    </w:p>
    <w:p>
      <w:pPr>
        <w:pStyle w:val="Heading5"/>
        <w:spacing w:before="180"/>
      </w:pPr>
      <w:bookmarkStart w:id="347" w:name="_Toc194933091"/>
      <w:r>
        <w:rPr>
          <w:rStyle w:val="CharSectno"/>
        </w:rPr>
        <w:t>177</w:t>
      </w:r>
      <w:r>
        <w:t>.</w:t>
      </w:r>
      <w:r>
        <w:tab/>
        <w:t>Duty on prime contractors and rail operators — food or food packaging</w:t>
      </w:r>
      <w:bookmarkEnd w:id="347"/>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keepNext/>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w:t>
      </w:r>
      <w:r>
        <w:rPr>
          <w:color w:val="000000"/>
        </w:rPr>
        <w:lastRenderedPageBreak/>
        <w:t xml:space="preserve">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keepNext/>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348" w:name="_Toc194933092"/>
      <w:r>
        <w:rPr>
          <w:rStyle w:val="CharSectno"/>
        </w:rPr>
        <w:t>178</w:t>
      </w:r>
      <w:r>
        <w:t>.</w:t>
      </w:r>
      <w:r>
        <w:tab/>
        <w:t>Prime contractors, rail operators and drivers to inform Chief Officer</w:t>
      </w:r>
      <w:bookmarkEnd w:id="348"/>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lastRenderedPageBreak/>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Gazette 22 Jun 2010 p. 2736.]</w:t>
      </w:r>
    </w:p>
    <w:p>
      <w:pPr>
        <w:pStyle w:val="Heading3"/>
      </w:pPr>
      <w:bookmarkStart w:id="349" w:name="_Toc194911844"/>
      <w:bookmarkStart w:id="350" w:name="_Toc194914561"/>
      <w:bookmarkStart w:id="351" w:name="_Toc194914931"/>
      <w:bookmarkStart w:id="352" w:name="_Toc194933093"/>
      <w:r>
        <w:rPr>
          <w:rStyle w:val="CharDivNo"/>
        </w:rPr>
        <w:t>Division 2</w:t>
      </w:r>
      <w:r>
        <w:t> — </w:t>
      </w:r>
      <w:r>
        <w:rPr>
          <w:rStyle w:val="CharDivText"/>
        </w:rPr>
        <w:t>Emergencies involving placard loads</w:t>
      </w:r>
      <w:bookmarkEnd w:id="349"/>
      <w:bookmarkEnd w:id="350"/>
      <w:bookmarkEnd w:id="351"/>
      <w:bookmarkEnd w:id="352"/>
    </w:p>
    <w:p>
      <w:pPr>
        <w:pStyle w:val="Heading5"/>
      </w:pPr>
      <w:bookmarkStart w:id="353" w:name="_Toc194933094"/>
      <w:r>
        <w:rPr>
          <w:rStyle w:val="CharSectno"/>
        </w:rPr>
        <w:t>179</w:t>
      </w:r>
      <w:r>
        <w:t>.</w:t>
      </w:r>
      <w:r>
        <w:tab/>
        <w:t>Telephone advisory service</w:t>
      </w:r>
      <w:bookmarkEnd w:id="353"/>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w:t>
      </w:r>
      <w:r>
        <w:rPr>
          <w:bCs/>
        </w:rPr>
        <w:lastRenderedPageBreak/>
        <w:t xml:space="preserve">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r>
      <w:r>
        <w:rPr>
          <w:spacing w:val="-4"/>
        </w:rPr>
        <w:t>if a telephone advisory service is not available during the journey</w:t>
      </w:r>
      <w:r>
        <w:t>.</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Gazette 22 Jun 2010 p. 2737.]</w:t>
      </w:r>
    </w:p>
    <w:p>
      <w:pPr>
        <w:pStyle w:val="Heading5"/>
      </w:pPr>
      <w:bookmarkStart w:id="354" w:name="_Toc194933095"/>
      <w:r>
        <w:rPr>
          <w:rStyle w:val="CharSectno"/>
        </w:rPr>
        <w:t>180</w:t>
      </w:r>
      <w:r>
        <w:t>.</w:t>
      </w:r>
      <w:r>
        <w:tab/>
        <w:t>Emergency plans</w:t>
      </w:r>
      <w:bookmarkEnd w:id="354"/>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lastRenderedPageBreak/>
        <w:tab/>
        <w:t>(b)</w:t>
      </w:r>
      <w:r>
        <w:tab/>
        <w:t>be a plan that deals with any dangerous situation arising from the transport of the goods; and</w:t>
      </w:r>
    </w:p>
    <w:p>
      <w:pPr>
        <w:pStyle w:val="Indenta"/>
      </w:pPr>
      <w:r>
        <w:tab/>
        <w:t>(c)</w:t>
      </w:r>
      <w:r>
        <w:tab/>
        <w:t>be prepared having regard to any guidelines approved by the Ministerial Council.</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Gazette 13 Jun 2014 p. 1944; 11 Jul 2017 p. 3828; SL 2024/22 r. 8.]</w:t>
      </w:r>
    </w:p>
    <w:p>
      <w:pPr>
        <w:pStyle w:val="Heading5"/>
      </w:pPr>
      <w:bookmarkStart w:id="355" w:name="_Toc194933096"/>
      <w:r>
        <w:rPr>
          <w:rStyle w:val="CharSectno"/>
        </w:rPr>
        <w:t>181</w:t>
      </w:r>
      <w:r>
        <w:t>.</w:t>
      </w:r>
      <w:r>
        <w:tab/>
        <w:t>Duty on consignors — information</w:t>
      </w:r>
      <w:bookmarkEnd w:id="355"/>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356" w:name="_Toc194933097"/>
      <w:r>
        <w:rPr>
          <w:rStyle w:val="CharSectno"/>
        </w:rPr>
        <w:lastRenderedPageBreak/>
        <w:t>182</w:t>
      </w:r>
      <w:r>
        <w:t>.</w:t>
      </w:r>
      <w:r>
        <w:tab/>
        <w:t>Duty on prime contractors and rail operators — information</w:t>
      </w:r>
      <w:bookmarkEnd w:id="356"/>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357" w:name="_Toc194911849"/>
      <w:bookmarkStart w:id="358" w:name="_Toc194914566"/>
      <w:bookmarkStart w:id="359" w:name="_Toc194914936"/>
      <w:bookmarkStart w:id="360" w:name="_Toc194933098"/>
      <w:r>
        <w:rPr>
          <w:rStyle w:val="CharDivNo"/>
        </w:rPr>
        <w:t>Division 3</w:t>
      </w:r>
      <w:r>
        <w:t> — </w:t>
      </w:r>
      <w:r>
        <w:rPr>
          <w:rStyle w:val="CharDivText"/>
        </w:rPr>
        <w:t>Dealing with emergencies involving placard loads</w:t>
      </w:r>
      <w:bookmarkEnd w:id="357"/>
      <w:bookmarkEnd w:id="358"/>
      <w:bookmarkEnd w:id="359"/>
      <w:bookmarkEnd w:id="360"/>
    </w:p>
    <w:p>
      <w:pPr>
        <w:pStyle w:val="Heading5"/>
      </w:pPr>
      <w:bookmarkStart w:id="361" w:name="_Toc194933099"/>
      <w:r>
        <w:rPr>
          <w:rStyle w:val="CharSectno"/>
        </w:rPr>
        <w:t>183</w:t>
      </w:r>
      <w:r>
        <w:t>.</w:t>
      </w:r>
      <w:r>
        <w:tab/>
        <w:t>Terms used</w:t>
      </w:r>
      <w:bookmarkEnd w:id="361"/>
    </w:p>
    <w:p>
      <w:pPr>
        <w:pStyle w:val="Subsection"/>
      </w:pPr>
      <w:r>
        <w:tab/>
      </w:r>
      <w:r>
        <w:tab/>
        <w:t xml:space="preserve">In this Division — </w:t>
      </w:r>
    </w:p>
    <w:p>
      <w:pPr>
        <w:pStyle w:val="Defstart"/>
      </w:pPr>
      <w:r>
        <w:tab/>
      </w:r>
      <w:r>
        <w:rPr>
          <w:rStyle w:val="CharDefText"/>
        </w:rPr>
        <w:t>approved responder</w:t>
      </w:r>
      <w:r>
        <w:t xml:space="preserve">, in relation to a class of dangerous goods, means a person who is approved by the Chief Officer under regulation 184 in relation to the class of dangerous goods; </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Footnotesection"/>
        <w:spacing w:before="100"/>
        <w:ind w:left="890" w:hanging="890"/>
        <w:rPr>
          <w:color w:val="000000"/>
        </w:rPr>
      </w:pPr>
      <w:r>
        <w:tab/>
        <w:t>[Regulation 183 amended: Gazette 11 Jul 2017 p. 3828.]</w:t>
      </w:r>
    </w:p>
    <w:p>
      <w:pPr>
        <w:pStyle w:val="Heading5"/>
      </w:pPr>
      <w:bookmarkStart w:id="362" w:name="_Toc194933100"/>
      <w:r>
        <w:rPr>
          <w:rStyle w:val="CharSectno"/>
        </w:rPr>
        <w:lastRenderedPageBreak/>
        <w:t>184</w:t>
      </w:r>
      <w:r>
        <w:t>.</w:t>
      </w:r>
      <w:r>
        <w:tab/>
        <w:t>Approvals — responders to emergencies</w:t>
      </w:r>
      <w:bookmarkEnd w:id="362"/>
    </w:p>
    <w:p>
      <w:pPr>
        <w:pStyle w:val="Subsection"/>
      </w:pPr>
      <w:r>
        <w:tab/>
        <w:t>(1)</w:t>
      </w:r>
      <w:r>
        <w:tab/>
        <w:t>The Chief Officer may approve a person to deal with any dangerous situation that might result while dangerous goods of a specified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class of the dangerous goods to which it relates.</w:t>
      </w:r>
    </w:p>
    <w:p>
      <w:pPr>
        <w:pStyle w:val="Footnotesection"/>
        <w:spacing w:before="100"/>
        <w:ind w:left="890" w:hanging="890"/>
        <w:rPr>
          <w:color w:val="000000"/>
        </w:rPr>
      </w:pPr>
      <w:r>
        <w:tab/>
        <w:t>[Regulation 184 amended: Gazette 11 Jul 2017 p. 3828.]</w:t>
      </w:r>
    </w:p>
    <w:p>
      <w:pPr>
        <w:pStyle w:val="Heading5"/>
      </w:pPr>
      <w:bookmarkStart w:id="363" w:name="_Toc194933101"/>
      <w:r>
        <w:rPr>
          <w:rStyle w:val="CharSectno"/>
        </w:rPr>
        <w:t>185</w:t>
      </w:r>
      <w:r>
        <w:t>.</w:t>
      </w:r>
      <w:r>
        <w:tab/>
        <w:t>Duties as to ensure adequate resources available to deal with emergencies</w:t>
      </w:r>
      <w:bookmarkEnd w:id="363"/>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all the dangerous goods that comprise the load; or</w:t>
      </w:r>
    </w:p>
    <w:p>
      <w:pPr>
        <w:pStyle w:val="Indenta"/>
      </w:pPr>
      <w:r>
        <w:tab/>
        <w:t>(b)</w:t>
      </w:r>
      <w:r>
        <w:tab/>
        <w:t>be an approved responder in relation to the dangerous goods that comprise part of the load and have an emergency response contract with another person who is an approved responder in relation to the dangerous goods that comprise the remainder of the load; or</w:t>
      </w:r>
    </w:p>
    <w:p>
      <w:pPr>
        <w:pStyle w:val="Indenta"/>
      </w:pPr>
      <w:r>
        <w:tab/>
        <w:t>(c)</w:t>
      </w:r>
      <w:r>
        <w:tab/>
        <w:t>have an emergency response contract with another person who is an approved responder in relation to the dangerous goods that comprise the load.</w:t>
      </w:r>
    </w:p>
    <w:p>
      <w:pPr>
        <w:pStyle w:val="Ednotesubsection"/>
      </w:pPr>
      <w:r>
        <w:lastRenderedPageBreak/>
        <w:tab/>
        <w:t>[(3)</w:t>
      </w:r>
      <w:r>
        <w:tab/>
        <w:t>deleted]</w:t>
      </w:r>
    </w:p>
    <w:p>
      <w:pPr>
        <w:pStyle w:val="Footnotesection"/>
        <w:spacing w:before="100"/>
        <w:ind w:left="890" w:hanging="890"/>
        <w:rPr>
          <w:color w:val="000000"/>
        </w:rPr>
      </w:pPr>
      <w:r>
        <w:tab/>
        <w:t>[Regulation 185 amended: Gazette 11 Jul 2017 p. 3828.]</w:t>
      </w:r>
    </w:p>
    <w:p>
      <w:pPr>
        <w:pStyle w:val="Heading5"/>
      </w:pPr>
      <w:bookmarkStart w:id="364" w:name="_Toc194933102"/>
      <w:r>
        <w:rPr>
          <w:rStyle w:val="CharSectno"/>
        </w:rPr>
        <w:t>186</w:t>
      </w:r>
      <w:r>
        <w:t>.</w:t>
      </w:r>
      <w:r>
        <w:tab/>
        <w:t>Duties to provide resources to deal with emergency</w:t>
      </w:r>
      <w:bookmarkEnd w:id="364"/>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keepNext/>
        <w:keepLines/>
      </w:pPr>
      <w:r>
        <w:tab/>
        <w:t>(3)</w:t>
      </w:r>
      <w:r>
        <w:tab/>
        <w:t xml:space="preserve">The prime contractor, or the rail operator, as the case requires, must — </w:t>
      </w:r>
    </w:p>
    <w:p>
      <w:pPr>
        <w:pStyle w:val="Indenta"/>
      </w:pPr>
      <w:r>
        <w:tab/>
        <w:t>(a)</w:t>
      </w:r>
      <w:r>
        <w:tab/>
        <w:t>if the prime contractor or rail operator is an approved responder in relation to all the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some of the dangerous goods that are giving rise to the dangerous situation —</w:t>
      </w:r>
    </w:p>
    <w:p>
      <w:pPr>
        <w:pStyle w:val="Indenti"/>
      </w:pPr>
      <w:r>
        <w:tab/>
        <w:t>(i)</w:t>
      </w:r>
      <w:r>
        <w:tab/>
        <w:t>deal with the dangerous situation, in so far as it arises from those dangerous goods, as soon as practicable after it arises; and</w:t>
      </w:r>
    </w:p>
    <w:p>
      <w:pPr>
        <w:pStyle w:val="Indenti"/>
      </w:pPr>
      <w:r>
        <w:tab/>
        <w:t>(ii)</w:t>
      </w:r>
      <w:r>
        <w:tab/>
        <w:t>ensure that an approved responder in relation to the remaining dangerous goods that are giving rise to the dangerous situation deals with the dangerous situation, insofar as it arises from those dangerous goods, as soon as practicable after it arises;</w:t>
      </w:r>
    </w:p>
    <w:p>
      <w:pPr>
        <w:pStyle w:val="Indenta"/>
      </w:pPr>
      <w:r>
        <w:lastRenderedPageBreak/>
        <w:tab/>
        <w:t>(c)</w:t>
      </w:r>
      <w:r>
        <w:tab/>
        <w:t xml:space="preserve">if the prime contractor or rail operator is not an approved responder in relation to any of the dangerous goods that are giving rise to the dangerous situation — </w:t>
      </w:r>
    </w:p>
    <w:p>
      <w:pPr>
        <w:pStyle w:val="Indenti"/>
      </w:pPr>
      <w:r>
        <w:tab/>
        <w:t>(i)</w:t>
      </w:r>
      <w:r>
        <w:tab/>
        <w:t>ensure that an approved responder in relation to the dangerous goods that are giving rise to the dangerous situation deals with the dangerous situation as soon as practicable after it arises; and</w:t>
      </w:r>
    </w:p>
    <w:p>
      <w:pPr>
        <w:pStyle w:val="Indenti"/>
      </w:pPr>
      <w:r>
        <w:tab/>
        <w:t>(ii)</w:t>
      </w:r>
      <w:r>
        <w:tab/>
        <w:t xml:space="preserve">provide to the approved responder any assistance that is reasonably required for the approved responder to deal with the dangerous situation. </w:t>
      </w:r>
    </w:p>
    <w:p>
      <w:pPr>
        <w:pStyle w:val="Penstart"/>
      </w:pPr>
      <w:r>
        <w:tab/>
        <w:t>Penalty for this subregulation: a fine of $10 000.</w:t>
      </w:r>
    </w:p>
    <w:p>
      <w:pPr>
        <w:pStyle w:val="Ednotesubsection"/>
      </w:pPr>
      <w:r>
        <w:tab/>
        <w:t>[(4)</w:t>
      </w:r>
      <w:r>
        <w:tab/>
        <w:t>deleted]</w:t>
      </w:r>
    </w:p>
    <w:p>
      <w:pPr>
        <w:pStyle w:val="Footnotesection"/>
        <w:spacing w:before="100"/>
        <w:ind w:left="890" w:hanging="890"/>
        <w:rPr>
          <w:color w:val="000000"/>
        </w:rPr>
      </w:pPr>
      <w:r>
        <w:tab/>
        <w:t>[Regulation 186 amended: Gazette 11 Jul 2017 p. 3829.]</w:t>
      </w:r>
    </w:p>
    <w:p>
      <w:pPr>
        <w:pStyle w:val="Heading2"/>
      </w:pPr>
      <w:bookmarkStart w:id="365" w:name="_Toc194911854"/>
      <w:bookmarkStart w:id="366" w:name="_Toc194914571"/>
      <w:bookmarkStart w:id="367" w:name="_Toc194914941"/>
      <w:bookmarkStart w:id="368" w:name="_Toc194933103"/>
      <w:r>
        <w:rPr>
          <w:rStyle w:val="CharPartNo"/>
        </w:rPr>
        <w:lastRenderedPageBreak/>
        <w:t>Part 15</w:t>
      </w:r>
      <w:r>
        <w:t> — </w:t>
      </w:r>
      <w:r>
        <w:rPr>
          <w:rStyle w:val="CharPartText"/>
        </w:rPr>
        <w:t>Exemption</w:t>
      </w:r>
      <w:bookmarkEnd w:id="365"/>
      <w:bookmarkEnd w:id="366"/>
      <w:bookmarkEnd w:id="367"/>
      <w:bookmarkEnd w:id="368"/>
    </w:p>
    <w:p>
      <w:pPr>
        <w:pStyle w:val="Heading3"/>
      </w:pPr>
      <w:bookmarkStart w:id="369" w:name="_Toc194911855"/>
      <w:bookmarkStart w:id="370" w:name="_Toc194914572"/>
      <w:bookmarkStart w:id="371" w:name="_Toc194914942"/>
      <w:bookmarkStart w:id="372" w:name="_Toc194933104"/>
      <w:r>
        <w:rPr>
          <w:rStyle w:val="CharDivNo"/>
        </w:rPr>
        <w:t>Division 1</w:t>
      </w:r>
      <w:r>
        <w:t> — </w:t>
      </w:r>
      <w:r>
        <w:rPr>
          <w:rStyle w:val="CharDivText"/>
        </w:rPr>
        <w:t>General</w:t>
      </w:r>
      <w:bookmarkEnd w:id="369"/>
      <w:bookmarkEnd w:id="370"/>
      <w:bookmarkEnd w:id="371"/>
      <w:bookmarkEnd w:id="372"/>
    </w:p>
    <w:p>
      <w:pPr>
        <w:pStyle w:val="PermNoteHeading"/>
      </w:pPr>
      <w:r>
        <w:tab/>
        <w:t>Note for this Division:</w:t>
      </w:r>
    </w:p>
    <w:p>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373" w:name="_Toc194933105"/>
      <w:r>
        <w:rPr>
          <w:rStyle w:val="CharSectno"/>
        </w:rPr>
        <w:t>187</w:t>
      </w:r>
      <w:r>
        <w:t>.</w:t>
      </w:r>
      <w:r>
        <w:tab/>
        <w:t>Register of corresponding exemptions</w:t>
      </w:r>
      <w:bookmarkEnd w:id="373"/>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374" w:name="_Toc194933106"/>
      <w:r>
        <w:rPr>
          <w:rStyle w:val="CharSectno"/>
        </w:rPr>
        <w:t>188</w:t>
      </w:r>
      <w:r>
        <w:t>.</w:t>
      </w:r>
      <w:r>
        <w:tab/>
        <w:t>Records of corresponding exemptions</w:t>
      </w:r>
      <w:bookmarkEnd w:id="374"/>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lastRenderedPageBreak/>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375" w:name="_Toc194911858"/>
      <w:bookmarkStart w:id="376" w:name="_Toc194914575"/>
      <w:bookmarkStart w:id="377" w:name="_Toc194914945"/>
      <w:bookmarkStart w:id="378" w:name="_Toc194933107"/>
      <w:r>
        <w:rPr>
          <w:rStyle w:val="CharDivNo"/>
        </w:rPr>
        <w:t>Division 2</w:t>
      </w:r>
      <w:r>
        <w:t> — </w:t>
      </w:r>
      <w:r>
        <w:rPr>
          <w:rStyle w:val="CharDivText"/>
        </w:rPr>
        <w:t>References of matters to CAP</w:t>
      </w:r>
      <w:bookmarkEnd w:id="375"/>
      <w:bookmarkEnd w:id="376"/>
      <w:bookmarkEnd w:id="377"/>
      <w:bookmarkEnd w:id="378"/>
    </w:p>
    <w:p>
      <w:pPr>
        <w:pStyle w:val="Heading5"/>
      </w:pPr>
      <w:bookmarkStart w:id="379" w:name="_Toc194933108"/>
      <w:r>
        <w:rPr>
          <w:rStyle w:val="CharSectno"/>
        </w:rPr>
        <w:t>189</w:t>
      </w:r>
      <w:r>
        <w:t>.</w:t>
      </w:r>
      <w:r>
        <w:tab/>
        <w:t>Term used: exemption</w:t>
      </w:r>
      <w:bookmarkEnd w:id="379"/>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380" w:name="_Toc194933109"/>
      <w:r>
        <w:rPr>
          <w:rStyle w:val="CharSectno"/>
        </w:rPr>
        <w:t>190</w:t>
      </w:r>
      <w:r>
        <w:t>.</w:t>
      </w:r>
      <w:r>
        <w:tab/>
        <w:t>References to CAP</w:t>
      </w:r>
      <w:bookmarkEnd w:id="380"/>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Gazette 13 Jun 2014 p. 1944.]</w:t>
      </w:r>
    </w:p>
    <w:p>
      <w:pPr>
        <w:pStyle w:val="Heading5"/>
      </w:pPr>
      <w:bookmarkStart w:id="381" w:name="_Toc194933110"/>
      <w:r>
        <w:rPr>
          <w:rStyle w:val="CharSectno"/>
        </w:rPr>
        <w:lastRenderedPageBreak/>
        <w:t>191</w:t>
      </w:r>
      <w:r>
        <w:t>.</w:t>
      </w:r>
      <w:r>
        <w:tab/>
        <w:t>Effect of CAP decisions about exemptions</w:t>
      </w:r>
      <w:bookmarkEnd w:id="381"/>
    </w:p>
    <w:p>
      <w:pPr>
        <w:pStyle w:val="Subsection"/>
        <w:keepNext/>
        <w:keepLines/>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Gazette 13 Jun 2014 p. 1945.]</w:t>
      </w:r>
    </w:p>
    <w:p>
      <w:pPr>
        <w:pStyle w:val="Heading5"/>
      </w:pPr>
      <w:bookmarkStart w:id="382" w:name="_Toc194933111"/>
      <w:r>
        <w:rPr>
          <w:rStyle w:val="CharSectno"/>
        </w:rPr>
        <w:t>192</w:t>
      </w:r>
      <w:r>
        <w:t>.</w:t>
      </w:r>
      <w:r>
        <w:tab/>
        <w:t>Effect of CAP decisions about cancelling or varying exemptions</w:t>
      </w:r>
      <w:bookmarkEnd w:id="382"/>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383" w:name="_Toc194911863"/>
      <w:bookmarkStart w:id="384" w:name="_Toc194914580"/>
      <w:bookmarkStart w:id="385" w:name="_Toc194914950"/>
      <w:bookmarkStart w:id="386" w:name="_Toc194933112"/>
      <w:r>
        <w:rPr>
          <w:rStyle w:val="CharPartNo"/>
        </w:rPr>
        <w:lastRenderedPageBreak/>
        <w:t>Part 16</w:t>
      </w:r>
      <w:r>
        <w:t> — </w:t>
      </w:r>
      <w:r>
        <w:rPr>
          <w:rStyle w:val="CharPartText"/>
        </w:rPr>
        <w:t>Approvals</w:t>
      </w:r>
      <w:bookmarkEnd w:id="383"/>
      <w:bookmarkEnd w:id="384"/>
      <w:bookmarkEnd w:id="385"/>
      <w:bookmarkEnd w:id="386"/>
    </w:p>
    <w:p>
      <w:pPr>
        <w:pStyle w:val="Heading3"/>
      </w:pPr>
      <w:bookmarkStart w:id="387" w:name="_Toc194911864"/>
      <w:bookmarkStart w:id="388" w:name="_Toc194914581"/>
      <w:bookmarkStart w:id="389" w:name="_Toc194914951"/>
      <w:bookmarkStart w:id="390" w:name="_Toc194933113"/>
      <w:r>
        <w:rPr>
          <w:rStyle w:val="CharDivNo"/>
        </w:rPr>
        <w:t>Division 1</w:t>
      </w:r>
      <w:r>
        <w:t> — </w:t>
      </w:r>
      <w:r>
        <w:rPr>
          <w:rStyle w:val="CharDivText"/>
        </w:rPr>
        <w:t>General</w:t>
      </w:r>
      <w:bookmarkEnd w:id="387"/>
      <w:bookmarkEnd w:id="388"/>
      <w:bookmarkEnd w:id="389"/>
      <w:bookmarkEnd w:id="390"/>
    </w:p>
    <w:p>
      <w:pPr>
        <w:pStyle w:val="Heading5"/>
      </w:pPr>
      <w:bookmarkStart w:id="391" w:name="_Toc194933114"/>
      <w:r>
        <w:rPr>
          <w:rStyle w:val="CharSectno"/>
        </w:rPr>
        <w:t>193</w:t>
      </w:r>
      <w:r>
        <w:t>.</w:t>
      </w:r>
      <w:r>
        <w:tab/>
        <w:t>Term used: approval</w:t>
      </w:r>
      <w:bookmarkEnd w:id="391"/>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392" w:name="_Toc194933115"/>
      <w:r>
        <w:rPr>
          <w:rStyle w:val="CharSectno"/>
        </w:rPr>
        <w:t>194</w:t>
      </w:r>
      <w:r>
        <w:t>.</w:t>
      </w:r>
      <w:r>
        <w:tab/>
        <w:t>Applications</w:t>
      </w:r>
      <w:bookmarkEnd w:id="392"/>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be accompanied by the fee specified in regulation 272 Table item 1.</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Gazette 22 Jun 2010 p. 2737; SL 2023/36 r. 8.]</w:t>
      </w:r>
    </w:p>
    <w:p>
      <w:pPr>
        <w:pStyle w:val="Heading5"/>
      </w:pPr>
      <w:bookmarkStart w:id="393" w:name="_Toc194933116"/>
      <w:r>
        <w:rPr>
          <w:rStyle w:val="CharSectno"/>
        </w:rPr>
        <w:t>195</w:t>
      </w:r>
      <w:r>
        <w:t>.</w:t>
      </w:r>
      <w:r>
        <w:tab/>
        <w:t>Form of approvals</w:t>
      </w:r>
      <w:bookmarkEnd w:id="393"/>
    </w:p>
    <w:p>
      <w:pPr>
        <w:pStyle w:val="Subsection"/>
      </w:pPr>
      <w:r>
        <w:tab/>
      </w:r>
      <w:r>
        <w:tab/>
        <w:t>An approval must be in writing.</w:t>
      </w:r>
    </w:p>
    <w:p>
      <w:pPr>
        <w:pStyle w:val="Heading5"/>
        <w:spacing w:before="180"/>
      </w:pPr>
      <w:bookmarkStart w:id="394" w:name="_Toc194933117"/>
      <w:r>
        <w:rPr>
          <w:rStyle w:val="CharSectno"/>
        </w:rPr>
        <w:lastRenderedPageBreak/>
        <w:t>196</w:t>
      </w:r>
      <w:r>
        <w:t>.</w:t>
      </w:r>
      <w:r>
        <w:tab/>
        <w:t>When approvals not to be made</w:t>
      </w:r>
      <w:bookmarkEnd w:id="394"/>
    </w:p>
    <w:p>
      <w:pPr>
        <w:pStyle w:val="Subsection"/>
      </w:pPr>
      <w:r>
        <w:tab/>
      </w:r>
      <w:r>
        <w:tab/>
        <w:t>The Chief Officer must not give an approval to a person who is prohibited by a court order from involvement in the transport of dangerous goods.</w:t>
      </w:r>
    </w:p>
    <w:p>
      <w:pPr>
        <w:pStyle w:val="Heading5"/>
      </w:pPr>
      <w:bookmarkStart w:id="395" w:name="_Toc194933118"/>
      <w:r>
        <w:rPr>
          <w:rStyle w:val="CharSectno"/>
        </w:rPr>
        <w:t>197</w:t>
      </w:r>
      <w:r>
        <w:t>.</w:t>
      </w:r>
      <w:r>
        <w:tab/>
        <w:t>Reasons for refusal of applications</w:t>
      </w:r>
      <w:bookmarkEnd w:id="395"/>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396" w:name="_Toc194933119"/>
      <w:r>
        <w:rPr>
          <w:rStyle w:val="CharSectno"/>
        </w:rPr>
        <w:t>198</w:t>
      </w:r>
      <w:r>
        <w:t>.</w:t>
      </w:r>
      <w:r>
        <w:tab/>
        <w:t>Periods and conditions</w:t>
      </w:r>
      <w:bookmarkEnd w:id="396"/>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397" w:name="_Toc194933120"/>
      <w:r>
        <w:rPr>
          <w:rStyle w:val="CharSectno"/>
        </w:rPr>
        <w:t>199</w:t>
      </w:r>
      <w:r>
        <w:t>.</w:t>
      </w:r>
      <w:r>
        <w:tab/>
        <w:t>Replacement approvals</w:t>
      </w:r>
      <w:bookmarkEnd w:id="397"/>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398" w:name="_Toc194933121"/>
      <w:r>
        <w:rPr>
          <w:rStyle w:val="CharSectno"/>
        </w:rPr>
        <w:t>200</w:t>
      </w:r>
      <w:r>
        <w:t>.</w:t>
      </w:r>
      <w:r>
        <w:tab/>
        <w:t>Grounds for cancelling approvals</w:t>
      </w:r>
      <w:bookmarkEnd w:id="398"/>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lastRenderedPageBreak/>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399" w:name="_Toc194933122"/>
      <w:r>
        <w:rPr>
          <w:rStyle w:val="CharSectno"/>
        </w:rPr>
        <w:t>201</w:t>
      </w:r>
      <w:r>
        <w:t>.</w:t>
      </w:r>
      <w:r>
        <w:tab/>
        <w:t>Grounds for varying approvals</w:t>
      </w:r>
      <w:bookmarkEnd w:id="399"/>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lastRenderedPageBreak/>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spacing w:before="200"/>
      </w:pPr>
      <w:bookmarkStart w:id="400" w:name="_Toc194911874"/>
      <w:bookmarkStart w:id="401" w:name="_Toc194914591"/>
      <w:bookmarkStart w:id="402" w:name="_Toc194914961"/>
      <w:bookmarkStart w:id="403" w:name="_Toc194933123"/>
      <w:r>
        <w:rPr>
          <w:rStyle w:val="CharDivNo"/>
        </w:rPr>
        <w:t>Division 2</w:t>
      </w:r>
      <w:r>
        <w:t> — </w:t>
      </w:r>
      <w:r>
        <w:rPr>
          <w:rStyle w:val="CharDivText"/>
        </w:rPr>
        <w:t>Register of approvals</w:t>
      </w:r>
      <w:bookmarkEnd w:id="400"/>
      <w:bookmarkEnd w:id="401"/>
      <w:bookmarkEnd w:id="402"/>
      <w:bookmarkEnd w:id="403"/>
    </w:p>
    <w:p>
      <w:pPr>
        <w:pStyle w:val="Heading5"/>
        <w:spacing w:before="180"/>
      </w:pPr>
      <w:bookmarkStart w:id="404" w:name="_Toc194933124"/>
      <w:r>
        <w:rPr>
          <w:rStyle w:val="CharSectno"/>
        </w:rPr>
        <w:t>202</w:t>
      </w:r>
      <w:r>
        <w:t>.</w:t>
      </w:r>
      <w:r>
        <w:tab/>
        <w:t>Register of approvals</w:t>
      </w:r>
      <w:bookmarkEnd w:id="404"/>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405" w:name="_Toc194933125"/>
      <w:r>
        <w:rPr>
          <w:rStyle w:val="CharSectno"/>
        </w:rPr>
        <w:t>203</w:t>
      </w:r>
      <w:r>
        <w:t>.</w:t>
      </w:r>
      <w:r>
        <w:tab/>
        <w:t>Records of approvals</w:t>
      </w:r>
      <w:bookmarkEnd w:id="405"/>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lastRenderedPageBreak/>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406" w:name="_Toc194911877"/>
      <w:bookmarkStart w:id="407" w:name="_Toc194914594"/>
      <w:bookmarkStart w:id="408" w:name="_Toc194914964"/>
      <w:bookmarkStart w:id="409" w:name="_Toc194933126"/>
      <w:r>
        <w:rPr>
          <w:rStyle w:val="CharDivNo"/>
        </w:rPr>
        <w:t>Division 3</w:t>
      </w:r>
      <w:r>
        <w:t> — </w:t>
      </w:r>
      <w:r>
        <w:rPr>
          <w:rStyle w:val="CharDivText"/>
        </w:rPr>
        <w:t>Reference of approval matters to CAP</w:t>
      </w:r>
      <w:bookmarkEnd w:id="406"/>
      <w:bookmarkEnd w:id="407"/>
      <w:bookmarkEnd w:id="408"/>
      <w:bookmarkEnd w:id="409"/>
    </w:p>
    <w:p>
      <w:pPr>
        <w:pStyle w:val="Heading5"/>
      </w:pPr>
      <w:bookmarkStart w:id="410" w:name="_Toc194933127"/>
      <w:r>
        <w:rPr>
          <w:rStyle w:val="CharSectno"/>
        </w:rPr>
        <w:t>204</w:t>
      </w:r>
      <w:r>
        <w:t>.</w:t>
      </w:r>
      <w:r>
        <w:tab/>
        <w:t>References to CAP</w:t>
      </w:r>
      <w:bookmarkEnd w:id="410"/>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Gazette 13 Jun 2014 p. 1945.]</w:t>
      </w:r>
    </w:p>
    <w:p>
      <w:pPr>
        <w:pStyle w:val="Heading5"/>
      </w:pPr>
      <w:bookmarkStart w:id="411" w:name="_Toc194933128"/>
      <w:r>
        <w:rPr>
          <w:rStyle w:val="CharSectno"/>
        </w:rPr>
        <w:t>205</w:t>
      </w:r>
      <w:r>
        <w:t>.</w:t>
      </w:r>
      <w:r>
        <w:tab/>
        <w:t>Effect of CAP decisions about approvals</w:t>
      </w:r>
      <w:bookmarkEnd w:id="411"/>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 xml:space="preserve">that the approval should be given, what the terms of the approval should be, and that the approval should have effect in all participating </w:t>
      </w:r>
      <w:r>
        <w:lastRenderedPageBreak/>
        <w:t>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Gazette 13 Jun 2014 p. 1945.]</w:t>
      </w:r>
    </w:p>
    <w:p>
      <w:pPr>
        <w:pStyle w:val="Heading5"/>
      </w:pPr>
      <w:bookmarkStart w:id="412" w:name="_Toc194933129"/>
      <w:r>
        <w:rPr>
          <w:rStyle w:val="CharSectno"/>
        </w:rPr>
        <w:t>206</w:t>
      </w:r>
      <w:r>
        <w:t>.</w:t>
      </w:r>
      <w:r>
        <w:tab/>
        <w:t>Effect of CAP decisions about cancelling or varying approvals</w:t>
      </w:r>
      <w:bookmarkEnd w:id="412"/>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413" w:name="_Toc194911881"/>
      <w:bookmarkStart w:id="414" w:name="_Toc194914598"/>
      <w:bookmarkStart w:id="415" w:name="_Toc194914968"/>
      <w:bookmarkStart w:id="416" w:name="_Toc194933130"/>
      <w:r>
        <w:rPr>
          <w:rStyle w:val="CharDivNo"/>
        </w:rPr>
        <w:t>Division 4</w:t>
      </w:r>
      <w:r>
        <w:t> — </w:t>
      </w:r>
      <w:r>
        <w:rPr>
          <w:rStyle w:val="CharDivText"/>
        </w:rPr>
        <w:t>Cancellation and variation</w:t>
      </w:r>
      <w:bookmarkEnd w:id="413"/>
      <w:bookmarkEnd w:id="414"/>
      <w:bookmarkEnd w:id="415"/>
      <w:bookmarkEnd w:id="416"/>
    </w:p>
    <w:p>
      <w:pPr>
        <w:pStyle w:val="Heading5"/>
        <w:spacing w:before="180"/>
      </w:pPr>
      <w:bookmarkStart w:id="417" w:name="_Toc194933131"/>
      <w:r>
        <w:rPr>
          <w:rStyle w:val="CharSectno"/>
        </w:rPr>
        <w:t>207</w:t>
      </w:r>
      <w:r>
        <w:t>.</w:t>
      </w:r>
      <w:r>
        <w:tab/>
        <w:t>Term used: approval</w:t>
      </w:r>
      <w:bookmarkEnd w:id="417"/>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418" w:name="_Toc194933132"/>
      <w:r>
        <w:rPr>
          <w:rStyle w:val="CharSectno"/>
        </w:rPr>
        <w:lastRenderedPageBreak/>
        <w:t>208</w:t>
      </w:r>
      <w:r>
        <w:t>.</w:t>
      </w:r>
      <w:r>
        <w:tab/>
        <w:t>Cancellation and variation in dangerous situations</w:t>
      </w:r>
      <w:bookmarkEnd w:id="418"/>
    </w:p>
    <w:p>
      <w:pPr>
        <w:pStyle w:val="Subsection"/>
        <w:keepNext/>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419" w:name="_Toc194933133"/>
      <w:r>
        <w:rPr>
          <w:rStyle w:val="CharSectno"/>
        </w:rPr>
        <w:t>209</w:t>
      </w:r>
      <w:r>
        <w:t>.</w:t>
      </w:r>
      <w:r>
        <w:tab/>
        <w:t>Cancellation giving effect to court orders</w:t>
      </w:r>
      <w:bookmarkEnd w:id="419"/>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420" w:name="_Toc194933134"/>
      <w:r>
        <w:rPr>
          <w:rStyle w:val="CharSectno"/>
        </w:rPr>
        <w:t>210</w:t>
      </w:r>
      <w:r>
        <w:t>.</w:t>
      </w:r>
      <w:r>
        <w:tab/>
        <w:t>Variation of approvals on application</w:t>
      </w:r>
      <w:bookmarkEnd w:id="420"/>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421" w:name="_Toc194933135"/>
      <w:r>
        <w:rPr>
          <w:rStyle w:val="CharSectno"/>
        </w:rPr>
        <w:t>211</w:t>
      </w:r>
      <w:r>
        <w:t>.</w:t>
      </w:r>
      <w:r>
        <w:tab/>
        <w:t>Cancellation and variation in other circumstances</w:t>
      </w:r>
      <w:bookmarkEnd w:id="421"/>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lastRenderedPageBreak/>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422" w:name="_Toc194933136"/>
      <w:r>
        <w:rPr>
          <w:rStyle w:val="CharSectno"/>
        </w:rPr>
        <w:t>212</w:t>
      </w:r>
      <w:r>
        <w:t>.</w:t>
      </w:r>
      <w:r>
        <w:tab/>
        <w:t>When cancellation and variation take effect</w:t>
      </w:r>
      <w:bookmarkEnd w:id="422"/>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423" w:name="_Toc194911888"/>
      <w:bookmarkStart w:id="424" w:name="_Toc194914605"/>
      <w:bookmarkStart w:id="425" w:name="_Toc194914975"/>
      <w:bookmarkStart w:id="426" w:name="_Toc194933137"/>
      <w:r>
        <w:rPr>
          <w:rStyle w:val="CharPartNo"/>
        </w:rPr>
        <w:lastRenderedPageBreak/>
        <w:t>Part 17A</w:t>
      </w:r>
      <w:r>
        <w:rPr>
          <w:rStyle w:val="CharDivNo"/>
        </w:rPr>
        <w:t> </w:t>
      </w:r>
      <w:r>
        <w:t>—</w:t>
      </w:r>
      <w:r>
        <w:rPr>
          <w:rStyle w:val="CharDivText"/>
        </w:rPr>
        <w:t> </w:t>
      </w:r>
      <w:r>
        <w:rPr>
          <w:rStyle w:val="CharPartText"/>
        </w:rPr>
        <w:t>Determinations</w:t>
      </w:r>
      <w:bookmarkEnd w:id="423"/>
      <w:bookmarkEnd w:id="424"/>
      <w:bookmarkEnd w:id="425"/>
      <w:bookmarkEnd w:id="426"/>
    </w:p>
    <w:p>
      <w:pPr>
        <w:pStyle w:val="Footnoteheading"/>
      </w:pPr>
      <w:r>
        <w:tab/>
        <w:t>[Heading inserted: Gazette 13 Jun 2014 p. 1945.]</w:t>
      </w:r>
    </w:p>
    <w:p>
      <w:pPr>
        <w:pStyle w:val="Heading5"/>
        <w:spacing w:before="240"/>
      </w:pPr>
      <w:bookmarkStart w:id="427" w:name="_Toc194933138"/>
      <w:r>
        <w:rPr>
          <w:rStyle w:val="CharSectno"/>
        </w:rPr>
        <w:t>213A</w:t>
      </w:r>
      <w:r>
        <w:t>.</w:t>
      </w:r>
      <w:r>
        <w:tab/>
        <w:t>Reference of determinations to CAP</w:t>
      </w:r>
      <w:bookmarkEnd w:id="427"/>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Gazette 13 Jun 2014 p. 1945</w:t>
      </w:r>
      <w:r>
        <w:noBreakHyphen/>
        <w:t>6.]</w:t>
      </w:r>
    </w:p>
    <w:p>
      <w:pPr>
        <w:pStyle w:val="Heading5"/>
        <w:spacing w:before="240"/>
      </w:pPr>
      <w:bookmarkStart w:id="428" w:name="_Toc194933139"/>
      <w:r>
        <w:rPr>
          <w:rStyle w:val="CharSectno"/>
        </w:rPr>
        <w:t>213B</w:t>
      </w:r>
      <w:r>
        <w:t>.</w:t>
      </w:r>
      <w:r>
        <w:tab/>
        <w:t>Effect of CAP decisions about determinations</w:t>
      </w:r>
      <w:bookmarkEnd w:id="428"/>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lastRenderedPageBreak/>
        <w:tab/>
        <w:t>(2)</w:t>
      </w:r>
      <w:r>
        <w:tab/>
        <w:t>The Chief Officer must have regard to CAP’s decision.</w:t>
      </w:r>
    </w:p>
    <w:p>
      <w:pPr>
        <w:pStyle w:val="Footnotesection"/>
        <w:ind w:left="890" w:hanging="890"/>
      </w:pPr>
      <w:r>
        <w:tab/>
        <w:t>[Regulation 213B inserted: Gazette 13 Jun 2014 p. 1946.]</w:t>
      </w:r>
    </w:p>
    <w:p>
      <w:pPr>
        <w:pStyle w:val="Heading5"/>
        <w:spacing w:before="240"/>
      </w:pPr>
      <w:bookmarkStart w:id="429" w:name="_Toc194933140"/>
      <w:r>
        <w:rPr>
          <w:rStyle w:val="CharSectno"/>
        </w:rPr>
        <w:t>213C</w:t>
      </w:r>
      <w:r>
        <w:t>.</w:t>
      </w:r>
      <w:r>
        <w:tab/>
        <w:t>Effect of CAP decisions about revoking or varying determinations</w:t>
      </w:r>
      <w:bookmarkEnd w:id="429"/>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Gazette 13 Jun 2014 p. 1947.]</w:t>
      </w:r>
    </w:p>
    <w:p>
      <w:pPr>
        <w:pStyle w:val="Heading2"/>
      </w:pPr>
      <w:bookmarkStart w:id="430" w:name="_Toc194911892"/>
      <w:bookmarkStart w:id="431" w:name="_Toc194914609"/>
      <w:bookmarkStart w:id="432" w:name="_Toc194914979"/>
      <w:bookmarkStart w:id="433" w:name="_Toc194933141"/>
      <w:r>
        <w:rPr>
          <w:rStyle w:val="CharPartNo"/>
        </w:rPr>
        <w:lastRenderedPageBreak/>
        <w:t>Part 17</w:t>
      </w:r>
      <w:r>
        <w:t> — </w:t>
      </w:r>
      <w:r>
        <w:rPr>
          <w:rStyle w:val="CharPartText"/>
        </w:rPr>
        <w:t>Licences</w:t>
      </w:r>
      <w:bookmarkEnd w:id="430"/>
      <w:bookmarkEnd w:id="431"/>
      <w:bookmarkEnd w:id="432"/>
      <w:bookmarkEnd w:id="433"/>
    </w:p>
    <w:p>
      <w:pPr>
        <w:pStyle w:val="Heading3"/>
      </w:pPr>
      <w:bookmarkStart w:id="434" w:name="_Toc194911893"/>
      <w:bookmarkStart w:id="435" w:name="_Toc194914610"/>
      <w:bookmarkStart w:id="436" w:name="_Toc194914980"/>
      <w:bookmarkStart w:id="437" w:name="_Toc194933142"/>
      <w:r>
        <w:rPr>
          <w:rStyle w:val="CharDivNo"/>
        </w:rPr>
        <w:t>Division 1</w:t>
      </w:r>
      <w:r>
        <w:t> — </w:t>
      </w:r>
      <w:r>
        <w:rPr>
          <w:rStyle w:val="CharDivText"/>
        </w:rPr>
        <w:t>Preliminary</w:t>
      </w:r>
      <w:bookmarkEnd w:id="434"/>
      <w:bookmarkEnd w:id="435"/>
      <w:bookmarkEnd w:id="436"/>
      <w:bookmarkEnd w:id="437"/>
    </w:p>
    <w:p>
      <w:pPr>
        <w:pStyle w:val="Heading5"/>
        <w:spacing w:before="180"/>
        <w:rPr>
          <w:color w:val="000000"/>
        </w:rPr>
      </w:pPr>
      <w:bookmarkStart w:id="438" w:name="_Toc194933143"/>
      <w:r>
        <w:rPr>
          <w:rStyle w:val="CharSectno"/>
          <w:color w:val="000000"/>
        </w:rPr>
        <w:t>213</w:t>
      </w:r>
      <w:r>
        <w:rPr>
          <w:color w:val="000000"/>
        </w:rPr>
        <w:t>.</w:t>
      </w:r>
      <w:r>
        <w:rPr>
          <w:color w:val="000000"/>
        </w:rPr>
        <w:tab/>
      </w:r>
      <w:r>
        <w:t>Terms used</w:t>
      </w:r>
      <w:bookmarkEnd w:id="438"/>
    </w:p>
    <w:p>
      <w:pPr>
        <w:pStyle w:val="Subsection"/>
        <w:rPr>
          <w:color w:val="000000"/>
        </w:rPr>
      </w:pPr>
      <w:r>
        <w:rPr>
          <w:color w:val="000000"/>
        </w:rPr>
        <w:tab/>
      </w:r>
      <w:r>
        <w:rPr>
          <w:color w:val="000000"/>
        </w:rPr>
        <w:tab/>
        <w:t xml:space="preserve">In this Part — </w:t>
      </w:r>
    </w:p>
    <w:p>
      <w:pPr>
        <w:pStyle w:val="Defstart"/>
      </w:pPr>
      <w:r>
        <w:tab/>
      </w:r>
      <w:r>
        <w:rPr>
          <w:rStyle w:val="CharDefText"/>
        </w:rPr>
        <w:t>Austroads</w:t>
      </w:r>
      <w:r>
        <w:t xml:space="preserve"> means Austroads Limited ACN 136 812 390;</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rPr>
          <w:color w:val="000000"/>
        </w:rPr>
      </w:pPr>
      <w:r>
        <w:rPr>
          <w:color w:val="000000"/>
        </w:rPr>
        <w:tab/>
        <w:t>(b)</w:t>
      </w:r>
      <w:r>
        <w:rPr>
          <w:color w:val="000000"/>
        </w:rPr>
        <w:tab/>
        <w:t>a person authorised by the Chief Officer to grant and renew licences under this Part.</w:t>
      </w:r>
    </w:p>
    <w:p>
      <w:pPr>
        <w:pStyle w:val="Footnotesection"/>
      </w:pPr>
      <w:r>
        <w:tab/>
        <w:t>[Regulation 213 amended: SL 2024/22 r. 9.]</w:t>
      </w:r>
    </w:p>
    <w:p>
      <w:pPr>
        <w:pStyle w:val="Heading5"/>
        <w:spacing w:before="180"/>
        <w:rPr>
          <w:color w:val="000000"/>
        </w:rPr>
      </w:pPr>
      <w:bookmarkStart w:id="439" w:name="_Toc194933144"/>
      <w:r>
        <w:rPr>
          <w:rStyle w:val="CharSectno"/>
          <w:color w:val="000000"/>
        </w:rPr>
        <w:t>214</w:t>
      </w:r>
      <w:r>
        <w:rPr>
          <w:color w:val="000000"/>
        </w:rPr>
        <w:t>.</w:t>
      </w:r>
      <w:r>
        <w:rPr>
          <w:color w:val="000000"/>
        </w:rPr>
        <w:tab/>
        <w:t>Part additional to other laws</w:t>
      </w:r>
      <w:bookmarkEnd w:id="439"/>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440" w:name="_Toc194911896"/>
      <w:bookmarkStart w:id="441" w:name="_Toc194914613"/>
      <w:bookmarkStart w:id="442" w:name="_Toc194914983"/>
      <w:bookmarkStart w:id="443" w:name="_Toc194933145"/>
      <w:r>
        <w:rPr>
          <w:rStyle w:val="CharDivNo"/>
        </w:rPr>
        <w:t>Division 2</w:t>
      </w:r>
      <w:r>
        <w:t> — </w:t>
      </w:r>
      <w:r>
        <w:rPr>
          <w:rStyle w:val="CharDivText"/>
        </w:rPr>
        <w:t>Principal duties under this Part</w:t>
      </w:r>
      <w:bookmarkEnd w:id="440"/>
      <w:bookmarkEnd w:id="441"/>
      <w:bookmarkEnd w:id="442"/>
      <w:bookmarkEnd w:id="443"/>
    </w:p>
    <w:p>
      <w:pPr>
        <w:pStyle w:val="Heading5"/>
        <w:spacing w:before="180"/>
      </w:pPr>
      <w:bookmarkStart w:id="444" w:name="_Toc194933146"/>
      <w:r>
        <w:rPr>
          <w:rStyle w:val="CharSectno"/>
          <w:color w:val="000000"/>
        </w:rPr>
        <w:t>215</w:t>
      </w:r>
      <w:r>
        <w:rPr>
          <w:color w:val="000000"/>
        </w:rPr>
        <w:t>.</w:t>
      </w:r>
      <w:r>
        <w:rPr>
          <w:color w:val="000000"/>
        </w:rPr>
        <w:tab/>
        <w:t>Vehicles to be licensed (Act s. 14)</w:t>
      </w:r>
      <w:bookmarkEnd w:id="444"/>
    </w:p>
    <w:p>
      <w:pPr>
        <w:pStyle w:val="Subsection"/>
      </w:pPr>
      <w:r>
        <w:tab/>
        <w:t>(1)</w:t>
      </w:r>
      <w:r>
        <w:tab/>
        <w:t xml:space="preserve">In this regulation — </w:t>
      </w:r>
    </w:p>
    <w:p>
      <w:pPr>
        <w:pStyle w:val="Defstart"/>
      </w:pPr>
      <w:r>
        <w:tab/>
      </w:r>
      <w:r>
        <w:rPr>
          <w:rStyle w:val="CharDefText"/>
        </w:rPr>
        <w:t>relevant road tank vehicle</w:t>
      </w:r>
      <w:r>
        <w:t xml:space="preserve"> means a road tank vehicle with a tank or demountable tank with a capacity of more than 500 L that is filled or emptied while attached to the vehicle.</w:t>
      </w:r>
    </w:p>
    <w:p>
      <w:pPr>
        <w:pStyle w:val="Subsection"/>
      </w:pPr>
      <w:r>
        <w:tab/>
        <w:t>(2)</w:t>
      </w:r>
      <w:r>
        <w:tab/>
        <w:t>Except as provided in subregulation (5), a relevant road tank vehicle used to transport dangerous goods on a road must be licensed under this Part to transport the goods.</w:t>
      </w:r>
    </w:p>
    <w:p>
      <w:pPr>
        <w:pStyle w:val="Ednotesubsection"/>
        <w:keepNext/>
      </w:pPr>
      <w:r>
        <w:lastRenderedPageBreak/>
        <w:tab/>
        <w:t>[(3), (4)</w:t>
      </w:r>
      <w:r>
        <w:tab/>
        <w:t>deleted]</w:t>
      </w:r>
    </w:p>
    <w:p>
      <w:pPr>
        <w:pStyle w:val="Subsection"/>
      </w:pPr>
      <w:r>
        <w:tab/>
        <w:t>(5)</w:t>
      </w:r>
      <w:r>
        <w:tab/>
        <w:t>A relevant road tank vehicle used to transport dangerous goods need not be licensed under this Part if a determination made under regulation 19 permits the vehicle that is not licensed under this Part to be used to transport the particular dangerous goods.</w:t>
      </w:r>
    </w:p>
    <w:p>
      <w:pPr>
        <w:pStyle w:val="Footnotesection"/>
      </w:pPr>
      <w:r>
        <w:tab/>
        <w:t>[Regulation 215 amended: Gazette 22 Jun 2010 p. 2737</w:t>
      </w:r>
      <w:r>
        <w:noBreakHyphen/>
        <w:t>8; 3 Aug 2012 p. 3757; 13 Jun 2014 p. 1947; 8 Jan 2015 p. 132; 11 Jul 2017 p. 3830; SL 2024/22 r. 10.]</w:t>
      </w:r>
    </w:p>
    <w:p>
      <w:pPr>
        <w:pStyle w:val="Heading5"/>
      </w:pPr>
      <w:bookmarkStart w:id="445" w:name="_Toc194933147"/>
      <w:r>
        <w:rPr>
          <w:rStyle w:val="CharSectno"/>
          <w:color w:val="000000"/>
        </w:rPr>
        <w:t>216A</w:t>
      </w:r>
      <w:r>
        <w:t>.</w:t>
      </w:r>
      <w:r>
        <w:tab/>
        <w:t>Some vehicles may be licensed even though not required to be licensed under this Part</w:t>
      </w:r>
      <w:bookmarkEnd w:id="445"/>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Gazette 3 Aug 2012 p. 3758.]</w:t>
      </w:r>
    </w:p>
    <w:p>
      <w:pPr>
        <w:pStyle w:val="Heading5"/>
        <w:rPr>
          <w:color w:val="000000"/>
        </w:rPr>
      </w:pPr>
      <w:bookmarkStart w:id="446" w:name="_Toc194933148"/>
      <w:r>
        <w:rPr>
          <w:rStyle w:val="CharSectno"/>
          <w:color w:val="000000"/>
        </w:rPr>
        <w:lastRenderedPageBreak/>
        <w:t>216</w:t>
      </w:r>
      <w:r>
        <w:rPr>
          <w:color w:val="000000"/>
        </w:rPr>
        <w:t>.</w:t>
      </w:r>
      <w:r>
        <w:rPr>
          <w:color w:val="000000"/>
        </w:rPr>
        <w:tab/>
        <w:t>Drivers to be licensed (Act s. 15)</w:t>
      </w:r>
      <w:bookmarkEnd w:id="446"/>
    </w:p>
    <w:p>
      <w:pPr>
        <w:pStyle w:val="Subsection"/>
        <w:keepNext/>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Gazette 22 Jun 2010 p. 2738.]</w:t>
      </w:r>
    </w:p>
    <w:p>
      <w:pPr>
        <w:pStyle w:val="Heading5"/>
        <w:rPr>
          <w:color w:val="000000"/>
        </w:rPr>
      </w:pPr>
      <w:bookmarkStart w:id="447" w:name="_Toc194933149"/>
      <w:r>
        <w:rPr>
          <w:rStyle w:val="CharSectno"/>
          <w:color w:val="000000"/>
        </w:rPr>
        <w:t>217</w:t>
      </w:r>
      <w:r>
        <w:rPr>
          <w:color w:val="000000"/>
        </w:rPr>
        <w:t>.</w:t>
      </w:r>
      <w:r>
        <w:rPr>
          <w:color w:val="000000"/>
        </w:rPr>
        <w:tab/>
        <w:t>Duty on consignors</w:t>
      </w:r>
      <w:bookmarkEnd w:id="447"/>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448" w:name="_Toc194911901"/>
      <w:bookmarkStart w:id="449" w:name="_Toc194914618"/>
      <w:bookmarkStart w:id="450" w:name="_Toc194914988"/>
      <w:bookmarkStart w:id="451" w:name="_Toc194933150"/>
      <w:r>
        <w:rPr>
          <w:rStyle w:val="CharDivNo"/>
        </w:rPr>
        <w:t>Division 3</w:t>
      </w:r>
      <w:r>
        <w:t> — </w:t>
      </w:r>
      <w:r>
        <w:rPr>
          <w:rStyle w:val="CharDivText"/>
        </w:rPr>
        <w:t>Dangerous goods driver licences</w:t>
      </w:r>
      <w:bookmarkEnd w:id="448"/>
      <w:bookmarkEnd w:id="449"/>
      <w:bookmarkEnd w:id="450"/>
      <w:bookmarkEnd w:id="451"/>
    </w:p>
    <w:p>
      <w:pPr>
        <w:pStyle w:val="Heading5"/>
        <w:spacing w:before="240"/>
      </w:pPr>
      <w:bookmarkStart w:id="452" w:name="_Toc194933151"/>
      <w:r>
        <w:rPr>
          <w:rStyle w:val="CharSectno"/>
        </w:rPr>
        <w:t>218</w:t>
      </w:r>
      <w:r>
        <w:t>.</w:t>
      </w:r>
      <w:r>
        <w:tab/>
        <w:t>Applications for licences</w:t>
      </w:r>
      <w:bookmarkEnd w:id="452"/>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w:t>
      </w:r>
      <w:r>
        <w:lastRenderedPageBreak/>
        <w:t>dangerous goods driver licence if the person holds a driver licence (other than a provisional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1 recent photograph of the applicant’s face and shoulders;</w:t>
      </w:r>
    </w:p>
    <w:p>
      <w:pPr>
        <w:pStyle w:val="Indenta"/>
      </w:pPr>
      <w:r>
        <w:tab/>
        <w:t>(e)</w:t>
      </w:r>
      <w:r>
        <w:tab/>
        <w:t>the fee determined under regulation 272 Table item 2(a).</w:t>
      </w:r>
    </w:p>
    <w:p>
      <w:pPr>
        <w:pStyle w:val="Footnotesection"/>
      </w:pPr>
      <w:r>
        <w:tab/>
        <w:t>[Regulation 218 amended: Gazette 17 Nov 2015 p. 4700; 11 Jul 2017 p. 3830; SL 2023/36 r. 9.]</w:t>
      </w:r>
    </w:p>
    <w:p>
      <w:pPr>
        <w:pStyle w:val="Heading5"/>
        <w:spacing w:before="240"/>
      </w:pPr>
      <w:bookmarkStart w:id="453" w:name="_Toc194933152"/>
      <w:r>
        <w:rPr>
          <w:rStyle w:val="CharSectno"/>
        </w:rPr>
        <w:t>219</w:t>
      </w:r>
      <w:r>
        <w:t>.</w:t>
      </w:r>
      <w:r>
        <w:tab/>
        <w:t>Required driver licence evidence</w:t>
      </w:r>
      <w:bookmarkEnd w:id="453"/>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lastRenderedPageBreak/>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Footnotesection"/>
      </w:pPr>
      <w:r>
        <w:tab/>
        <w:t>[Regulation 219 amended: Gazette 17 Nov 2015 p. 4700.]</w:t>
      </w:r>
    </w:p>
    <w:p>
      <w:pPr>
        <w:pStyle w:val="Heading5"/>
      </w:pPr>
      <w:bookmarkStart w:id="454" w:name="_Toc194933153"/>
      <w:r>
        <w:rPr>
          <w:rStyle w:val="CharSectno"/>
        </w:rPr>
        <w:t>220</w:t>
      </w:r>
      <w:r>
        <w:t>.</w:t>
      </w:r>
      <w:r>
        <w:tab/>
        <w:t>Required competency evidence</w:t>
      </w:r>
      <w:bookmarkEnd w:id="454"/>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455" w:name="_Toc194933154"/>
      <w:r>
        <w:rPr>
          <w:rStyle w:val="CharSectno"/>
        </w:rPr>
        <w:t>221</w:t>
      </w:r>
      <w:r>
        <w:t>.</w:t>
      </w:r>
      <w:r>
        <w:tab/>
        <w:t>Required medical fitness evidence</w:t>
      </w:r>
      <w:bookmarkEnd w:id="455"/>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keepNext/>
      </w:pPr>
      <w:r>
        <w:lastRenderedPageBreak/>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 — Medical Standards for Licensing and Clinical Management Guidelines</w:t>
      </w:r>
      <w:r>
        <w:t>, published by Austroads and the National Transport Commission, as in force at the time of the examination.</w:t>
      </w:r>
    </w:p>
    <w:p>
      <w:pPr>
        <w:pStyle w:val="Footnotesection"/>
      </w:pPr>
      <w:r>
        <w:tab/>
        <w:t>[Regulation 221 amended: Gazette 3 Aug 2012 p. 3758; 11 Jul 2017 p. 3830; SL 2024/22 r. 11.]</w:t>
      </w:r>
    </w:p>
    <w:p>
      <w:pPr>
        <w:pStyle w:val="Heading5"/>
      </w:pPr>
      <w:bookmarkStart w:id="456" w:name="_Toc194933155"/>
      <w:r>
        <w:rPr>
          <w:rStyle w:val="CharSectno"/>
        </w:rPr>
        <w:t>222</w:t>
      </w:r>
      <w:r>
        <w:t>.</w:t>
      </w:r>
      <w:r>
        <w:tab/>
        <w:t>Grant of dangerous goods driver licences</w:t>
      </w:r>
      <w:bookmarkEnd w:id="456"/>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the applicant has been found guilty by a court in Australia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457" w:name="_Toc194933156"/>
      <w:r>
        <w:rPr>
          <w:rStyle w:val="CharSectno"/>
        </w:rPr>
        <w:lastRenderedPageBreak/>
        <w:t>223</w:t>
      </w:r>
      <w:r>
        <w:t>.</w:t>
      </w:r>
      <w:r>
        <w:tab/>
        <w:t>Applications for renewal of licences</w:t>
      </w:r>
      <w:bookmarkEnd w:id="457"/>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keepNext/>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the fee determined under regulation 272 Table item 2(a).</w:t>
      </w:r>
    </w:p>
    <w:p>
      <w:pPr>
        <w:pStyle w:val="Footnotesection"/>
      </w:pPr>
      <w:r>
        <w:tab/>
        <w:t>[Regulation 223 amended: SL 2023/36 r. 10.]</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458" w:name="_Toc194933157"/>
      <w:r>
        <w:rPr>
          <w:rStyle w:val="CharSectno"/>
        </w:rPr>
        <w:t>224</w:t>
      </w:r>
      <w:r>
        <w:t>.</w:t>
      </w:r>
      <w:r>
        <w:tab/>
        <w:t>Renewal of licences</w:t>
      </w:r>
      <w:bookmarkEnd w:id="458"/>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the applicant was found guilty by a court in Australia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lastRenderedPageBreak/>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459" w:name="_Toc194933158"/>
      <w:r>
        <w:rPr>
          <w:rStyle w:val="CharSectno"/>
        </w:rPr>
        <w:t>225</w:t>
      </w:r>
      <w:r>
        <w:t>.</w:t>
      </w:r>
      <w:r>
        <w:tab/>
        <w:t>Licence periods</w:t>
      </w:r>
      <w:bookmarkEnd w:id="459"/>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Gazette 3 Aug 2012 p. 3758.]</w:t>
      </w:r>
    </w:p>
    <w:p>
      <w:pPr>
        <w:pStyle w:val="Heading5"/>
        <w:spacing w:before="180"/>
      </w:pPr>
      <w:bookmarkStart w:id="460" w:name="_Toc194933159"/>
      <w:r>
        <w:rPr>
          <w:rStyle w:val="CharSectno"/>
        </w:rPr>
        <w:t>226</w:t>
      </w:r>
      <w:r>
        <w:t>.</w:t>
      </w:r>
      <w:r>
        <w:tab/>
        <w:t>Licence conditions</w:t>
      </w:r>
      <w:bookmarkEnd w:id="460"/>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lastRenderedPageBreak/>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keepNext/>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461" w:name="_Toc194933160"/>
      <w:r>
        <w:rPr>
          <w:rStyle w:val="CharSectno"/>
        </w:rPr>
        <w:t>227</w:t>
      </w:r>
      <w:r>
        <w:t>.</w:t>
      </w:r>
      <w:r>
        <w:tab/>
        <w:t>Additional condition</w:t>
      </w:r>
      <w:bookmarkEnd w:id="461"/>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 xml:space="preserve">Assessing Fitness to Drive for Commercial and Private </w:t>
      </w:r>
      <w:r>
        <w:rPr>
          <w:i/>
        </w:rPr>
        <w:lastRenderedPageBreak/>
        <w:t>Vehicle Drivers — Medical Standards for Licensing and Clinical Management Guidelines</w:t>
      </w:r>
      <w:r>
        <w:t>, published by Austroads and the National Transport Commission, as in force at the time of the examination.</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keepNext/>
        <w:keepLines/>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Gazette 3 Aug 2012 p. 3759; 11 Jul 2017 p. 3831; SL 2024/22 r. 12.]</w:t>
      </w:r>
    </w:p>
    <w:p>
      <w:pPr>
        <w:pStyle w:val="Heading5"/>
      </w:pPr>
      <w:bookmarkStart w:id="462" w:name="_Toc194933161"/>
      <w:r>
        <w:rPr>
          <w:rStyle w:val="CharSectno"/>
          <w:color w:val="000000"/>
        </w:rPr>
        <w:t>228</w:t>
      </w:r>
      <w:r>
        <w:rPr>
          <w:color w:val="000000"/>
        </w:rPr>
        <w:t>.</w:t>
      </w:r>
      <w:r>
        <w:rPr>
          <w:color w:val="000000"/>
        </w:rPr>
        <w:tab/>
        <w:t>Grounds for cancelling, suspending or varying</w:t>
      </w:r>
      <w:r>
        <w:t xml:space="preserve"> licences</w:t>
      </w:r>
      <w:bookmarkEnd w:id="462"/>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the licensee has been found guilty by a court in Australia of an offence; or</w:t>
      </w:r>
    </w:p>
    <w:p>
      <w:pPr>
        <w:pStyle w:val="Indenta"/>
        <w:rPr>
          <w:bCs/>
          <w:iCs/>
        </w:rPr>
      </w:pPr>
      <w:r>
        <w:lastRenderedPageBreak/>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463" w:name="_Toc194911913"/>
      <w:bookmarkStart w:id="464" w:name="_Toc194914630"/>
      <w:bookmarkStart w:id="465" w:name="_Toc194915000"/>
      <w:bookmarkStart w:id="466" w:name="_Toc194933162"/>
      <w:r>
        <w:rPr>
          <w:rStyle w:val="CharDivNo"/>
        </w:rPr>
        <w:t>Division 4</w:t>
      </w:r>
      <w:r>
        <w:t> — </w:t>
      </w:r>
      <w:r>
        <w:rPr>
          <w:rStyle w:val="CharDivText"/>
        </w:rPr>
        <w:t>Dangerous goods vehicle licences</w:t>
      </w:r>
      <w:bookmarkEnd w:id="463"/>
      <w:bookmarkEnd w:id="464"/>
      <w:bookmarkEnd w:id="465"/>
      <w:bookmarkEnd w:id="466"/>
    </w:p>
    <w:p>
      <w:pPr>
        <w:pStyle w:val="Heading5"/>
        <w:spacing w:before="180"/>
      </w:pPr>
      <w:bookmarkStart w:id="467" w:name="_Toc194933163"/>
      <w:r>
        <w:rPr>
          <w:rStyle w:val="CharSectno"/>
        </w:rPr>
        <w:t>229</w:t>
      </w:r>
      <w:r>
        <w:t>.</w:t>
      </w:r>
      <w:r>
        <w:tab/>
        <w:t>Terms used</w:t>
      </w:r>
      <w:bookmarkEnd w:id="467"/>
    </w:p>
    <w:p>
      <w:pPr>
        <w:pStyle w:val="Subsection"/>
        <w:keepNext/>
      </w:pPr>
      <w:r>
        <w:tab/>
      </w:r>
      <w:r>
        <w:tab/>
        <w:t xml:space="preserve">In this Division — </w:t>
      </w:r>
    </w:p>
    <w:p>
      <w:pPr>
        <w:pStyle w:val="Defstart"/>
      </w:pPr>
      <w:r>
        <w:rPr>
          <w:b/>
        </w:rPr>
        <w:tab/>
      </w:r>
      <w:r>
        <w:rPr>
          <w:rStyle w:val="CharDefText"/>
        </w:rPr>
        <w:t>converter dolly</w:t>
      </w:r>
      <w:r>
        <w:t xml:space="preserve"> has the meaning given in the </w:t>
      </w:r>
      <w:r>
        <w:rPr>
          <w:i/>
        </w:rPr>
        <w:t>Road Traffic (Vehicles) Regulations 2014</w:t>
      </w:r>
      <w:r>
        <w:t xml:space="preserve"> regulation 3;</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pPr>
      <w:r>
        <w:tab/>
        <w:t>(b)</w:t>
      </w:r>
      <w:r>
        <w:tab/>
        <w:t>a converter dolly.</w:t>
      </w:r>
    </w:p>
    <w:p>
      <w:pPr>
        <w:pStyle w:val="Footnotesection"/>
      </w:pPr>
      <w:r>
        <w:tab/>
        <w:t>[Regulation 229 amended: Gazette 11 Jul 2017 p. 3831.]</w:t>
      </w:r>
    </w:p>
    <w:p>
      <w:pPr>
        <w:pStyle w:val="Heading5"/>
        <w:spacing w:before="180"/>
      </w:pPr>
      <w:bookmarkStart w:id="468" w:name="_Toc194933164"/>
      <w:r>
        <w:rPr>
          <w:rStyle w:val="CharSectno"/>
        </w:rPr>
        <w:t>230</w:t>
      </w:r>
      <w:r>
        <w:t>.</w:t>
      </w:r>
      <w:r>
        <w:tab/>
        <w:t>Applications for licences</w:t>
      </w:r>
      <w:bookmarkEnd w:id="468"/>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lastRenderedPageBreak/>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pPr>
      <w:r>
        <w:tab/>
        <w:t>(4)</w:t>
      </w:r>
      <w:r>
        <w:tab/>
        <w:t>The application must be accompanied by the fee determined under regulation 272 Table item 2(b).</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Gazette 8 Jan 2015 p. 132; SL 2023/36 r. 11.]</w:t>
      </w:r>
    </w:p>
    <w:p>
      <w:pPr>
        <w:pStyle w:val="Heading5"/>
      </w:pPr>
      <w:bookmarkStart w:id="469" w:name="_Toc194933165"/>
      <w:r>
        <w:rPr>
          <w:rStyle w:val="CharSectno"/>
        </w:rPr>
        <w:t>231</w:t>
      </w:r>
      <w:r>
        <w:t>.</w:t>
      </w:r>
      <w:r>
        <w:tab/>
        <w:t>Additional information and inspections</w:t>
      </w:r>
      <w:bookmarkEnd w:id="469"/>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470" w:name="_Toc194933166"/>
      <w:r>
        <w:rPr>
          <w:rStyle w:val="CharSectno"/>
        </w:rPr>
        <w:lastRenderedPageBreak/>
        <w:t>232</w:t>
      </w:r>
      <w:r>
        <w:t>.</w:t>
      </w:r>
      <w:r>
        <w:tab/>
        <w:t>Grant of dangerous goods vehicle licences</w:t>
      </w:r>
      <w:bookmarkEnd w:id="470"/>
    </w:p>
    <w:p>
      <w:pPr>
        <w:pStyle w:val="Subsection"/>
        <w:keepNext/>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 xml:space="preserve">the vehicle complies with the requirements of the ADG Code Chapters 4.4 and </w:t>
      </w:r>
      <w:r>
        <w:t>6.10</w:t>
      </w:r>
      <w:r>
        <w:rPr>
          <w:color w:val="000000"/>
        </w:rPr>
        <w:t xml:space="preserve">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Footnotesection"/>
      </w:pPr>
      <w:r>
        <w:tab/>
        <w:t>[Regulation 232 amended: SL 2024/22 r. 14.]</w:t>
      </w:r>
    </w:p>
    <w:p>
      <w:pPr>
        <w:pStyle w:val="Heading5"/>
        <w:spacing w:before="180"/>
      </w:pPr>
      <w:bookmarkStart w:id="471" w:name="_Toc194933167"/>
      <w:r>
        <w:rPr>
          <w:rStyle w:val="CharSectno"/>
        </w:rPr>
        <w:lastRenderedPageBreak/>
        <w:t>233</w:t>
      </w:r>
      <w:r>
        <w:t>.</w:t>
      </w:r>
      <w:r>
        <w:tab/>
        <w:t>Applications for renewal of licences</w:t>
      </w:r>
      <w:bookmarkEnd w:id="471"/>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pPr>
      <w:r>
        <w:tab/>
        <w:t>(3)</w:t>
      </w:r>
      <w:r>
        <w:tab/>
        <w:t>The application must be accompanied by the fee determined under regulation 272 Table item 2(b).</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Footnotesection"/>
        <w:rPr>
          <w:color w:val="000000"/>
        </w:rPr>
      </w:pPr>
      <w:r>
        <w:tab/>
        <w:t>[Regulation 233 amended: SL 2023/36 r. 12.]</w:t>
      </w:r>
    </w:p>
    <w:p>
      <w:pPr>
        <w:pStyle w:val="Heading5"/>
        <w:keepLines w:val="0"/>
        <w:spacing w:before="180"/>
      </w:pPr>
      <w:bookmarkStart w:id="472" w:name="_Toc194933168"/>
      <w:r>
        <w:rPr>
          <w:rStyle w:val="CharSectno"/>
        </w:rPr>
        <w:t>234</w:t>
      </w:r>
      <w:r>
        <w:t>.</w:t>
      </w:r>
      <w:r>
        <w:tab/>
        <w:t>Renewal of licences</w:t>
      </w:r>
      <w:bookmarkEnd w:id="472"/>
    </w:p>
    <w:p>
      <w:pPr>
        <w:pStyle w:val="Subsection"/>
        <w:keepNext/>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 xml:space="preserve">the vehicle complies with the requirements of the ADG Code Chapters 4.4 and </w:t>
      </w:r>
      <w:r>
        <w:t>6.10</w:t>
      </w:r>
      <w:r>
        <w:rPr>
          <w:color w:val="000000"/>
        </w:rPr>
        <w:t xml:space="preserve">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lastRenderedPageBreak/>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Footnotesection"/>
      </w:pPr>
      <w:r>
        <w:tab/>
        <w:t>[Regulation 234 amended: SL 2024/22 r. 14.]</w:t>
      </w:r>
    </w:p>
    <w:p>
      <w:pPr>
        <w:pStyle w:val="Heading5"/>
        <w:spacing w:before="180"/>
      </w:pPr>
      <w:bookmarkStart w:id="473" w:name="_Toc194933169"/>
      <w:r>
        <w:rPr>
          <w:rStyle w:val="CharSectno"/>
        </w:rPr>
        <w:t>235</w:t>
      </w:r>
      <w:r>
        <w:t>.</w:t>
      </w:r>
      <w:r>
        <w:tab/>
        <w:t>Licence periods</w:t>
      </w:r>
      <w:bookmarkEnd w:id="473"/>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Gazette 3 Aug 2012 p. 3759.]</w:t>
      </w:r>
    </w:p>
    <w:p>
      <w:pPr>
        <w:pStyle w:val="Heading5"/>
        <w:spacing w:before="180"/>
      </w:pPr>
      <w:bookmarkStart w:id="474" w:name="_Toc194933170"/>
      <w:r>
        <w:rPr>
          <w:rStyle w:val="CharSectno"/>
        </w:rPr>
        <w:lastRenderedPageBreak/>
        <w:t>236</w:t>
      </w:r>
      <w:r>
        <w:t>.</w:t>
      </w:r>
      <w:r>
        <w:tab/>
        <w:t>Licence conditions</w:t>
      </w:r>
      <w:bookmarkEnd w:id="474"/>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keepNext/>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475" w:name="_Toc194933171"/>
      <w:r>
        <w:rPr>
          <w:rStyle w:val="CharSectno"/>
        </w:rPr>
        <w:t>237</w:t>
      </w:r>
      <w:r>
        <w:t>.</w:t>
      </w:r>
      <w:r>
        <w:tab/>
        <w:t>Disposal and transfer of licensed vehicles</w:t>
      </w:r>
      <w:bookmarkEnd w:id="475"/>
    </w:p>
    <w:p>
      <w:pPr>
        <w:pStyle w:val="Subsection"/>
        <w:keepNext/>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lastRenderedPageBreak/>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keepNext/>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476" w:name="_Toc194933172"/>
      <w:r>
        <w:rPr>
          <w:rStyle w:val="CharSectno"/>
        </w:rPr>
        <w:lastRenderedPageBreak/>
        <w:t>238</w:t>
      </w:r>
      <w:r>
        <w:t>.</w:t>
      </w:r>
      <w:r>
        <w:tab/>
        <w:t>Grounds for cancelling, suspending or varying licences</w:t>
      </w:r>
      <w:bookmarkEnd w:id="476"/>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477" w:name="_Toc194911924"/>
      <w:bookmarkStart w:id="478" w:name="_Toc194914641"/>
      <w:bookmarkStart w:id="479" w:name="_Toc194915011"/>
      <w:bookmarkStart w:id="480" w:name="_Toc194933173"/>
      <w:r>
        <w:rPr>
          <w:rStyle w:val="CharDivNo"/>
        </w:rPr>
        <w:t>Division 5</w:t>
      </w:r>
      <w:r>
        <w:t> — </w:t>
      </w:r>
      <w:r>
        <w:rPr>
          <w:rStyle w:val="CharDivText"/>
        </w:rPr>
        <w:t>Requirements relating to dangerous goods driver licences</w:t>
      </w:r>
      <w:bookmarkEnd w:id="477"/>
      <w:bookmarkEnd w:id="478"/>
      <w:bookmarkEnd w:id="479"/>
      <w:bookmarkEnd w:id="480"/>
    </w:p>
    <w:p>
      <w:pPr>
        <w:pStyle w:val="Heading5"/>
        <w:spacing w:before="180"/>
      </w:pPr>
      <w:bookmarkStart w:id="481" w:name="_Toc194933174"/>
      <w:r>
        <w:rPr>
          <w:rStyle w:val="CharSectno"/>
        </w:rPr>
        <w:t>239</w:t>
      </w:r>
      <w:r>
        <w:t>.</w:t>
      </w:r>
      <w:r>
        <w:tab/>
        <w:t>When licences to be carried</w:t>
      </w:r>
      <w:bookmarkEnd w:id="481"/>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Gazette 2 Dec 2013 p.</w:t>
      </w:r>
      <w:r>
        <w:rPr>
          <w:sz w:val="19"/>
        </w:rPr>
        <w:t> </w:t>
      </w:r>
      <w:r>
        <w:t>5497</w:t>
      </w:r>
      <w:r>
        <w:noBreakHyphen/>
        <w:t>8.]</w:t>
      </w:r>
    </w:p>
    <w:p>
      <w:pPr>
        <w:pStyle w:val="Heading5"/>
        <w:keepNext w:val="0"/>
        <w:keepLines w:val="0"/>
        <w:spacing w:before="180"/>
      </w:pPr>
      <w:bookmarkStart w:id="482" w:name="_Toc194933175"/>
      <w:r>
        <w:rPr>
          <w:rStyle w:val="CharSectno"/>
        </w:rPr>
        <w:t>240</w:t>
      </w:r>
      <w:r>
        <w:t>.</w:t>
      </w:r>
      <w:r>
        <w:tab/>
        <w:t>Licences to be produced for inspection</w:t>
      </w:r>
      <w:bookmarkEnd w:id="482"/>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483" w:name="_Toc194911927"/>
      <w:bookmarkStart w:id="484" w:name="_Toc194914644"/>
      <w:bookmarkStart w:id="485" w:name="_Toc194915014"/>
      <w:bookmarkStart w:id="486" w:name="_Toc194933176"/>
      <w:r>
        <w:rPr>
          <w:rStyle w:val="CharDivNo"/>
        </w:rPr>
        <w:lastRenderedPageBreak/>
        <w:t>Division 6</w:t>
      </w:r>
      <w:r>
        <w:t> — </w:t>
      </w:r>
      <w:r>
        <w:rPr>
          <w:rStyle w:val="CharDivText"/>
        </w:rPr>
        <w:t>Licences generally</w:t>
      </w:r>
      <w:bookmarkEnd w:id="483"/>
      <w:bookmarkEnd w:id="484"/>
      <w:bookmarkEnd w:id="485"/>
      <w:bookmarkEnd w:id="486"/>
    </w:p>
    <w:p>
      <w:pPr>
        <w:pStyle w:val="Heading5"/>
      </w:pPr>
      <w:bookmarkStart w:id="487" w:name="_Toc194933177"/>
      <w:r>
        <w:rPr>
          <w:rStyle w:val="CharSectno"/>
        </w:rPr>
        <w:t>241</w:t>
      </w:r>
      <w:r>
        <w:t>.</w:t>
      </w:r>
      <w:r>
        <w:tab/>
        <w:t>Terms used</w:t>
      </w:r>
      <w:bookmarkEnd w:id="487"/>
    </w:p>
    <w:p>
      <w:pPr>
        <w:pStyle w:val="Subsection"/>
        <w:keepNext/>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488" w:name="_Toc194933178"/>
      <w:r>
        <w:rPr>
          <w:rStyle w:val="CharSectno"/>
        </w:rPr>
        <w:t>242</w:t>
      </w:r>
      <w:r>
        <w:t>.</w:t>
      </w:r>
      <w:r>
        <w:tab/>
        <w:t>Replacement licences</w:t>
      </w:r>
      <w:bookmarkEnd w:id="488"/>
    </w:p>
    <w:p>
      <w:pPr>
        <w:pStyle w:val="Subsection"/>
        <w:keepNext/>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489" w:name="_Toc194933179"/>
      <w:r>
        <w:rPr>
          <w:rStyle w:val="CharSectno"/>
        </w:rPr>
        <w:t>243</w:t>
      </w:r>
      <w:r>
        <w:t>.</w:t>
      </w:r>
      <w:r>
        <w:tab/>
        <w:t>Failure to comply with licence conditions</w:t>
      </w:r>
      <w:bookmarkEnd w:id="489"/>
    </w:p>
    <w:p>
      <w:pPr>
        <w:pStyle w:val="Subsection"/>
      </w:pPr>
      <w:r>
        <w:tab/>
      </w:r>
      <w:r>
        <w:tab/>
        <w:t>A licensee must not contravene a condition of his or her licence.</w:t>
      </w:r>
    </w:p>
    <w:p>
      <w:pPr>
        <w:pStyle w:val="Penstart"/>
      </w:pPr>
      <w:r>
        <w:tab/>
        <w:t>Penalty: a fine of $10 000.</w:t>
      </w:r>
    </w:p>
    <w:p>
      <w:pPr>
        <w:pStyle w:val="Heading5"/>
      </w:pPr>
      <w:bookmarkStart w:id="490" w:name="_Toc194933180"/>
      <w:r>
        <w:rPr>
          <w:rStyle w:val="CharSectno"/>
        </w:rPr>
        <w:t>244</w:t>
      </w:r>
      <w:r>
        <w:t>.</w:t>
      </w:r>
      <w:r>
        <w:tab/>
        <w:t>Surrender of licences</w:t>
      </w:r>
      <w:bookmarkEnd w:id="490"/>
    </w:p>
    <w:p>
      <w:pPr>
        <w:pStyle w:val="Subsection"/>
        <w:rPr>
          <w:color w:val="000000"/>
        </w:rPr>
      </w:pPr>
      <w:r>
        <w:tab/>
        <w:t>(1)</w:t>
      </w:r>
      <w:r>
        <w:tab/>
        <w:t xml:space="preserve">A licensee may surrender his or her licence by giving notice of </w:t>
      </w:r>
      <w:r>
        <w:rPr>
          <w:color w:val="000000"/>
        </w:rPr>
        <w:t xml:space="preserve">surrender to the licensing </w:t>
      </w:r>
      <w:r>
        <w:t>authority.</w:t>
      </w:r>
    </w:p>
    <w:p>
      <w:pPr>
        <w:pStyle w:val="Subsection"/>
      </w:pPr>
      <w:r>
        <w:tab/>
        <w:t>(2)</w:t>
      </w:r>
      <w:r>
        <w:tab/>
        <w:t>A licence ceases to have effect on its surrender.</w:t>
      </w:r>
    </w:p>
    <w:p>
      <w:pPr>
        <w:pStyle w:val="Subsection"/>
      </w:pPr>
      <w:r>
        <w:tab/>
        <w:t>(3)</w:t>
      </w:r>
      <w:r>
        <w:tab/>
        <w:t>A person must not produce for inspection a licence that has been surrendered.</w:t>
      </w:r>
    </w:p>
    <w:p>
      <w:pPr>
        <w:pStyle w:val="Penstart"/>
      </w:pPr>
      <w:r>
        <w:tab/>
        <w:t>Penalty for this subregulation: a fine of $10 000.</w:t>
      </w:r>
    </w:p>
    <w:p>
      <w:pPr>
        <w:pStyle w:val="Footnotesection"/>
      </w:pPr>
      <w:r>
        <w:tab/>
        <w:t>[Regulation 244 amended: Gazette 11 Jul 2017 p. 3831.]</w:t>
      </w:r>
    </w:p>
    <w:p>
      <w:pPr>
        <w:pStyle w:val="Heading5"/>
      </w:pPr>
      <w:bookmarkStart w:id="491" w:name="_Toc194933181"/>
      <w:r>
        <w:rPr>
          <w:rStyle w:val="CharSectno"/>
        </w:rPr>
        <w:lastRenderedPageBreak/>
        <w:t>245</w:t>
      </w:r>
      <w:r>
        <w:t>.</w:t>
      </w:r>
      <w:r>
        <w:tab/>
        <w:t>Registers of licences</w:t>
      </w:r>
      <w:bookmarkEnd w:id="491"/>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492" w:name="_Toc194933182"/>
      <w:r>
        <w:rPr>
          <w:rStyle w:val="CharSectno"/>
        </w:rPr>
        <w:t>246</w:t>
      </w:r>
      <w:r>
        <w:t>.</w:t>
      </w:r>
      <w:r>
        <w:tab/>
        <w:t>Records of licences</w:t>
      </w:r>
      <w:bookmarkEnd w:id="492"/>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493" w:name="_Toc194933183"/>
      <w:r>
        <w:rPr>
          <w:rStyle w:val="CharSectno"/>
        </w:rPr>
        <w:lastRenderedPageBreak/>
        <w:t>247</w:t>
      </w:r>
      <w:r>
        <w:t>.</w:t>
      </w:r>
      <w:r>
        <w:tab/>
        <w:t>Change of information given in licence applications</w:t>
      </w:r>
      <w:bookmarkEnd w:id="493"/>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494" w:name="_Toc194933184"/>
      <w:r>
        <w:rPr>
          <w:rStyle w:val="CharSectno"/>
        </w:rPr>
        <w:t>248</w:t>
      </w:r>
      <w:r>
        <w:t>.</w:t>
      </w:r>
      <w:r>
        <w:tab/>
        <w:t xml:space="preserve">Production of licences </w:t>
      </w:r>
      <w:r>
        <w:rPr>
          <w:color w:val="000000"/>
        </w:rPr>
        <w:t>to licensing authority</w:t>
      </w:r>
      <w:bookmarkEnd w:id="494"/>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495" w:name="_Toc194933185"/>
      <w:r>
        <w:rPr>
          <w:rStyle w:val="CharSectno"/>
        </w:rPr>
        <w:t>249</w:t>
      </w:r>
      <w:r>
        <w:t>.</w:t>
      </w:r>
      <w:r>
        <w:tab/>
        <w:t>Return of licences</w:t>
      </w:r>
      <w:bookmarkEnd w:id="495"/>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lastRenderedPageBreak/>
        <w:tab/>
        <w:t>(5)</w:t>
      </w:r>
      <w:r>
        <w:rPr>
          <w:color w:val="000000"/>
        </w:rPr>
        <w:tab/>
        <w:t>However, if the licence period has ended, the licensing authority is not required to return the licence to the licensee.</w:t>
      </w:r>
    </w:p>
    <w:p>
      <w:pPr>
        <w:pStyle w:val="Heading3"/>
      </w:pPr>
      <w:bookmarkStart w:id="496" w:name="_Toc194911937"/>
      <w:bookmarkStart w:id="497" w:name="_Toc194914654"/>
      <w:bookmarkStart w:id="498" w:name="_Toc194915024"/>
      <w:bookmarkStart w:id="499" w:name="_Toc194933186"/>
      <w:r>
        <w:rPr>
          <w:rStyle w:val="CharDivNo"/>
        </w:rPr>
        <w:t>Division 7</w:t>
      </w:r>
      <w:r>
        <w:t> — </w:t>
      </w:r>
      <w:r>
        <w:rPr>
          <w:rStyle w:val="CharDivText"/>
        </w:rPr>
        <w:t>Cancellation, suspension and variation</w:t>
      </w:r>
      <w:bookmarkEnd w:id="496"/>
      <w:bookmarkEnd w:id="497"/>
      <w:bookmarkEnd w:id="498"/>
      <w:bookmarkEnd w:id="499"/>
    </w:p>
    <w:p>
      <w:pPr>
        <w:pStyle w:val="Heading5"/>
        <w:rPr>
          <w:color w:val="000000"/>
        </w:rPr>
      </w:pPr>
      <w:bookmarkStart w:id="500" w:name="_Toc194933187"/>
      <w:r>
        <w:rPr>
          <w:rStyle w:val="CharSectno"/>
        </w:rPr>
        <w:t>250</w:t>
      </w:r>
      <w:r>
        <w:t>.</w:t>
      </w:r>
      <w:r>
        <w:tab/>
      </w:r>
      <w:r>
        <w:rPr>
          <w:color w:val="000000"/>
        </w:rPr>
        <w:t>Terms used</w:t>
      </w:r>
      <w:bookmarkEnd w:id="500"/>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501" w:name="_Toc194933188"/>
      <w:r>
        <w:rPr>
          <w:rStyle w:val="CharSectno"/>
        </w:rPr>
        <w:t>251</w:t>
      </w:r>
      <w:r>
        <w:t>.</w:t>
      </w:r>
      <w:r>
        <w:tab/>
        <w:t>Cancellation, suspension and variation in dangerous situations</w:t>
      </w:r>
      <w:bookmarkEnd w:id="501"/>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502" w:name="_Toc194933189"/>
      <w:r>
        <w:rPr>
          <w:rStyle w:val="CharSectno"/>
        </w:rPr>
        <w:t>252</w:t>
      </w:r>
      <w:r>
        <w:t>.</w:t>
      </w:r>
      <w:r>
        <w:tab/>
        <w:t>Cancellation and suspension giving effect to court orders</w:t>
      </w:r>
      <w:bookmarkEnd w:id="502"/>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503" w:name="_Toc194933190"/>
      <w:r>
        <w:rPr>
          <w:rStyle w:val="CharSectno"/>
        </w:rPr>
        <w:t>253</w:t>
      </w:r>
      <w:r>
        <w:t>.</w:t>
      </w:r>
      <w:r>
        <w:tab/>
        <w:t>Variation of licences on application</w:t>
      </w:r>
      <w:bookmarkEnd w:id="503"/>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504" w:name="_Toc194933191"/>
      <w:r>
        <w:rPr>
          <w:rStyle w:val="CharSectno"/>
        </w:rPr>
        <w:lastRenderedPageBreak/>
        <w:t>254</w:t>
      </w:r>
      <w:r>
        <w:t>.</w:t>
      </w:r>
      <w:r>
        <w:tab/>
        <w:t>Cancellation, suspension and variation in other circumstances</w:t>
      </w:r>
      <w:bookmarkEnd w:id="504"/>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pPr>
      <w:r>
        <w:tab/>
        <w:t>(b)</w:t>
      </w:r>
      <w:r>
        <w:tab/>
        <w:t>if the proposed action is to suspend the licence — states the proposed suspension period (either as a period of time or by reference to a future event);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pPr>
      <w:r>
        <w:tab/>
        <w:t>(b)</w:t>
      </w:r>
      <w:r>
        <w:tab/>
        <w:t>suspend the licence for not longer than the suspension period stated in the notice;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lastRenderedPageBreak/>
        <w:tab/>
      </w:r>
      <w:r>
        <w:rPr>
          <w:color w:val="000000"/>
        </w:rPr>
        <w:t>(4)</w:t>
      </w:r>
      <w:r>
        <w:rPr>
          <w:color w:val="000000"/>
        </w:rPr>
        <w:tab/>
        <w:t>The licensing authority may withdraw a suspension before the suspension is due to expire if it reasonably believes that it is appropriate to do so.</w:t>
      </w:r>
    </w:p>
    <w:p>
      <w:pPr>
        <w:pStyle w:val="Footnotesection"/>
      </w:pPr>
      <w:r>
        <w:tab/>
        <w:t>[Regulation 254 amended: Gazette 11 Jul 2017 p. 3831</w:t>
      </w:r>
      <w:r>
        <w:noBreakHyphen/>
        <w:t>2.]</w:t>
      </w:r>
    </w:p>
    <w:p>
      <w:pPr>
        <w:pStyle w:val="Heading5"/>
      </w:pPr>
      <w:bookmarkStart w:id="505" w:name="_Toc194933192"/>
      <w:r>
        <w:rPr>
          <w:rStyle w:val="CharSectno"/>
        </w:rPr>
        <w:t>255</w:t>
      </w:r>
      <w:r>
        <w:t>.</w:t>
      </w:r>
      <w:r>
        <w:tab/>
        <w:t>When cancellation, suspension and variation take effect</w:t>
      </w:r>
      <w:bookmarkEnd w:id="505"/>
    </w:p>
    <w:p>
      <w:pPr>
        <w:pStyle w:val="Subsection"/>
        <w:keepNext/>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506" w:name="_Toc194933193"/>
      <w:r>
        <w:rPr>
          <w:rStyle w:val="CharSectno"/>
        </w:rPr>
        <w:t>256</w:t>
      </w:r>
      <w:r>
        <w:t>.</w:t>
      </w:r>
      <w:r>
        <w:tab/>
        <w:t>When licences taken to be suspended</w:t>
      </w:r>
      <w:bookmarkEnd w:id="506"/>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507" w:name="_Toc194911945"/>
      <w:bookmarkStart w:id="508" w:name="_Toc194914662"/>
      <w:bookmarkStart w:id="509" w:name="_Toc194915032"/>
      <w:bookmarkStart w:id="510" w:name="_Toc194933194"/>
      <w:r>
        <w:rPr>
          <w:rStyle w:val="CharPartNo"/>
        </w:rPr>
        <w:lastRenderedPageBreak/>
        <w:t>Part 18</w:t>
      </w:r>
      <w:r>
        <w:rPr>
          <w:rStyle w:val="CharDivNo"/>
        </w:rPr>
        <w:t> </w:t>
      </w:r>
      <w:r>
        <w:t>—</w:t>
      </w:r>
      <w:r>
        <w:rPr>
          <w:rStyle w:val="CharDivText"/>
        </w:rPr>
        <w:t> </w:t>
      </w:r>
      <w:r>
        <w:rPr>
          <w:rStyle w:val="CharPartText"/>
        </w:rPr>
        <w:t>Insurance</w:t>
      </w:r>
      <w:bookmarkEnd w:id="507"/>
      <w:bookmarkEnd w:id="508"/>
      <w:bookmarkEnd w:id="509"/>
      <w:bookmarkEnd w:id="510"/>
    </w:p>
    <w:p>
      <w:pPr>
        <w:pStyle w:val="Heading5"/>
        <w:rPr>
          <w:color w:val="000000"/>
        </w:rPr>
      </w:pPr>
      <w:bookmarkStart w:id="511" w:name="_Toc194933195"/>
      <w:r>
        <w:rPr>
          <w:rStyle w:val="CharSectno"/>
          <w:color w:val="000000"/>
        </w:rPr>
        <w:t>257</w:t>
      </w:r>
      <w:r>
        <w:rPr>
          <w:color w:val="000000"/>
        </w:rPr>
        <w:t>.</w:t>
      </w:r>
      <w:r>
        <w:rPr>
          <w:color w:val="000000"/>
        </w:rPr>
        <w:tab/>
        <w:t>Duty on owners</w:t>
      </w:r>
      <w:bookmarkEnd w:id="511"/>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Gazette 22 Jun 2010 p. 2738; 13 Jun 2014 p. 1948.]</w:t>
      </w:r>
    </w:p>
    <w:p>
      <w:pPr>
        <w:pStyle w:val="Heading5"/>
        <w:rPr>
          <w:color w:val="000000"/>
        </w:rPr>
      </w:pPr>
      <w:bookmarkStart w:id="512" w:name="_Toc194933196"/>
      <w:r>
        <w:rPr>
          <w:rStyle w:val="CharSectno"/>
          <w:color w:val="000000"/>
        </w:rPr>
        <w:lastRenderedPageBreak/>
        <w:t>258</w:t>
      </w:r>
      <w:r>
        <w:rPr>
          <w:color w:val="000000"/>
        </w:rPr>
        <w:t>.</w:t>
      </w:r>
      <w:r>
        <w:rPr>
          <w:color w:val="000000"/>
        </w:rPr>
        <w:tab/>
        <w:t>Duty on prime contractors</w:t>
      </w:r>
      <w:bookmarkEnd w:id="512"/>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Gazette 22 Jun 2010 p. 2739; 13 Jun 2014 p. 1948.]</w:t>
      </w:r>
    </w:p>
    <w:p>
      <w:pPr>
        <w:pStyle w:val="Heading5"/>
        <w:spacing w:before="180"/>
      </w:pPr>
      <w:bookmarkStart w:id="513" w:name="_Toc194933197"/>
      <w:r>
        <w:rPr>
          <w:rStyle w:val="CharSectno"/>
        </w:rPr>
        <w:lastRenderedPageBreak/>
        <w:t>259</w:t>
      </w:r>
      <w:r>
        <w:t>.</w:t>
      </w:r>
      <w:r>
        <w:tab/>
        <w:t>Requiring evidence of insurance etc.</w:t>
      </w:r>
      <w:bookmarkEnd w:id="513"/>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514" w:name="_Toc194933198"/>
      <w:r>
        <w:rPr>
          <w:rStyle w:val="CharSectno"/>
          <w:color w:val="000000"/>
        </w:rPr>
        <w:t>260</w:t>
      </w:r>
      <w:r>
        <w:rPr>
          <w:color w:val="000000"/>
        </w:rPr>
        <w:t>.</w:t>
      </w:r>
      <w:r>
        <w:rPr>
          <w:color w:val="000000"/>
        </w:rPr>
        <w:tab/>
        <w:t>Approvals — insurance</w:t>
      </w:r>
      <w:bookmarkEnd w:id="514"/>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515" w:name="_Toc194911950"/>
      <w:bookmarkStart w:id="516" w:name="_Toc194914667"/>
      <w:bookmarkStart w:id="517" w:name="_Toc194915037"/>
      <w:bookmarkStart w:id="518" w:name="_Toc194933199"/>
      <w:r>
        <w:rPr>
          <w:rStyle w:val="CharPartNo"/>
        </w:rPr>
        <w:lastRenderedPageBreak/>
        <w:t>Part 19</w:t>
      </w:r>
      <w:r>
        <w:t> — </w:t>
      </w:r>
      <w:r>
        <w:rPr>
          <w:rStyle w:val="CharPartText"/>
        </w:rPr>
        <w:t>Mutual recognition</w:t>
      </w:r>
      <w:bookmarkEnd w:id="515"/>
      <w:bookmarkEnd w:id="516"/>
      <w:bookmarkEnd w:id="517"/>
      <w:bookmarkEnd w:id="518"/>
    </w:p>
    <w:p>
      <w:pPr>
        <w:pStyle w:val="Heading3"/>
      </w:pPr>
      <w:bookmarkStart w:id="519" w:name="_Toc194911951"/>
      <w:bookmarkStart w:id="520" w:name="_Toc194914668"/>
      <w:bookmarkStart w:id="521" w:name="_Toc194915038"/>
      <w:bookmarkStart w:id="522" w:name="_Toc194933200"/>
      <w:r>
        <w:rPr>
          <w:rStyle w:val="CharDivNo"/>
        </w:rPr>
        <w:t>Division 1</w:t>
      </w:r>
      <w:r>
        <w:t> — </w:t>
      </w:r>
      <w:r>
        <w:rPr>
          <w:rStyle w:val="CharDivText"/>
        </w:rPr>
        <w:t>Recommendations by Chief Officer and corresponding authorities</w:t>
      </w:r>
      <w:bookmarkEnd w:id="519"/>
      <w:bookmarkEnd w:id="520"/>
      <w:bookmarkEnd w:id="521"/>
      <w:bookmarkEnd w:id="522"/>
    </w:p>
    <w:p>
      <w:pPr>
        <w:pStyle w:val="Heading5"/>
      </w:pPr>
      <w:bookmarkStart w:id="523" w:name="_Toc194933201"/>
      <w:r>
        <w:rPr>
          <w:rStyle w:val="CharSectno"/>
        </w:rPr>
        <w:t>261</w:t>
      </w:r>
      <w:r>
        <w:t>.</w:t>
      </w:r>
      <w:r>
        <w:tab/>
        <w:t>Recommendations by Chief Officer</w:t>
      </w:r>
      <w:bookmarkEnd w:id="523"/>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524" w:name="_Toc194933202"/>
      <w:r>
        <w:rPr>
          <w:rStyle w:val="CharSectno"/>
        </w:rPr>
        <w:t>262</w:t>
      </w:r>
      <w:r>
        <w:t>.</w:t>
      </w:r>
      <w:r>
        <w:tab/>
        <w:t>Recommendations by corresponding authorities</w:t>
      </w:r>
      <w:bookmarkEnd w:id="524"/>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lastRenderedPageBreak/>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525" w:name="_Toc194911954"/>
      <w:bookmarkStart w:id="526" w:name="_Toc194914671"/>
      <w:bookmarkStart w:id="527" w:name="_Toc194915041"/>
      <w:bookmarkStart w:id="528" w:name="_Toc194933203"/>
      <w:r>
        <w:rPr>
          <w:rStyle w:val="CharDivNo"/>
        </w:rPr>
        <w:t>Division 2</w:t>
      </w:r>
      <w:r>
        <w:t> — </w:t>
      </w:r>
      <w:r>
        <w:rPr>
          <w:rStyle w:val="CharDivText"/>
        </w:rPr>
        <w:t>Mutual recognition of determinations, exemptions, approvals and licences</w:t>
      </w:r>
      <w:bookmarkEnd w:id="525"/>
      <w:bookmarkEnd w:id="526"/>
      <w:bookmarkEnd w:id="527"/>
      <w:bookmarkEnd w:id="528"/>
    </w:p>
    <w:p>
      <w:pPr>
        <w:pStyle w:val="Heading5"/>
        <w:spacing w:before="180"/>
      </w:pPr>
      <w:bookmarkStart w:id="529" w:name="_Toc194933204"/>
      <w:r>
        <w:rPr>
          <w:rStyle w:val="CharSectno"/>
        </w:rPr>
        <w:t>263</w:t>
      </w:r>
      <w:r>
        <w:t>.</w:t>
      </w:r>
      <w:r>
        <w:tab/>
        <w:t>Corresponding determinations</w:t>
      </w:r>
      <w:bookmarkEnd w:id="529"/>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 xml:space="preserve">CAP has decided that the determination should have effect in all participating jurisdictions or participating </w:t>
      </w:r>
      <w:r>
        <w:lastRenderedPageBreak/>
        <w:t>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530" w:name="_Toc194933205"/>
      <w:r>
        <w:rPr>
          <w:rStyle w:val="CharSectno"/>
        </w:rPr>
        <w:t>264</w:t>
      </w:r>
      <w:r>
        <w:t>.</w:t>
      </w:r>
      <w:r>
        <w:tab/>
        <w:t>Corresponding exemptions</w:t>
      </w:r>
      <w:bookmarkEnd w:id="530"/>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531" w:name="_Toc194933206"/>
      <w:r>
        <w:rPr>
          <w:rStyle w:val="CharSectno"/>
        </w:rPr>
        <w:t>265</w:t>
      </w:r>
      <w:r>
        <w:t>.</w:t>
      </w:r>
      <w:r>
        <w:tab/>
        <w:t>Corresponding approvals</w:t>
      </w:r>
      <w:bookmarkEnd w:id="531"/>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lastRenderedPageBreak/>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532" w:name="_Toc194933207"/>
      <w:r>
        <w:rPr>
          <w:rStyle w:val="CharSectno"/>
        </w:rPr>
        <w:t>266</w:t>
      </w:r>
      <w:r>
        <w:t>.</w:t>
      </w:r>
      <w:r>
        <w:tab/>
        <w:t>Corresponding licences</w:t>
      </w:r>
      <w:bookmarkEnd w:id="532"/>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lastRenderedPageBreak/>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5"/>
      </w:pPr>
      <w:bookmarkStart w:id="533" w:name="_Toc194933208"/>
      <w:r>
        <w:rPr>
          <w:rStyle w:val="CharSectno"/>
        </w:rPr>
        <w:t>267A</w:t>
      </w:r>
      <w:r>
        <w:t>.</w:t>
      </w:r>
      <w:r>
        <w:tab/>
        <w:t>Reference of determination, exemption or approval to CAP for the purposes of mutual recognition</w:t>
      </w:r>
      <w:bookmarkEnd w:id="533"/>
    </w:p>
    <w:p>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pPr>
        <w:pStyle w:val="Footnotesection"/>
      </w:pPr>
      <w:r>
        <w:tab/>
        <w:t>[Regulation 267A inserted: Gazette 17 Nov 2015 p. 4700-1.]</w:t>
      </w:r>
    </w:p>
    <w:p>
      <w:pPr>
        <w:pStyle w:val="Heading2"/>
      </w:pPr>
      <w:bookmarkStart w:id="534" w:name="_Toc194911960"/>
      <w:bookmarkStart w:id="535" w:name="_Toc194914677"/>
      <w:bookmarkStart w:id="536" w:name="_Toc194915047"/>
      <w:bookmarkStart w:id="537" w:name="_Toc194933209"/>
      <w:r>
        <w:rPr>
          <w:rStyle w:val="CharPartNo"/>
        </w:rPr>
        <w:lastRenderedPageBreak/>
        <w:t>Part 20</w:t>
      </w:r>
      <w:r>
        <w:rPr>
          <w:rStyle w:val="CharDivNo"/>
        </w:rPr>
        <w:t> </w:t>
      </w:r>
      <w:r>
        <w:t>—</w:t>
      </w:r>
      <w:r>
        <w:rPr>
          <w:rStyle w:val="CharDivText"/>
        </w:rPr>
        <w:t> </w:t>
      </w:r>
      <w:r>
        <w:rPr>
          <w:rStyle w:val="CharPartText"/>
        </w:rPr>
        <w:t>Reconsideration and review of decisions</w:t>
      </w:r>
      <w:bookmarkEnd w:id="534"/>
      <w:bookmarkEnd w:id="535"/>
      <w:bookmarkEnd w:id="536"/>
      <w:bookmarkEnd w:id="537"/>
    </w:p>
    <w:p>
      <w:pPr>
        <w:pStyle w:val="Heading5"/>
      </w:pPr>
      <w:bookmarkStart w:id="538" w:name="_Toc194933210"/>
      <w:r>
        <w:rPr>
          <w:rStyle w:val="CharSectno"/>
        </w:rPr>
        <w:t>267</w:t>
      </w:r>
      <w:r>
        <w:t>.</w:t>
      </w:r>
      <w:r>
        <w:tab/>
        <w:t>Application of Part</w:t>
      </w:r>
      <w:bookmarkEnd w:id="538"/>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lastRenderedPageBreak/>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539" w:name="_Toc194933211"/>
      <w:r>
        <w:rPr>
          <w:rStyle w:val="CharSectno"/>
        </w:rPr>
        <w:t>268</w:t>
      </w:r>
      <w:r>
        <w:t>.</w:t>
      </w:r>
      <w:r>
        <w:tab/>
        <w:t>Who may apply for reconsideration of decisions</w:t>
      </w:r>
      <w:bookmarkEnd w:id="539"/>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540" w:name="_Toc194933212"/>
      <w:r>
        <w:rPr>
          <w:rStyle w:val="CharSectno"/>
        </w:rPr>
        <w:lastRenderedPageBreak/>
        <w:t>269</w:t>
      </w:r>
      <w:r>
        <w:t>.</w:t>
      </w:r>
      <w:r>
        <w:tab/>
        <w:t>Applications for reconsideration</w:t>
      </w:r>
      <w:bookmarkEnd w:id="540"/>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541" w:name="_Toc194933213"/>
      <w:r>
        <w:rPr>
          <w:rStyle w:val="CharSectno"/>
        </w:rPr>
        <w:t>270</w:t>
      </w:r>
      <w:r>
        <w:t>.</w:t>
      </w:r>
      <w:r>
        <w:tab/>
        <w:t>Chief Officer to reconsider decisions</w:t>
      </w:r>
      <w:bookmarkEnd w:id="541"/>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542" w:name="_Toc194911965"/>
      <w:bookmarkStart w:id="543" w:name="_Toc194914682"/>
      <w:bookmarkStart w:id="544" w:name="_Toc194915052"/>
      <w:bookmarkStart w:id="545" w:name="_Toc194933214"/>
      <w:r>
        <w:rPr>
          <w:rStyle w:val="CharPartNo"/>
        </w:rPr>
        <w:lastRenderedPageBreak/>
        <w:t>Part 21</w:t>
      </w:r>
      <w:r>
        <w:rPr>
          <w:rStyle w:val="CharDivNo"/>
        </w:rPr>
        <w:t> </w:t>
      </w:r>
      <w:r>
        <w:t>—</w:t>
      </w:r>
      <w:r>
        <w:rPr>
          <w:rStyle w:val="CharDivText"/>
        </w:rPr>
        <w:t> </w:t>
      </w:r>
      <w:r>
        <w:rPr>
          <w:rStyle w:val="CharPartText"/>
        </w:rPr>
        <w:t>Infringement notices</w:t>
      </w:r>
      <w:bookmarkEnd w:id="542"/>
      <w:bookmarkEnd w:id="543"/>
      <w:bookmarkEnd w:id="544"/>
      <w:bookmarkEnd w:id="545"/>
    </w:p>
    <w:p>
      <w:pPr>
        <w:pStyle w:val="Heading5"/>
      </w:pPr>
      <w:bookmarkStart w:id="546" w:name="_Toc194933215"/>
      <w:r>
        <w:rPr>
          <w:rStyle w:val="CharSectno"/>
        </w:rPr>
        <w:t>271</w:t>
      </w:r>
      <w:r>
        <w:t>.</w:t>
      </w:r>
      <w:r>
        <w:tab/>
        <w:t>Infringement notice offences and modified penalties</w:t>
      </w:r>
      <w:bookmarkEnd w:id="546"/>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547" w:name="_Toc194911967"/>
      <w:bookmarkStart w:id="548" w:name="_Toc194914684"/>
      <w:bookmarkStart w:id="549" w:name="_Toc194915054"/>
      <w:bookmarkStart w:id="550" w:name="_Toc194933216"/>
      <w:r>
        <w:rPr>
          <w:rStyle w:val="CharPartNo"/>
        </w:rPr>
        <w:lastRenderedPageBreak/>
        <w:t>Part 22</w:t>
      </w:r>
      <w:r>
        <w:rPr>
          <w:rStyle w:val="CharDivNo"/>
        </w:rPr>
        <w:t> </w:t>
      </w:r>
      <w:r>
        <w:t>—</w:t>
      </w:r>
      <w:r>
        <w:rPr>
          <w:rStyle w:val="CharDivText"/>
        </w:rPr>
        <w:t> </w:t>
      </w:r>
      <w:r>
        <w:rPr>
          <w:rStyle w:val="CharPartText"/>
        </w:rPr>
        <w:t>Fees</w:t>
      </w:r>
      <w:bookmarkEnd w:id="547"/>
      <w:bookmarkEnd w:id="548"/>
      <w:bookmarkEnd w:id="549"/>
      <w:bookmarkEnd w:id="550"/>
    </w:p>
    <w:p>
      <w:pPr>
        <w:pStyle w:val="Heading5"/>
      </w:pPr>
      <w:bookmarkStart w:id="551" w:name="_Toc194933217"/>
      <w:r>
        <w:rPr>
          <w:rStyle w:val="CharSectno"/>
        </w:rPr>
        <w:t>272</w:t>
      </w:r>
      <w:r>
        <w:t>.</w:t>
      </w:r>
      <w:r>
        <w:tab/>
        <w:t>Fees prescribed</w:t>
      </w:r>
      <w:bookmarkEnd w:id="551"/>
    </w:p>
    <w:p>
      <w:pPr>
        <w:pStyle w:val="Subsection"/>
      </w:pPr>
      <w:r>
        <w:tab/>
      </w:r>
      <w:r>
        <w:tab/>
        <w:t>The fees payable under these regulations are prescribed in the Table.</w:t>
      </w:r>
    </w:p>
    <w:p>
      <w:pPr>
        <w:pStyle w:val="THeadingNAm"/>
      </w:pPr>
      <w:r>
        <w:t>Table</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8"/>
        <w:gridCol w:w="3828"/>
        <w:gridCol w:w="1275"/>
      </w:tblGrid>
      <w:tr>
        <w:trPr>
          <w:cantSplit/>
          <w:tblHeader/>
        </w:trPr>
        <w:tc>
          <w:tcPr>
            <w:tcW w:w="708" w:type="dxa"/>
            <w:noWrap/>
          </w:tcPr>
          <w:p>
            <w:pPr>
              <w:pStyle w:val="TableNAm"/>
              <w:keepNext/>
              <w:jc w:val="center"/>
              <w:rPr>
                <w:b/>
                <w:bCs/>
              </w:rPr>
            </w:pPr>
            <w:r>
              <w:rPr>
                <w:b/>
                <w:bCs/>
              </w:rPr>
              <w:t>Item</w:t>
            </w:r>
          </w:p>
        </w:tc>
        <w:tc>
          <w:tcPr>
            <w:tcW w:w="3828" w:type="dxa"/>
            <w:noWrap/>
          </w:tcPr>
          <w:p>
            <w:pPr>
              <w:pStyle w:val="TableNAm"/>
              <w:keepNext/>
              <w:jc w:val="center"/>
              <w:rPr>
                <w:b/>
                <w:bCs/>
              </w:rPr>
            </w:pPr>
            <w:r>
              <w:rPr>
                <w:b/>
                <w:bCs/>
              </w:rPr>
              <w:t>Column 1</w:t>
            </w:r>
          </w:p>
          <w:p>
            <w:pPr>
              <w:pStyle w:val="TableNAm"/>
              <w:keepNext/>
              <w:jc w:val="center"/>
              <w:rPr>
                <w:b/>
                <w:bCs/>
              </w:rPr>
            </w:pPr>
            <w:r>
              <w:rPr>
                <w:b/>
                <w:bCs/>
              </w:rPr>
              <w:t>Application</w:t>
            </w:r>
          </w:p>
        </w:tc>
        <w:tc>
          <w:tcPr>
            <w:tcW w:w="1275" w:type="dxa"/>
            <w:noWrap/>
          </w:tcPr>
          <w:p>
            <w:pPr>
              <w:pStyle w:val="TableNAm"/>
              <w:keepNext/>
              <w:jc w:val="center"/>
              <w:rPr>
                <w:b/>
                <w:bCs/>
              </w:rPr>
            </w:pPr>
            <w:r>
              <w:rPr>
                <w:b/>
                <w:bCs/>
              </w:rPr>
              <w:t>Column 2</w:t>
            </w:r>
          </w:p>
          <w:p>
            <w:pPr>
              <w:pStyle w:val="TableNAm"/>
              <w:keepNext/>
              <w:jc w:val="center"/>
              <w:rPr>
                <w:b/>
                <w:bCs/>
              </w:rPr>
            </w:pPr>
            <w:r>
              <w:rPr>
                <w:b/>
                <w:bCs/>
              </w:rPr>
              <w:t>Fee</w:t>
            </w:r>
          </w:p>
          <w:p>
            <w:pPr>
              <w:pStyle w:val="TableNAm"/>
              <w:keepNext/>
              <w:jc w:val="center"/>
              <w:rPr>
                <w:b/>
                <w:bCs/>
              </w:rPr>
            </w:pPr>
            <w:r>
              <w:rPr>
                <w:b/>
                <w:bCs/>
              </w:rPr>
              <w:t>$</w:t>
            </w:r>
          </w:p>
        </w:tc>
      </w:tr>
      <w:tr>
        <w:trPr>
          <w:cantSplit/>
        </w:trPr>
        <w:tc>
          <w:tcPr>
            <w:tcW w:w="708" w:type="dxa"/>
            <w:tcBorders>
              <w:bottom w:val="single" w:sz="4" w:space="0" w:color="auto"/>
            </w:tcBorders>
            <w:noWrap/>
          </w:tcPr>
          <w:p>
            <w:pPr>
              <w:pStyle w:val="TableNAm"/>
              <w:keepNext/>
            </w:pPr>
            <w:r>
              <w:t>1.</w:t>
            </w:r>
          </w:p>
        </w:tc>
        <w:tc>
          <w:tcPr>
            <w:tcW w:w="3828" w:type="dxa"/>
            <w:tcBorders>
              <w:bottom w:val="single" w:sz="4" w:space="0" w:color="auto"/>
            </w:tcBorders>
            <w:noWrap/>
          </w:tcPr>
          <w:p>
            <w:pPr>
              <w:pStyle w:val="TableNAm"/>
              <w:keepNext/>
            </w:pPr>
            <w:r>
              <w:t>Application for approval or variation of approval (r. 194(1)(b))</w:t>
            </w:r>
          </w:p>
        </w:tc>
        <w:tc>
          <w:tcPr>
            <w:tcW w:w="1275" w:type="dxa"/>
            <w:tcBorders>
              <w:bottom w:val="single" w:sz="4" w:space="0" w:color="auto"/>
            </w:tcBorders>
            <w:noWrap/>
            <w:vAlign w:val="bottom"/>
          </w:tcPr>
          <w:p>
            <w:pPr>
              <w:pStyle w:val="TableNAm"/>
              <w:keepNext/>
              <w:ind w:right="171"/>
              <w:jc w:val="right"/>
              <w:rPr>
                <w:highlight w:val="yellow"/>
              </w:rPr>
            </w:pPr>
            <w:r>
              <w:t>357.00</w:t>
            </w:r>
          </w:p>
        </w:tc>
      </w:tr>
      <w:tr>
        <w:trPr>
          <w:cantSplit/>
          <w:trHeight w:val="420"/>
        </w:trPr>
        <w:tc>
          <w:tcPr>
            <w:tcW w:w="708" w:type="dxa"/>
            <w:tcBorders>
              <w:top w:val="single" w:sz="4" w:space="0" w:color="auto"/>
              <w:left w:val="single" w:sz="4" w:space="0" w:color="auto"/>
              <w:bottom w:val="nil"/>
            </w:tcBorders>
            <w:noWrap/>
          </w:tcPr>
          <w:p>
            <w:pPr>
              <w:pStyle w:val="TableNAm"/>
            </w:pPr>
            <w:r>
              <w:t>2.</w:t>
            </w:r>
          </w:p>
        </w:tc>
        <w:tc>
          <w:tcPr>
            <w:tcW w:w="3828" w:type="dxa"/>
            <w:tcBorders>
              <w:top w:val="single" w:sz="4" w:space="0" w:color="auto"/>
              <w:bottom w:val="nil"/>
            </w:tcBorders>
            <w:noWrap/>
          </w:tcPr>
          <w:p>
            <w:pPr>
              <w:pStyle w:val="TableNAm"/>
            </w:pPr>
            <w:r>
              <w:t>Application for, or for renewal of —</w:t>
            </w:r>
          </w:p>
        </w:tc>
        <w:tc>
          <w:tcPr>
            <w:tcW w:w="1275" w:type="dxa"/>
            <w:tcBorders>
              <w:top w:val="single" w:sz="4" w:space="0" w:color="auto"/>
              <w:bottom w:val="nil"/>
              <w:right w:val="single" w:sz="4" w:space="0" w:color="auto"/>
            </w:tcBorders>
            <w:noWrap/>
            <w:vAlign w:val="bottom"/>
          </w:tcPr>
          <w:p>
            <w:pPr>
              <w:pStyle w:val="TableNAm"/>
              <w:ind w:right="171"/>
              <w:jc w:val="right"/>
              <w:rPr>
                <w:highlight w:val="yellow"/>
              </w:rPr>
            </w:pPr>
          </w:p>
        </w:tc>
      </w:tr>
      <w:tr>
        <w:trPr>
          <w:cantSplit/>
          <w:trHeight w:val="1278"/>
        </w:trPr>
        <w:tc>
          <w:tcPr>
            <w:tcW w:w="708" w:type="dxa"/>
            <w:vMerge w:val="restart"/>
            <w:tcBorders>
              <w:top w:val="nil"/>
              <w:left w:val="single" w:sz="4" w:space="0" w:color="auto"/>
            </w:tcBorders>
            <w:noWrap/>
          </w:tcPr>
          <w:p>
            <w:pPr>
              <w:pStyle w:val="TableNAm"/>
            </w:pPr>
          </w:p>
        </w:tc>
        <w:tc>
          <w:tcPr>
            <w:tcW w:w="3828" w:type="dxa"/>
            <w:tcBorders>
              <w:top w:val="nil"/>
              <w:bottom w:val="single" w:sz="4" w:space="0" w:color="auto"/>
            </w:tcBorders>
            <w:noWrap/>
          </w:tcPr>
          <w:p>
            <w:pPr>
              <w:pStyle w:val="TableNAm"/>
              <w:tabs>
                <w:tab w:val="clear" w:pos="567"/>
                <w:tab w:val="left" w:pos="459"/>
              </w:tabs>
              <w:ind w:left="459" w:hanging="459"/>
            </w:pPr>
            <w:r>
              <w:t>(a)</w:t>
            </w:r>
            <w:r>
              <w:tab/>
              <w:t>a dangerous goods driver licence, for each year or part of a year of the term of the licence (r. 218(2)(e) and 223(2)(e))</w:t>
            </w:r>
          </w:p>
        </w:tc>
        <w:tc>
          <w:tcPr>
            <w:tcW w:w="1275" w:type="dxa"/>
            <w:tcBorders>
              <w:top w:val="nil"/>
              <w:bottom w:val="single" w:sz="4" w:space="0" w:color="auto"/>
              <w:right w:val="single" w:sz="4" w:space="0" w:color="auto"/>
            </w:tcBorders>
            <w:noWrap/>
            <w:vAlign w:val="bottom"/>
          </w:tcPr>
          <w:p>
            <w:pPr>
              <w:pStyle w:val="TableNAm"/>
              <w:keepLines/>
              <w:ind w:right="171"/>
              <w:jc w:val="right"/>
            </w:pPr>
            <w:r>
              <w:t>28.30</w:t>
            </w:r>
          </w:p>
        </w:tc>
      </w:tr>
      <w:tr>
        <w:trPr>
          <w:cantSplit/>
          <w:trHeight w:val="1268"/>
        </w:trPr>
        <w:tc>
          <w:tcPr>
            <w:tcW w:w="708" w:type="dxa"/>
            <w:vMerge/>
            <w:tcBorders>
              <w:left w:val="single" w:sz="4" w:space="0" w:color="auto"/>
              <w:bottom w:val="single" w:sz="4" w:space="0" w:color="auto"/>
              <w:right w:val="single" w:sz="4" w:space="0" w:color="auto"/>
            </w:tcBorders>
            <w:noWrap/>
          </w:tcPr>
          <w:p>
            <w:pPr>
              <w:pStyle w:val="TableNAm"/>
              <w:keepNext/>
            </w:pPr>
          </w:p>
        </w:tc>
        <w:tc>
          <w:tcPr>
            <w:tcW w:w="3828" w:type="dxa"/>
            <w:tcBorders>
              <w:top w:val="single" w:sz="4" w:space="0" w:color="auto"/>
              <w:left w:val="single" w:sz="4" w:space="0" w:color="auto"/>
              <w:bottom w:val="single" w:sz="4" w:space="0" w:color="auto"/>
              <w:right w:val="single" w:sz="4" w:space="0" w:color="auto"/>
            </w:tcBorders>
            <w:noWrap/>
          </w:tcPr>
          <w:p>
            <w:pPr>
              <w:pStyle w:val="TableNAm"/>
              <w:keepNext/>
              <w:keepLines/>
              <w:tabs>
                <w:tab w:val="clear" w:pos="567"/>
                <w:tab w:val="left" w:pos="459"/>
              </w:tabs>
              <w:ind w:left="459" w:hanging="459"/>
            </w:pPr>
            <w:r>
              <w:t>(b)</w:t>
            </w:r>
            <w:r>
              <w:tab/>
              <w:t>a dangerous goods vehicle licence, for each year or part of a year of the term of the licence (r. 230(4) and 233(3))</w:t>
            </w:r>
          </w:p>
        </w:tc>
        <w:tc>
          <w:tcPr>
            <w:tcW w:w="1275" w:type="dxa"/>
            <w:tcBorders>
              <w:top w:val="single" w:sz="4" w:space="0" w:color="auto"/>
              <w:left w:val="single" w:sz="4" w:space="0" w:color="auto"/>
              <w:bottom w:val="single" w:sz="4" w:space="0" w:color="auto"/>
              <w:right w:val="single" w:sz="4" w:space="0" w:color="auto"/>
            </w:tcBorders>
            <w:noWrap/>
            <w:vAlign w:val="bottom"/>
          </w:tcPr>
          <w:p>
            <w:pPr>
              <w:pStyle w:val="TableNAm"/>
              <w:keepNext/>
              <w:ind w:right="171"/>
              <w:jc w:val="right"/>
            </w:pPr>
            <w:r>
              <w:t>179.00</w:t>
            </w:r>
          </w:p>
        </w:tc>
      </w:tr>
    </w:tbl>
    <w:p>
      <w:pPr>
        <w:pStyle w:val="Footnotesection"/>
      </w:pPr>
      <w:r>
        <w:tab/>
        <w:t>[Regulation 272 inserted: SL 2024/97 r. 6.]</w:t>
      </w:r>
    </w:p>
    <w:p>
      <w:pPr>
        <w:pStyle w:val="Ednotesection"/>
      </w:pPr>
      <w:r>
        <w:t>[</w:t>
      </w:r>
      <w:r>
        <w:rPr>
          <w:b/>
        </w:rPr>
        <w:t>272AA.</w:t>
      </w:r>
      <w:r>
        <w:tab/>
        <w:t>Deleted: SL 2021/85 r. 11.]</w:t>
      </w:r>
    </w:p>
    <w:p>
      <w:pPr>
        <w:pStyle w:val="Heading2"/>
      </w:pPr>
      <w:bookmarkStart w:id="552" w:name="_Toc194911969"/>
      <w:bookmarkStart w:id="553" w:name="_Toc194914686"/>
      <w:bookmarkStart w:id="554" w:name="_Toc194915056"/>
      <w:bookmarkStart w:id="555" w:name="_Toc194933218"/>
      <w:r>
        <w:rPr>
          <w:rStyle w:val="CharPartNo"/>
        </w:rPr>
        <w:lastRenderedPageBreak/>
        <w:t>Part 22A</w:t>
      </w:r>
      <w:r>
        <w:rPr>
          <w:b w:val="0"/>
        </w:rPr>
        <w:t> </w:t>
      </w:r>
      <w:r>
        <w:t>—</w:t>
      </w:r>
      <w:r>
        <w:rPr>
          <w:b w:val="0"/>
        </w:rPr>
        <w:t> </w:t>
      </w:r>
      <w:r>
        <w:rPr>
          <w:rStyle w:val="CharPartText"/>
        </w:rPr>
        <w:t>Miscellaneous</w:t>
      </w:r>
      <w:bookmarkEnd w:id="552"/>
      <w:bookmarkEnd w:id="553"/>
      <w:bookmarkEnd w:id="554"/>
      <w:bookmarkEnd w:id="555"/>
    </w:p>
    <w:p>
      <w:pPr>
        <w:pStyle w:val="Footnoteheading"/>
      </w:pPr>
      <w:r>
        <w:tab/>
        <w:t>[Heading inserted: SL 2020/193 r. 25.]</w:t>
      </w:r>
    </w:p>
    <w:p>
      <w:pPr>
        <w:pStyle w:val="Heading5"/>
      </w:pPr>
      <w:bookmarkStart w:id="556" w:name="_Toc194933219"/>
      <w:r>
        <w:rPr>
          <w:rStyle w:val="CharSectno"/>
        </w:rPr>
        <w:t>272A</w:t>
      </w:r>
      <w:r>
        <w:t>.</w:t>
      </w:r>
      <w:r>
        <w:tab/>
        <w:t>Exception for offence involving compliance with ADG Code</w:t>
      </w:r>
      <w:bookmarkEnd w:id="556"/>
    </w:p>
    <w:p>
      <w:pPr>
        <w:pStyle w:val="Subsection"/>
      </w:pPr>
      <w:r>
        <w:tab/>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of 12 months beginning on the day on which an amendment to the ADG Code takes effect; and</w:t>
      </w:r>
    </w:p>
    <w:p>
      <w:pPr>
        <w:pStyle w:val="Indenta"/>
      </w:pPr>
      <w:r>
        <w:tab/>
        <w:t>(c)</w:t>
      </w:r>
      <w:r>
        <w:tab/>
        <w:t>the person transports the goods in accordance with the ADG Code as in force immediately before that day.</w:t>
      </w:r>
    </w:p>
    <w:p>
      <w:pPr>
        <w:pStyle w:val="Footnotesection"/>
      </w:pPr>
      <w:r>
        <w:tab/>
        <w:t>[Regulation 272A inserted: SL 2020/193 r. 25.]</w:t>
      </w:r>
    </w:p>
    <w:p>
      <w:pPr>
        <w:pStyle w:val="Heading2"/>
      </w:pPr>
      <w:bookmarkStart w:id="557" w:name="_Toc194911971"/>
      <w:bookmarkStart w:id="558" w:name="_Toc194914688"/>
      <w:bookmarkStart w:id="559" w:name="_Toc194915058"/>
      <w:bookmarkStart w:id="560" w:name="_Toc194933220"/>
      <w:r>
        <w:rPr>
          <w:rStyle w:val="CharPartNo"/>
        </w:rPr>
        <w:lastRenderedPageBreak/>
        <w:t>Part 23</w:t>
      </w:r>
      <w:r>
        <w:t> — </w:t>
      </w:r>
      <w:r>
        <w:rPr>
          <w:rStyle w:val="CharPartText"/>
        </w:rPr>
        <w:t>Transitional</w:t>
      </w:r>
      <w:bookmarkEnd w:id="557"/>
      <w:bookmarkEnd w:id="558"/>
      <w:bookmarkEnd w:id="559"/>
      <w:bookmarkEnd w:id="560"/>
    </w:p>
    <w:p>
      <w:pPr>
        <w:pStyle w:val="Heading3"/>
      </w:pPr>
      <w:bookmarkStart w:id="561" w:name="_Toc194911972"/>
      <w:bookmarkStart w:id="562" w:name="_Toc194914689"/>
      <w:bookmarkStart w:id="563" w:name="_Toc194915059"/>
      <w:bookmarkStart w:id="564" w:name="_Toc194933221"/>
      <w:r>
        <w:rPr>
          <w:rStyle w:val="CharDivNo"/>
        </w:rPr>
        <w:t>Division 1</w:t>
      </w:r>
      <w:r>
        <w:t> — </w:t>
      </w:r>
      <w:r>
        <w:rPr>
          <w:rStyle w:val="CharDivText"/>
        </w:rPr>
        <w:t xml:space="preserve">Provisions for </w:t>
      </w:r>
      <w:r>
        <w:rPr>
          <w:rStyle w:val="CharDivText"/>
          <w:i/>
        </w:rPr>
        <w:t>Dangerous Goods (Transport) Act 1998</w:t>
      </w:r>
      <w:bookmarkEnd w:id="561"/>
      <w:bookmarkEnd w:id="562"/>
      <w:bookmarkEnd w:id="563"/>
      <w:bookmarkEnd w:id="564"/>
    </w:p>
    <w:p>
      <w:pPr>
        <w:pStyle w:val="Footnoteheading"/>
      </w:pPr>
      <w:r>
        <w:tab/>
        <w:t>[Heading inserted: Gazette 3 Aug 2012 p. 3759.]</w:t>
      </w:r>
    </w:p>
    <w:p>
      <w:pPr>
        <w:pStyle w:val="Heading5"/>
      </w:pPr>
      <w:bookmarkStart w:id="565" w:name="_Toc194933222"/>
      <w:r>
        <w:rPr>
          <w:rStyle w:val="CharSectno"/>
        </w:rPr>
        <w:t>273</w:t>
      </w:r>
      <w:r>
        <w:t>.</w:t>
      </w:r>
      <w:r>
        <w:tab/>
        <w:t>Terms used</w:t>
      </w:r>
      <w:bookmarkEnd w:id="565"/>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 </w:t>
      </w:r>
      <w:r>
        <w:rPr>
          <w:vertAlign w:val="superscript"/>
        </w:rPr>
        <w:t>1</w:t>
      </w:r>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Gazette 3 Aug 2012 p. 3759.]</w:t>
      </w:r>
    </w:p>
    <w:p>
      <w:pPr>
        <w:pStyle w:val="Heading5"/>
        <w:rPr>
          <w:color w:val="000000"/>
        </w:rPr>
      </w:pPr>
      <w:bookmarkStart w:id="566" w:name="_Toc194933223"/>
      <w:r>
        <w:rPr>
          <w:rStyle w:val="CharSectno"/>
          <w:color w:val="000000"/>
        </w:rPr>
        <w:t>274</w:t>
      </w:r>
      <w:r>
        <w:rPr>
          <w:color w:val="000000"/>
        </w:rPr>
        <w:t>.</w:t>
      </w:r>
      <w:r>
        <w:rPr>
          <w:color w:val="000000"/>
        </w:rPr>
        <w:tab/>
        <w:t>Lawful conduct under repealed regulations</w:t>
      </w:r>
      <w:bookmarkEnd w:id="566"/>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Gazette 23 Jan 2009 p. 157.]</w:t>
      </w:r>
    </w:p>
    <w:p>
      <w:pPr>
        <w:pStyle w:val="Heading5"/>
        <w:keepLines w:val="0"/>
      </w:pPr>
      <w:bookmarkStart w:id="567" w:name="_Toc194933224"/>
      <w:r>
        <w:rPr>
          <w:rStyle w:val="CharSectno"/>
        </w:rPr>
        <w:lastRenderedPageBreak/>
        <w:t>275</w:t>
      </w:r>
      <w:r>
        <w:t>.</w:t>
      </w:r>
      <w:r>
        <w:tab/>
        <w:t>Continuing effect of certain determinations</w:t>
      </w:r>
      <w:bookmarkEnd w:id="567"/>
    </w:p>
    <w:p>
      <w:pPr>
        <w:pStyle w:val="Subsection"/>
        <w:keepNext/>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568" w:name="_Toc194933225"/>
      <w:r>
        <w:rPr>
          <w:rStyle w:val="CharSectno"/>
        </w:rPr>
        <w:t>276</w:t>
      </w:r>
      <w:r>
        <w:t>.</w:t>
      </w:r>
      <w:r>
        <w:tab/>
        <w:t>Continuing effect of certain corresponding determinations</w:t>
      </w:r>
      <w:bookmarkEnd w:id="568"/>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 xml:space="preserve">corresponding </w:t>
      </w:r>
      <w:r>
        <w:rPr>
          <w:rStyle w:val="CharDefText"/>
        </w:rPr>
        <w:lastRenderedPageBreak/>
        <w:t>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569" w:name="_Toc194933226"/>
      <w:r>
        <w:rPr>
          <w:rStyle w:val="CharSectno"/>
          <w:color w:val="000000"/>
        </w:rPr>
        <w:t>277</w:t>
      </w:r>
      <w:r>
        <w:rPr>
          <w:color w:val="000000"/>
        </w:rPr>
        <w:t>.</w:t>
      </w:r>
      <w:r>
        <w:rPr>
          <w:color w:val="000000"/>
        </w:rPr>
        <w:tab/>
        <w:t>Continuing effect of certain exemptions</w:t>
      </w:r>
      <w:bookmarkEnd w:id="569"/>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570" w:name="_Toc194933227"/>
      <w:r>
        <w:t>278.</w:t>
      </w:r>
      <w:r>
        <w:tab/>
        <w:t>Continuing effect of certain corresponding exemptions</w:t>
      </w:r>
      <w:bookmarkEnd w:id="570"/>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lastRenderedPageBreak/>
        <w:tab/>
        <w:t>(c)</w:t>
      </w:r>
      <w:r>
        <w:tab/>
        <w:t xml:space="preserve">is an exemption from compliance with a provision of the law of the other State or the Territory that corresponds to 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571" w:name="_Toc194933228"/>
      <w:r>
        <w:rPr>
          <w:rStyle w:val="CharSectno"/>
        </w:rPr>
        <w:t>279</w:t>
      </w:r>
      <w:r>
        <w:t>.</w:t>
      </w:r>
      <w:r>
        <w:tab/>
        <w:t>Continuing effect of certain approvals</w:t>
      </w:r>
      <w:bookmarkEnd w:id="571"/>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lastRenderedPageBreak/>
        <w:tab/>
        <w:t>(3)</w:t>
      </w:r>
      <w:r>
        <w:tab/>
        <w:t>Without limiting subregulation (2), the Chief Officer may record the approval in the register of approvals kept under regulation 202.</w:t>
      </w:r>
    </w:p>
    <w:p>
      <w:pPr>
        <w:pStyle w:val="Heading5"/>
      </w:pPr>
      <w:bookmarkStart w:id="572" w:name="_Toc194933229"/>
      <w:r>
        <w:rPr>
          <w:rStyle w:val="CharSectno"/>
        </w:rPr>
        <w:t>280</w:t>
      </w:r>
      <w:r>
        <w:t>.</w:t>
      </w:r>
      <w:r>
        <w:tab/>
        <w:t>Continuing effect of certain corresponding approvals</w:t>
      </w:r>
      <w:bookmarkEnd w:id="572"/>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573" w:name="_Toc194933230"/>
      <w:r>
        <w:rPr>
          <w:rStyle w:val="CharSectno"/>
        </w:rPr>
        <w:t>281</w:t>
      </w:r>
      <w:r>
        <w:t>.</w:t>
      </w:r>
      <w:r>
        <w:tab/>
        <w:t>Continuing effect of certain licences</w:t>
      </w:r>
      <w:bookmarkEnd w:id="573"/>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lastRenderedPageBreak/>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574" w:name="_Toc194933231"/>
      <w:r>
        <w:rPr>
          <w:rStyle w:val="CharSectno"/>
        </w:rPr>
        <w:t>282</w:t>
      </w:r>
      <w:r>
        <w:t>.</w:t>
      </w:r>
      <w:r>
        <w:tab/>
        <w:t>Continuing effect of certain corresponding licences</w:t>
      </w:r>
      <w:bookmarkEnd w:id="574"/>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575" w:name="_Toc194911983"/>
      <w:bookmarkStart w:id="576" w:name="_Toc194914700"/>
      <w:bookmarkStart w:id="577" w:name="_Toc194915070"/>
      <w:bookmarkStart w:id="578" w:name="_Toc194933232"/>
      <w:r>
        <w:rPr>
          <w:rStyle w:val="CharDivNo"/>
        </w:rPr>
        <w:lastRenderedPageBreak/>
        <w:t>Division 2</w:t>
      </w:r>
      <w:r>
        <w:t> — </w:t>
      </w:r>
      <w:r>
        <w:rPr>
          <w:rStyle w:val="CharDivText"/>
        </w:rPr>
        <w:t>Other provisions</w:t>
      </w:r>
      <w:bookmarkEnd w:id="575"/>
      <w:bookmarkEnd w:id="576"/>
      <w:bookmarkEnd w:id="577"/>
      <w:bookmarkEnd w:id="578"/>
    </w:p>
    <w:p>
      <w:pPr>
        <w:pStyle w:val="Footnoteheading"/>
        <w:keepNext/>
      </w:pPr>
      <w:r>
        <w:tab/>
        <w:t>[Heading inserted: Gazette 3 Aug 2012 p. 3759.]</w:t>
      </w:r>
    </w:p>
    <w:p>
      <w:pPr>
        <w:pStyle w:val="Heading5"/>
      </w:pPr>
      <w:bookmarkStart w:id="579" w:name="_Toc194933233"/>
      <w:r>
        <w:rPr>
          <w:rStyle w:val="CharSectno"/>
        </w:rPr>
        <w:t>283</w:t>
      </w:r>
      <w:r>
        <w:t>.</w:t>
      </w:r>
      <w:r>
        <w:tab/>
        <w:t>Assessing fitness to drive</w:t>
      </w:r>
      <w:bookmarkEnd w:id="579"/>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pPr>
        <w:pStyle w:val="Footnotesection"/>
      </w:pPr>
      <w:r>
        <w:tab/>
        <w:t>[Regulation 283 inserted: Gazette 3 Aug 2012 p. 3759</w:t>
      </w:r>
      <w:r>
        <w:noBreakHyphen/>
        <w:t>60.]</w:t>
      </w:r>
    </w:p>
    <w:p>
      <w:pPr>
        <w:pStyle w:val="Heading3"/>
        <w:rPr>
          <w:i/>
        </w:rPr>
      </w:pPr>
      <w:bookmarkStart w:id="580" w:name="_Toc194911985"/>
      <w:bookmarkStart w:id="581" w:name="_Toc194914702"/>
      <w:bookmarkStart w:id="582" w:name="_Toc194915072"/>
      <w:bookmarkStart w:id="583" w:name="_Toc194933234"/>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580"/>
      <w:bookmarkEnd w:id="581"/>
      <w:bookmarkEnd w:id="582"/>
      <w:bookmarkEnd w:id="583"/>
    </w:p>
    <w:p>
      <w:pPr>
        <w:pStyle w:val="Footnoteheading"/>
      </w:pPr>
      <w:r>
        <w:tab/>
        <w:t>[Heading inserted: Gazette 13 Jun 2014 p. 1949.]</w:t>
      </w:r>
    </w:p>
    <w:p>
      <w:pPr>
        <w:pStyle w:val="Heading5"/>
      </w:pPr>
      <w:bookmarkStart w:id="584" w:name="_Toc194933235"/>
      <w:r>
        <w:rPr>
          <w:rStyle w:val="CharSectno"/>
        </w:rPr>
        <w:t>284</w:t>
      </w:r>
      <w:r>
        <w:t>.</w:t>
      </w:r>
      <w:r>
        <w:tab/>
        <w:t>Transitional provision for offence involving compliance with ADG Code</w:t>
      </w:r>
      <w:bookmarkEnd w:id="584"/>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 xml:space="preserve">Dangerous Goods Safety (Road and Rail </w:t>
      </w:r>
      <w:r>
        <w:rPr>
          <w:i/>
        </w:rPr>
        <w:lastRenderedPageBreak/>
        <w:t>Transport of Non</w:t>
      </w:r>
      <w:r>
        <w:rPr>
          <w:i/>
        </w:rPr>
        <w:noBreakHyphen/>
        <w:t>explosives) Amendment Regulations 2014</w:t>
      </w:r>
      <w:r>
        <w:t xml:space="preserve"> regulation 4 came into operation.</w:t>
      </w:r>
    </w:p>
    <w:p>
      <w:pPr>
        <w:pStyle w:val="Footnotesection"/>
        <w:spacing w:before="100"/>
        <w:ind w:left="890" w:hanging="890"/>
      </w:pPr>
      <w:r>
        <w:tab/>
        <w:t>[Regulation 284 inserted: Gazette 13 Jun 2014 p. 1949.]</w:t>
      </w:r>
    </w:p>
    <w:p>
      <w:pPr>
        <w:pStyle w:val="Heading3"/>
      </w:pPr>
      <w:bookmarkStart w:id="585" w:name="_Toc194911987"/>
      <w:bookmarkStart w:id="586" w:name="_Toc194914704"/>
      <w:bookmarkStart w:id="587" w:name="_Toc194915074"/>
      <w:bookmarkStart w:id="588" w:name="_Toc194933236"/>
      <w:r>
        <w:rPr>
          <w:rStyle w:val="CharDivNo"/>
        </w:rPr>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585"/>
      <w:bookmarkEnd w:id="586"/>
      <w:bookmarkEnd w:id="587"/>
      <w:bookmarkEnd w:id="588"/>
    </w:p>
    <w:p>
      <w:pPr>
        <w:pStyle w:val="Footnoteheading"/>
        <w:keepNext/>
      </w:pPr>
      <w:r>
        <w:tab/>
        <w:t>[Heading inserted: Gazette 17 Nov 2015 p. 4701.]</w:t>
      </w:r>
    </w:p>
    <w:p>
      <w:pPr>
        <w:pStyle w:val="Heading5"/>
      </w:pPr>
      <w:bookmarkStart w:id="589" w:name="_Toc194933237"/>
      <w:r>
        <w:rPr>
          <w:rStyle w:val="CharSectno"/>
        </w:rPr>
        <w:t>285</w:t>
      </w:r>
      <w:r>
        <w:t>.</w:t>
      </w:r>
      <w:r>
        <w:tab/>
        <w:t>Transitional provision for offence involving compliance with ADG Code</w:t>
      </w:r>
      <w:bookmarkEnd w:id="589"/>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1 January 2016 and ends on 31 December 2016;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pPr>
        <w:pStyle w:val="Footnotesection"/>
      </w:pPr>
      <w:r>
        <w:tab/>
        <w:t>[Regulation 285 inserted: Gazette 17 Nov 2015 p. 4701.]</w:t>
      </w:r>
    </w:p>
    <w:p>
      <w:pPr>
        <w:pStyle w:val="Heading3"/>
      </w:pPr>
      <w:bookmarkStart w:id="590" w:name="_Toc194911989"/>
      <w:bookmarkStart w:id="591" w:name="_Toc194914706"/>
      <w:bookmarkStart w:id="592" w:name="_Toc194915076"/>
      <w:bookmarkStart w:id="593" w:name="_Toc194933238"/>
      <w:r>
        <w:rPr>
          <w:rStyle w:val="CharDivNo"/>
        </w:rPr>
        <w:lastRenderedPageBreak/>
        <w:t>Division 5</w:t>
      </w:r>
      <w:r>
        <w:t> — </w:t>
      </w:r>
      <w:r>
        <w:rPr>
          <w:rStyle w:val="CharDivText"/>
        </w:rPr>
        <w:t xml:space="preserve">Provisions for </w:t>
      </w:r>
      <w:r>
        <w:rPr>
          <w:rStyle w:val="CharDivText"/>
          <w:i/>
        </w:rPr>
        <w:t>Dangerous Goods Safety (Road and Rail Transport of Non</w:t>
      </w:r>
      <w:r>
        <w:rPr>
          <w:rStyle w:val="CharDivText"/>
          <w:i/>
        </w:rPr>
        <w:noBreakHyphen/>
        <w:t>explosives) Amendment Regulations 2017</w:t>
      </w:r>
      <w:bookmarkEnd w:id="590"/>
      <w:bookmarkEnd w:id="591"/>
      <w:bookmarkEnd w:id="592"/>
      <w:bookmarkEnd w:id="593"/>
    </w:p>
    <w:p>
      <w:pPr>
        <w:pStyle w:val="Footnoteheading"/>
        <w:keepNext/>
      </w:pPr>
      <w:r>
        <w:tab/>
        <w:t>[Heading inserted: Gazette 11 Jul 2017 p. 3832.]</w:t>
      </w:r>
    </w:p>
    <w:p>
      <w:pPr>
        <w:pStyle w:val="Heading5"/>
      </w:pPr>
      <w:bookmarkStart w:id="594" w:name="_Toc194933239"/>
      <w:r>
        <w:rPr>
          <w:rStyle w:val="CharSectno"/>
        </w:rPr>
        <w:t>286</w:t>
      </w:r>
      <w:r>
        <w:t>.</w:t>
      </w:r>
      <w:r>
        <w:tab/>
        <w:t>Term used: commencement day</w:t>
      </w:r>
      <w:bookmarkEnd w:id="594"/>
    </w:p>
    <w:p>
      <w:pPr>
        <w:pStyle w:val="Subsection"/>
        <w:keepNext/>
      </w:pPr>
      <w:r>
        <w:tab/>
      </w:r>
      <w:r>
        <w:tab/>
        <w:t xml:space="preserve">In this Division —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2017</w:t>
      </w:r>
      <w:r>
        <w:t xml:space="preserve"> regulation 3 comes into operation.</w:t>
      </w:r>
    </w:p>
    <w:p>
      <w:pPr>
        <w:pStyle w:val="Footnotesection"/>
      </w:pPr>
      <w:r>
        <w:tab/>
        <w:t>[Regulation 286 inserted: Gazette 11 Jul 2017 p. 3832.]</w:t>
      </w:r>
    </w:p>
    <w:p>
      <w:pPr>
        <w:pStyle w:val="Heading5"/>
      </w:pPr>
      <w:bookmarkStart w:id="595" w:name="_Toc194933240"/>
      <w:r>
        <w:rPr>
          <w:rStyle w:val="CharSectno"/>
        </w:rPr>
        <w:t>287</w:t>
      </w:r>
      <w:r>
        <w:t>.</w:t>
      </w:r>
      <w:r>
        <w:tab/>
        <w:t>Assessing fitness to drive</w:t>
      </w:r>
      <w:bookmarkEnd w:id="595"/>
    </w:p>
    <w:p>
      <w:pPr>
        <w:pStyle w:val="Subsection"/>
      </w:pPr>
      <w:r>
        <w:tab/>
        <w:t>(1)</w:t>
      </w:r>
      <w:r>
        <w:tab/>
        <w:t xml:space="preserve">In this regulation — </w:t>
      </w:r>
    </w:p>
    <w:p>
      <w:pPr>
        <w:pStyle w:val="Defstart"/>
      </w:pPr>
      <w:r>
        <w:tab/>
      </w:r>
      <w:r>
        <w:rPr>
          <w:rStyle w:val="CharDefText"/>
        </w:rPr>
        <w:t>previous regulation 221(c)</w:t>
      </w:r>
      <w:r>
        <w:t xml:space="preserve"> means regulation 221(c) as in force immediately before commencement day.</w:t>
      </w:r>
    </w:p>
    <w:p>
      <w:pPr>
        <w:pStyle w:val="Subsection"/>
      </w:pPr>
      <w:r>
        <w:tab/>
        <w:t>(2)</w:t>
      </w:r>
      <w:r>
        <w:tab/>
        <w:t>A certificate that complies with previous regulation 221(c) and issued within 1 year after commencement day is taken to be a certificate that complies with regulation 221(c).</w:t>
      </w:r>
    </w:p>
    <w:p>
      <w:pPr>
        <w:pStyle w:val="Footnotesection"/>
      </w:pPr>
      <w:r>
        <w:tab/>
        <w:t>[Regulation 287 inserted: Gazette 11 Jul 2017 p. 3832.]</w:t>
      </w:r>
    </w:p>
    <w:p>
      <w:pPr>
        <w:pStyle w:val="Heading5"/>
      </w:pPr>
      <w:bookmarkStart w:id="596" w:name="_Toc194933241"/>
      <w:r>
        <w:rPr>
          <w:rStyle w:val="CharSectno"/>
        </w:rPr>
        <w:t>288</w:t>
      </w:r>
      <w:r>
        <w:t>.</w:t>
      </w:r>
      <w:r>
        <w:tab/>
        <w:t>Transitional provision for offence involving compliance with ADG Code</w:t>
      </w:r>
      <w:bookmarkEnd w:id="596"/>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1 March 2018; and</w:t>
      </w:r>
    </w:p>
    <w:p>
      <w:pPr>
        <w:pStyle w:val="Indenta"/>
      </w:pPr>
      <w:r>
        <w:lastRenderedPageBreak/>
        <w:tab/>
        <w:t>(c)</w:t>
      </w:r>
      <w:r>
        <w:tab/>
        <w:t>the person transports the goods in accordance with the ADG Code as it was defined in regulation 4 immediately before commencement day.</w:t>
      </w:r>
    </w:p>
    <w:p>
      <w:pPr>
        <w:pStyle w:val="Footnotesection"/>
      </w:pPr>
      <w:r>
        <w:tab/>
        <w:t>[Regulation 288 inserted: Gazette 11 Jul 2017 p. 3832.]</w:t>
      </w:r>
    </w:p>
    <w:p>
      <w:pPr>
        <w:pStyle w:val="Heading3"/>
        <w:rPr>
          <w:i/>
        </w:rPr>
      </w:pPr>
      <w:bookmarkStart w:id="597" w:name="_Toc194911993"/>
      <w:bookmarkStart w:id="598" w:name="_Toc194914710"/>
      <w:bookmarkStart w:id="599" w:name="_Toc194915080"/>
      <w:bookmarkStart w:id="600" w:name="_Toc194933242"/>
      <w:r>
        <w:rPr>
          <w:rStyle w:val="CharDivNo"/>
        </w:rPr>
        <w:t>Division 6</w:t>
      </w:r>
      <w:r>
        <w:t> — </w:t>
      </w:r>
      <w:r>
        <w:rPr>
          <w:rStyle w:val="CharDivText"/>
        </w:rPr>
        <w:t xml:space="preserve">Provisions for </w:t>
      </w:r>
      <w:r>
        <w:rPr>
          <w:rStyle w:val="CharDivText"/>
          <w:i/>
          <w:iCs/>
        </w:rPr>
        <w:t>Dangerous Goods Safety (Road and Rail Transport of Non</w:t>
      </w:r>
      <w:r>
        <w:rPr>
          <w:rStyle w:val="CharDivText"/>
          <w:i/>
          <w:iCs/>
        </w:rPr>
        <w:noBreakHyphen/>
        <w:t>explosives) Amendment Regulations 2018</w:t>
      </w:r>
      <w:bookmarkEnd w:id="597"/>
      <w:bookmarkEnd w:id="598"/>
      <w:bookmarkEnd w:id="599"/>
      <w:bookmarkEnd w:id="600"/>
    </w:p>
    <w:p>
      <w:pPr>
        <w:pStyle w:val="Footnoteheading"/>
      </w:pPr>
      <w:r>
        <w:tab/>
        <w:t>[Heading inserted: Gazette 31 Aug 2018 p. 3046.]</w:t>
      </w:r>
    </w:p>
    <w:p>
      <w:pPr>
        <w:pStyle w:val="Heading5"/>
      </w:pPr>
      <w:bookmarkStart w:id="601" w:name="_Toc194933243"/>
      <w:r>
        <w:rPr>
          <w:rStyle w:val="CharSectno"/>
        </w:rPr>
        <w:t>289</w:t>
      </w:r>
      <w:r>
        <w:t>.</w:t>
      </w:r>
      <w:r>
        <w:tab/>
        <w:t>Term used: commencement day</w:t>
      </w:r>
      <w:bookmarkEnd w:id="601"/>
    </w:p>
    <w:p>
      <w:pPr>
        <w:pStyle w:val="Subsection"/>
      </w:pPr>
      <w:r>
        <w:tab/>
      </w:r>
      <w:r>
        <w:tab/>
        <w:t>In this Division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2018</w:t>
      </w:r>
      <w:r>
        <w:t xml:space="preserve"> regulation 3 comes into operation.</w:t>
      </w:r>
    </w:p>
    <w:p>
      <w:pPr>
        <w:pStyle w:val="Footnotesection"/>
        <w:rPr>
          <w:szCs w:val="24"/>
        </w:rPr>
      </w:pPr>
      <w:r>
        <w:rPr>
          <w:szCs w:val="24"/>
        </w:rPr>
        <w:tab/>
        <w:t>[Regulation 289 inserted: Gazette 31 Aug 2018 p. 3046.]</w:t>
      </w:r>
    </w:p>
    <w:p>
      <w:pPr>
        <w:pStyle w:val="Heading5"/>
      </w:pPr>
      <w:bookmarkStart w:id="602" w:name="_Toc194933244"/>
      <w:r>
        <w:rPr>
          <w:rStyle w:val="CharSectno"/>
        </w:rPr>
        <w:t>290</w:t>
      </w:r>
      <w:r>
        <w:t>.</w:t>
      </w:r>
      <w:r>
        <w:tab/>
        <w:t>Transitional provision for offence involving compliance with ADG Code</w:t>
      </w:r>
      <w:bookmarkEnd w:id="602"/>
    </w:p>
    <w:p>
      <w:pPr>
        <w:pStyle w:val="Subsection"/>
        <w:keepNext/>
      </w:pPr>
      <w:r>
        <w:tab/>
      </w:r>
      <w:r>
        <w:tab/>
        <w:t>A person does not commit an offence against these regulations in relation to the transport of dangerous goods by road or rail if —</w:t>
      </w:r>
    </w:p>
    <w:p>
      <w:pPr>
        <w:pStyle w:val="Indenta"/>
        <w:keepNext/>
      </w:pPr>
      <w:r>
        <w:tab/>
        <w:t>(a)</w:t>
      </w:r>
      <w:r>
        <w:tab/>
        <w:t>the offence relates to non</w:t>
      </w:r>
      <w:r>
        <w:noBreakHyphen/>
        <w:t>compliance with the ADG Code; and</w:t>
      </w:r>
    </w:p>
    <w:p>
      <w:pPr>
        <w:pStyle w:val="Indenta"/>
      </w:pPr>
      <w:r>
        <w:tab/>
        <w:t>(b)</w:t>
      </w:r>
      <w:r>
        <w:tab/>
        <w:t>the transport takes place during the period that begins on the commencement day and ends on 30 June 2019;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2018</w:t>
      </w:r>
      <w:r>
        <w:t xml:space="preserve"> regulation 3 came into operation.</w:t>
      </w:r>
    </w:p>
    <w:p>
      <w:pPr>
        <w:pStyle w:val="Footnotesection"/>
        <w:rPr>
          <w:szCs w:val="24"/>
        </w:rPr>
      </w:pPr>
      <w:r>
        <w:rPr>
          <w:szCs w:val="24"/>
        </w:rPr>
        <w:tab/>
        <w:t>[Regulation 290 inserted: Gazette 31 Aug 2018 p. 3046</w:t>
      </w:r>
      <w:r>
        <w:rPr>
          <w:szCs w:val="24"/>
        </w:rPr>
        <w:noBreakHyphen/>
        <w:t>7.]</w:t>
      </w:r>
    </w:p>
    <w:p>
      <w:pPr>
        <w:pStyle w:val="Heading3"/>
        <w:rPr>
          <w:i/>
        </w:rPr>
      </w:pPr>
      <w:bookmarkStart w:id="603" w:name="_Toc194911996"/>
      <w:bookmarkStart w:id="604" w:name="_Toc194914713"/>
      <w:bookmarkStart w:id="605" w:name="_Toc194915083"/>
      <w:bookmarkStart w:id="606" w:name="_Toc194933245"/>
      <w:r>
        <w:rPr>
          <w:rStyle w:val="CharDivNo"/>
        </w:rPr>
        <w:lastRenderedPageBreak/>
        <w:t>Division 7 </w:t>
      </w:r>
      <w:r>
        <w:t>—</w:t>
      </w:r>
      <w:r>
        <w:rPr>
          <w:rStyle w:val="CharDivNo"/>
        </w:rPr>
        <w:t> </w:t>
      </w:r>
      <w:r>
        <w:rPr>
          <w:rStyle w:val="CharDivText"/>
        </w:rPr>
        <w:t xml:space="preserve">Provision for </w:t>
      </w:r>
      <w:r>
        <w:rPr>
          <w:rStyle w:val="CharDivText"/>
          <w:i/>
        </w:rPr>
        <w:t>Dangerous Goods Safety Regulations Amendment Regulations 2020</w:t>
      </w:r>
      <w:bookmarkEnd w:id="603"/>
      <w:bookmarkEnd w:id="604"/>
      <w:bookmarkEnd w:id="605"/>
      <w:bookmarkEnd w:id="606"/>
    </w:p>
    <w:p>
      <w:pPr>
        <w:pStyle w:val="Footnoteheading"/>
        <w:keepNext/>
      </w:pPr>
      <w:r>
        <w:tab/>
        <w:t>[Heading inserted: SL 2020/193 r. 26.]</w:t>
      </w:r>
    </w:p>
    <w:p>
      <w:pPr>
        <w:pStyle w:val="Heading5"/>
      </w:pPr>
      <w:bookmarkStart w:id="607" w:name="_Toc194933246"/>
      <w:r>
        <w:rPr>
          <w:rStyle w:val="CharSectno"/>
        </w:rPr>
        <w:t>291</w:t>
      </w:r>
      <w:r>
        <w:t>.</w:t>
      </w:r>
      <w:r>
        <w:tab/>
        <w:t>Transitional provision for offence involving compliance with ADG Code</w:t>
      </w:r>
      <w:bookmarkEnd w:id="607"/>
    </w:p>
    <w:p>
      <w:pPr>
        <w:pStyle w:val="Subsection"/>
      </w:pPr>
      <w:r>
        <w:tab/>
        <w:t>(1)</w:t>
      </w:r>
      <w:r>
        <w:tab/>
        <w:t xml:space="preserve">In this regulation — </w:t>
      </w:r>
    </w:p>
    <w:p>
      <w:pPr>
        <w:pStyle w:val="Defstart"/>
      </w:pPr>
      <w:r>
        <w:tab/>
      </w:r>
      <w:r>
        <w:rPr>
          <w:rStyle w:val="CharDefText"/>
        </w:rPr>
        <w:t>commencement day</w:t>
      </w:r>
      <w:r>
        <w:t xml:space="preserve"> means the day on which the </w:t>
      </w:r>
      <w:r>
        <w:rPr>
          <w:i/>
        </w:rPr>
        <w:t>Dangerous Goods Safety Regulations Amendment Regulations 2020</w:t>
      </w:r>
      <w:r>
        <w:t xml:space="preserve"> regulation 26 comes into operation.</w:t>
      </w:r>
    </w:p>
    <w:p>
      <w:pPr>
        <w:pStyle w:val="Subsection"/>
        <w:keepNext/>
      </w:pPr>
      <w:r>
        <w:tab/>
        <w:t>(2)</w:t>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30 September 2021; and</w:t>
      </w:r>
    </w:p>
    <w:p>
      <w:pPr>
        <w:pStyle w:val="Indenta"/>
      </w:pPr>
      <w:r>
        <w:tab/>
        <w:t>(c)</w:t>
      </w:r>
      <w:r>
        <w:tab/>
        <w:t>the person transports the goods in accordance with the ADG Code as it was defined in regulation 4 immediately before commencement day.</w:t>
      </w:r>
    </w:p>
    <w:p>
      <w:pPr>
        <w:pStyle w:val="Footnotesection"/>
      </w:pPr>
      <w:r>
        <w:tab/>
        <w:t>[Regulation 291 inserted: SL 2020/193 r. 26.]</w:t>
      </w:r>
    </w:p>
    <w:p>
      <w:pPr>
        <w:sectPr>
          <w:headerReference w:type="even" r:id="rId21"/>
          <w:headerReference w:type="default" r:id="rId22"/>
          <w:headerReference w:type="first" r:id="rId23"/>
          <w:endnotePr>
            <w:numFmt w:val="decimal"/>
          </w:endnotePr>
          <w:pgSz w:w="11907" w:h="16840" w:code="9"/>
          <w:pgMar w:top="2376" w:right="2405" w:bottom="3542" w:left="2405" w:header="706" w:footer="3544" w:gutter="0"/>
          <w:cols w:space="720"/>
          <w:noEndnote/>
          <w:titlePg/>
          <w:docGrid w:linePitch="326"/>
        </w:sectPr>
      </w:pPr>
    </w:p>
    <w:p>
      <w:pPr>
        <w:pStyle w:val="yScheduleHeading"/>
      </w:pPr>
      <w:bookmarkStart w:id="608" w:name="_Toc194911998"/>
      <w:bookmarkStart w:id="609" w:name="_Toc194914715"/>
      <w:bookmarkStart w:id="610" w:name="_Toc194915085"/>
      <w:bookmarkStart w:id="611" w:name="_Toc194933247"/>
      <w:r>
        <w:rPr>
          <w:rStyle w:val="CharSchNo"/>
        </w:rPr>
        <w:lastRenderedPageBreak/>
        <w:t>Schedule 1</w:t>
      </w:r>
      <w:r>
        <w:rPr>
          <w:rStyle w:val="CharSDivNo"/>
        </w:rPr>
        <w:t> </w:t>
      </w:r>
      <w:r>
        <w:t>—</w:t>
      </w:r>
      <w:r>
        <w:rPr>
          <w:rStyle w:val="CharSDivText"/>
        </w:rPr>
        <w:t> </w:t>
      </w:r>
      <w:r>
        <w:rPr>
          <w:rStyle w:val="CharSchText"/>
        </w:rPr>
        <w:t>Infringement notice offences and modified penalties</w:t>
      </w:r>
      <w:bookmarkEnd w:id="608"/>
      <w:bookmarkEnd w:id="609"/>
      <w:bookmarkEnd w:id="610"/>
      <w:bookmarkEnd w:id="611"/>
    </w:p>
    <w:p>
      <w:pPr>
        <w:pStyle w:val="yShoulderClause"/>
      </w:pPr>
      <w:r>
        <w:t>[r. 271]</w:t>
      </w:r>
    </w:p>
    <w:p>
      <w:pPr>
        <w:pStyle w:val="yTHeadingNAm"/>
      </w:pPr>
      <w:r>
        <w:t>Table</w:t>
      </w:r>
    </w:p>
    <w:tbl>
      <w:tblPr>
        <w:tblW w:w="6804" w:type="dxa"/>
        <w:tblInd w:w="284"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color w:val="000000"/>
              </w:rPr>
            </w:pPr>
            <w:r>
              <w:t>Regulation 13B(3)</w:t>
            </w:r>
          </w:p>
        </w:tc>
        <w:tc>
          <w:tcPr>
            <w:tcW w:w="1843" w:type="dxa"/>
          </w:tcPr>
          <w:p>
            <w:pPr>
              <w:pStyle w:val="yTableNAm"/>
              <w:rPr>
                <w:color w:val="000000"/>
              </w:rPr>
            </w:pPr>
            <w:r>
              <w:t>100</w:t>
            </w:r>
          </w:p>
        </w:tc>
        <w:tc>
          <w:tcPr>
            <w:tcW w:w="1843" w:type="dxa"/>
          </w:tcPr>
          <w:p>
            <w:pPr>
              <w:pStyle w:val="yTableNAm"/>
              <w:rPr>
                <w:color w:val="000000"/>
              </w:rPr>
            </w:pPr>
            <w:r>
              <w:t>500</w:t>
            </w:r>
          </w:p>
        </w:tc>
      </w:tr>
      <w:tr>
        <w:trPr>
          <w:cantSplit/>
        </w:trPr>
        <w:tc>
          <w:tcPr>
            <w:tcW w:w="850" w:type="dxa"/>
          </w:tcPr>
          <w:p>
            <w:pPr>
              <w:pStyle w:val="yTableNAm"/>
              <w:rPr>
                <w:color w:val="000000"/>
              </w:rPr>
            </w:pPr>
            <w:r>
              <w:t>1A.</w:t>
            </w:r>
          </w:p>
        </w:tc>
        <w:tc>
          <w:tcPr>
            <w:tcW w:w="2268" w:type="dxa"/>
          </w:tcPr>
          <w:p>
            <w:pPr>
              <w:pStyle w:val="yTableNAm"/>
            </w:pPr>
            <w:r>
              <w:t>Regulation 13B(4)</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1B.</w:t>
            </w:r>
          </w:p>
        </w:tc>
        <w:tc>
          <w:tcPr>
            <w:tcW w:w="2268" w:type="dxa"/>
          </w:tcPr>
          <w:p>
            <w:pPr>
              <w:pStyle w:val="yTableNAm"/>
            </w:pPr>
            <w:r>
              <w:t>Regulation 20(2)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5A.</w:t>
            </w:r>
          </w:p>
        </w:tc>
        <w:tc>
          <w:tcPr>
            <w:tcW w:w="2268" w:type="dxa"/>
          </w:tcPr>
          <w:p>
            <w:pPr>
              <w:pStyle w:val="yTableNAm"/>
            </w:pPr>
            <w:r>
              <w:t>Regulation 69(2)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21A.</w:t>
            </w:r>
          </w:p>
        </w:tc>
        <w:tc>
          <w:tcPr>
            <w:tcW w:w="2268" w:type="dxa"/>
          </w:tcPr>
          <w:p>
            <w:pPr>
              <w:pStyle w:val="yTableNAm"/>
            </w:pPr>
            <w:r>
              <w:t>Regulation 109A(1)</w:t>
            </w:r>
          </w:p>
        </w:tc>
        <w:tc>
          <w:tcPr>
            <w:tcW w:w="1843" w:type="dxa"/>
          </w:tcPr>
          <w:p>
            <w:pPr>
              <w:pStyle w:val="yTableNAm"/>
              <w:tabs>
                <w:tab w:val="clear" w:pos="567"/>
                <w:tab w:val="left" w:pos="450"/>
              </w:tabs>
              <w:ind w:left="450" w:hanging="450"/>
            </w:pPr>
            <w:r>
              <w:t>300</w:t>
            </w:r>
          </w:p>
        </w:tc>
        <w:tc>
          <w:tcPr>
            <w:tcW w:w="1843" w:type="dxa"/>
          </w:tcPr>
          <w:p>
            <w:pPr>
              <w:pStyle w:val="yTableNAm"/>
              <w:tabs>
                <w:tab w:val="clear" w:pos="567"/>
                <w:tab w:val="left" w:pos="407"/>
              </w:tabs>
              <w:ind w:left="407" w:hanging="407"/>
            </w:pPr>
            <w:r>
              <w:t>1 500</w:t>
            </w:r>
          </w:p>
        </w:tc>
      </w:tr>
      <w:tr>
        <w:trPr>
          <w:cantSplit/>
        </w:trPr>
        <w:tc>
          <w:tcPr>
            <w:tcW w:w="850" w:type="dxa"/>
          </w:tcPr>
          <w:p>
            <w:pPr>
              <w:pStyle w:val="yTableNAm"/>
            </w:pPr>
            <w:r>
              <w:lastRenderedPageBreak/>
              <w:t>22.</w:t>
            </w:r>
          </w:p>
        </w:tc>
        <w:tc>
          <w:tcPr>
            <w:tcW w:w="2268" w:type="dxa"/>
          </w:tcPr>
          <w:p>
            <w:pPr>
              <w:pStyle w:val="yTableNAm"/>
            </w:pPr>
            <w:r>
              <w:t>Regulation 112(1)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23A.</w:t>
            </w:r>
          </w:p>
        </w:tc>
        <w:tc>
          <w:tcPr>
            <w:tcW w:w="2268" w:type="dxa"/>
          </w:tcPr>
          <w:p>
            <w:pPr>
              <w:pStyle w:val="yTableNAm"/>
            </w:pPr>
            <w:r>
              <w:t>Regulation 112(2)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23B.</w:t>
            </w:r>
          </w:p>
        </w:tc>
        <w:tc>
          <w:tcPr>
            <w:tcW w:w="2268" w:type="dxa"/>
          </w:tcPr>
          <w:p>
            <w:pPr>
              <w:pStyle w:val="yTableNAm"/>
            </w:pPr>
            <w:r>
              <w:t>Regulation 112(3)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23C.</w:t>
            </w:r>
          </w:p>
        </w:tc>
        <w:tc>
          <w:tcPr>
            <w:tcW w:w="2268" w:type="dxa"/>
          </w:tcPr>
          <w:p>
            <w:pPr>
              <w:pStyle w:val="yTableNAm"/>
            </w:pPr>
            <w:r>
              <w:t>Regulation 112(5)</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25A.</w:t>
            </w:r>
          </w:p>
        </w:tc>
        <w:tc>
          <w:tcPr>
            <w:tcW w:w="2268" w:type="dxa"/>
          </w:tcPr>
          <w:p>
            <w:pPr>
              <w:pStyle w:val="yTableNAm"/>
            </w:pPr>
            <w:r>
              <w:t>Regulation 123(2)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i/>
                <w:color w:val="000000"/>
              </w:rPr>
            </w:pPr>
            <w:r>
              <w:rPr>
                <w:i/>
                <w:color w:val="000000"/>
              </w:rPr>
              <w:t>[28</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lastRenderedPageBreak/>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49A.</w:t>
            </w:r>
          </w:p>
        </w:tc>
        <w:tc>
          <w:tcPr>
            <w:tcW w:w="2268" w:type="dxa"/>
          </w:tcPr>
          <w:p>
            <w:pPr>
              <w:pStyle w:val="yTableNAm"/>
            </w:pPr>
            <w:r>
              <w:t>Regulation 162A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49B.</w:t>
            </w:r>
          </w:p>
        </w:tc>
        <w:tc>
          <w:tcPr>
            <w:tcW w:w="2268" w:type="dxa"/>
          </w:tcPr>
          <w:p>
            <w:pPr>
              <w:pStyle w:val="yTableNAm"/>
            </w:pPr>
            <w:r>
              <w:t>Regulation 162B</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55A.</w:t>
            </w:r>
          </w:p>
        </w:tc>
        <w:tc>
          <w:tcPr>
            <w:tcW w:w="2268" w:type="dxa"/>
          </w:tcPr>
          <w:p>
            <w:pPr>
              <w:pStyle w:val="yTableNAm"/>
            </w:pPr>
            <w:r>
              <w:t>Regulation 170A(2)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55B.</w:t>
            </w:r>
          </w:p>
        </w:tc>
        <w:tc>
          <w:tcPr>
            <w:tcW w:w="2268" w:type="dxa"/>
          </w:tcPr>
          <w:p>
            <w:pPr>
              <w:pStyle w:val="yTableNAm"/>
            </w:pPr>
            <w:r>
              <w:t>Regulation 170A(3)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59A.</w:t>
            </w:r>
          </w:p>
        </w:tc>
        <w:tc>
          <w:tcPr>
            <w:tcW w:w="2268" w:type="dxa"/>
          </w:tcPr>
          <w:p>
            <w:pPr>
              <w:pStyle w:val="yTableNAm"/>
            </w:pPr>
            <w:r>
              <w:t>Regulation 174A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59B.</w:t>
            </w:r>
          </w:p>
        </w:tc>
        <w:tc>
          <w:tcPr>
            <w:tcW w:w="2268" w:type="dxa"/>
          </w:tcPr>
          <w:p>
            <w:pPr>
              <w:pStyle w:val="yTableNAm"/>
            </w:pPr>
            <w:r>
              <w:t>Regulation 174B</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lastRenderedPageBreak/>
              <w:t>59C.</w:t>
            </w:r>
          </w:p>
        </w:tc>
        <w:tc>
          <w:tcPr>
            <w:tcW w:w="2268" w:type="dxa"/>
          </w:tcPr>
          <w:p>
            <w:pPr>
              <w:pStyle w:val="yTableNAm"/>
            </w:pPr>
            <w:r>
              <w:t>Regulation 174C</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59D.</w:t>
            </w:r>
          </w:p>
        </w:tc>
        <w:tc>
          <w:tcPr>
            <w:tcW w:w="2268" w:type="dxa"/>
          </w:tcPr>
          <w:p>
            <w:pPr>
              <w:pStyle w:val="yTableNAm"/>
            </w:pPr>
            <w:r>
              <w:t>Regulation 174D</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i/>
                <w:color w:val="000000"/>
              </w:rPr>
            </w:pPr>
            <w:r>
              <w:rPr>
                <w:i/>
                <w:color w:val="000000"/>
              </w:rPr>
              <w:t>[64</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71A.</w:t>
            </w:r>
          </w:p>
        </w:tc>
        <w:tc>
          <w:tcPr>
            <w:tcW w:w="2268" w:type="dxa"/>
          </w:tcPr>
          <w:p>
            <w:pPr>
              <w:pStyle w:val="yTableNAm"/>
            </w:pPr>
            <w:r>
              <w:t>Regulation 244(3)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Gazette 22 Jun 2010 p. 2740; </w:t>
      </w:r>
      <w:r>
        <w:rPr>
          <w:sz w:val="24"/>
        </w:rPr>
        <w:t>13 Jun 2014 p. </w:t>
      </w:r>
      <w:r>
        <w:t>1949</w:t>
      </w:r>
      <w:r>
        <w:noBreakHyphen/>
        <w:t xml:space="preserve">50; 17 Nov 2015 p. 4701; 11 Jul 2017 p. 3833; 31 Aug 2018 p. 3047; SL 2020/193 r. 27; SL 2024/22 r. 13; </w:t>
      </w:r>
      <w:r>
        <w:rPr>
          <w:szCs w:val="24"/>
        </w:rPr>
        <w:t>SL </w:t>
      </w:r>
      <w:r>
        <w:t>2024/285 r. 12.]</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5"/>
          <w:headerReference w:type="default" r:id="rId26"/>
          <w:headerReference w:type="first" r:id="rId27"/>
          <w:endnotePr>
            <w:numFmt w:val="decimal"/>
          </w:endnotePr>
          <w:pgSz w:w="11907" w:h="16840" w:code="9"/>
          <w:pgMar w:top="2376" w:right="2405" w:bottom="3542" w:left="2405" w:header="706" w:footer="3544" w:gutter="0"/>
          <w:cols w:space="720"/>
          <w:noEndnote/>
          <w:docGrid w:linePitch="78"/>
        </w:sectPr>
      </w:pPr>
    </w:p>
    <w:p>
      <w:pPr>
        <w:pStyle w:val="nHeading2"/>
      </w:pPr>
      <w:bookmarkStart w:id="613" w:name="_Toc194911999"/>
      <w:bookmarkStart w:id="614" w:name="_Toc194914716"/>
      <w:bookmarkStart w:id="615" w:name="_Toc194915086"/>
      <w:bookmarkStart w:id="616" w:name="_Toc194933248"/>
      <w:r>
        <w:lastRenderedPageBreak/>
        <w:t>Notes</w:t>
      </w:r>
      <w:bookmarkEnd w:id="613"/>
      <w:bookmarkEnd w:id="614"/>
      <w:bookmarkEnd w:id="615"/>
      <w:bookmarkEnd w:id="616"/>
    </w:p>
    <w:p>
      <w:pPr>
        <w:pStyle w:val="nStatement"/>
      </w:pPr>
      <w:r>
        <w:t xml:space="preserve">This is a compilation of the </w:t>
      </w:r>
      <w:r>
        <w:rPr>
          <w:i/>
          <w:noProof/>
        </w:rPr>
        <w:t>Dangerous Goods Safety (Road and Rail Transport of Non</w:t>
      </w:r>
      <w:r>
        <w:rPr>
          <w:i/>
          <w:noProof/>
        </w:rPr>
        <w:noBreakHyphen/>
        <w:t>explosives) Regulations 2007</w:t>
      </w:r>
      <w:r>
        <w:t xml:space="preserve"> and includes amendments made by other written laws. For provisions that have come into operation, and for information about any reprints, see the compilation table. </w:t>
      </w:r>
    </w:p>
    <w:p>
      <w:pPr>
        <w:pStyle w:val="nHeading3"/>
      </w:pPr>
      <w:bookmarkStart w:id="617" w:name="_Toc194933249"/>
      <w:r>
        <w:t>Compilation table</w:t>
      </w:r>
      <w:bookmarkEnd w:id="617"/>
    </w:p>
    <w:tbl>
      <w:tblPr>
        <w:tblW w:w="7088"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9"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single" w:sz="4" w:space="0" w:color="auto"/>
            <w:insideH w:val="single" w:sz="4" w:space="0" w:color="auto"/>
          </w:tblBorders>
        </w:tblPrEx>
        <w:tc>
          <w:tcPr>
            <w:tcW w:w="3119" w:type="dxa"/>
            <w:tcBorders>
              <w:top w:val="single" w:sz="8" w:space="0" w:color="auto"/>
              <w:bottom w:val="nil"/>
            </w:tcBorders>
          </w:tcPr>
          <w:p>
            <w:pPr>
              <w:pStyle w:val="nTable"/>
              <w:spacing w:after="40"/>
              <w:rPr>
                <w:iCs/>
              </w:rPr>
            </w:pPr>
            <w:r>
              <w:rPr>
                <w:i/>
              </w:rPr>
              <w:t>Dangerous Goods Safety (Road and Rail Transport of Non</w:t>
            </w:r>
            <w:r>
              <w:rPr>
                <w:i/>
              </w:rPr>
              <w:noBreakHyphen/>
              <w:t>explosives) Regulations 2007</w:t>
            </w:r>
          </w:p>
        </w:tc>
        <w:tc>
          <w:tcPr>
            <w:tcW w:w="1276" w:type="dxa"/>
            <w:tcBorders>
              <w:top w:val="single" w:sz="8" w:space="0" w:color="auto"/>
              <w:bottom w:val="nil"/>
            </w:tcBorders>
          </w:tcPr>
          <w:p>
            <w:pPr>
              <w:pStyle w:val="nTable"/>
              <w:spacing w:after="40"/>
            </w:pPr>
            <w:r>
              <w:t>31 Dec 2007 p. 6893</w:t>
            </w:r>
            <w:r>
              <w:noBreakHyphen/>
              <w:t>7056</w:t>
            </w:r>
          </w:p>
        </w:tc>
        <w:tc>
          <w:tcPr>
            <w:tcW w:w="2693" w:type="dxa"/>
            <w:tcBorders>
              <w:top w:val="single" w:sz="8" w:space="0" w:color="auto"/>
              <w:bottom w:val="nil"/>
            </w:tcBorders>
          </w:tcPr>
          <w:p>
            <w:pPr>
              <w:pStyle w:val="nTable"/>
              <w:spacing w:after="40"/>
            </w:pPr>
            <w:r>
              <w:t>r. 1 and 2: 31 Dec 2007 (see r. 2(a));</w:t>
            </w:r>
            <w:r>
              <w:br/>
              <w:t xml:space="preserve">Regulations other than r. 1 and 2: 1 Mar 2008 (see r. 2(b) and </w:t>
            </w:r>
            <w:r>
              <w:rPr>
                <w:i/>
                <w:iCs/>
              </w:rPr>
              <w:t>Gazette</w:t>
            </w:r>
            <w:r>
              <w:t xml:space="preserve"> 29 Feb 2008 p. 669)</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2008</w:t>
            </w:r>
          </w:p>
        </w:tc>
        <w:tc>
          <w:tcPr>
            <w:tcW w:w="1276" w:type="dxa"/>
            <w:tcBorders>
              <w:top w:val="nil"/>
              <w:bottom w:val="nil"/>
            </w:tcBorders>
          </w:tcPr>
          <w:p>
            <w:pPr>
              <w:pStyle w:val="nTable"/>
              <w:spacing w:after="40"/>
            </w:pPr>
            <w:r>
              <w:t>30 Jun 2008 p. 3129</w:t>
            </w:r>
            <w:r>
              <w:noBreakHyphen/>
              <w:t>30</w:t>
            </w:r>
          </w:p>
        </w:tc>
        <w:tc>
          <w:tcPr>
            <w:tcW w:w="2693" w:type="dxa"/>
            <w:tcBorders>
              <w:top w:val="nil"/>
              <w:bottom w:val="nil"/>
            </w:tcBorders>
          </w:tcPr>
          <w:p>
            <w:pPr>
              <w:pStyle w:val="nTable"/>
              <w:spacing w:after="40"/>
            </w:pPr>
            <w:r>
              <w:rPr>
                <w:snapToGrid w:val="0"/>
              </w:rPr>
              <w:t>r. 1 and 2: 30 Jun 2008 (see r. 2(a));</w:t>
            </w:r>
            <w:r>
              <w:rPr>
                <w:snapToGrid w:val="0"/>
              </w:rPr>
              <w:br/>
              <w:t xml:space="preserve">Regulations other than r. 1 and 2: 30 Jun 2008 (see r. 2(b) and </w:t>
            </w:r>
            <w:r>
              <w:rPr>
                <w:i/>
                <w:iCs/>
                <w:snapToGrid w:val="0"/>
              </w:rPr>
              <w:t>Gazette</w:t>
            </w:r>
            <w:r>
              <w:rPr>
                <w:snapToGrid w:val="0"/>
              </w:rPr>
              <w:t xml:space="preserve"> 10 Jun 2008 p. 2471)</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2008</w:t>
            </w:r>
          </w:p>
        </w:tc>
        <w:tc>
          <w:tcPr>
            <w:tcW w:w="1276" w:type="dxa"/>
            <w:tcBorders>
              <w:top w:val="nil"/>
              <w:bottom w:val="nil"/>
            </w:tcBorders>
          </w:tcPr>
          <w:p>
            <w:pPr>
              <w:pStyle w:val="nTable"/>
              <w:spacing w:after="40"/>
            </w:pPr>
            <w:r>
              <w:t>23 Jan 2009 p. 157</w:t>
            </w:r>
          </w:p>
        </w:tc>
        <w:tc>
          <w:tcPr>
            <w:tcW w:w="2693" w:type="dxa"/>
            <w:tcBorders>
              <w:top w:val="nil"/>
              <w:bottom w:val="nil"/>
            </w:tcBorders>
          </w:tcPr>
          <w:p>
            <w:pPr>
              <w:pStyle w:val="nTable"/>
              <w:spacing w:after="40"/>
              <w:rPr>
                <w:snapToGrid w:val="0"/>
              </w:rPr>
            </w:pPr>
            <w:r>
              <w:rPr>
                <w:snapToGrid w:val="0"/>
              </w:rPr>
              <w:t xml:space="preserve">r. 1 </w:t>
            </w:r>
            <w:r>
              <w:t>and</w:t>
            </w:r>
            <w:r>
              <w:rPr>
                <w:snapToGrid w:val="0"/>
              </w:rPr>
              <w:t xml:space="preserve"> 2: </w:t>
            </w:r>
            <w:r>
              <w:t>23 Jan 2009 (see r. 2(a));</w:t>
            </w:r>
            <w:r>
              <w:br/>
              <w:t>Regulations other than r. 1 and 2: 24 Jan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2009</w:t>
            </w:r>
            <w:r>
              <w:rPr>
                <w:iCs/>
              </w:rPr>
              <w:t xml:space="preserve"> </w:t>
            </w:r>
          </w:p>
        </w:tc>
        <w:tc>
          <w:tcPr>
            <w:tcW w:w="1276" w:type="dxa"/>
            <w:tcBorders>
              <w:top w:val="nil"/>
              <w:bottom w:val="nil"/>
            </w:tcBorders>
          </w:tcPr>
          <w:p>
            <w:pPr>
              <w:pStyle w:val="nTable"/>
              <w:spacing w:after="40"/>
            </w:pPr>
            <w:r>
              <w:t>16 Jun 2009 p. 2193</w:t>
            </w:r>
            <w:r>
              <w:noBreakHyphen/>
              <w:t>4</w:t>
            </w:r>
          </w:p>
        </w:tc>
        <w:tc>
          <w:tcPr>
            <w:tcW w:w="2693" w:type="dxa"/>
            <w:tcBorders>
              <w:top w:val="nil"/>
              <w:bottom w:val="nil"/>
            </w:tcBorders>
          </w:tcPr>
          <w:p>
            <w:pPr>
              <w:pStyle w:val="nTable"/>
              <w:spacing w:after="40"/>
              <w:rPr>
                <w:snapToGrid w:val="0"/>
              </w:rPr>
            </w:pPr>
            <w:r>
              <w:rPr>
                <w:snapToGrid w:val="0"/>
              </w:rPr>
              <w:t>r. 1 and 2: 16 Jun 2009 (see r. 2(a));</w:t>
            </w:r>
            <w:r>
              <w:rPr>
                <w:snapToGrid w:val="0"/>
              </w:rPr>
              <w:br/>
              <w:t>Regulations other than r. 1 and 2: 1 Jul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2010</w:t>
            </w:r>
          </w:p>
        </w:tc>
        <w:tc>
          <w:tcPr>
            <w:tcW w:w="1276" w:type="dxa"/>
            <w:tcBorders>
              <w:top w:val="nil"/>
              <w:bottom w:val="nil"/>
            </w:tcBorders>
          </w:tcPr>
          <w:p>
            <w:pPr>
              <w:pStyle w:val="nTable"/>
              <w:spacing w:after="40"/>
            </w:pPr>
            <w:r>
              <w:t>22 Jun 2010 p. 2715</w:t>
            </w:r>
            <w:r>
              <w:noBreakHyphen/>
              <w:t>40</w:t>
            </w:r>
          </w:p>
        </w:tc>
        <w:tc>
          <w:tcPr>
            <w:tcW w:w="2693" w:type="dxa"/>
            <w:tcBorders>
              <w:top w:val="nil"/>
              <w:bottom w:val="nil"/>
            </w:tcBorders>
          </w:tcPr>
          <w:p>
            <w:pPr>
              <w:pStyle w:val="nTable"/>
              <w:spacing w:after="40"/>
              <w:rPr>
                <w:snapToGrid w:val="0"/>
              </w:rPr>
            </w:pPr>
            <w:r>
              <w:rPr>
                <w:snapToGrid w:val="0"/>
              </w:rPr>
              <w:t>r. 1 and 2: 22 Jun 2010 (see r. 2(a));</w:t>
            </w:r>
            <w:r>
              <w:rPr>
                <w:snapToGrid w:val="0"/>
              </w:rPr>
              <w:br/>
              <w:t>Regulations other than r. 1 and 2: 23 Jun 2010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Non-explosives) Amendment Regulations (No. 2) 2010</w:t>
            </w:r>
            <w:r>
              <w:rPr>
                <w:i/>
                <w:vertAlign w:val="superscript"/>
              </w:rPr>
              <w:t> 2</w:t>
            </w:r>
          </w:p>
        </w:tc>
        <w:tc>
          <w:tcPr>
            <w:tcW w:w="1276" w:type="dxa"/>
            <w:tcBorders>
              <w:top w:val="nil"/>
              <w:bottom w:val="nil"/>
            </w:tcBorders>
          </w:tcPr>
          <w:p>
            <w:pPr>
              <w:pStyle w:val="nTable"/>
              <w:spacing w:after="40"/>
            </w:pPr>
            <w:r>
              <w:t>20 Aug 2010 p. 4070</w:t>
            </w:r>
            <w:r>
              <w:noBreakHyphen/>
              <w:t>1</w:t>
            </w:r>
          </w:p>
        </w:tc>
        <w:tc>
          <w:tcPr>
            <w:tcW w:w="2693" w:type="dxa"/>
            <w:tcBorders>
              <w:top w:val="nil"/>
              <w:bottom w:val="nil"/>
            </w:tcBorders>
          </w:tcPr>
          <w:p>
            <w:pPr>
              <w:pStyle w:val="nTable"/>
              <w:spacing w:after="40"/>
              <w:rPr>
                <w:snapToGrid w:val="0"/>
              </w:rPr>
            </w:pPr>
            <w:r>
              <w:rPr>
                <w:snapToGrid w:val="0"/>
              </w:rPr>
              <w:t>r. 1 and 2: 20 Aug 2010 (see r. 2(a));</w:t>
            </w:r>
            <w:r>
              <w:rPr>
                <w:snapToGrid w:val="0"/>
              </w:rPr>
              <w:br/>
              <w:t>Regulations other than r. 1 and 2: 1 Sep 2010 (see r. 2(b))</w:t>
            </w:r>
          </w:p>
        </w:tc>
      </w:tr>
      <w:tr>
        <w:tblPrEx>
          <w:tblBorders>
            <w:top w:val="single" w:sz="4" w:space="0" w:color="auto"/>
            <w:insideH w:val="single" w:sz="4" w:space="0" w:color="auto"/>
          </w:tblBorders>
        </w:tblPrEx>
        <w:trPr>
          <w:cantSplit/>
        </w:trPr>
        <w:tc>
          <w:tcPr>
            <w:tcW w:w="7088"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blPrEx>
          <w:tblBorders>
            <w:top w:val="single" w:sz="4" w:space="0" w:color="auto"/>
            <w:insideH w:val="single" w:sz="4" w:space="0" w:color="auto"/>
          </w:tblBorders>
        </w:tblPrEx>
        <w:trPr>
          <w:cantSplit/>
        </w:trPr>
        <w:tc>
          <w:tcPr>
            <w:tcW w:w="3119" w:type="dxa"/>
            <w:tcBorders>
              <w:top w:val="nil"/>
              <w:bottom w:val="nil"/>
            </w:tcBorders>
          </w:tcPr>
          <w:p>
            <w:pPr>
              <w:pStyle w:val="nTable"/>
              <w:spacing w:after="40"/>
            </w:pPr>
            <w:r>
              <w:rPr>
                <w:i/>
              </w:rPr>
              <w:lastRenderedPageBreak/>
              <w:t>Dangerous Goods Safety (Road and Rail Transport of Non-explosives) Amendment Regulations 2012</w:t>
            </w:r>
          </w:p>
        </w:tc>
        <w:tc>
          <w:tcPr>
            <w:tcW w:w="1276" w:type="dxa"/>
            <w:tcBorders>
              <w:top w:val="nil"/>
              <w:bottom w:val="nil"/>
            </w:tcBorders>
          </w:tcPr>
          <w:p>
            <w:pPr>
              <w:pStyle w:val="nTable"/>
              <w:spacing w:after="40"/>
            </w:pPr>
            <w:r>
              <w:t>3 Aug 2012 p. 3757</w:t>
            </w:r>
            <w:r>
              <w:noBreakHyphen/>
              <w:t>60</w:t>
            </w:r>
          </w:p>
        </w:tc>
        <w:tc>
          <w:tcPr>
            <w:tcW w:w="2693" w:type="dxa"/>
            <w:tcBorders>
              <w:top w:val="nil"/>
              <w:bottom w:val="nil"/>
            </w:tcBorders>
          </w:tcPr>
          <w:p>
            <w:pPr>
              <w:pStyle w:val="nTable"/>
              <w:spacing w:after="40"/>
              <w:rPr>
                <w:snapToGrid w:val="0"/>
              </w:rPr>
            </w:pPr>
            <w:r>
              <w:rPr>
                <w:snapToGrid w:val="0"/>
              </w:rPr>
              <w:t>r. 1 and 2: 3 Aug 2012 (see r. 2(a));</w:t>
            </w:r>
            <w:r>
              <w:rPr>
                <w:snapToGrid w:val="0"/>
              </w:rPr>
              <w:br/>
              <w:t>Regulations other than r. 1, 2, 8 and 10: 4 Aug 2012 (see r. 2(c));</w:t>
            </w:r>
            <w:r>
              <w:rPr>
                <w:snapToGrid w:val="0"/>
              </w:rPr>
              <w:br/>
              <w:t>r. 8 and 10: 3 Dec 2012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DGS (Road and Rail Transport of Non-explosives) Amendment Regulations (No. 2) 2012</w:t>
            </w:r>
          </w:p>
        </w:tc>
        <w:tc>
          <w:tcPr>
            <w:tcW w:w="1276" w:type="dxa"/>
            <w:tcBorders>
              <w:top w:val="nil"/>
              <w:bottom w:val="nil"/>
            </w:tcBorders>
          </w:tcPr>
          <w:p>
            <w:pPr>
              <w:pStyle w:val="nTable"/>
              <w:spacing w:after="40"/>
            </w:pPr>
            <w:r>
              <w:t>19 Feb 2013 p. 988-9</w:t>
            </w:r>
          </w:p>
        </w:tc>
        <w:tc>
          <w:tcPr>
            <w:tcW w:w="2693" w:type="dxa"/>
            <w:tcBorders>
              <w:top w:val="nil"/>
              <w:bottom w:val="nil"/>
            </w:tcBorders>
          </w:tcPr>
          <w:p>
            <w:pPr>
              <w:pStyle w:val="nTable"/>
              <w:spacing w:after="40"/>
              <w:rPr>
                <w:snapToGrid w:val="0"/>
              </w:rPr>
            </w:pPr>
            <w:r>
              <w:rPr>
                <w:snapToGrid w:val="0"/>
              </w:rPr>
              <w:t>r. 1 and 2: 19 Feb 2013 (see r. 2(a));</w:t>
            </w:r>
            <w:r>
              <w:rPr>
                <w:snapToGrid w:val="0"/>
              </w:rPr>
              <w:br/>
              <w:t>Regulations other than r. 1 and 2: 20 Feb 2013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 explosives) Amendment Regulations 2013</w:t>
            </w:r>
          </w:p>
        </w:tc>
        <w:tc>
          <w:tcPr>
            <w:tcW w:w="1276" w:type="dxa"/>
            <w:tcBorders>
              <w:top w:val="nil"/>
              <w:bottom w:val="nil"/>
            </w:tcBorders>
          </w:tcPr>
          <w:p>
            <w:pPr>
              <w:pStyle w:val="nTable"/>
              <w:spacing w:after="40"/>
            </w:pPr>
            <w:r>
              <w:t>2 Dec 2013 p. 5497</w:t>
            </w:r>
            <w:r>
              <w:noBreakHyphen/>
              <w:t>8</w:t>
            </w:r>
          </w:p>
        </w:tc>
        <w:tc>
          <w:tcPr>
            <w:tcW w:w="2693" w:type="dxa"/>
            <w:tcBorders>
              <w:top w:val="nil"/>
              <w:bottom w:val="nil"/>
            </w:tcBorders>
          </w:tcPr>
          <w:p>
            <w:pPr>
              <w:pStyle w:val="nTable"/>
              <w:spacing w:after="40"/>
              <w:rPr>
                <w:snapToGrid w:val="0"/>
              </w:rPr>
            </w:pPr>
            <w:r>
              <w:rPr>
                <w:bCs/>
                <w:snapToGrid w:val="0"/>
              </w:rPr>
              <w:t>r. 1 and 2: 2 Dec 2013 (see r. 2(a));</w:t>
            </w:r>
            <w:r>
              <w:rPr>
                <w:bCs/>
                <w:snapToGrid w:val="0"/>
              </w:rPr>
              <w:br/>
              <w:t>Regulations other than r. 1 and 2: 3 Dec 2013 (see r. 2(b))</w:t>
            </w:r>
          </w:p>
        </w:tc>
      </w:tr>
      <w:tr>
        <w:tblPrEx>
          <w:tblBorders>
            <w:top w:val="single" w:sz="4" w:space="0" w:color="auto"/>
            <w:insideH w:val="single" w:sz="4" w:space="0" w:color="auto"/>
          </w:tblBorders>
        </w:tblPrEx>
        <w:tc>
          <w:tcPr>
            <w:tcW w:w="3119" w:type="dxa"/>
            <w:tcBorders>
              <w:top w:val="nil"/>
              <w:bottom w:val="nil"/>
              <w:right w:val="nil"/>
            </w:tcBorders>
          </w:tcPr>
          <w:p>
            <w:pPr>
              <w:pStyle w:val="nTable"/>
              <w:spacing w:after="40"/>
              <w:rPr>
                <w:i/>
              </w:rPr>
            </w:pPr>
            <w:r>
              <w:rPr>
                <w:i/>
              </w:rPr>
              <w:t>Dangerous Goods Safety (Road and Rail Transport of Non</w:t>
            </w:r>
            <w:r>
              <w:rPr>
                <w:i/>
              </w:rPr>
              <w:noBreakHyphen/>
              <w:t xml:space="preserve">explosives) Amendment Regulations 2014 </w:t>
            </w:r>
          </w:p>
        </w:tc>
        <w:tc>
          <w:tcPr>
            <w:tcW w:w="1276" w:type="dxa"/>
            <w:tcBorders>
              <w:top w:val="nil"/>
              <w:left w:val="nil"/>
              <w:bottom w:val="nil"/>
              <w:right w:val="nil"/>
            </w:tcBorders>
          </w:tcPr>
          <w:p>
            <w:pPr>
              <w:pStyle w:val="nTable"/>
              <w:spacing w:after="40"/>
            </w:pPr>
            <w:r>
              <w:t>13 Jun 2014 p. 1929</w:t>
            </w:r>
            <w:r>
              <w:noBreakHyphen/>
              <w:t>50</w:t>
            </w:r>
          </w:p>
        </w:tc>
        <w:tc>
          <w:tcPr>
            <w:tcW w:w="2693" w:type="dxa"/>
            <w:tcBorders>
              <w:top w:val="nil"/>
              <w:left w:val="nil"/>
              <w:bottom w:val="nil"/>
            </w:tcBorders>
          </w:tcPr>
          <w:p>
            <w:pPr>
              <w:pStyle w:val="nTable"/>
              <w:spacing w:after="40"/>
              <w:rPr>
                <w:bCs/>
                <w:snapToGrid w:val="0"/>
              </w:rPr>
            </w:pPr>
            <w:r>
              <w:rPr>
                <w:bCs/>
                <w:snapToGrid w:val="0"/>
              </w:rPr>
              <w:t>r. 1 and 2: 13 Jun 2014 (see r. 2(a));</w:t>
            </w:r>
            <w:r>
              <w:rPr>
                <w:bCs/>
                <w:snapToGrid w:val="0"/>
              </w:rPr>
              <w:br/>
              <w:t>Regulations other than r. 1 and 2: 1 Jul 2014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pPr>
            <w:r>
              <w:t>8 Jan 2015 p. 131</w:t>
            </w:r>
            <w:r>
              <w:noBreakHyphen/>
              <w:t>2</w:t>
            </w:r>
          </w:p>
        </w:tc>
        <w:tc>
          <w:tcPr>
            <w:tcW w:w="2693" w:type="dxa"/>
            <w:tcBorders>
              <w:top w:val="nil"/>
              <w:left w:val="nil"/>
              <w:bottom w:val="nil"/>
            </w:tcBorders>
            <w:shd w:val="clear" w:color="auto" w:fill="auto"/>
          </w:tcPr>
          <w:p>
            <w:pPr>
              <w:pStyle w:val="nTable"/>
              <w:spacing w:after="40"/>
              <w:rPr>
                <w:bCs/>
                <w:snapToGrid w:val="0"/>
              </w:rPr>
            </w:pPr>
            <w:r>
              <w:rPr>
                <w:bCs/>
                <w:snapToGrid w:val="0"/>
              </w:rPr>
              <w:t>r. 1 and 2: 8 Jan 2015 (see r. 2(a));</w:t>
            </w:r>
            <w:r>
              <w:rPr>
                <w:bCs/>
                <w:snapToGrid w:val="0"/>
              </w:rPr>
              <w:br/>
              <w:t>Regulations other than r. 1 and 2: 27 Apr 2015 (see r. 2(b) and Gazette 17 Apr 2015 p. 1371)</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26 Jun 2015</w:t>
            </w:r>
            <w:r>
              <w:rPr>
                <w:bCs/>
                <w:snapToGrid w:val="0"/>
              </w:rPr>
              <w:t xml:space="preserve"> (see r. 2(a));</w:t>
            </w:r>
            <w:r>
              <w:rPr>
                <w:bCs/>
                <w:snapToGrid w:val="0"/>
              </w:rPr>
              <w:br/>
              <w:t>Regulations other than r. 1 and 2: 1 Jul 2015 (see r. 2(b))</w:t>
            </w:r>
          </w:p>
        </w:tc>
      </w:tr>
      <w:tr>
        <w:tblPrEx>
          <w:tblBorders>
            <w:top w:val="single" w:sz="4" w:space="0" w:color="auto"/>
            <w:insideH w:val="single" w:sz="4" w:space="0" w:color="auto"/>
          </w:tblBorders>
        </w:tblPrEx>
        <w:tc>
          <w:tcPr>
            <w:tcW w:w="7088" w:type="dxa"/>
            <w:gridSpan w:val="3"/>
            <w:tcBorders>
              <w:top w:val="nil"/>
              <w:bottom w:val="nil"/>
            </w:tcBorders>
            <w:shd w:val="clear" w:color="auto" w:fill="auto"/>
          </w:tcPr>
          <w:p>
            <w:pPr>
              <w:pStyle w:val="nTable"/>
              <w:spacing w:after="40"/>
              <w:rPr>
                <w:bCs/>
                <w:snapToGrid w:val="0"/>
              </w:rPr>
            </w:pPr>
            <w:r>
              <w:rPr>
                <w:b/>
                <w:bCs/>
                <w:snapToGrid w:val="0"/>
              </w:rPr>
              <w:t xml:space="preserve">Reprint 2: The </w:t>
            </w:r>
            <w:r>
              <w:rPr>
                <w:b/>
                <w:bCs/>
                <w:i/>
                <w:noProof/>
                <w:snapToGrid w:val="0"/>
              </w:rPr>
              <w:t>Dangerous Goods Safety (Road and Rail Transport of Non-explosives) Regulations 2007</w:t>
            </w:r>
            <w:r>
              <w:rPr>
                <w:b/>
                <w:bCs/>
                <w:snapToGrid w:val="0"/>
              </w:rPr>
              <w:t xml:space="preserve"> as at 7 Aug 2015</w:t>
            </w:r>
            <w:r>
              <w:rPr>
                <w:bCs/>
                <w:snapToGrid w:val="0"/>
              </w:rPr>
              <w:t xml:space="preserve"> (includes amendments listed above)</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nil"/>
              <w:right w:val="nil"/>
            </w:tcBorders>
            <w:shd w:val="clear" w:color="auto" w:fill="auto"/>
          </w:tcPr>
          <w:p>
            <w:pPr>
              <w:pStyle w:val="nTable"/>
              <w:spacing w:after="40"/>
            </w:pPr>
            <w:r>
              <w:t>17 Nov 2015 p. 4695</w:t>
            </w:r>
            <w:r>
              <w:noBreakHyphen/>
              <w:t>701</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17 Nov 2015</w:t>
            </w:r>
            <w:r>
              <w:rPr>
                <w:bCs/>
                <w:snapToGrid w:val="0"/>
              </w:rPr>
              <w:t xml:space="preserve"> (see r. 2(a));</w:t>
            </w:r>
            <w:r>
              <w:rPr>
                <w:bCs/>
                <w:snapToGrid w:val="0"/>
              </w:rPr>
              <w:br/>
              <w:t>Regulations other than r. 1 and 2: 1 Jan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Dangerous Goods Safety Regulations Amendment Regulations 2016</w:t>
            </w:r>
            <w:r>
              <w:t xml:space="preserve"> Pt. 5</w:t>
            </w:r>
          </w:p>
        </w:tc>
        <w:tc>
          <w:tcPr>
            <w:tcW w:w="1276" w:type="dxa"/>
            <w:tcBorders>
              <w:top w:val="nil"/>
              <w:left w:val="nil"/>
              <w:bottom w:val="nil"/>
              <w:right w:val="nil"/>
            </w:tcBorders>
            <w:shd w:val="clear" w:color="auto" w:fill="auto"/>
          </w:tcPr>
          <w:p>
            <w:pPr>
              <w:pStyle w:val="nTable"/>
              <w:spacing w:after="40"/>
            </w:pPr>
            <w:r>
              <w:t>5 Feb 2016 p. 343</w:t>
            </w:r>
            <w:r>
              <w:noBreakHyphen/>
              <w:t>68</w:t>
            </w:r>
          </w:p>
        </w:tc>
        <w:tc>
          <w:tcPr>
            <w:tcW w:w="2693" w:type="dxa"/>
            <w:tcBorders>
              <w:top w:val="nil"/>
              <w:left w:val="nil"/>
              <w:bottom w:val="nil"/>
            </w:tcBorders>
            <w:shd w:val="clear" w:color="auto" w:fill="auto"/>
          </w:tcPr>
          <w:p>
            <w:pPr>
              <w:pStyle w:val="nTable"/>
              <w:spacing w:after="40"/>
              <w:rPr>
                <w:bCs/>
                <w:snapToGrid w:val="0"/>
              </w:rPr>
            </w:pPr>
            <w:r>
              <w:rPr>
                <w:bCs/>
                <w:snapToGrid w:val="0"/>
              </w:rPr>
              <w:t>6 Feb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Mines and Petroleum Regulations Amendment (Fees and Levies) Regulations 2016</w:t>
            </w:r>
            <w:r>
              <w:t xml:space="preserve"> Pt. 4</w:t>
            </w:r>
          </w:p>
        </w:tc>
        <w:tc>
          <w:tcPr>
            <w:tcW w:w="1276" w:type="dxa"/>
            <w:tcBorders>
              <w:top w:val="nil"/>
              <w:left w:val="nil"/>
              <w:bottom w:val="nil"/>
              <w:right w:val="nil"/>
            </w:tcBorders>
            <w:shd w:val="clear" w:color="auto" w:fill="auto"/>
          </w:tcPr>
          <w:p>
            <w:pPr>
              <w:pStyle w:val="nTable"/>
              <w:spacing w:after="40"/>
            </w:pPr>
            <w:r>
              <w:t>24 Jun 2016 p. 2325-34</w:t>
            </w:r>
          </w:p>
        </w:tc>
        <w:tc>
          <w:tcPr>
            <w:tcW w:w="2693" w:type="dxa"/>
            <w:tcBorders>
              <w:top w:val="nil"/>
              <w:left w:val="nil"/>
              <w:bottom w:val="nil"/>
            </w:tcBorders>
            <w:shd w:val="clear" w:color="auto" w:fill="auto"/>
          </w:tcPr>
          <w:p>
            <w:pPr>
              <w:pStyle w:val="nTable"/>
              <w:spacing w:after="40"/>
              <w:rPr>
                <w:bCs/>
                <w:snapToGrid w:val="0"/>
              </w:rPr>
            </w:pPr>
            <w:r>
              <w:rPr>
                <w:bCs/>
                <w:snapToGrid w:val="0"/>
              </w:rPr>
              <w:t>1 Jul 2016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pPr>
            <w:r>
              <w:rPr>
                <w:i/>
              </w:rPr>
              <w:t>Mines and Petroleum Regulations Amendment (Fees and Charges) Regulations 2017</w:t>
            </w:r>
            <w:r>
              <w:t xml:space="preserve"> Pt. 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bCs/>
                <w:snapToGrid w:val="0"/>
                <w:spacing w:val="-2"/>
              </w:rPr>
            </w:pPr>
            <w:r>
              <w:rPr>
                <w:bCs/>
                <w:snapToGrid w:val="0"/>
                <w:spacing w:val="-2"/>
              </w:rPr>
              <w:t>1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lastRenderedPageBreak/>
              <w:t>Dangerous Goods Safety (Road and Rail Transport of Non</w:t>
            </w:r>
            <w:r>
              <w:rPr>
                <w:i/>
              </w:rPr>
              <w:noBreakHyphen/>
              <w:t>explosives) Amendment Regulations 2017</w:t>
            </w:r>
          </w:p>
        </w:tc>
        <w:tc>
          <w:tcPr>
            <w:tcW w:w="1276" w:type="dxa"/>
            <w:tcBorders>
              <w:top w:val="nil"/>
              <w:bottom w:val="nil"/>
            </w:tcBorders>
          </w:tcPr>
          <w:p>
            <w:pPr>
              <w:pStyle w:val="nTable"/>
              <w:spacing w:after="40"/>
            </w:pPr>
            <w:r>
              <w:t>11 Jul 2017 p. 3820</w:t>
            </w:r>
            <w:r>
              <w:noBreakHyphen/>
              <w:t>33</w:t>
            </w:r>
          </w:p>
        </w:tc>
        <w:tc>
          <w:tcPr>
            <w:tcW w:w="2693" w:type="dxa"/>
            <w:tcBorders>
              <w:top w:val="nil"/>
              <w:bottom w:val="nil"/>
            </w:tcBorders>
          </w:tcPr>
          <w:p>
            <w:pPr>
              <w:pStyle w:val="nTable"/>
              <w:spacing w:after="40"/>
              <w:rPr>
                <w:bCs/>
                <w:snapToGrid w:val="0"/>
                <w:spacing w:val="-2"/>
              </w:rPr>
            </w:pPr>
            <w:r>
              <w:rPr>
                <w:bCs/>
                <w:snapToGrid w:val="0"/>
              </w:rPr>
              <w:t xml:space="preserve">r. 1 and 2: </w:t>
            </w:r>
            <w:r>
              <w:t>11 Jul 2017</w:t>
            </w:r>
            <w:r>
              <w:rPr>
                <w:bCs/>
                <w:snapToGrid w:val="0"/>
              </w:rPr>
              <w:t xml:space="preserve"> (see r. 2(a));</w:t>
            </w:r>
            <w:r>
              <w:rPr>
                <w:bCs/>
                <w:snapToGrid w:val="0"/>
              </w:rPr>
              <w:br/>
              <w:t>Regulations other than r. 1 and 2: 12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Mines and Petroleum Regulations Amendment (Fees and Charges) Regulations 2018</w:t>
            </w:r>
            <w:r>
              <w:t xml:space="preserve"> Pt. 4</w:t>
            </w:r>
          </w:p>
        </w:tc>
        <w:tc>
          <w:tcPr>
            <w:tcW w:w="1276" w:type="dxa"/>
            <w:tcBorders>
              <w:top w:val="nil"/>
              <w:bottom w:val="nil"/>
            </w:tcBorders>
          </w:tcPr>
          <w:p>
            <w:pPr>
              <w:pStyle w:val="nTable"/>
              <w:keepNext/>
              <w:spacing w:after="40"/>
            </w:pPr>
            <w:r>
              <w:t>25 Jun 2018 p. 2297</w:t>
            </w:r>
            <w:r>
              <w:noBreakHyphen/>
              <w:t>324</w:t>
            </w:r>
          </w:p>
        </w:tc>
        <w:tc>
          <w:tcPr>
            <w:tcW w:w="2693" w:type="dxa"/>
            <w:tcBorders>
              <w:top w:val="nil"/>
              <w:bottom w:val="nil"/>
            </w:tcBorders>
          </w:tcPr>
          <w:p>
            <w:pPr>
              <w:pStyle w:val="nTable"/>
              <w:keepNext/>
              <w:spacing w:after="40"/>
              <w:rPr>
                <w:bCs/>
                <w:snapToGrid w:val="0"/>
              </w:rPr>
            </w:pPr>
            <w:r>
              <w:rPr>
                <w:bCs/>
                <w:snapToGrid w:val="0"/>
                <w:spacing w:val="-2"/>
              </w:rPr>
              <w:t>1 Jul 2018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Dangerous Goods Safety (Road and Rail Transport of Non</w:t>
            </w:r>
            <w:r>
              <w:rPr>
                <w:i/>
              </w:rPr>
              <w:noBreakHyphen/>
              <w:t>explosives) Amendment Regulations 2018</w:t>
            </w:r>
          </w:p>
        </w:tc>
        <w:tc>
          <w:tcPr>
            <w:tcW w:w="1276" w:type="dxa"/>
            <w:tcBorders>
              <w:top w:val="nil"/>
              <w:bottom w:val="nil"/>
            </w:tcBorders>
          </w:tcPr>
          <w:p>
            <w:pPr>
              <w:pStyle w:val="nTable"/>
              <w:keepNext/>
              <w:spacing w:after="40"/>
            </w:pPr>
            <w:r>
              <w:t>31 Aug 2018 p. 3043</w:t>
            </w:r>
            <w:r>
              <w:noBreakHyphen/>
              <w:t>7</w:t>
            </w:r>
          </w:p>
        </w:tc>
        <w:tc>
          <w:tcPr>
            <w:tcW w:w="2693" w:type="dxa"/>
            <w:tcBorders>
              <w:top w:val="nil"/>
              <w:bottom w:val="nil"/>
            </w:tcBorders>
          </w:tcPr>
          <w:p>
            <w:pPr>
              <w:pStyle w:val="nTable"/>
              <w:rPr>
                <w:bCs/>
                <w:snapToGrid w:val="0"/>
                <w:spacing w:val="-2"/>
              </w:rPr>
            </w:pPr>
            <w:r>
              <w:rPr>
                <w:bCs/>
                <w:snapToGrid w:val="0"/>
                <w:spacing w:val="-2"/>
              </w:rPr>
              <w:t>r. 1 and 2: 31 Aug 2018 (see r. 2(a));</w:t>
            </w:r>
            <w:r>
              <w:rPr>
                <w:bCs/>
                <w:snapToGrid w:val="0"/>
                <w:spacing w:val="-2"/>
              </w:rPr>
              <w:br/>
              <w:t>Regulations other than r. 1 , 2 and 10: 1 Sep 2018 (see r. 2(c));</w:t>
            </w:r>
            <w:r>
              <w:rPr>
                <w:bCs/>
                <w:snapToGrid w:val="0"/>
                <w:spacing w:val="-2"/>
              </w:rPr>
              <w:br/>
              <w:t xml:space="preserve">r. 10: </w:t>
            </w: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2019</w:t>
            </w:r>
            <w:r>
              <w:t xml:space="preserve"> Pt. 4</w:t>
            </w:r>
          </w:p>
        </w:tc>
        <w:tc>
          <w:tcPr>
            <w:tcW w:w="1276" w:type="dxa"/>
            <w:tcBorders>
              <w:top w:val="nil"/>
              <w:bottom w:val="nil"/>
            </w:tcBorders>
          </w:tcPr>
          <w:p>
            <w:pPr>
              <w:pStyle w:val="nTable"/>
              <w:keepNext/>
              <w:spacing w:after="40"/>
            </w:pPr>
            <w:r>
              <w:t>18 Jun 2019 p. 2040</w:t>
            </w:r>
            <w:r>
              <w:noBreakHyphen/>
              <w:t>56</w:t>
            </w:r>
          </w:p>
        </w:tc>
        <w:tc>
          <w:tcPr>
            <w:tcW w:w="2693" w:type="dxa"/>
            <w:tcBorders>
              <w:top w:val="nil"/>
              <w:bottom w:val="nil"/>
            </w:tcBorders>
          </w:tcPr>
          <w:p>
            <w:pPr>
              <w:pStyle w:val="nTable"/>
              <w:rPr>
                <w:bCs/>
                <w:snapToGrid w:val="0"/>
                <w:spacing w:val="-2"/>
              </w:rPr>
            </w:pP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Mines and Petroleum Regulations Amendment (COVID</w:t>
            </w:r>
            <w:r>
              <w:rPr>
                <w:i/>
              </w:rPr>
              <w:noBreakHyphen/>
              <w:t>19 Response) Regulations 2020</w:t>
            </w:r>
            <w:r>
              <w:t xml:space="preserve"> Pt. 3</w:t>
            </w:r>
          </w:p>
        </w:tc>
        <w:tc>
          <w:tcPr>
            <w:tcW w:w="1276" w:type="dxa"/>
            <w:tcBorders>
              <w:top w:val="nil"/>
              <w:bottom w:val="nil"/>
            </w:tcBorders>
          </w:tcPr>
          <w:p>
            <w:pPr>
              <w:pStyle w:val="nTable"/>
              <w:keepNext/>
              <w:spacing w:after="40"/>
            </w:pPr>
            <w:r>
              <w:t xml:space="preserve">SL 2020/103 29 Jun 2020 </w:t>
            </w:r>
          </w:p>
        </w:tc>
        <w:tc>
          <w:tcPr>
            <w:tcW w:w="2693" w:type="dxa"/>
            <w:tcBorders>
              <w:top w:val="nil"/>
              <w:bottom w:val="nil"/>
            </w:tcBorders>
          </w:tcPr>
          <w:p>
            <w:pPr>
              <w:pStyle w:val="nTable"/>
            </w:pPr>
            <w:r>
              <w:t>Repealed by SL 2020/104 r. 3 prior to commencement</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19 Response) Repeal Regulations 2020</w:t>
            </w:r>
          </w:p>
        </w:tc>
        <w:tc>
          <w:tcPr>
            <w:tcW w:w="1276" w:type="dxa"/>
            <w:tcBorders>
              <w:top w:val="nil"/>
              <w:bottom w:val="nil"/>
            </w:tcBorders>
          </w:tcPr>
          <w:p>
            <w:pPr>
              <w:pStyle w:val="nTable"/>
              <w:keepNext/>
              <w:spacing w:after="40"/>
            </w:pPr>
            <w:r>
              <w:t>SL 2020/104 29 Jun 2020</w:t>
            </w:r>
          </w:p>
        </w:tc>
        <w:tc>
          <w:tcPr>
            <w:tcW w:w="2693" w:type="dxa"/>
            <w:tcBorders>
              <w:top w:val="nil"/>
              <w:bottom w:val="nil"/>
            </w:tcBorders>
          </w:tcPr>
          <w:p>
            <w:pPr>
              <w:pStyle w:val="nTable"/>
            </w:pPr>
            <w:r>
              <w:t>29 Jun 2020 (see r. 2)</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Dangerous Goods Safety Regulations Amendment Regulations 2020</w:t>
            </w:r>
            <w:r>
              <w:t xml:space="preserve"> Pt. 4</w:t>
            </w:r>
          </w:p>
        </w:tc>
        <w:tc>
          <w:tcPr>
            <w:tcW w:w="1276" w:type="dxa"/>
            <w:tcBorders>
              <w:top w:val="nil"/>
              <w:bottom w:val="nil"/>
            </w:tcBorders>
          </w:tcPr>
          <w:p>
            <w:pPr>
              <w:pStyle w:val="nTable"/>
              <w:keepNext/>
              <w:spacing w:after="40"/>
            </w:pPr>
            <w:r>
              <w:t>SL 2020/193 9 Oct 2020</w:t>
            </w:r>
          </w:p>
        </w:tc>
        <w:tc>
          <w:tcPr>
            <w:tcW w:w="2693" w:type="dxa"/>
            <w:tcBorders>
              <w:top w:val="nil"/>
              <w:bottom w:val="nil"/>
            </w:tcBorders>
          </w:tcPr>
          <w:p>
            <w:pPr>
              <w:pStyle w:val="nTable"/>
            </w:pPr>
            <w:r>
              <w:t>Pt. 4 (other than r. 10(2)): 10 Oct 2020 (see r. 2(c));</w:t>
            </w:r>
            <w:r>
              <w:br/>
              <w:t>r. 10(2): 1 Jan 2021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 xml:space="preserve">19 Response) Regulations (No. 2) 2020 </w:t>
            </w:r>
            <w:r>
              <w:t>Pt. 3</w:t>
            </w:r>
          </w:p>
        </w:tc>
        <w:tc>
          <w:tcPr>
            <w:tcW w:w="1276" w:type="dxa"/>
            <w:tcBorders>
              <w:top w:val="nil"/>
              <w:bottom w:val="nil"/>
            </w:tcBorders>
          </w:tcPr>
          <w:p>
            <w:pPr>
              <w:pStyle w:val="nTable"/>
              <w:keepNext/>
              <w:spacing w:after="40"/>
            </w:pPr>
            <w:r>
              <w:t>SL 2020/197 27 Oct 2020</w:t>
            </w:r>
          </w:p>
        </w:tc>
        <w:tc>
          <w:tcPr>
            <w:tcW w:w="2693" w:type="dxa"/>
            <w:tcBorders>
              <w:top w:val="nil"/>
              <w:bottom w:val="nil"/>
            </w:tcBorders>
          </w:tcPr>
          <w:p>
            <w:pPr>
              <w:pStyle w:val="nTable"/>
            </w:pPr>
            <w:r>
              <w:t>28 Oct 2020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2021</w:t>
            </w:r>
            <w:r>
              <w:t xml:space="preserve"> Pt. 4</w:t>
            </w:r>
          </w:p>
        </w:tc>
        <w:tc>
          <w:tcPr>
            <w:tcW w:w="1276" w:type="dxa"/>
            <w:tcBorders>
              <w:top w:val="nil"/>
              <w:bottom w:val="nil"/>
            </w:tcBorders>
          </w:tcPr>
          <w:p>
            <w:pPr>
              <w:pStyle w:val="nTable"/>
              <w:keepNext/>
              <w:spacing w:after="40"/>
            </w:pPr>
            <w:r>
              <w:t>SL 2021/85 21 Jun 2021</w:t>
            </w:r>
          </w:p>
        </w:tc>
        <w:tc>
          <w:tcPr>
            <w:tcW w:w="2693" w:type="dxa"/>
            <w:tcBorders>
              <w:top w:val="nil"/>
              <w:bottom w:val="nil"/>
            </w:tcBorders>
          </w:tcPr>
          <w:p>
            <w:pPr>
              <w:pStyle w:val="nTable"/>
            </w:pPr>
            <w:r>
              <w:t>1 Jul 2021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 xml:space="preserve">Mines and Petroleum Regulations Amendment (Work Health and Safety) Regulations 2022 </w:t>
            </w:r>
            <w:r>
              <w:t>Pt. 2</w:t>
            </w:r>
          </w:p>
        </w:tc>
        <w:tc>
          <w:tcPr>
            <w:tcW w:w="1276" w:type="dxa"/>
            <w:tcBorders>
              <w:top w:val="nil"/>
              <w:bottom w:val="nil"/>
            </w:tcBorders>
          </w:tcPr>
          <w:p>
            <w:pPr>
              <w:pStyle w:val="nTable"/>
              <w:keepNext/>
              <w:spacing w:after="40"/>
            </w:pPr>
            <w:r>
              <w:t>SL 2022/24 11 Mar 2022</w:t>
            </w:r>
          </w:p>
        </w:tc>
        <w:tc>
          <w:tcPr>
            <w:tcW w:w="2693" w:type="dxa"/>
            <w:tcBorders>
              <w:top w:val="nil"/>
              <w:bottom w:val="nil"/>
            </w:tcBorders>
          </w:tcPr>
          <w:p>
            <w:pPr>
              <w:pStyle w:val="nTable"/>
            </w:pPr>
            <w:r>
              <w:t>31 Mar 2022 (see r. 2(b) and SL 2022/18 cl. 2)</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2022</w:t>
            </w:r>
            <w:r>
              <w:t xml:space="preserve"> Pt. 4</w:t>
            </w:r>
          </w:p>
        </w:tc>
        <w:tc>
          <w:tcPr>
            <w:tcW w:w="1276" w:type="dxa"/>
            <w:tcBorders>
              <w:top w:val="nil"/>
              <w:bottom w:val="nil"/>
            </w:tcBorders>
          </w:tcPr>
          <w:p>
            <w:pPr>
              <w:pStyle w:val="nTable"/>
              <w:keepNext/>
              <w:spacing w:after="40"/>
            </w:pPr>
            <w:r>
              <w:t>SL 2022/58 20 May 2022</w:t>
            </w:r>
          </w:p>
        </w:tc>
        <w:tc>
          <w:tcPr>
            <w:tcW w:w="2693" w:type="dxa"/>
            <w:tcBorders>
              <w:top w:val="nil"/>
              <w:bottom w:val="nil"/>
            </w:tcBorders>
          </w:tcPr>
          <w:p>
            <w:pPr>
              <w:pStyle w:val="nTable"/>
            </w:pPr>
            <w:r>
              <w:t>1 Jul 2022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2023</w:t>
            </w:r>
            <w:r>
              <w:t xml:space="preserve"> Pt. 4</w:t>
            </w:r>
          </w:p>
        </w:tc>
        <w:tc>
          <w:tcPr>
            <w:tcW w:w="1276" w:type="dxa"/>
            <w:tcBorders>
              <w:top w:val="nil"/>
              <w:bottom w:val="nil"/>
            </w:tcBorders>
          </w:tcPr>
          <w:p>
            <w:pPr>
              <w:pStyle w:val="nTable"/>
              <w:keepNext/>
              <w:spacing w:after="40"/>
            </w:pPr>
            <w:r>
              <w:t>SL 2023/36 5 May 2023</w:t>
            </w:r>
          </w:p>
        </w:tc>
        <w:tc>
          <w:tcPr>
            <w:tcW w:w="2693" w:type="dxa"/>
            <w:tcBorders>
              <w:top w:val="nil"/>
              <w:bottom w:val="nil"/>
            </w:tcBorders>
          </w:tcPr>
          <w:p>
            <w:pPr>
              <w:pStyle w:val="nTable"/>
            </w:pPr>
            <w:r>
              <w:t>1 Jul 2023 (see r. 2(b))</w:t>
            </w:r>
          </w:p>
        </w:tc>
      </w:tr>
      <w:tr>
        <w:tblPrEx>
          <w:tblBorders>
            <w:top w:val="single" w:sz="4" w:space="0" w:color="auto"/>
            <w:insideH w:val="single" w:sz="4" w:space="0" w:color="auto"/>
          </w:tblBorders>
        </w:tblPrEx>
        <w:tc>
          <w:tcPr>
            <w:tcW w:w="3119" w:type="dxa"/>
            <w:tcBorders>
              <w:top w:val="nil"/>
              <w:bottom w:val="nil"/>
            </w:tcBorders>
          </w:tcPr>
          <w:p>
            <w:pPr>
              <w:pStyle w:val="nTable"/>
              <w:keepLines/>
              <w:rPr>
                <w:i/>
              </w:rPr>
            </w:pPr>
            <w:r>
              <w:rPr>
                <w:i/>
              </w:rPr>
              <w:lastRenderedPageBreak/>
              <w:t>Dangerous Goods Safety (Road and Rail Transport of Non-explosives) Amendment Regulations 2024</w:t>
            </w:r>
          </w:p>
        </w:tc>
        <w:tc>
          <w:tcPr>
            <w:tcW w:w="1276" w:type="dxa"/>
            <w:tcBorders>
              <w:top w:val="nil"/>
              <w:bottom w:val="nil"/>
            </w:tcBorders>
          </w:tcPr>
          <w:p>
            <w:pPr>
              <w:pStyle w:val="nTable"/>
              <w:keepNext/>
              <w:keepLines/>
              <w:spacing w:after="40"/>
            </w:pPr>
            <w:r>
              <w:t>SL 2024/22 21 Feb 2024</w:t>
            </w:r>
          </w:p>
        </w:tc>
        <w:tc>
          <w:tcPr>
            <w:tcW w:w="2693" w:type="dxa"/>
            <w:tcBorders>
              <w:top w:val="nil"/>
              <w:bottom w:val="nil"/>
            </w:tcBorders>
          </w:tcPr>
          <w:p>
            <w:pPr>
              <w:pStyle w:val="nTable"/>
              <w:keepLines/>
            </w:pPr>
            <w:r>
              <w:rPr>
                <w:bCs/>
                <w:snapToGrid w:val="0"/>
                <w:spacing w:val="-2"/>
              </w:rPr>
              <w:t>r. 1 and 2: 21 Feb 2024 (see r. 2(a));</w:t>
            </w:r>
            <w:r>
              <w:rPr>
                <w:bCs/>
                <w:snapToGrid w:val="0"/>
                <w:spacing w:val="-2"/>
              </w:rPr>
              <w:br/>
              <w:t>Regulations other than r. 1 and 2: 22 Feb 2024 (see r. 2(b))</w:t>
            </w:r>
          </w:p>
        </w:tc>
      </w:tr>
      <w:tr>
        <w:tblPrEx>
          <w:tblBorders>
            <w:top w:val="single" w:sz="4" w:space="0" w:color="auto"/>
            <w:insideH w:val="single" w:sz="4" w:space="0" w:color="auto"/>
          </w:tblBorders>
        </w:tblPrEx>
        <w:tc>
          <w:tcPr>
            <w:tcW w:w="3119" w:type="dxa"/>
            <w:tcBorders>
              <w:top w:val="nil"/>
              <w:bottom w:val="nil"/>
            </w:tcBorders>
          </w:tcPr>
          <w:p>
            <w:pPr>
              <w:pStyle w:val="nTable"/>
              <w:keepLines/>
              <w:rPr>
                <w:i/>
              </w:rPr>
            </w:pPr>
            <w:r>
              <w:rPr>
                <w:i/>
              </w:rPr>
              <w:t>Mines and Petroleum Regulations Amendment (Fees and Charges) Regulations 2024</w:t>
            </w:r>
            <w:r>
              <w:rPr>
                <w:iCs/>
              </w:rPr>
              <w:t xml:space="preserve"> Pt. 3</w:t>
            </w:r>
          </w:p>
        </w:tc>
        <w:tc>
          <w:tcPr>
            <w:tcW w:w="1276" w:type="dxa"/>
            <w:tcBorders>
              <w:top w:val="nil"/>
              <w:bottom w:val="nil"/>
            </w:tcBorders>
          </w:tcPr>
          <w:p>
            <w:pPr>
              <w:pStyle w:val="nTable"/>
              <w:keepNext/>
              <w:keepLines/>
              <w:spacing w:after="40"/>
            </w:pPr>
            <w:r>
              <w:t>SL 2024/97 12 Jun 2024</w:t>
            </w:r>
          </w:p>
        </w:tc>
        <w:tc>
          <w:tcPr>
            <w:tcW w:w="2693" w:type="dxa"/>
            <w:tcBorders>
              <w:top w:val="nil"/>
              <w:bottom w:val="nil"/>
            </w:tcBorders>
          </w:tcPr>
          <w:p>
            <w:pPr>
              <w:pStyle w:val="nTable"/>
              <w:keepLines/>
              <w:rPr>
                <w:bCs/>
                <w:snapToGrid w:val="0"/>
                <w:spacing w:val="-2"/>
              </w:rPr>
            </w:pPr>
            <w:r>
              <w:t>1 Jul 2024 (see r. 2(b))</w:t>
            </w:r>
          </w:p>
        </w:tc>
      </w:tr>
      <w:tr>
        <w:tblPrEx>
          <w:tblBorders>
            <w:top w:val="single" w:sz="4" w:space="0" w:color="auto"/>
            <w:insideH w:val="single" w:sz="4" w:space="0" w:color="auto"/>
          </w:tblBorders>
        </w:tblPrEx>
        <w:tc>
          <w:tcPr>
            <w:tcW w:w="3119" w:type="dxa"/>
            <w:tcBorders>
              <w:top w:val="nil"/>
              <w:bottom w:val="single" w:sz="4" w:space="0" w:color="auto"/>
            </w:tcBorders>
          </w:tcPr>
          <w:p>
            <w:pPr>
              <w:pStyle w:val="nTable"/>
              <w:keepLines/>
              <w:rPr>
                <w:i/>
              </w:rPr>
            </w:pPr>
            <w:r>
              <w:rPr>
                <w:i/>
              </w:rPr>
              <w:t xml:space="preserve">Dangerous Goods Safety Regulations Amendment Regulations 2024 </w:t>
            </w:r>
            <w:r>
              <w:rPr>
                <w:iCs/>
              </w:rPr>
              <w:t>Pt. 2</w:t>
            </w:r>
          </w:p>
        </w:tc>
        <w:tc>
          <w:tcPr>
            <w:tcW w:w="1276" w:type="dxa"/>
            <w:tcBorders>
              <w:top w:val="nil"/>
              <w:bottom w:val="single" w:sz="4" w:space="0" w:color="auto"/>
            </w:tcBorders>
          </w:tcPr>
          <w:p>
            <w:pPr>
              <w:pStyle w:val="nTable"/>
              <w:keepNext/>
              <w:keepLines/>
              <w:spacing w:after="40"/>
            </w:pPr>
            <w:r>
              <w:t>SL 2024/285 18 Dec 2024</w:t>
            </w:r>
          </w:p>
        </w:tc>
        <w:tc>
          <w:tcPr>
            <w:tcW w:w="2693" w:type="dxa"/>
            <w:tcBorders>
              <w:top w:val="nil"/>
              <w:bottom w:val="single" w:sz="4" w:space="0" w:color="auto"/>
            </w:tcBorders>
          </w:tcPr>
          <w:p>
            <w:pPr>
              <w:pStyle w:val="nTable"/>
              <w:keepLines/>
            </w:pPr>
            <w:r>
              <w:t>18 Apr 2025 (see r. 2(b))</w:t>
            </w:r>
          </w:p>
        </w:tc>
      </w:tr>
    </w:tbl>
    <w:p>
      <w:pPr>
        <w:pStyle w:val="nHeading3"/>
      </w:pPr>
      <w:bookmarkStart w:id="618" w:name="_Toc194933250"/>
      <w:r>
        <w:t>Other notes</w:t>
      </w:r>
      <w:bookmarkEnd w:id="618"/>
    </w:p>
    <w:p>
      <w:pPr>
        <w:pStyle w:val="nNote"/>
        <w:spacing w:before="160"/>
        <w:rPr>
          <w:vertAlign w:val="superscript"/>
        </w:rPr>
      </w:pPr>
      <w:r>
        <w:rPr>
          <w:vertAlign w:val="superscript"/>
        </w:rPr>
        <w:t>1</w:t>
      </w:r>
      <w:r>
        <w:tab/>
      </w:r>
      <w:r>
        <w:rPr>
          <w:i/>
          <w:iCs/>
        </w:rPr>
        <w:t>The Dangerous Goods Safety Act 2004</w:t>
      </w:r>
      <w:r>
        <w:rPr>
          <w:iCs/>
        </w:rPr>
        <w:t xml:space="preserve"> Pt. 3 commenced 1 Mar 2008.</w:t>
      </w:r>
    </w:p>
    <w:p>
      <w:pPr>
        <w:pStyle w:val="nNote"/>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Pr>
        <w:sectPr>
          <w:headerReference w:type="even" r:id="rId28"/>
          <w:headerReference w:type="default" r:id="rId29"/>
          <w:pgSz w:w="11907" w:h="16840" w:code="9"/>
          <w:pgMar w:top="2376" w:right="2404" w:bottom="3544" w:left="2404" w:header="720" w:footer="3544" w:gutter="0"/>
          <w:cols w:space="720"/>
          <w:noEndnote/>
          <w:docGrid w:linePitch="326"/>
        </w:sectPr>
      </w:pPr>
    </w:p>
    <w:p>
      <w:pPr>
        <w:pStyle w:val="nHeading2"/>
        <w:rPr>
          <w:sz w:val="28"/>
        </w:rPr>
      </w:pPr>
      <w:bookmarkStart w:id="620" w:name="_Toc194933251"/>
      <w:r>
        <w:rPr>
          <w:sz w:val="28"/>
        </w:rPr>
        <w:lastRenderedPageBreak/>
        <w:t>Defined terms</w:t>
      </w:r>
      <w:bookmarkEnd w:id="620"/>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w:t>
      </w:r>
      <w:r>
        <w:tab/>
        <w:t>4</w:t>
      </w:r>
    </w:p>
    <w:p>
      <w:pPr>
        <w:pStyle w:val="DefinedTerms"/>
      </w:pPr>
      <w:r>
        <w:t>ADG Code</w:t>
      </w:r>
      <w:r>
        <w:tab/>
        <w:t>4</w:t>
      </w:r>
    </w:p>
    <w:p>
      <w:pPr>
        <w:pStyle w:val="DefinedTerms"/>
      </w:pPr>
      <w:r>
        <w:t>ADR approved</w:t>
      </w:r>
      <w:r>
        <w:tab/>
        <w:t>4</w:t>
      </w:r>
    </w:p>
    <w:p>
      <w:pPr>
        <w:pStyle w:val="DefinedTerms"/>
      </w:pPr>
      <w:r>
        <w:t>aggregate quantity</w:t>
      </w:r>
      <w:r>
        <w:tab/>
        <w:t>4</w:t>
      </w:r>
    </w:p>
    <w:p>
      <w:pPr>
        <w:pStyle w:val="DefinedTerms"/>
      </w:pPr>
      <w:r>
        <w:t>ammonium nitrate explosion risk goods</w:t>
      </w:r>
      <w:r>
        <w:tab/>
        <w:t>4, 4A</w:t>
      </w:r>
    </w:p>
    <w:p>
      <w:pPr>
        <w:pStyle w:val="DefinedTerms"/>
      </w:pPr>
      <w:r>
        <w:t>another participating jurisdiction</w:t>
      </w:r>
      <w:r>
        <w:tab/>
        <w:t>4</w:t>
      </w:r>
    </w:p>
    <w:p>
      <w:pPr>
        <w:pStyle w:val="DefinedTerms"/>
      </w:pPr>
      <w:r>
        <w:t>appropriately marked</w:t>
      </w:r>
      <w:r>
        <w:tab/>
        <w:t>4, 106(1), (2), (3), (4) and (5)</w:t>
      </w:r>
    </w:p>
    <w:p>
      <w:pPr>
        <w:pStyle w:val="DefinedTerms"/>
      </w:pPr>
      <w:r>
        <w:t>appropriately placarded</w:t>
      </w:r>
      <w:r>
        <w:tab/>
        <w:t>4, 111(2)</w:t>
      </w:r>
    </w:p>
    <w:p>
      <w:pPr>
        <w:pStyle w:val="DefinedTerms"/>
      </w:pPr>
      <w:r>
        <w:t>approval</w:t>
      </w:r>
      <w:r>
        <w:tab/>
        <w:t>4, 193, 207</w:t>
      </w:r>
    </w:p>
    <w:p>
      <w:pPr>
        <w:pStyle w:val="DefinedTerms"/>
      </w:pPr>
      <w:r>
        <w:t>approved packaging</w:t>
      </w:r>
      <w:r>
        <w:tab/>
        <w:t>4</w:t>
      </w:r>
    </w:p>
    <w:p>
      <w:pPr>
        <w:pStyle w:val="DefinedTerms"/>
      </w:pPr>
      <w:r>
        <w:t>approved responder</w:t>
      </w:r>
      <w:r>
        <w:tab/>
        <w:t>183</w:t>
      </w:r>
    </w:p>
    <w:p>
      <w:pPr>
        <w:pStyle w:val="DefinedTerms"/>
      </w:pPr>
      <w:r>
        <w:t>approved tank</w:t>
      </w:r>
      <w:r>
        <w:tab/>
        <w:t>4</w:t>
      </w:r>
    </w:p>
    <w:p>
      <w:pPr>
        <w:pStyle w:val="DefinedTerms"/>
      </w:pPr>
      <w:r>
        <w:t>approved test</w:t>
      </w:r>
      <w:r>
        <w:tab/>
        <w:t>4</w:t>
      </w:r>
    </w:p>
    <w:p>
      <w:pPr>
        <w:pStyle w:val="DefinedTerms"/>
      </w:pPr>
      <w:r>
        <w:t>approved training course</w:t>
      </w:r>
      <w:r>
        <w:tab/>
        <w:t>4</w:t>
      </w:r>
    </w:p>
    <w:p>
      <w:pPr>
        <w:pStyle w:val="DefinedTerms"/>
      </w:pPr>
      <w:r>
        <w:t>article</w:t>
      </w:r>
      <w:r>
        <w:tab/>
        <w:t>4</w:t>
      </w:r>
    </w:p>
    <w:p>
      <w:pPr>
        <w:pStyle w:val="DefinedTerms"/>
      </w:pPr>
      <w:r>
        <w:t>at the relevant times</w:t>
      </w:r>
      <w:r>
        <w:tab/>
        <w:t>170A(1)</w:t>
      </w:r>
    </w:p>
    <w:p>
      <w:pPr>
        <w:pStyle w:val="DefinedTerms"/>
      </w:pPr>
      <w:r>
        <w:t>Austroads</w:t>
      </w:r>
      <w:r>
        <w:tab/>
        <w:t>213</w:t>
      </w:r>
    </w:p>
    <w:p>
      <w:pPr>
        <w:pStyle w:val="DefinedTerms"/>
      </w:pPr>
      <w:r>
        <w:t>authorised body</w:t>
      </w:r>
      <w:r>
        <w:tab/>
        <w:t>4</w:t>
      </w:r>
    </w:p>
    <w:p>
      <w:pPr>
        <w:pStyle w:val="DefinedTerms"/>
      </w:pPr>
      <w:r>
        <w:t>bulk container</w:t>
      </w:r>
      <w:r>
        <w:tab/>
        <w:t>4, 33(1) and (2)</w:t>
      </w:r>
    </w:p>
    <w:p>
      <w:pPr>
        <w:pStyle w:val="DefinedTerms"/>
      </w:pPr>
      <w:r>
        <w:t>bulk transfer</w:t>
      </w:r>
      <w:r>
        <w:tab/>
        <w:t>139</w:t>
      </w:r>
    </w:p>
    <w:p>
      <w:pPr>
        <w:pStyle w:val="DefinedTerms"/>
      </w:pPr>
      <w:r>
        <w:t>business transfer</w:t>
      </w:r>
      <w:r>
        <w:tab/>
        <w:t>237(1)</w:t>
      </w:r>
    </w:p>
    <w:p>
      <w:pPr>
        <w:pStyle w:val="DefinedTerms"/>
      </w:pPr>
      <w:r>
        <w:t>CAP</w:t>
      </w:r>
      <w:r>
        <w:tab/>
        <w:t>4</w:t>
      </w:r>
    </w:p>
    <w:p>
      <w:pPr>
        <w:pStyle w:val="DefinedTerms"/>
      </w:pPr>
      <w:r>
        <w:t>capacity</w:t>
      </w:r>
      <w:r>
        <w:tab/>
        <w:t>4</w:t>
      </w:r>
    </w:p>
    <w:p>
      <w:pPr>
        <w:pStyle w:val="DefinedTerms"/>
      </w:pPr>
      <w:r>
        <w:t>cargo transport unit</w:t>
      </w:r>
      <w:r>
        <w:tab/>
        <w:t>4</w:t>
      </w:r>
    </w:p>
    <w:p>
      <w:pPr>
        <w:pStyle w:val="DefinedTerms"/>
      </w:pPr>
      <w:r>
        <w:t>classification code</w:t>
      </w:r>
      <w:r>
        <w:tab/>
        <w:t>110(1)</w:t>
      </w:r>
    </w:p>
    <w:p>
      <w:pPr>
        <w:pStyle w:val="DefinedTerms"/>
      </w:pPr>
      <w:r>
        <w:t>code</w:t>
      </w:r>
      <w:r>
        <w:tab/>
        <w:t>8(1)</w:t>
      </w:r>
    </w:p>
    <w:p>
      <w:pPr>
        <w:pStyle w:val="DefinedTerms"/>
      </w:pPr>
      <w:r>
        <w:t>combination</w:t>
      </w:r>
      <w:r>
        <w:tab/>
        <w:t>4</w:t>
      </w:r>
    </w:p>
    <w:p>
      <w:pPr>
        <w:pStyle w:val="DefinedTerms"/>
      </w:pPr>
      <w:r>
        <w:t>commencement day</w:t>
      </w:r>
      <w:r>
        <w:tab/>
        <w:t>273, 286, 289, 291(1)</w:t>
      </w:r>
    </w:p>
    <w:p>
      <w:pPr>
        <w:pStyle w:val="DefinedTerms"/>
      </w:pPr>
      <w:r>
        <w:t>Competent Authorities Panel</w:t>
      </w:r>
      <w:r>
        <w:tab/>
        <w:t>4</w:t>
      </w:r>
    </w:p>
    <w:p>
      <w:pPr>
        <w:pStyle w:val="DefinedTerms"/>
      </w:pPr>
      <w:r>
        <w:t>compliance plate</w:t>
      </w:r>
      <w:r>
        <w:tab/>
        <w:t>4</w:t>
      </w:r>
    </w:p>
    <w:p>
      <w:pPr>
        <w:pStyle w:val="DefinedTerms"/>
      </w:pPr>
      <w:r>
        <w:t>complying MPU</w:t>
      </w:r>
      <w:r>
        <w:tab/>
        <w:t>13A(1)</w:t>
      </w:r>
    </w:p>
    <w:p>
      <w:pPr>
        <w:pStyle w:val="DefinedTerms"/>
      </w:pPr>
      <w:r>
        <w:t>consignor</w:t>
      </w:r>
      <w:r>
        <w:tab/>
        <w:t>4, 40(1)</w:t>
      </w:r>
    </w:p>
    <w:p>
      <w:pPr>
        <w:pStyle w:val="DefinedTerms"/>
      </w:pPr>
      <w:r>
        <w:t>consigns</w:t>
      </w:r>
      <w:r>
        <w:tab/>
        <w:t>4, 40(1)</w:t>
      </w:r>
    </w:p>
    <w:p>
      <w:pPr>
        <w:pStyle w:val="DefinedTerms"/>
      </w:pPr>
      <w:r>
        <w:t>converter dolly</w:t>
      </w:r>
      <w:r>
        <w:tab/>
        <w:t>229</w:t>
      </w:r>
    </w:p>
    <w:p>
      <w:pPr>
        <w:pStyle w:val="DefinedTerms"/>
      </w:pPr>
      <w:r>
        <w:t>corresponding approval</w:t>
      </w:r>
      <w:r>
        <w:tab/>
        <w:t>4</w:t>
      </w:r>
    </w:p>
    <w:p>
      <w:pPr>
        <w:pStyle w:val="DefinedTerms"/>
      </w:pPr>
      <w:r>
        <w:t>corresponding authority</w:t>
      </w:r>
      <w:r>
        <w:tab/>
        <w:t>4</w:t>
      </w:r>
    </w:p>
    <w:p>
      <w:pPr>
        <w:pStyle w:val="DefinedTerms"/>
      </w:pPr>
      <w:r>
        <w:t>corresponding dangerous goods driver licence</w:t>
      </w:r>
      <w:r>
        <w:tab/>
        <w:t>4</w:t>
      </w:r>
    </w:p>
    <w:p>
      <w:pPr>
        <w:pStyle w:val="DefinedTerms"/>
      </w:pPr>
      <w:r>
        <w:t>corresponding dangerous goods vehicle licence</w:t>
      </w:r>
      <w:r>
        <w:tab/>
        <w:t>4</w:t>
      </w:r>
    </w:p>
    <w:p>
      <w:pPr>
        <w:pStyle w:val="DefinedTerms"/>
      </w:pPr>
      <w:r>
        <w:t>corresponding determination</w:t>
      </w:r>
      <w:r>
        <w:tab/>
        <w:t>4</w:t>
      </w:r>
    </w:p>
    <w:p>
      <w:pPr>
        <w:pStyle w:val="DefinedTerms"/>
      </w:pPr>
      <w:r>
        <w:lastRenderedPageBreak/>
        <w:t>corresponding exemption</w:t>
      </w:r>
      <w:r>
        <w:tab/>
        <w:t>4</w:t>
      </w:r>
    </w:p>
    <w:p>
      <w:pPr>
        <w:pStyle w:val="DefinedTerms"/>
      </w:pPr>
      <w:r>
        <w:t>corresponding law</w:t>
      </w:r>
      <w:r>
        <w:tab/>
        <w:t>4</w:t>
      </w:r>
    </w:p>
    <w:p>
      <w:pPr>
        <w:pStyle w:val="DefinedTerms"/>
      </w:pPr>
      <w:r>
        <w:t>corresponding provision</w:t>
      </w:r>
      <w:r>
        <w:tab/>
        <w:t>276(1), 278(1), 280(1), 282(1)</w:t>
      </w:r>
    </w:p>
    <w:p>
      <w:pPr>
        <w:pStyle w:val="DefinedTerms"/>
      </w:pPr>
      <w:r>
        <w:t>dangerous goods</w:t>
      </w:r>
      <w:r>
        <w:tab/>
        <w:t>4, 28(1)</w:t>
      </w:r>
    </w:p>
    <w:p>
      <w:pPr>
        <w:pStyle w:val="DefinedTerms"/>
      </w:pPr>
      <w:r>
        <w:t>dangerous goods driver licence</w:t>
      </w:r>
      <w:r>
        <w:tab/>
        <w:t>4</w:t>
      </w:r>
    </w:p>
    <w:p>
      <w:pPr>
        <w:pStyle w:val="DefinedTerms"/>
      </w:pPr>
      <w:r>
        <w:t>Dangerous Goods List</w:t>
      </w:r>
      <w:r>
        <w:tab/>
        <w:t>4</w:t>
      </w:r>
    </w:p>
    <w:p>
      <w:pPr>
        <w:pStyle w:val="DefinedTerms"/>
      </w:pPr>
      <w:r>
        <w:t>dangerous goods vehicle licence</w:t>
      </w:r>
      <w:r>
        <w:tab/>
        <w:t>4</w:t>
      </w:r>
    </w:p>
    <w:p>
      <w:pPr>
        <w:pStyle w:val="DefinedTerms"/>
      </w:pPr>
      <w:r>
        <w:t>deal with</w:t>
      </w:r>
      <w:r>
        <w:tab/>
        <w:t>186(1)</w:t>
      </w:r>
    </w:p>
    <w:p>
      <w:pPr>
        <w:pStyle w:val="DefinedTerms"/>
      </w:pPr>
      <w:r>
        <w:t>demountable tank</w:t>
      </w:r>
      <w:r>
        <w:tab/>
        <w:t>4</w:t>
      </w:r>
    </w:p>
    <w:p>
      <w:pPr>
        <w:pStyle w:val="DefinedTerms"/>
      </w:pPr>
      <w:r>
        <w:t>designated goods</w:t>
      </w:r>
      <w:r>
        <w:tab/>
        <w:t>12(1)</w:t>
      </w:r>
    </w:p>
    <w:p>
      <w:pPr>
        <w:pStyle w:val="DefinedTerms"/>
      </w:pPr>
      <w:r>
        <w:t>determination</w:t>
      </w:r>
      <w:r>
        <w:tab/>
        <w:t>4</w:t>
      </w:r>
    </w:p>
    <w:p>
      <w:pPr>
        <w:pStyle w:val="DefinedTerms"/>
      </w:pPr>
      <w:r>
        <w:t>disposed vehicle</w:t>
      </w:r>
      <w:r>
        <w:tab/>
        <w:t>237(2)</w:t>
      </w:r>
    </w:p>
    <w:p>
      <w:pPr>
        <w:pStyle w:val="DefinedTerms"/>
      </w:pPr>
      <w:r>
        <w:t>driver licence</w:t>
      </w:r>
      <w:r>
        <w:tab/>
        <w:t>4</w:t>
      </w:r>
    </w:p>
    <w:p>
      <w:pPr>
        <w:pStyle w:val="DefinedTerms"/>
      </w:pPr>
      <w:r>
        <w:t>driver licensing authority</w:t>
      </w:r>
      <w:r>
        <w:tab/>
        <w:t>4</w:t>
      </w:r>
    </w:p>
    <w:p>
      <w:pPr>
        <w:pStyle w:val="DefinedTerms"/>
      </w:pPr>
      <w:r>
        <w:t>driving licences register</w:t>
      </w:r>
      <w:r>
        <w:tab/>
        <w:t>4</w:t>
      </w:r>
    </w:p>
    <w:p>
      <w:pPr>
        <w:pStyle w:val="DefinedTerms"/>
      </w:pPr>
      <w:r>
        <w:t>emergency response contract</w:t>
      </w:r>
      <w:r>
        <w:tab/>
        <w:t>183</w:t>
      </w:r>
    </w:p>
    <w:p>
      <w:pPr>
        <w:pStyle w:val="DefinedTerms"/>
      </w:pPr>
      <w:r>
        <w:t>emergency service officer</w:t>
      </w:r>
      <w:r>
        <w:tab/>
        <w:t>4</w:t>
      </w:r>
    </w:p>
    <w:p>
      <w:pPr>
        <w:pStyle w:val="DefinedTerms"/>
      </w:pPr>
      <w:r>
        <w:t>exemption</w:t>
      </w:r>
      <w:r>
        <w:tab/>
        <w:t>4, 189, 262(1)</w:t>
      </w:r>
    </w:p>
    <w:p>
      <w:pPr>
        <w:pStyle w:val="DefinedTerms"/>
      </w:pPr>
      <w:r>
        <w:t>expiry date</w:t>
      </w:r>
      <w:r>
        <w:tab/>
        <w:t>225(3), 235(3)</w:t>
      </w:r>
    </w:p>
    <w:p>
      <w:pPr>
        <w:pStyle w:val="DefinedTerms"/>
      </w:pPr>
      <w:r>
        <w:t>FES Department</w:t>
      </w:r>
      <w:r>
        <w:tab/>
        <w:t>4</w:t>
      </w:r>
    </w:p>
    <w:p>
      <w:pPr>
        <w:pStyle w:val="DefinedTerms"/>
      </w:pPr>
      <w:r>
        <w:t>food</w:t>
      </w:r>
      <w:r>
        <w:tab/>
        <w:t>4</w:t>
      </w:r>
    </w:p>
    <w:p>
      <w:pPr>
        <w:pStyle w:val="DefinedTerms"/>
      </w:pPr>
      <w:r>
        <w:t>food packaging</w:t>
      </w:r>
      <w:r>
        <w:tab/>
        <w:t>4</w:t>
      </w:r>
    </w:p>
    <w:p>
      <w:pPr>
        <w:pStyle w:val="DefinedTerms"/>
      </w:pPr>
      <w:r>
        <w:t>foreign approved</w:t>
      </w:r>
      <w:r>
        <w:tab/>
        <w:t>4</w:t>
      </w:r>
    </w:p>
    <w:p>
      <w:pPr>
        <w:pStyle w:val="DefinedTerms"/>
      </w:pPr>
      <w:r>
        <w:t>freight container</w:t>
      </w:r>
      <w:r>
        <w:tab/>
        <w:t>4</w:t>
      </w:r>
    </w:p>
    <w:p>
      <w:pPr>
        <w:pStyle w:val="DefinedTerms"/>
      </w:pPr>
      <w:r>
        <w:t>general packaging</w:t>
      </w:r>
      <w:r>
        <w:tab/>
        <w:t>62</w:t>
      </w:r>
    </w:p>
    <w:p>
      <w:pPr>
        <w:pStyle w:val="DefinedTerms"/>
      </w:pPr>
      <w:r>
        <w:t>hose assembly</w:t>
      </w:r>
      <w:r>
        <w:tab/>
        <w:t>4</w:t>
      </w:r>
    </w:p>
    <w:p>
      <w:pPr>
        <w:pStyle w:val="DefinedTerms"/>
      </w:pPr>
      <w:r>
        <w:t>IBC</w:t>
      </w:r>
      <w:r>
        <w:tab/>
        <w:t>4, 34(1)</w:t>
      </w:r>
    </w:p>
    <w:p>
      <w:pPr>
        <w:pStyle w:val="DefinedTerms"/>
      </w:pPr>
      <w:r>
        <w:t>ICAO approved</w:t>
      </w:r>
      <w:r>
        <w:tab/>
        <w:t>4</w:t>
      </w:r>
    </w:p>
    <w:p>
      <w:pPr>
        <w:pStyle w:val="DefinedTerms"/>
      </w:pPr>
      <w:r>
        <w:t>ICAO Technical Instructions</w:t>
      </w:r>
      <w:r>
        <w:tab/>
        <w:t>4</w:t>
      </w:r>
    </w:p>
    <w:p>
      <w:pPr>
        <w:pStyle w:val="DefinedTerms"/>
      </w:pPr>
      <w:r>
        <w:t>IMDG Code</w:t>
      </w:r>
      <w:r>
        <w:tab/>
        <w:t>4</w:t>
      </w:r>
    </w:p>
    <w:p>
      <w:pPr>
        <w:pStyle w:val="DefinedTerms"/>
      </w:pPr>
      <w:r>
        <w:t>IMO approved</w:t>
      </w:r>
      <w:r>
        <w:tab/>
        <w:t>4</w:t>
      </w:r>
    </w:p>
    <w:p>
      <w:pPr>
        <w:pStyle w:val="DefinedTerms"/>
      </w:pPr>
      <w:r>
        <w:t>incompatible</w:t>
      </w:r>
      <w:r>
        <w:tab/>
        <w:t>4, 32(1) and (2)</w:t>
      </w:r>
    </w:p>
    <w:p>
      <w:pPr>
        <w:pStyle w:val="DefinedTerms"/>
      </w:pPr>
      <w:r>
        <w:t>inner packaging</w:t>
      </w:r>
      <w:r>
        <w:tab/>
        <w:t>4</w:t>
      </w:r>
    </w:p>
    <w:p>
      <w:pPr>
        <w:pStyle w:val="DefinedTerms"/>
      </w:pPr>
      <w:r>
        <w:t>intermediate bulk container</w:t>
      </w:r>
      <w:r>
        <w:tab/>
        <w:t>4, 34(1)</w:t>
      </w:r>
    </w:p>
    <w:p>
      <w:pPr>
        <w:pStyle w:val="DefinedTerms"/>
      </w:pPr>
      <w:r>
        <w:t>intermediate packaging</w:t>
      </w:r>
      <w:r>
        <w:tab/>
        <w:t>4</w:t>
      </w:r>
    </w:p>
    <w:p>
      <w:pPr>
        <w:pStyle w:val="DefinedTerms"/>
      </w:pPr>
      <w:r>
        <w:t>journey</w:t>
      </w:r>
      <w:r>
        <w:tab/>
        <w:t>4</w:t>
      </w:r>
    </w:p>
    <w:p>
      <w:pPr>
        <w:pStyle w:val="DefinedTerms"/>
      </w:pPr>
      <w:r>
        <w:t>large packaging</w:t>
      </w:r>
      <w:r>
        <w:tab/>
        <w:t>4</w:t>
      </w:r>
    </w:p>
    <w:p>
      <w:pPr>
        <w:pStyle w:val="DefinedTerms"/>
      </w:pPr>
      <w:r>
        <w:t>licence</w:t>
      </w:r>
      <w:r>
        <w:tab/>
        <w:t>241, 250</w:t>
      </w:r>
    </w:p>
    <w:p>
      <w:pPr>
        <w:pStyle w:val="DefinedTerms"/>
      </w:pPr>
      <w:r>
        <w:t>licensed vehicle</w:t>
      </w:r>
      <w:r>
        <w:tab/>
        <w:t>237(1)</w:t>
      </w:r>
    </w:p>
    <w:p>
      <w:pPr>
        <w:pStyle w:val="DefinedTerms"/>
      </w:pPr>
      <w:r>
        <w:t>licensee</w:t>
      </w:r>
      <w:r>
        <w:tab/>
        <w:t>241, 250</w:t>
      </w:r>
    </w:p>
    <w:p>
      <w:pPr>
        <w:pStyle w:val="DefinedTerms"/>
      </w:pPr>
      <w:r>
        <w:t>licensing authority</w:t>
      </w:r>
      <w:r>
        <w:tab/>
        <w:t>213</w:t>
      </w:r>
    </w:p>
    <w:p>
      <w:pPr>
        <w:pStyle w:val="DefinedTerms"/>
      </w:pPr>
      <w:r>
        <w:t>load</w:t>
      </w:r>
      <w:r>
        <w:tab/>
        <w:t>4</w:t>
      </w:r>
    </w:p>
    <w:p>
      <w:pPr>
        <w:pStyle w:val="DefinedTerms"/>
      </w:pPr>
      <w:r>
        <w:t>loader</w:t>
      </w:r>
      <w:r>
        <w:tab/>
        <w:t>3, 42</w:t>
      </w:r>
    </w:p>
    <w:p>
      <w:pPr>
        <w:pStyle w:val="DefinedTerms"/>
      </w:pPr>
      <w:r>
        <w:t>loads</w:t>
      </w:r>
      <w:r>
        <w:tab/>
        <w:t>4, 42</w:t>
      </w:r>
    </w:p>
    <w:p>
      <w:pPr>
        <w:pStyle w:val="DefinedTerms"/>
      </w:pPr>
      <w:r>
        <w:lastRenderedPageBreak/>
        <w:t>MEGC</w:t>
      </w:r>
      <w:r>
        <w:tab/>
        <w:t>4, 35</w:t>
      </w:r>
    </w:p>
    <w:p>
      <w:pPr>
        <w:pStyle w:val="DefinedTerms"/>
      </w:pPr>
      <w:r>
        <w:t>Ministerial Council</w:t>
      </w:r>
      <w:r>
        <w:tab/>
        <w:t>4</w:t>
      </w:r>
    </w:p>
    <w:p>
      <w:pPr>
        <w:pStyle w:val="DefinedTerms"/>
      </w:pPr>
      <w:r>
        <w:t>mobile processing unit (MPU)</w:t>
      </w:r>
      <w:r>
        <w:tab/>
        <w:t>13A(1)</w:t>
      </w:r>
    </w:p>
    <w:p>
      <w:pPr>
        <w:pStyle w:val="DefinedTerms"/>
      </w:pPr>
      <w:r>
        <w:t>model subordinate instrument</w:t>
      </w:r>
      <w:r>
        <w:tab/>
        <w:t>4</w:t>
      </w:r>
    </w:p>
    <w:p>
      <w:pPr>
        <w:pStyle w:val="DefinedTerms"/>
      </w:pPr>
      <w:r>
        <w:t>multi-element gas container</w:t>
      </w:r>
      <w:r>
        <w:tab/>
        <w:t>4</w:t>
      </w:r>
    </w:p>
    <w:p>
      <w:pPr>
        <w:pStyle w:val="DefinedTerms"/>
      </w:pPr>
      <w:r>
        <w:t>multimodal</w:t>
      </w:r>
      <w:r>
        <w:tab/>
        <w:t>4</w:t>
      </w:r>
    </w:p>
    <w:p>
      <w:pPr>
        <w:pStyle w:val="DefinedTerms"/>
      </w:pPr>
      <w:r>
        <w:t>multiple-element gas container</w:t>
      </w:r>
      <w:r>
        <w:tab/>
        <w:t>35</w:t>
      </w:r>
    </w:p>
    <w:p>
      <w:pPr>
        <w:pStyle w:val="DefinedTerms"/>
      </w:pPr>
      <w:r>
        <w:t>NATA</w:t>
      </w:r>
      <w:r>
        <w:tab/>
        <w:t>4</w:t>
      </w:r>
    </w:p>
    <w:p>
      <w:pPr>
        <w:pStyle w:val="DefinedTerms"/>
      </w:pPr>
      <w:r>
        <w:t>National Transport Commission</w:t>
      </w:r>
      <w:r>
        <w:tab/>
        <w:t>4</w:t>
      </w:r>
    </w:p>
    <w:p>
      <w:pPr>
        <w:pStyle w:val="DefinedTerms"/>
      </w:pPr>
      <w:r>
        <w:t>nominally empty storage vessels</w:t>
      </w:r>
      <w:r>
        <w:tab/>
        <w:t>120A</w:t>
      </w:r>
    </w:p>
    <w:p>
      <w:pPr>
        <w:pStyle w:val="DefinedTerms"/>
      </w:pPr>
      <w:r>
        <w:t>other packaging</w:t>
      </w:r>
      <w:r>
        <w:tab/>
        <w:t>68</w:t>
      </w:r>
    </w:p>
    <w:p>
      <w:pPr>
        <w:pStyle w:val="DefinedTerms"/>
      </w:pPr>
      <w:r>
        <w:t>outer packaging</w:t>
      </w:r>
      <w:r>
        <w:tab/>
        <w:t>4</w:t>
      </w:r>
    </w:p>
    <w:p>
      <w:pPr>
        <w:pStyle w:val="DefinedTerms"/>
      </w:pPr>
      <w:r>
        <w:t>overpack</w:t>
      </w:r>
      <w:r>
        <w:tab/>
        <w:t>4</w:t>
      </w:r>
    </w:p>
    <w:p>
      <w:pPr>
        <w:pStyle w:val="DefinedTerms"/>
      </w:pPr>
      <w:r>
        <w:t>owner</w:t>
      </w:r>
      <w:r>
        <w:tab/>
        <w:t>4, 39</w:t>
      </w:r>
    </w:p>
    <w:p>
      <w:pPr>
        <w:pStyle w:val="DefinedTerms"/>
      </w:pPr>
      <w:r>
        <w:t>package</w:t>
      </w:r>
      <w:r>
        <w:tab/>
        <w:t>4</w:t>
      </w:r>
    </w:p>
    <w:p>
      <w:pPr>
        <w:pStyle w:val="DefinedTerms"/>
      </w:pPr>
      <w:r>
        <w:t>packaging</w:t>
      </w:r>
      <w:r>
        <w:tab/>
        <w:t>4</w:t>
      </w:r>
    </w:p>
    <w:p>
      <w:pPr>
        <w:pStyle w:val="DefinedTerms"/>
      </w:pPr>
      <w:r>
        <w:t>packed in limited quantities</w:t>
      </w:r>
      <w:r>
        <w:tab/>
        <w:t>4, 45</w:t>
      </w:r>
    </w:p>
    <w:p>
      <w:pPr>
        <w:pStyle w:val="DefinedTerms"/>
      </w:pPr>
      <w:r>
        <w:t>packer</w:t>
      </w:r>
      <w:r>
        <w:tab/>
        <w:t>4, 41</w:t>
      </w:r>
    </w:p>
    <w:p>
      <w:pPr>
        <w:pStyle w:val="DefinedTerms"/>
      </w:pPr>
      <w:r>
        <w:t>Packing Group</w:t>
      </w:r>
      <w:r>
        <w:tab/>
        <w:t>4, 31</w:t>
      </w:r>
    </w:p>
    <w:p>
      <w:pPr>
        <w:pStyle w:val="DefinedTerms"/>
      </w:pPr>
      <w:r>
        <w:t>packs</w:t>
      </w:r>
      <w:r>
        <w:tab/>
        <w:t>4, 41</w:t>
      </w:r>
    </w:p>
    <w:p>
      <w:pPr>
        <w:pStyle w:val="DefinedTerms"/>
      </w:pPr>
      <w:r>
        <w:t>participating jurisdiction</w:t>
      </w:r>
      <w:r>
        <w:tab/>
        <w:t>4</w:t>
      </w:r>
    </w:p>
    <w:p>
      <w:pPr>
        <w:pStyle w:val="DefinedTerms"/>
      </w:pPr>
      <w:r>
        <w:t>placard load</w:t>
      </w:r>
      <w:r>
        <w:tab/>
        <w:t>4</w:t>
      </w:r>
    </w:p>
    <w:p>
      <w:pPr>
        <w:pStyle w:val="DefinedTerms"/>
      </w:pPr>
      <w:r>
        <w:t>placards</w:t>
      </w:r>
      <w:r>
        <w:tab/>
        <w:t>4, 111(1)</w:t>
      </w:r>
    </w:p>
    <w:p>
      <w:pPr>
        <w:pStyle w:val="DefinedTerms"/>
      </w:pPr>
      <w:r>
        <w:t>portable tank</w:t>
      </w:r>
      <w:r>
        <w:tab/>
        <w:t>4</w:t>
      </w:r>
    </w:p>
    <w:p>
      <w:pPr>
        <w:pStyle w:val="DefinedTerms"/>
      </w:pPr>
      <w:r>
        <w:t>premises</w:t>
      </w:r>
      <w:r>
        <w:tab/>
        <w:t>4</w:t>
      </w:r>
    </w:p>
    <w:p>
      <w:pPr>
        <w:pStyle w:val="DefinedTerms"/>
      </w:pPr>
      <w:r>
        <w:t>pressure drums</w:t>
      </w:r>
      <w:r>
        <w:tab/>
        <w:t>4</w:t>
      </w:r>
    </w:p>
    <w:p>
      <w:pPr>
        <w:pStyle w:val="DefinedTerms"/>
      </w:pPr>
      <w:r>
        <w:t>previous regulation 221(c)</w:t>
      </w:r>
      <w:r>
        <w:tab/>
        <w:t>287(1)</w:t>
      </w:r>
    </w:p>
    <w:p>
      <w:pPr>
        <w:pStyle w:val="DefinedTerms"/>
      </w:pPr>
      <w:r>
        <w:t>prime contractor</w:t>
      </w:r>
      <w:r>
        <w:tab/>
        <w:t>4, 43</w:t>
      </w:r>
    </w:p>
    <w:p>
      <w:pPr>
        <w:pStyle w:val="DefinedTerms"/>
      </w:pPr>
      <w:r>
        <w:t>prime mover</w:t>
      </w:r>
      <w:r>
        <w:tab/>
        <w:t>4</w:t>
      </w:r>
    </w:p>
    <w:p>
      <w:pPr>
        <w:pStyle w:val="DefinedTerms"/>
      </w:pPr>
      <w:r>
        <w:t>proposed action</w:t>
      </w:r>
      <w:r>
        <w:tab/>
        <w:t>211(1), 254(1), 261(1)</w:t>
      </w:r>
    </w:p>
    <w:p>
      <w:pPr>
        <w:pStyle w:val="DefinedTerms"/>
      </w:pPr>
      <w:r>
        <w:t>provisional licence</w:t>
      </w:r>
      <w:r>
        <w:tab/>
        <w:t>4</w:t>
      </w:r>
    </w:p>
    <w:p>
      <w:pPr>
        <w:pStyle w:val="DefinedTerms"/>
      </w:pPr>
      <w:r>
        <w:t>rail</w:t>
      </w:r>
      <w:r>
        <w:tab/>
        <w:t>4</w:t>
      </w:r>
    </w:p>
    <w:p>
      <w:pPr>
        <w:pStyle w:val="DefinedTerms"/>
      </w:pPr>
      <w:r>
        <w:t>rail authority</w:t>
      </w:r>
      <w:r>
        <w:tab/>
        <w:t>4</w:t>
      </w:r>
    </w:p>
    <w:p>
      <w:pPr>
        <w:pStyle w:val="DefinedTerms"/>
      </w:pPr>
      <w:r>
        <w:t>rail operator</w:t>
      </w:r>
      <w:r>
        <w:tab/>
        <w:t>4, 44</w:t>
      </w:r>
    </w:p>
    <w:p>
      <w:pPr>
        <w:pStyle w:val="DefinedTerms"/>
      </w:pPr>
      <w:r>
        <w:t>rail tank wagon</w:t>
      </w:r>
      <w:r>
        <w:tab/>
        <w:t>4</w:t>
      </w:r>
    </w:p>
    <w:p>
      <w:pPr>
        <w:pStyle w:val="DefinedTerms"/>
      </w:pPr>
      <w:r>
        <w:t>rail wagon</w:t>
      </w:r>
      <w:r>
        <w:tab/>
        <w:t>4</w:t>
      </w:r>
    </w:p>
    <w:p>
      <w:pPr>
        <w:pStyle w:val="DefinedTerms"/>
      </w:pPr>
      <w:r>
        <w:t>receptacle</w:t>
      </w:r>
      <w:r>
        <w:tab/>
        <w:t>4</w:t>
      </w:r>
    </w:p>
    <w:p>
      <w:pPr>
        <w:pStyle w:val="DefinedTerms"/>
      </w:pPr>
      <w:r>
        <w:t>recognised testing facilities</w:t>
      </w:r>
      <w:r>
        <w:tab/>
        <w:t>57</w:t>
      </w:r>
    </w:p>
    <w:p>
      <w:pPr>
        <w:pStyle w:val="DefinedTerms"/>
      </w:pPr>
      <w:r>
        <w:t>recognised testing facility</w:t>
      </w:r>
      <w:r>
        <w:tab/>
        <w:t>4</w:t>
      </w:r>
    </w:p>
    <w:p>
      <w:pPr>
        <w:pStyle w:val="DefinedTerms"/>
      </w:pPr>
      <w:r>
        <w:t>register</w:t>
      </w:r>
      <w:r>
        <w:tab/>
        <w:t>25</w:t>
      </w:r>
    </w:p>
    <w:p>
      <w:pPr>
        <w:pStyle w:val="DefinedTerms"/>
      </w:pPr>
      <w:r>
        <w:t>registered</w:t>
      </w:r>
      <w:r>
        <w:tab/>
        <w:t>4</w:t>
      </w:r>
    </w:p>
    <w:p>
      <w:pPr>
        <w:pStyle w:val="DefinedTerms"/>
      </w:pPr>
      <w:r>
        <w:t>relevant change</w:t>
      </w:r>
      <w:r>
        <w:tab/>
        <w:t>200(1), 201(1)</w:t>
      </w:r>
    </w:p>
    <w:p>
      <w:pPr>
        <w:pStyle w:val="DefinedTerms"/>
      </w:pPr>
      <w:r>
        <w:t>relevant provision</w:t>
      </w:r>
      <w:r>
        <w:tab/>
        <w:t>263(1), 264(1), 265(1), 266(1),</w:t>
      </w:r>
    </w:p>
    <w:p>
      <w:pPr>
        <w:pStyle w:val="DefinedTerms"/>
        <w:ind w:right="1"/>
        <w:jc w:val="right"/>
      </w:pPr>
      <w:r>
        <w:t xml:space="preserve"> 275(1), 277(1), 279(1), 281(1)</w:t>
      </w:r>
    </w:p>
    <w:p>
      <w:pPr>
        <w:pStyle w:val="DefinedTerms"/>
      </w:pPr>
      <w:r>
        <w:lastRenderedPageBreak/>
        <w:t>relevant road tank vehicle</w:t>
      </w:r>
      <w:r>
        <w:tab/>
        <w:t>215(1)</w:t>
      </w:r>
    </w:p>
    <w:p>
      <w:pPr>
        <w:pStyle w:val="DefinedTerms"/>
      </w:pPr>
      <w:r>
        <w:t>repealed Act</w:t>
      </w:r>
      <w:r>
        <w:tab/>
        <w:t>273</w:t>
      </w:r>
    </w:p>
    <w:p>
      <w:pPr>
        <w:pStyle w:val="DefinedTerms"/>
      </w:pPr>
      <w:r>
        <w:t>repealed regulations</w:t>
      </w:r>
      <w:r>
        <w:tab/>
        <w:t>273</w:t>
      </w:r>
    </w:p>
    <w:p>
      <w:pPr>
        <w:pStyle w:val="DefinedTerms"/>
      </w:pPr>
      <w:r>
        <w:t>required emergency information</w:t>
      </w:r>
      <w:r>
        <w:tab/>
        <w:t>156</w:t>
      </w:r>
    </w:p>
    <w:p>
      <w:pPr>
        <w:pStyle w:val="DefinedTerms"/>
      </w:pPr>
      <w:r>
        <w:t>responsible person</w:t>
      </w:r>
      <w:r>
        <w:tab/>
        <w:t>170A(1)</w:t>
      </w:r>
    </w:p>
    <w:p>
      <w:pPr>
        <w:pStyle w:val="DefinedTerms"/>
      </w:pPr>
      <w:r>
        <w:t>RID approved</w:t>
      </w:r>
      <w:r>
        <w:tab/>
        <w:t>4</w:t>
      </w:r>
    </w:p>
    <w:p>
      <w:pPr>
        <w:pStyle w:val="DefinedTerms"/>
      </w:pPr>
      <w:r>
        <w:t>rigid vehicle</w:t>
      </w:r>
      <w:r>
        <w:tab/>
        <w:t>4</w:t>
      </w:r>
    </w:p>
    <w:p>
      <w:pPr>
        <w:pStyle w:val="DefinedTerms"/>
      </w:pPr>
      <w:r>
        <w:t>road</w:t>
      </w:r>
      <w:r>
        <w:tab/>
        <w:t>4</w:t>
      </w:r>
    </w:p>
    <w:p>
      <w:pPr>
        <w:pStyle w:val="DefinedTerms"/>
      </w:pPr>
      <w:r>
        <w:t>road tank vehicle</w:t>
      </w:r>
      <w:r>
        <w:tab/>
        <w:t>4</w:t>
      </w:r>
    </w:p>
    <w:p>
      <w:pPr>
        <w:pStyle w:val="DefinedTerms"/>
      </w:pPr>
      <w:r>
        <w:t>service equipment</w:t>
      </w:r>
      <w:r>
        <w:tab/>
        <w:t>4</w:t>
      </w:r>
    </w:p>
    <w:p>
      <w:pPr>
        <w:pStyle w:val="DefinedTerms"/>
      </w:pPr>
      <w:r>
        <w:t>specified goods</w:t>
      </w:r>
      <w:r>
        <w:tab/>
        <w:t>110(1)</w:t>
      </w:r>
    </w:p>
    <w:p>
      <w:pPr>
        <w:pStyle w:val="DefinedTerms"/>
      </w:pPr>
      <w:r>
        <w:t>structural equipment</w:t>
      </w:r>
      <w:r>
        <w:tab/>
        <w:t>4</w:t>
      </w:r>
    </w:p>
    <w:p>
      <w:pPr>
        <w:pStyle w:val="DefinedTerms"/>
      </w:pPr>
      <w:r>
        <w:t>Subsidiary Hazard</w:t>
      </w:r>
      <w:r>
        <w:tab/>
        <w:t>4, 30</w:t>
      </w:r>
    </w:p>
    <w:p>
      <w:pPr>
        <w:pStyle w:val="DefinedTerms"/>
      </w:pPr>
      <w:r>
        <w:t>subsidiary legislation</w:t>
      </w:r>
      <w:r>
        <w:tab/>
        <w:t>8(1)</w:t>
      </w:r>
    </w:p>
    <w:p>
      <w:pPr>
        <w:pStyle w:val="DefinedTerms"/>
      </w:pPr>
      <w:r>
        <w:t>tank</w:t>
      </w:r>
      <w:r>
        <w:tab/>
        <w:t>4, 36(1)</w:t>
      </w:r>
    </w:p>
    <w:p>
      <w:pPr>
        <w:pStyle w:val="DefinedTerms"/>
      </w:pPr>
      <w:r>
        <w:t>tank A</w:t>
      </w:r>
      <w:r>
        <w:tab/>
        <w:t>146(1A)</w:t>
      </w:r>
    </w:p>
    <w:p>
      <w:pPr>
        <w:pStyle w:val="DefinedTerms"/>
      </w:pPr>
      <w:r>
        <w:t>tank A</w:t>
      </w:r>
      <w:r>
        <w:tab/>
        <w:t>147(1A), 148(2)</w:t>
      </w:r>
    </w:p>
    <w:p>
      <w:pPr>
        <w:pStyle w:val="DefinedTerms"/>
      </w:pPr>
      <w:r>
        <w:t>tank vehicle</w:t>
      </w:r>
      <w:r>
        <w:tab/>
        <w:t>4</w:t>
      </w:r>
    </w:p>
    <w:p>
      <w:pPr>
        <w:pStyle w:val="DefinedTerms"/>
      </w:pPr>
      <w:r>
        <w:t>telephone advisory service</w:t>
      </w:r>
      <w:r>
        <w:tab/>
        <w:t>179(1)</w:t>
      </w:r>
    </w:p>
    <w:p>
      <w:pPr>
        <w:pStyle w:val="DefinedTerms"/>
      </w:pPr>
      <w:r>
        <w:t>trailer</w:t>
      </w:r>
      <w:r>
        <w:tab/>
        <w:t>4</w:t>
      </w:r>
    </w:p>
    <w:p>
      <w:pPr>
        <w:pStyle w:val="DefinedTerms"/>
      </w:pPr>
      <w:r>
        <w:t>train</w:t>
      </w:r>
      <w:r>
        <w:tab/>
        <w:t>4</w:t>
      </w:r>
    </w:p>
    <w:p>
      <w:pPr>
        <w:pStyle w:val="DefinedTerms"/>
      </w:pPr>
      <w:r>
        <w:t>transport documentation</w:t>
      </w:r>
      <w:r>
        <w:tab/>
        <w:t>4</w:t>
      </w:r>
    </w:p>
    <w:p>
      <w:pPr>
        <w:pStyle w:val="DefinedTerms"/>
      </w:pPr>
      <w:r>
        <w:t>tube</w:t>
      </w:r>
      <w:r>
        <w:tab/>
        <w:t>4</w:t>
      </w:r>
    </w:p>
    <w:p>
      <w:pPr>
        <w:pStyle w:val="DefinedTerms"/>
      </w:pPr>
      <w:r>
        <w:t>UN approved</w:t>
      </w:r>
      <w:r>
        <w:tab/>
        <w:t>4</w:t>
      </w:r>
    </w:p>
    <w:p>
      <w:pPr>
        <w:pStyle w:val="DefinedTerms"/>
      </w:pPr>
      <w:r>
        <w:t>UN Class</w:t>
      </w:r>
      <w:r>
        <w:tab/>
        <w:t>4, 29</w:t>
      </w:r>
    </w:p>
    <w:p>
      <w:pPr>
        <w:pStyle w:val="DefinedTerms"/>
      </w:pPr>
      <w:r>
        <w:t>UN Division</w:t>
      </w:r>
      <w:r>
        <w:tab/>
        <w:t>4</w:t>
      </w:r>
    </w:p>
    <w:p>
      <w:pPr>
        <w:pStyle w:val="DefinedTerms"/>
      </w:pPr>
      <w:r>
        <w:t>UN Division</w:t>
      </w:r>
      <w:r>
        <w:tab/>
        <w:t>29</w:t>
      </w:r>
    </w:p>
    <w:p>
      <w:pPr>
        <w:pStyle w:val="DefinedTerms"/>
      </w:pPr>
      <w:r>
        <w:t>unit of rolling stock</w:t>
      </w:r>
      <w:r>
        <w:tab/>
        <w:t>4</w:t>
      </w:r>
    </w:p>
    <w:p>
      <w:pPr>
        <w:pStyle w:val="DefinedTerms"/>
      </w:pPr>
      <w:r>
        <w:t>UN Number</w:t>
      </w:r>
      <w:r>
        <w:tab/>
        <w:t>4</w:t>
      </w:r>
    </w:p>
    <w:p>
      <w:pPr>
        <w:pStyle w:val="DefinedTerms"/>
      </w:pPr>
      <w:r>
        <w:t>vehicle</w:t>
      </w:r>
      <w:r>
        <w:tab/>
        <w:t>4, 229</w:t>
      </w:r>
    </w:p>
    <w:p/>
    <w:p>
      <w:pPr>
        <w:sectPr>
          <w:headerReference w:type="even" r:id="rId30"/>
          <w:headerReference w:type="default" r:id="rId31"/>
          <w:pgSz w:w="11907" w:h="16840" w:code="9"/>
          <w:pgMar w:top="2381" w:right="2409" w:bottom="3543" w:left="2409" w:header="720" w:footer="3544" w:gutter="0"/>
          <w:cols w:space="720"/>
          <w:noEndnote/>
          <w:docGrid w:linePitch="326"/>
        </w:sectPr>
      </w:pPr>
    </w:p>
    <w:p>
      <w:r>
        <w:rPr>
          <w:noProof/>
        </w:rPr>
        <mc:AlternateContent>
          <mc:Choice Requires="wps">
            <w:drawing>
              <wp:anchor distT="0" distB="0" distL="114300" distR="114300" simplePos="0" relativeHeight="251666432" behindDoc="0" locked="0" layoutInCell="1" allowOverlap="1">
                <wp:simplePos x="0" y="0"/>
                <wp:positionH relativeFrom="page">
                  <wp:align>center</wp:align>
                </wp:positionH>
                <wp:positionV relativeFrom="page">
                  <wp:posOffset>7505700</wp:posOffset>
                </wp:positionV>
                <wp:extent cx="127000" cy="647700"/>
                <wp:effectExtent l="0" t="0" r="1905" b="0"/>
                <wp:wrapNone/>
                <wp:docPr id="2"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w14:anchorId="4CDA92C0" id="_x0000_t202" coordsize="21600,21600" o:spt="202" path="m,l,21600r21600,l21600,xe">
                <v:stroke joinstyle="miter"/>
                <v:path gradientshapeok="t" o:connecttype="rect"/>
              </v:shapetype>
              <v:shape id="Authority" o:spid="_x0000_s1026" type="#_x0000_t202" style="position:absolute;margin-left:0;margin-top:591pt;width:10pt;height:51pt;z-index:251666432;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" stroked="f" strokeweight=".5pt">
                <v:textbox>
                  <w:txbxContent>
                    <w:p w14:paraId="588BD69B" w14:textId="23C19E57" w:rsidR="00A371FE" w:rsidRDefault="007664B2">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85636B">
                        <w:rPr>
                          <w:sz w:val="16"/>
                        </w:rPr>
                        <w:t>2025</w:t>
                      </w:r>
                      <w:r>
                        <w:rPr>
                          <w:sz w:val="16"/>
                        </w:rPr>
                        <w:fldChar w:fldCharType="end"/>
                      </w:r>
                      <w:r>
                        <w:rPr>
                          <w:sz w:val="16"/>
                        </w:rPr>
                        <w:t>.</w:t>
                      </w:r>
                    </w:p>
                    <w:p w14:paraId="07B4E290" w14:textId="77777777" w:rsidR="00A371FE" w:rsidRDefault="007664B2">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41645128" w14:textId="0A76DF15" w:rsidR="00A371FE" w:rsidRDefault="007664B2">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85636B">
                        <w:rPr>
                          <w:sz w:val="16"/>
                        </w:rPr>
                        <w:t>2025</w:t>
                      </w:r>
                      <w:r>
                        <w:rPr>
                          <w:sz w:val="16"/>
                        </w:rPr>
                        <w:fldChar w:fldCharType="end"/>
                      </w:r>
                      <w:r>
                        <w:rPr>
                          <w:sz w:val="16"/>
                        </w:rPr>
                        <w:t>.</w:t>
                      </w:r>
                    </w:p>
                    <w:p w14:paraId="408A30C4" w14:textId="77777777" w:rsidR="00A371FE" w:rsidRDefault="007664B2">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32"/>
      <w:headerReference w:type="default" r:id="rId33"/>
      <w:footerReference w:type="even" r:id="rId34"/>
      <w:footerReference w:type="default" r:id="rId35"/>
      <w:headerReference w:type="first" r:id="rId36"/>
      <w:footerReference w:type="first" r:id="rId37"/>
      <w:endnotePr>
        <w:numFmt w:val="decimal"/>
      </w:endnotePr>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18 Apr 2025</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02-aa0-00</w:t>
    </w:r>
    <w:r>
      <w:rPr>
        <w:sz w:val="16"/>
      </w:rPr>
      <w:fldChar w:fldCharType="end"/>
    </w:r>
    <w:r>
      <w:rPr>
        <w:sz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18 Apr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02-aa0-00</w:t>
    </w:r>
    <w:r>
      <w:rPr>
        <w:sz w:val="16"/>
      </w:rPr>
      <w:fldChar w:fldCharType="end"/>
    </w:r>
    <w:r>
      <w:rPr>
        <w:sz w:val="16"/>
      </w:rPr>
      <w:t>]</w:t>
    </w: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18 Apr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02-aa0-00</w:t>
    </w:r>
    <w:r>
      <w:rPr>
        <w:sz w:val="16"/>
      </w:rPr>
      <w:fldChar w:fldCharType="end"/>
    </w:r>
    <w:r>
      <w:rPr>
        <w:sz w:val="16"/>
      </w:rPr>
      <w:t>]</w:t>
    </w: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cxciv</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18 Apr 2025</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02-aa0-00</w:t>
    </w:r>
    <w:r>
      <w:rPr>
        <w:sz w:val="16"/>
      </w:rPr>
      <w:fldChar w:fldCharType="end"/>
    </w:r>
    <w:r>
      <w:rPr>
        <w:sz w:val="16"/>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18 Apr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cxcv</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02-aa0-00</w:t>
    </w:r>
    <w:r>
      <w:rPr>
        <w:sz w:val="16"/>
      </w:rPr>
      <w:fldChar w:fldCharType="end"/>
    </w:r>
    <w:r>
      <w:rPr>
        <w:sz w:val="16"/>
      </w:rPr>
      <w:t>]</w:t>
    </w: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18 Apr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xiv</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02-aa0-00</w:t>
    </w:r>
    <w:r>
      <w:rPr>
        <w:sz w:val="16"/>
      </w:rPr>
      <w:fldChar w:fldCharType="end"/>
    </w:r>
    <w:r>
      <w:rPr>
        <w:sz w:val="16"/>
      </w:rPr>
      <w:t>]</w:t>
    </w: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1" w:name="TOC"/>
    <w:bookmarkEnd w:id="1"/>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612" w:name="Schedule"/>
    <w:bookmarkEnd w:id="612"/>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619" w:name="Compilation"/>
    <w:bookmarkEnd w:id="619"/>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t>Defined terms</w:t>
          </w:r>
        </w:p>
      </w:tc>
    </w:tr>
  </w:tbl>
  <w:p>
    <w:pPr>
      <w:pStyle w:val="Header"/>
      <w:pBdr>
        <w:top w:val="single" w:sz="4" w:space="1" w:color="auto"/>
      </w:pBd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621" w:name="DefinedTerms"/>
    <w:bookmarkEnd w:id="621"/>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622" w:name="Coversheet"/>
    <w:bookmarkEnd w:id="62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223233"/>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50407093734"/>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 w:name="WAFER_20180830122924" w:val="RemoveTocBookmarks,RemoveUnusedBookmarks,RemoveLanguageTags,UsedStyles,ResetPageSize"/>
    <w:docVar w:name="WAFER_20180830122924_GUID" w:val="014723f6-636c-4602-9bf1-8870c7df3307"/>
    <w:docVar w:name="WAFER_20190617112532" w:val="RemoveTocBookmarks,RemoveUnusedBookmarks,RemoveLanguageTags,ResetPageSize,RunningHeaders,UpdateStyles,UsedStyles"/>
    <w:docVar w:name="WAFER_20190617112532_GUID" w:val="63c7fc4a-6e1b-4461-b0f7-fdc6b50e57ce"/>
    <w:docVar w:name="WAFER_202006291225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122559_GUID" w:val="fc70907e-2f82-4f10-a28d-9aa5360a87af"/>
    <w:docVar w:name="WAFER_202007141416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141636_GUID" w:val="1e42f315-252f-40b7-978b-eba834413f69"/>
    <w:docVar w:name="WAFER_2020100710364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07103647_GUID" w:val="f8f8434b-5680-42d1-a802-94f4466a7661"/>
    <w:docVar w:name="WAFER_2020102609024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26090242_GUID" w:val="a939c822-fd18-4cc5-8b17-563b11168c36"/>
    <w:docVar w:name="WAFER_2020112314573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123145739_GUID" w:val="6c0b1ccf-694b-4786-8d0b-7e153858b974"/>
    <w:docVar w:name="WAFER_2021061812053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18120533_GUID" w:val="f1599cdb-66cd-40df-9f37-d3543c8d7e84"/>
    <w:docVar w:name="WAFER_202106241122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24112218_GUID" w:val="f1c640b4-0d12-401f-bbef-8e8b7ab3c05c"/>
    <w:docVar w:name="WAFER_2022030811244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08112442_GUID" w:val="b3fea765-7a71-455b-b632-54eb0ee12f22"/>
    <w:docVar w:name="WAFER_2022031811302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18113020_GUID" w:val="f4991e88-879b-4dac-8509-d77ae6d6146a"/>
    <w:docVar w:name="WAFER_20220517141729"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517141729_GUID" w:val="31a56eac-e592-414b-8fab-e8fcf91760b9"/>
    <w:docVar w:name="WAFER_2022062309253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3092533_GUID" w:val="373294f6-a030-457a-96b6-4b6b26492c46"/>
    <w:docVar w:name="WAFER_2023050214391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502143916_GUID" w:val="2a5877c1-3494-4478-b1b3-ebf5bd32c658"/>
    <w:docVar w:name="WAFER_2023062611363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13635_GUID" w:val="f75fca94-ebd9-4ccc-9e53-f26cc5abfde2"/>
    <w:docVar w:name="WAFER_2023122716352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7163521_GUID" w:val="979cab14-0cf4-4e7b-9aad-1fe17ce62199"/>
    <w:docVar w:name="WAFER_2024021611023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216110230_GUID" w:val="cb0cbfce-184f-442a-acc8-85850f028f80"/>
    <w:docVar w:name="WAFER_2024060709362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07093620_GUID" w:val="b73bd72b-8025-40b2-b41c-35cc42fbdb62"/>
    <w:docVar w:name="WAFER_2024062510024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25100246_GUID" w:val="a4f393c7-cbe3-4c38-9da6-ffa87e4853f2"/>
    <w:docVar w:name="WAFER_2024121309174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1213091745_GUID" w:val="eb09702d-9d32-4a87-adc8-210bdb73f8ba"/>
    <w:docVar w:name="WAFER_2025040709373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407093734_GUID" w:val="919fe1aa-bb35-4f96-93c6-82bcbe91ba58"/>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3233"/>
    <o:shapelayout v:ext="edit">
      <o:idmap v:ext="edit" data="1"/>
    </o:shapelayout>
  </w:shapeDefaults>
  <w:decimalSymbol w:val="."/>
  <w:listSeparator w:val=","/>
  <w15:docId w15:val="{BA3673F1-5492-43A7-B9D5-150CE7204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uiPriority w:val="9"/>
    <w:qFormat/>
    <w:pPr>
      <w:keepNext/>
      <w:pageBreakBefore/>
      <w:spacing w:line="260" w:lineRule="atLeast"/>
      <w:jc w:val="center"/>
      <w:outlineLvl w:val="1"/>
    </w:pPr>
    <w:rPr>
      <w:b/>
      <w:snapToGrid w:val="0"/>
      <w:sz w:val="30"/>
    </w:rPr>
  </w:style>
  <w:style w:type="paragraph" w:styleId="Heading3">
    <w:name w:val="heading 3"/>
    <w:next w:val="Heading4"/>
    <w:uiPriority w:val="9"/>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9" Type="http://schemas.openxmlformats.org/officeDocument/2006/relationships/theme" Target="theme/theme1.xml"/><Relationship Id="rId21" Type="http://schemas.openxmlformats.org/officeDocument/2006/relationships/header" Target="header7.xml"/><Relationship Id="rId34"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header" Target="header18.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header" Target="header17.xml"/><Relationship Id="rId37"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header" Target="header1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oter" Target="footer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E4D786-22B7-484C-9D29-2CC97DA2B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43930</Words>
  <Characters>216136</Characters>
  <Application>Microsoft Office Word</Application>
  <DocSecurity>0</DocSecurity>
  <Lines>6356</Lines>
  <Paragraphs>4263</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255803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2007 - 02-aa0-00</dc:title>
  <dc:subject/>
  <dc:creator/>
  <cp:keywords/>
  <dc:description/>
  <cp:lastModifiedBy>Master Repository Process</cp:lastModifiedBy>
  <cp:revision>4</cp:revision>
  <cp:lastPrinted>2015-08-13T04:23:00Z</cp:lastPrinted>
  <dcterms:created xsi:type="dcterms:W3CDTF">2025-07-21T02:54:00Z</dcterms:created>
  <dcterms:modified xsi:type="dcterms:W3CDTF">2025-07-21T02:55:00Z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AsAtDate">
    <vt:lpwstr>18 Apr 2025</vt:lpwstr>
  </property>
  <property fmtid="{D5CDD505-2E9C-101B-9397-08002B2CF9AE}" pid="8" name="Suffix">
    <vt:lpwstr>02-aa0-00</vt:lpwstr>
  </property>
  <property fmtid="{D5CDD505-2E9C-101B-9397-08002B2CF9AE}" pid="9" name="Official">
    <vt:lpwstr/>
  </property>
  <property fmtid="{D5CDD505-2E9C-101B-9397-08002B2CF9AE}" pid="10" name="CommencementDate">
    <vt:lpwstr>20250418</vt:lpwstr>
  </property>
  <property fmtid="{D5CDD505-2E9C-101B-9397-08002B2CF9AE}" pid="11" name="CommencementAsAt">
    <vt:filetime>2025-04-17T16:00:00Z</vt:filetime>
  </property>
  <property fmtid="{D5CDD505-2E9C-101B-9397-08002B2CF9AE}" pid="12" name="CommencementYear">
    <vt:lpwstr>2025</vt:lpwstr>
  </property>
</Properties>
</file>