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Duties Act 2008</w:t>
      </w:r>
      <w:r>
        <w:rPr>
          <w:noProof/>
        </w:rPr>
        <w:br/>
        <w:t>Taxation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_Toc196389415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_Toc196389416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Duties Regulations 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_Toc196389418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_Toc196389419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11 inserted</w:t>
      </w:r>
      <w:r>
        <w:tab/>
      </w:r>
      <w:r>
        <w:fldChar w:fldCharType="begin"/>
      </w:r>
      <w:r>
        <w:instrText xml:space="preserve"> PAGEREF _Toc196389420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noProof/>
        </w:rPr>
        <w:tab/>
        <w:t xml:space="preserve">Transitional provision for </w:t>
      </w:r>
      <w:r>
        <w:rPr>
          <w:i/>
          <w:noProof/>
        </w:rPr>
        <w:t>Finance Regulations Amendment Regulations 2025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_Toc196389421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Taxation Administration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_Toc196389423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2B amended</w:t>
      </w:r>
      <w:r>
        <w:tab/>
      </w:r>
      <w:r>
        <w:fldChar w:fldCharType="begin"/>
      </w:r>
      <w:r>
        <w:instrText xml:space="preserve"> PAGEREF _Toc196389424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13O replaced</w:t>
      </w:r>
      <w:r>
        <w:tab/>
      </w:r>
      <w:r>
        <w:fldChar w:fldCharType="begin"/>
      </w:r>
      <w:r>
        <w:instrText xml:space="preserve"> PAGEREF _Toc196389425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13O.</w:t>
      </w:r>
      <w:r>
        <w:rPr>
          <w:noProof/>
        </w:rPr>
        <w:tab/>
        <w:t>Disclosure of information to Commissioner for Consumer Protection (s. 114(3)(g))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_Toc196389426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14A amended</w:t>
      </w:r>
      <w:r>
        <w:tab/>
      </w:r>
      <w:r>
        <w:fldChar w:fldCharType="begin"/>
      </w:r>
      <w:r>
        <w:instrText xml:space="preserve"> PAGEREF _Toc196389427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Regulations 14BA and 14BB inserted</w:t>
      </w:r>
      <w:r>
        <w:tab/>
      </w:r>
      <w:r>
        <w:fldChar w:fldCharType="begin"/>
      </w:r>
      <w:r>
        <w:instrText xml:space="preserve"> PAGEREF _Toc196389428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14BA.</w:t>
      </w:r>
      <w:r>
        <w:rPr>
          <w:noProof/>
        </w:rPr>
        <w:tab/>
        <w:t>Disclosure of information for purpose of assessing market</w:t>
      </w:r>
      <w:r>
        <w:rPr>
          <w:noProof/>
        </w:rPr>
        <w:noBreakHyphen/>
        <w:t>led proposals (s. 114(3)(g))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_Toc196389429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14BB</w:t>
      </w:r>
      <w:r>
        <w:rPr>
          <w:noProof/>
        </w:rPr>
        <w:tab/>
        <w:t xml:space="preserve">Disclosure of information related to declared pest rates for the purposes of </w:t>
      </w:r>
      <w:r>
        <w:rPr>
          <w:noProof/>
        </w:rPr>
        <w:lastRenderedPageBreak/>
        <w:t>administering pastoral leases (s. 114(3)(g))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_Toc196389430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Duties Act 2008</w:t>
      </w:r>
      <w:r>
        <w:rPr>
          <w:iCs/>
        </w:rPr>
        <w:br/>
      </w:r>
      <w:r>
        <w:t>Taxation Administration Act 2003</w:t>
      </w:r>
    </w:p>
    <w:p>
      <w:pPr>
        <w:pStyle w:val="NameofActReg"/>
      </w:pPr>
      <w:r>
        <w:t>Finance Regulations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196389263"/>
      <w:bookmarkStart w:id="3" w:name="_Toc196389331"/>
      <w:bookmarkStart w:id="4" w:name="_Toc19638941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96389264"/>
      <w:bookmarkStart w:id="6" w:name="_Toc196389415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Finance Regulations Amendment Regulations 2025</w:t>
      </w:r>
      <w:r>
        <w:t>.</w:t>
      </w:r>
    </w:p>
    <w:p>
      <w:pPr>
        <w:pStyle w:val="Heading5"/>
        <w:rPr>
          <w:spacing w:val="-2"/>
        </w:rPr>
      </w:pPr>
      <w:bookmarkStart w:id="8" w:name="_Toc196389265"/>
      <w:bookmarkStart w:id="9" w:name="_Toc1963894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</w:t>
      </w:r>
      <w:r>
        <w:t xml:space="preserve">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96389266"/>
      <w:bookmarkStart w:id="11" w:name="_Toc196389334"/>
      <w:bookmarkStart w:id="12" w:name="_Toc19638941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Duties Regulations 2008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96389267"/>
      <w:bookmarkStart w:id="14" w:name="_Toc1963894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Duties Regulations 2008</w:t>
      </w:r>
      <w:r>
        <w:t>.</w:t>
      </w:r>
    </w:p>
    <w:p>
      <w:pPr>
        <w:pStyle w:val="Heading5"/>
      </w:pPr>
      <w:bookmarkStart w:id="15" w:name="_Toc196389268"/>
      <w:bookmarkStart w:id="16" w:name="_Toc19638941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3(a) to (c)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the Australian Securities Exchange Limited (ABN 83 000 943 377);</w:t>
      </w:r>
    </w:p>
    <w:p>
      <w:pPr>
        <w:pStyle w:val="zIndenta"/>
      </w:pPr>
      <w:r>
        <w:tab/>
        <w:t>(b)</w:t>
      </w:r>
      <w:r>
        <w:tab/>
        <w:t>the National Stock Exchange of Australia Limited (ABN 11 000 902 063);</w:t>
      </w:r>
    </w:p>
    <w:p>
      <w:pPr>
        <w:pStyle w:val="zIndenta"/>
      </w:pPr>
      <w:r>
        <w:tab/>
        <w:t>(c)</w:t>
      </w:r>
      <w:r>
        <w:tab/>
        <w:t>the London Stock Exchange plc;</w:t>
      </w:r>
    </w:p>
    <w:p>
      <w:pPr>
        <w:pStyle w:val="zIndenta"/>
      </w:pPr>
      <w:r>
        <w:tab/>
        <w:t>(d)</w:t>
      </w:r>
      <w:r>
        <w:tab/>
        <w:t>Euronext N.V.;</w:t>
      </w:r>
    </w:p>
    <w:p>
      <w:pPr>
        <w:pStyle w:val="zIndenta"/>
      </w:pPr>
      <w:r>
        <w:tab/>
        <w:t>(e)</w:t>
      </w:r>
      <w:r>
        <w:tab/>
        <w:t>a stock exchange that is a member of the World Federation of Exchanges.</w:t>
      </w:r>
    </w:p>
    <w:p>
      <w:pPr>
        <w:pStyle w:val="BlankClose"/>
      </w:pPr>
    </w:p>
    <w:p>
      <w:pPr>
        <w:pStyle w:val="Heading5"/>
      </w:pPr>
      <w:bookmarkStart w:id="17" w:name="_Toc196389269"/>
      <w:bookmarkStart w:id="18" w:name="_Toc196389420"/>
      <w:r>
        <w:rPr>
          <w:rStyle w:val="CharSectno"/>
        </w:rPr>
        <w:t>5</w:t>
      </w:r>
      <w:r>
        <w:t>.</w:t>
      </w:r>
      <w:r>
        <w:tab/>
        <w:t>Regulation 11 inserted</w:t>
      </w:r>
      <w:bookmarkEnd w:id="17"/>
      <w:bookmarkEnd w:id="18"/>
    </w:p>
    <w:p>
      <w:pPr>
        <w:pStyle w:val="Subsection"/>
      </w:pPr>
      <w:r>
        <w:tab/>
      </w:r>
      <w:r>
        <w:tab/>
        <w:t>After regulation 10 insert:</w:t>
      </w:r>
    </w:p>
    <w:p>
      <w:pPr>
        <w:pStyle w:val="BlankOpen"/>
      </w:pPr>
    </w:p>
    <w:p>
      <w:pPr>
        <w:pStyle w:val="zHeading5"/>
      </w:pPr>
      <w:bookmarkStart w:id="19" w:name="_Toc196389270"/>
      <w:bookmarkStart w:id="20" w:name="_Toc196389421"/>
      <w:r>
        <w:t>11.</w:t>
      </w:r>
      <w:r>
        <w:tab/>
        <w:t xml:space="preserve">Transitional provision for </w:t>
      </w:r>
      <w:r>
        <w:rPr>
          <w:i/>
        </w:rPr>
        <w:t>Finance Regulations Amendment Regulations 2025</w:t>
      </w:r>
      <w:bookmarkEnd w:id="19"/>
      <w:bookmarkEnd w:id="20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1 January 2014</w:t>
      </w:r>
      <w:r>
        <w:t xml:space="preserve"> </w:t>
      </w:r>
      <w:r>
        <w:rPr>
          <w:rStyle w:val="CharDefText"/>
        </w:rPr>
        <w:t>instrument</w:t>
      </w:r>
      <w:r>
        <w:t xml:space="preserve"> means an instrument executed on or after 1 January 2014 and before commencement day;</w:t>
      </w:r>
    </w:p>
    <w:p>
      <w:pPr>
        <w:pStyle w:val="zDefstart"/>
      </w:pPr>
      <w:r>
        <w:tab/>
      </w:r>
      <w:r>
        <w:rPr>
          <w:rStyle w:val="CharDefText"/>
        </w:rPr>
        <w:t>1 January 2014</w:t>
      </w:r>
      <w:r>
        <w:t xml:space="preserve"> </w:t>
      </w:r>
      <w:r>
        <w:rPr>
          <w:rStyle w:val="CharDefText"/>
        </w:rPr>
        <w:t>transaction</w:t>
      </w:r>
      <w:r>
        <w:t xml:space="preserve"> means a transaction that took place on or after 1 January 2014 and before commencement day;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1 January 2017 instrument</w:t>
      </w:r>
      <w:r>
        <w:t xml:space="preserve"> means an instrument executed on or after 1 January 2017 and before commencement day;</w:t>
      </w:r>
    </w:p>
    <w:p>
      <w:pPr>
        <w:pStyle w:val="zDefstart"/>
      </w:pPr>
      <w:r>
        <w:tab/>
      </w:r>
      <w:r>
        <w:rPr>
          <w:rStyle w:val="CharDefText"/>
        </w:rPr>
        <w:t>1 January 2017 transaction</w:t>
      </w:r>
      <w:r>
        <w:t xml:space="preserve"> means a transaction that took place on or after 1 January 2017 and before commencement day;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Finance Regulations Amendment Regulations 2025</w:t>
      </w:r>
      <w:r>
        <w:t xml:space="preserve"> regulation 4 comes into operation;</w:t>
      </w:r>
    </w:p>
    <w:p>
      <w:pPr>
        <w:pStyle w:val="zDefstart"/>
      </w:pPr>
      <w:r>
        <w:tab/>
      </w:r>
      <w:r>
        <w:rPr>
          <w:rStyle w:val="CharDefText"/>
        </w:rPr>
        <w:t>former instrument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a </w:t>
      </w:r>
      <w:r>
        <w:rPr>
          <w:bCs/>
          <w:iCs/>
        </w:rPr>
        <w:t>1 January 2014 instrument; or</w:t>
      </w:r>
    </w:p>
    <w:p>
      <w:pPr>
        <w:pStyle w:val="zDefpara"/>
      </w:pPr>
      <w:r>
        <w:tab/>
        <w:t>(b)</w:t>
      </w:r>
      <w:r>
        <w:tab/>
        <w:t xml:space="preserve">a 1 January 2017 instrument; </w:t>
      </w:r>
    </w:p>
    <w:p>
      <w:pPr>
        <w:pStyle w:val="zDefstart"/>
      </w:pPr>
      <w:r>
        <w:tab/>
      </w:r>
      <w:r>
        <w:rPr>
          <w:rStyle w:val="CharDefText"/>
        </w:rPr>
        <w:t>former transaction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 xml:space="preserve">a </w:t>
      </w:r>
      <w:r>
        <w:rPr>
          <w:bCs/>
          <w:iCs/>
        </w:rPr>
        <w:t>1 January 2014 transaction; or</w:t>
      </w:r>
    </w:p>
    <w:p>
      <w:pPr>
        <w:pStyle w:val="zDefpara"/>
      </w:pPr>
      <w:r>
        <w:tab/>
        <w:t>(b)</w:t>
      </w:r>
      <w:r>
        <w:tab/>
        <w:t>a 1 January 2017 transaction.</w:t>
      </w:r>
    </w:p>
    <w:p>
      <w:pPr>
        <w:pStyle w:val="zSubsection"/>
      </w:pPr>
      <w:r>
        <w:tab/>
        <w:t>(2)</w:t>
      </w:r>
      <w:r>
        <w:tab/>
        <w:t>Regulation 3(c) applies in relation to a 1 January 2014 instrument or a 1 January 2014 transaction as if regulation 3(c) came into operation on 1 January 2014.</w:t>
      </w:r>
    </w:p>
    <w:p>
      <w:pPr>
        <w:pStyle w:val="zSubsection"/>
      </w:pPr>
      <w:r>
        <w:tab/>
        <w:t>(3)</w:t>
      </w:r>
      <w:r>
        <w:tab/>
        <w:t>Regulation 3(d) applies in relation to a 1 January 2017 instrument or a 1 January 2017 transaction as if regulation 3(d) came into operation on 1 January 2017.</w:t>
      </w:r>
    </w:p>
    <w:p>
      <w:pPr>
        <w:pStyle w:val="zSubsection"/>
      </w:pPr>
      <w:r>
        <w:tab/>
        <w:t>(4)</w:t>
      </w:r>
      <w:r>
        <w:tab/>
        <w:t xml:space="preserve">Subregulation (2) or (3) does not apply in relation to a former instrument or a former transaction if its application to the former instrument or former transaction would adversely affect a person — </w:t>
      </w:r>
    </w:p>
    <w:p>
      <w:pPr>
        <w:pStyle w:val="zIndenta"/>
      </w:pPr>
      <w:r>
        <w:tab/>
        <w:t>(a)</w:t>
      </w:r>
      <w:r>
        <w:tab/>
        <w:t>that is, or may become, liable to pay duty on the former instrument or in relation to the former transaction; or</w:t>
      </w:r>
    </w:p>
    <w:p>
      <w:pPr>
        <w:pStyle w:val="zIndenta"/>
      </w:pPr>
      <w:r>
        <w:tab/>
        <w:t>(b)</w:t>
      </w:r>
      <w:r>
        <w:tab/>
        <w:t>that is a party to the former transaction.</w:t>
      </w:r>
    </w:p>
    <w:p>
      <w:pPr>
        <w:pStyle w:val="BlankClose"/>
      </w:pPr>
    </w:p>
    <w:p>
      <w:pPr>
        <w:pStyle w:val="Heading2"/>
      </w:pPr>
      <w:bookmarkStart w:id="21" w:name="_Toc196389271"/>
      <w:bookmarkStart w:id="22" w:name="_Toc196389339"/>
      <w:bookmarkStart w:id="23" w:name="_Toc19638942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Taxation Administration Regulations 2003</w:t>
      </w:r>
      <w:r>
        <w:rPr>
          <w:rStyle w:val="CharPartText"/>
        </w:rPr>
        <w:t xml:space="preserve"> amended</w:t>
      </w:r>
      <w:bookmarkEnd w:id="21"/>
      <w:bookmarkEnd w:id="22"/>
      <w:bookmarkEnd w:id="23"/>
    </w:p>
    <w:p>
      <w:pPr>
        <w:pStyle w:val="Heading5"/>
        <w:rPr>
          <w:snapToGrid w:val="0"/>
        </w:rPr>
      </w:pPr>
      <w:bookmarkStart w:id="24" w:name="_Toc196389272"/>
      <w:bookmarkStart w:id="25" w:name="_Toc19638942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4"/>
      <w:bookmarkEnd w:id="2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Taxation Administration Regulations 2003</w:t>
      </w:r>
      <w:r>
        <w:t>.</w:t>
      </w:r>
    </w:p>
    <w:p>
      <w:pPr>
        <w:pStyle w:val="Heading5"/>
      </w:pPr>
      <w:bookmarkStart w:id="26" w:name="_Toc196389273"/>
      <w:bookmarkStart w:id="27" w:name="_Toc196389424"/>
      <w:r>
        <w:rPr>
          <w:rStyle w:val="CharSectno"/>
        </w:rPr>
        <w:t>7</w:t>
      </w:r>
      <w:r>
        <w:t>.</w:t>
      </w:r>
      <w:r>
        <w:tab/>
        <w:t>Regulation 2B amended</w:t>
      </w:r>
      <w:bookmarkEnd w:id="26"/>
      <w:bookmarkEnd w:id="27"/>
    </w:p>
    <w:p>
      <w:pPr>
        <w:pStyle w:val="Subsection"/>
      </w:pPr>
      <w:r>
        <w:tab/>
      </w:r>
      <w:r>
        <w:tab/>
        <w:t>In regulation 2B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Commissioner for Consumer Protection</w:t>
      </w:r>
      <w:r>
        <w:t xml:space="preserve"> means the Commissioner as defined in the </w:t>
      </w:r>
      <w:r>
        <w:rPr>
          <w:i/>
        </w:rPr>
        <w:t>Fair Trading Act 2010</w:t>
      </w:r>
      <w:r>
        <w:t xml:space="preserve"> section 6;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2B is to read:</w:t>
      </w:r>
    </w:p>
    <w:p>
      <w:pPr>
        <w:pStyle w:val="SectAltHeading"/>
      </w:pPr>
      <w:r>
        <w:tab/>
      </w:r>
      <w:r>
        <w:tab/>
        <w:t>Terms used</w:t>
      </w:r>
    </w:p>
    <w:p>
      <w:pPr>
        <w:pStyle w:val="Heading5"/>
      </w:pPr>
      <w:bookmarkStart w:id="28" w:name="_Toc196389274"/>
      <w:bookmarkStart w:id="29" w:name="_Toc196389425"/>
      <w:r>
        <w:rPr>
          <w:rStyle w:val="CharSectno"/>
        </w:rPr>
        <w:t>8</w:t>
      </w:r>
      <w:r>
        <w:t>.</w:t>
      </w:r>
      <w:r>
        <w:tab/>
        <w:t>Regulation 13O replaced</w:t>
      </w:r>
      <w:bookmarkEnd w:id="28"/>
      <w:bookmarkEnd w:id="29"/>
    </w:p>
    <w:p>
      <w:pPr>
        <w:pStyle w:val="Subsection"/>
      </w:pPr>
      <w:r>
        <w:tab/>
      </w:r>
      <w:r>
        <w:tab/>
        <w:t>Delete regulation 13O and insert:</w:t>
      </w:r>
    </w:p>
    <w:p>
      <w:pPr>
        <w:pStyle w:val="BlankOpen"/>
      </w:pPr>
    </w:p>
    <w:p>
      <w:pPr>
        <w:pStyle w:val="zHeading5"/>
      </w:pPr>
      <w:bookmarkStart w:id="30" w:name="_Toc196389275"/>
      <w:bookmarkStart w:id="31" w:name="_Toc196389426"/>
      <w:r>
        <w:t>13O.</w:t>
      </w:r>
      <w:r>
        <w:tab/>
        <w:t>Disclosure of information to Commissioner for Consumer Protection (s. 114(3)(g))</w:t>
      </w:r>
      <w:bookmarkEnd w:id="30"/>
      <w:bookmarkEnd w:id="31"/>
    </w:p>
    <w:p>
      <w:pPr>
        <w:pStyle w:val="zSubsection"/>
      </w:pPr>
      <w:r>
        <w:tab/>
      </w:r>
      <w:r>
        <w:tab/>
        <w:t xml:space="preserve">For the purposes of section 114(3)(g) of the Act, the Commissioner may disclose tax information to the Commissioner for Consumer Protection for a purpose related to the Commissioner for Consumer Protection carrying out functions under — </w:t>
      </w:r>
    </w:p>
    <w:p>
      <w:pPr>
        <w:pStyle w:val="zIndenta"/>
      </w:pPr>
      <w:r>
        <w:tab/>
        <w:t>(a)</w:t>
      </w:r>
      <w:r>
        <w:tab/>
        <w:t xml:space="preserve">the </w:t>
      </w:r>
      <w:r>
        <w:rPr>
          <w:i/>
        </w:rPr>
        <w:t>Fair Trading Act 2010</w:t>
      </w:r>
      <w:r>
        <w:t>; or</w:t>
      </w:r>
    </w:p>
    <w:p>
      <w:pPr>
        <w:pStyle w:val="zIndenta"/>
      </w:pPr>
      <w:r>
        <w:tab/>
        <w:t>(b)</w:t>
      </w:r>
      <w:r>
        <w:tab/>
        <w:t xml:space="preserve">the </w:t>
      </w:r>
      <w:r>
        <w:rPr>
          <w:i/>
        </w:rPr>
        <w:t>Motor Vehicle Dealers Act 1973</w:t>
      </w:r>
      <w:r>
        <w:t>; or</w:t>
      </w:r>
    </w:p>
    <w:p>
      <w:pPr>
        <w:pStyle w:val="zIndenta"/>
        <w:keepNext/>
      </w:pPr>
      <w:r>
        <w:tab/>
        <w:t>(c)</w:t>
      </w:r>
      <w:r>
        <w:tab/>
        <w:t xml:space="preserve">the </w:t>
      </w:r>
      <w:r>
        <w:rPr>
          <w:i/>
        </w:rPr>
        <w:t>Real Estate and Business Agents Act 1978</w:t>
      </w:r>
      <w:r>
        <w:t>.</w:t>
      </w:r>
    </w:p>
    <w:p>
      <w:pPr>
        <w:pStyle w:val="BlankClose"/>
      </w:pPr>
    </w:p>
    <w:p>
      <w:pPr>
        <w:pStyle w:val="Heading5"/>
      </w:pPr>
      <w:bookmarkStart w:id="32" w:name="_Toc196389276"/>
      <w:bookmarkStart w:id="33" w:name="_Toc196389427"/>
      <w:r>
        <w:rPr>
          <w:rStyle w:val="CharSectno"/>
        </w:rPr>
        <w:lastRenderedPageBreak/>
        <w:t>9</w:t>
      </w:r>
      <w:r>
        <w:t>.</w:t>
      </w:r>
      <w:r>
        <w:tab/>
        <w:t>Regulation 14A amended</w:t>
      </w:r>
      <w:bookmarkEnd w:id="32"/>
      <w:bookmarkEnd w:id="33"/>
    </w:p>
    <w:p>
      <w:pPr>
        <w:pStyle w:val="Subsection"/>
      </w:pPr>
      <w:r>
        <w:tab/>
      </w:r>
      <w:r>
        <w:tab/>
        <w:t xml:space="preserve">In regulation 14A(1) — </w:t>
      </w:r>
    </w:p>
    <w:p>
      <w:pPr>
        <w:pStyle w:val="Indenta"/>
      </w:pPr>
      <w:r>
        <w:tab/>
        <w:t>(a)</w:t>
      </w:r>
      <w:r>
        <w:tab/>
        <w:t xml:space="preserve">delete the definition of </w:t>
      </w:r>
      <w:r>
        <w:rPr>
          <w:b/>
          <w:i/>
        </w:rPr>
        <w:t>Commissioner Fair Trading</w:t>
      </w:r>
      <w:r>
        <w:rPr>
          <w:bCs/>
          <w:iCs/>
        </w:rPr>
        <w:t>;</w:t>
      </w:r>
    </w:p>
    <w:p>
      <w:pPr>
        <w:pStyle w:val="Indenta"/>
      </w:pPr>
      <w:r>
        <w:tab/>
        <w:t>(b)</w:t>
      </w:r>
      <w:r>
        <w:tab/>
        <w:t xml:space="preserve">in the definition of </w:t>
      </w:r>
      <w:r>
        <w:rPr>
          <w:b/>
          <w:bCs/>
          <w:i/>
          <w:iCs/>
        </w:rPr>
        <w:t>functions</w:t>
      </w:r>
      <w:r>
        <w:t xml:space="preserve"> delete paragraph (b) and insert:</w:t>
      </w:r>
    </w:p>
    <w:p>
      <w:pPr>
        <w:pStyle w:val="BlankOpen"/>
      </w:pPr>
    </w:p>
    <w:p>
      <w:pPr>
        <w:pStyle w:val="zDefpara"/>
      </w:pPr>
      <w:r>
        <w:tab/>
        <w:t>(b)</w:t>
      </w:r>
      <w:r>
        <w:tab/>
        <w:t xml:space="preserve">in the case of the Commissioner for Consumer Protection — the Commissioner for Consumer Protection’s functions under the </w:t>
      </w:r>
      <w:r>
        <w:rPr>
          <w:i/>
        </w:rPr>
        <w:t>Fair Trading Act 2010</w:t>
      </w:r>
      <w:r>
        <w:t>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 xml:space="preserve">in the definition of </w:t>
      </w:r>
      <w:r>
        <w:rPr>
          <w:b/>
          <w:bCs/>
          <w:i/>
          <w:iCs/>
        </w:rPr>
        <w:t>relevant recipient</w:t>
      </w:r>
      <w:r>
        <w:t xml:space="preserve"> paragraph (b) delete “Fair Trading;”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for Consumer Protection;</w:t>
      </w:r>
    </w:p>
    <w:p>
      <w:pPr>
        <w:pStyle w:val="BlankClose"/>
      </w:pPr>
    </w:p>
    <w:p>
      <w:pPr>
        <w:pStyle w:val="Heading5"/>
      </w:pPr>
      <w:bookmarkStart w:id="34" w:name="_Toc196389277"/>
      <w:bookmarkStart w:id="35" w:name="_Toc196389428"/>
      <w:r>
        <w:rPr>
          <w:rStyle w:val="CharSectno"/>
        </w:rPr>
        <w:t>10</w:t>
      </w:r>
      <w:r>
        <w:t>.</w:t>
      </w:r>
      <w:r>
        <w:tab/>
        <w:t>Regulations 14BA and 14BB inserted</w:t>
      </w:r>
      <w:bookmarkEnd w:id="34"/>
      <w:bookmarkEnd w:id="35"/>
    </w:p>
    <w:p>
      <w:pPr>
        <w:pStyle w:val="Subsection"/>
      </w:pPr>
      <w:r>
        <w:tab/>
      </w:r>
      <w:r>
        <w:tab/>
        <w:t>After regulation 14B insert:</w:t>
      </w:r>
    </w:p>
    <w:p>
      <w:pPr>
        <w:pStyle w:val="BlankOpen"/>
      </w:pPr>
    </w:p>
    <w:p>
      <w:pPr>
        <w:pStyle w:val="zHeading5"/>
      </w:pPr>
      <w:bookmarkStart w:id="36" w:name="_Toc196389278"/>
      <w:bookmarkStart w:id="37" w:name="_Toc196389429"/>
      <w:r>
        <w:t>14BA.</w:t>
      </w:r>
      <w:r>
        <w:tab/>
        <w:t>Disclosure of information for purpose of assessing market</w:t>
      </w:r>
      <w:r>
        <w:noBreakHyphen/>
        <w:t>led proposals (s. 114(3)(g))</w:t>
      </w:r>
      <w:bookmarkEnd w:id="36"/>
      <w:bookmarkEnd w:id="37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department</w:t>
      </w:r>
      <w:r>
        <w:t xml:space="preserve"> has the meaning given in the </w:t>
      </w:r>
      <w:r>
        <w:rPr>
          <w:i/>
        </w:rPr>
        <w:t>Public Sector Management Act 1994</w:t>
      </w:r>
      <w:r>
        <w:t xml:space="preserve"> section 3(1);</w:t>
      </w:r>
    </w:p>
    <w:p>
      <w:pPr>
        <w:pStyle w:val="zDefstart"/>
      </w:pPr>
      <w:r>
        <w:tab/>
      </w:r>
      <w:r>
        <w:rPr>
          <w:rStyle w:val="CharDefText"/>
        </w:rPr>
        <w:t>EOI proposal</w:t>
      </w:r>
      <w:r>
        <w:t xml:space="preserve"> means a proposal in response to a request by the State government, that is not given under a written law, for an expression of interest in — </w:t>
      </w:r>
    </w:p>
    <w:p>
      <w:pPr>
        <w:pStyle w:val="zDefpara"/>
      </w:pPr>
      <w:r>
        <w:tab/>
        <w:t>(a)</w:t>
      </w:r>
      <w:r>
        <w:tab/>
        <w:t>a matter the subject of a market</w:t>
      </w:r>
      <w:r>
        <w:noBreakHyphen/>
        <w:t>led proposal; or</w:t>
      </w:r>
    </w:p>
    <w:p>
      <w:pPr>
        <w:pStyle w:val="zDefpara"/>
      </w:pPr>
      <w:r>
        <w:tab/>
        <w:t>(b)</w:t>
      </w:r>
      <w:r>
        <w:tab/>
        <w:t>providing a solution to an issue; or</w:t>
      </w:r>
    </w:p>
    <w:p>
      <w:pPr>
        <w:pStyle w:val="zDefpara"/>
      </w:pPr>
      <w:r>
        <w:tab/>
        <w:t>(c)</w:t>
      </w:r>
      <w:r>
        <w:tab/>
        <w:t>a specified opportunity;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GTE</w:t>
      </w:r>
      <w:r>
        <w:t xml:space="preserve"> has the meaning given in the </w:t>
      </w:r>
      <w:r>
        <w:rPr>
          <w:i/>
        </w:rPr>
        <w:t>Government Trading Enterprises Act 2023</w:t>
      </w:r>
      <w:r>
        <w:t xml:space="preserve"> section 3(1);</w:t>
      </w:r>
    </w:p>
    <w:p>
      <w:pPr>
        <w:pStyle w:val="zDefstart"/>
      </w:pPr>
      <w:r>
        <w:tab/>
      </w:r>
      <w:r>
        <w:rPr>
          <w:rStyle w:val="CharDefText"/>
        </w:rPr>
        <w:t>market</w:t>
      </w:r>
      <w:r>
        <w:rPr>
          <w:rStyle w:val="CharDefText"/>
        </w:rPr>
        <w:noBreakHyphen/>
        <w:t>led proposal</w:t>
      </w:r>
      <w:r>
        <w:t xml:space="preserve"> means an unsolicited proposal to a department, statutory authority or GTE, that is not given under a written law, for a proponent in the private sector to — </w:t>
      </w:r>
    </w:p>
    <w:p>
      <w:pPr>
        <w:pStyle w:val="zDefpara"/>
      </w:pPr>
      <w:r>
        <w:tab/>
        <w:t>(a)</w:t>
      </w:r>
      <w:r>
        <w:tab/>
        <w:t>build or finance infrastructure; or</w:t>
      </w:r>
    </w:p>
    <w:p>
      <w:pPr>
        <w:pStyle w:val="zDefpara"/>
      </w:pPr>
      <w:r>
        <w:tab/>
        <w:t>(b)</w:t>
      </w:r>
      <w:r>
        <w:tab/>
        <w:t>provide goods or services to, or on behalf of the State; or</w:t>
      </w:r>
    </w:p>
    <w:p>
      <w:pPr>
        <w:pStyle w:val="zDefpara"/>
      </w:pPr>
      <w:r>
        <w:tab/>
        <w:t>(c)</w:t>
      </w:r>
      <w:r>
        <w:tab/>
        <w:t>purchase an asset owned by the State;</w:t>
      </w:r>
    </w:p>
    <w:p>
      <w:pPr>
        <w:pStyle w:val="zDefstart"/>
      </w:pPr>
      <w:r>
        <w:tab/>
      </w:r>
      <w:r>
        <w:rPr>
          <w:rStyle w:val="CharDefText"/>
        </w:rPr>
        <w:t>MLP officer</w:t>
      </w:r>
      <w:r>
        <w:t xml:space="preserve"> means an officer of the department of the Public Service principally assisting in the administration of the </w:t>
      </w:r>
      <w:r>
        <w:rPr>
          <w:i/>
        </w:rPr>
        <w:t xml:space="preserve">Planning and Development Act 2005 </w:t>
      </w:r>
      <w:r>
        <w:rPr>
          <w:iCs/>
        </w:rPr>
        <w:t xml:space="preserve">whose functions relate to the </w:t>
      </w:r>
      <w:r>
        <w:t>assessment of market</w:t>
      </w:r>
      <w:r>
        <w:noBreakHyphen/>
        <w:t>led proposals or EOI proposals;</w:t>
      </w:r>
    </w:p>
    <w:p>
      <w:pPr>
        <w:pStyle w:val="zDefstart"/>
      </w:pPr>
      <w:r>
        <w:tab/>
      </w:r>
      <w:r>
        <w:rPr>
          <w:rStyle w:val="CharDefText"/>
        </w:rPr>
        <w:t>proponent</w:t>
      </w:r>
      <w:r>
        <w:t>, for a market</w:t>
      </w:r>
      <w:r>
        <w:noBreakHyphen/>
        <w:t>led proposal or an EOI proposal, means a person who is identified in the market</w:t>
      </w:r>
      <w:r>
        <w:noBreakHyphen/>
        <w:t>led proposal or EOI proposal as the proponent;</w:t>
      </w:r>
    </w:p>
    <w:p>
      <w:pPr>
        <w:pStyle w:val="zDefstart"/>
      </w:pPr>
      <w:r>
        <w:tab/>
      </w:r>
      <w:r>
        <w:rPr>
          <w:rStyle w:val="CharDefText"/>
        </w:rPr>
        <w:t>statutory authority</w:t>
      </w:r>
      <w:r>
        <w:t xml:space="preserve"> has the meaning given in the </w:t>
      </w:r>
      <w:r>
        <w:rPr>
          <w:i/>
        </w:rPr>
        <w:t>Financial Management Act 2006</w:t>
      </w:r>
      <w:r>
        <w:t xml:space="preserve"> section 3.</w:t>
      </w:r>
    </w:p>
    <w:p>
      <w:pPr>
        <w:pStyle w:val="zSubsection"/>
      </w:pPr>
      <w:r>
        <w:tab/>
        <w:t>(2)</w:t>
      </w:r>
      <w:r>
        <w:tab/>
        <w:t>For the purposes of section 114(3)(g) of the Act, the Commissioner may disclose to an MLP officer tax information that relates to a proponent of a market</w:t>
      </w:r>
      <w:r>
        <w:noBreakHyphen/>
        <w:t>led proposal or EOI proposal if the disclosure is for the purposes of carrying out an assessment of the market</w:t>
      </w:r>
      <w:r>
        <w:noBreakHyphen/>
        <w:t>led proposal or EOI proposal.</w:t>
      </w:r>
    </w:p>
    <w:p>
      <w:pPr>
        <w:pStyle w:val="zHeading5"/>
      </w:pPr>
      <w:bookmarkStart w:id="38" w:name="_Toc196389279"/>
      <w:bookmarkStart w:id="39" w:name="_Toc196389430"/>
      <w:r>
        <w:t>14BB</w:t>
      </w:r>
      <w:r>
        <w:tab/>
        <w:t>Disclosure of information related to declared pest rates for the purposes of administering pastoral leases (s. 114(3)(g))</w:t>
      </w:r>
      <w:bookmarkEnd w:id="38"/>
      <w:bookmarkEnd w:id="39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chief executive officer</w:t>
      </w:r>
      <w:r>
        <w:t xml:space="preserve"> means the chief executive officer of the department of the Public Service </w:t>
      </w:r>
      <w:r>
        <w:lastRenderedPageBreak/>
        <w:t xml:space="preserve">principally assisting in the administration of the </w:t>
      </w:r>
      <w:r>
        <w:rPr>
          <w:i/>
        </w:rPr>
        <w:t>Land Administration Act 1997</w:t>
      </w:r>
      <w:r>
        <w:t>;</w:t>
      </w:r>
    </w:p>
    <w:p>
      <w:pPr>
        <w:pStyle w:val="zDefstart"/>
      </w:pPr>
      <w:r>
        <w:tab/>
      </w:r>
      <w:r>
        <w:rPr>
          <w:rStyle w:val="CharDefText"/>
        </w:rPr>
        <w:t>relevant tax information</w:t>
      </w:r>
      <w:r>
        <w:t xml:space="preserve"> means tax information disclosed to, or obtained by, the Commissioner in relation to the Commissioner’s administration of the </w:t>
      </w:r>
      <w:r>
        <w:rPr>
          <w:i/>
        </w:rPr>
        <w:t>Biosecurity and Agriculture Management Act 2007</w:t>
      </w:r>
      <w:r>
        <w:t xml:space="preserve"> Part 6 Division 1 Subdivision 2 as a taxation Act.</w:t>
      </w:r>
    </w:p>
    <w:p>
      <w:pPr>
        <w:pStyle w:val="zSubsection"/>
      </w:pPr>
      <w:r>
        <w:tab/>
        <w:t>(2)</w:t>
      </w:r>
      <w:r>
        <w:tab/>
        <w:t xml:space="preserve">For the purposes of section 114(3)(g) of the Act, the Commissioner may disclose relevant tax information to the chief executive officer for the purposes of the administration of the </w:t>
      </w:r>
      <w:r>
        <w:rPr>
          <w:i/>
        </w:rPr>
        <w:t>Land Administration Act 1997</w:t>
      </w:r>
      <w:r>
        <w:t xml:space="preserve"> Part 7.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6952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557B46C" w14:textId="2FE4D186" w:rsidR="00925FB0" w:rsidRDefault="00925FB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B17D09" w14:textId="77777777" w:rsidR="00925FB0" w:rsidRDefault="00925FB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168806" w14:textId="019545AD" w:rsidR="00925FB0" w:rsidRDefault="00925FB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D5281" w14:textId="77777777" w:rsidR="00925FB0" w:rsidRDefault="00925FB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72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1311358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131135825_GUID" w:val="154a9897-959b-4c53-8de7-b4563331d4a0"/>
    <w:docVar w:name="WAFER_202501311405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31140556_GUID" w:val="c0b38d51-3d45-4ad0-9829-c8119c510e72"/>
    <w:docVar w:name="WAFER_202503071149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07114937_GUID" w:val="d6892023-9dc3-4180-a750-660a967328c3"/>
    <w:docVar w:name="WAFER_20250307115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07115826_GUID" w:val="fe23df04-b2a9-4923-9ffa-b4cdd447bfd3"/>
    <w:docVar w:name="WAFER_202504241157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725_GUID" w:val="2b471dd0-0bc6-47ca-ac87-b248c61313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5:docId w15:val="{86533A80-FDB9-46CE-93C7-9B2575F6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3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1321</Words>
  <Characters>7068</Characters>
  <Application>Microsoft Office Word</Application>
  <DocSecurity>0</DocSecurity>
  <Lines>252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Regulations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2025-07-21T02:58:00Z</dcterms:created>
  <dcterms:modified xsi:type="dcterms:W3CDTF">2025-07-21T02:58:00Z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55226</vt:lpwstr>
  </property>
  <property fmtid="{D5CDD505-2E9C-101B-9397-08002B2CF9AE}" pid="3" name="DocumentType">
    <vt:lpwstr>Reg</vt:lpwstr>
  </property>
  <property fmtid="{D5CDD505-2E9C-101B-9397-08002B2CF9AE}" pid="4" name="SLAPId">
    <vt:lpwstr>2025/67</vt:lpwstr>
  </property>
  <property fmtid="{D5CDD505-2E9C-101B-9397-08002B2CF9AE}" pid="5" name="PublishDate">
    <vt:lpwstr>30 Apr 2025</vt:lpwstr>
  </property>
  <property fmtid="{D5CDD505-2E9C-101B-9397-08002B2CF9AE}" pid="6" name="AsAtDate">
    <vt:lpwstr>30 Apr 2025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