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Drivers Instructors Act 1963</w:t>
      </w:r>
      <w:r>
        <w:fldChar w:fldCharType="end"/>
      </w:r>
    </w:p>
    <w:p>
      <w:pPr>
        <w:pStyle w:val="NameofActRegPage1"/>
        <w:spacing w:before="1800" w:after="4200"/>
        <w:ind w:left="284"/>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_Toc196404702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_Toc196404703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for licence, form of</w:t>
      </w:r>
      <w:r>
        <w:tab/>
      </w:r>
      <w:r>
        <w:fldChar w:fldCharType="begin"/>
      </w:r>
      <w:r>
        <w:instrText xml:space="preserve"> PAGEREF _Toc196404704 \h </w:instrText>
      </w:r>
      <w:r>
        <w:fldChar w:fldCharType="separate"/>
      </w:r>
      <w:r>
        <w:t>2</w:t>
      </w:r>
      <w:r>
        <w:fldChar w:fldCharType="end"/>
      </w:r>
    </w:p>
    <w:p>
      <w:pPr>
        <w:pStyle w:val="TOC8"/>
        <w:rPr>
          <w:rFonts w:asciiTheme="minorHAnsi" w:eastAsiaTheme="minorEastAsia" w:hAnsiTheme="minorHAnsi" w:cstheme="minorBidi"/>
          <w:szCs w:val="22"/>
        </w:rPr>
      </w:pPr>
      <w:r>
        <w:t>4.</w:t>
      </w:r>
      <w:r>
        <w:tab/>
        <w:t>Licence, form of</w:t>
      </w:r>
      <w:r>
        <w:tab/>
      </w:r>
      <w:r>
        <w:fldChar w:fldCharType="begin"/>
      </w:r>
      <w:r>
        <w:instrText xml:space="preserve"> PAGEREF _Toc196404705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examinations</w:t>
      </w:r>
      <w:r>
        <w:tab/>
      </w:r>
      <w:r>
        <w:fldChar w:fldCharType="begin"/>
      </w:r>
      <w:r>
        <w:instrText xml:space="preserve"> PAGEREF _Toc196404706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Expired etc. licences etc. to be delivered to Director General</w:t>
      </w:r>
      <w:r>
        <w:tab/>
      </w:r>
      <w:r>
        <w:fldChar w:fldCharType="begin"/>
      </w:r>
      <w:r>
        <w:instrText xml:space="preserve"> PAGEREF _Toc196404707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address to be notified to Director General</w:t>
      </w:r>
      <w:r>
        <w:tab/>
      </w:r>
      <w:r>
        <w:fldChar w:fldCharType="begin"/>
      </w:r>
      <w:r>
        <w:instrText xml:space="preserve"> PAGEREF _Toc196404708 \h </w:instrText>
      </w:r>
      <w:r>
        <w:fldChar w:fldCharType="separate"/>
      </w:r>
      <w:r>
        <w:t>4</w:t>
      </w:r>
      <w:r>
        <w:fldChar w:fldCharType="end"/>
      </w:r>
    </w:p>
    <w:p>
      <w:pPr>
        <w:pStyle w:val="TOC8"/>
        <w:rPr>
          <w:rFonts w:asciiTheme="minorHAnsi" w:eastAsiaTheme="minorEastAsia" w:hAnsiTheme="minorHAnsi" w:cstheme="minorBidi"/>
          <w:szCs w:val="22"/>
        </w:rPr>
      </w:pPr>
      <w:r>
        <w:t>8.</w:t>
      </w:r>
      <w:r>
        <w:tab/>
        <w:t>Licence or permit to be produced on request</w:t>
      </w:r>
      <w:r>
        <w:tab/>
      </w:r>
      <w:r>
        <w:fldChar w:fldCharType="begin"/>
      </w:r>
      <w:r>
        <w:instrText xml:space="preserve"> PAGEREF _Toc196404709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Issue of replacement licence or permit</w:t>
      </w:r>
      <w:r>
        <w:tab/>
      </w:r>
      <w:r>
        <w:fldChar w:fldCharType="begin"/>
      </w:r>
      <w:r>
        <w:instrText xml:space="preserve"> PAGEREF _Toc196404710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Duplicate controls and mirrors, vehicles used for instruction to have</w:t>
      </w:r>
      <w:r>
        <w:tab/>
      </w:r>
      <w:r>
        <w:fldChar w:fldCharType="begin"/>
      </w:r>
      <w:r>
        <w:instrText xml:space="preserve"> PAGEREF _Toc196404711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Bodies prescribed (Act s. 7(4)); classes of vehicle prescribed</w:t>
      </w:r>
      <w:r>
        <w:tab/>
      </w:r>
      <w:r>
        <w:fldChar w:fldCharType="begin"/>
      </w:r>
      <w:r>
        <w:instrText xml:space="preserve"> PAGEREF _Toc196404712 \h </w:instrText>
      </w:r>
      <w:r>
        <w:fldChar w:fldCharType="separate"/>
      </w:r>
      <w:r>
        <w:t>5</w:t>
      </w:r>
      <w:r>
        <w:fldChar w:fldCharType="end"/>
      </w:r>
    </w:p>
    <w:p>
      <w:pPr>
        <w:pStyle w:val="TOC8"/>
        <w:rPr>
          <w:rFonts w:asciiTheme="minorHAnsi" w:eastAsiaTheme="minorEastAsia" w:hAnsiTheme="minorHAnsi" w:cstheme="minorBidi"/>
          <w:szCs w:val="22"/>
        </w:rPr>
      </w:pPr>
      <w:r>
        <w:t>12A.</w:t>
      </w:r>
      <w:r>
        <w:tab/>
        <w:t>Scope of licence or permit (Sch. 4)</w:t>
      </w:r>
      <w:r>
        <w:tab/>
      </w:r>
      <w:r>
        <w:fldChar w:fldCharType="begin"/>
      </w:r>
      <w:r>
        <w:instrText xml:space="preserve"> PAGEREF _Toc196404713 \h </w:instrText>
      </w:r>
      <w:r>
        <w:fldChar w:fldCharType="separate"/>
      </w:r>
      <w:r>
        <w:t>6</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_Toc196404714 \h </w:instrText>
      </w:r>
      <w:r>
        <w:fldChar w:fldCharType="separate"/>
      </w:r>
      <w:r>
        <w:t>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Exemption from Act’s requirements to pay fees</w:t>
      </w:r>
      <w:r>
        <w:tab/>
      </w:r>
      <w:r>
        <w:fldChar w:fldCharType="begin"/>
      </w:r>
      <w:r>
        <w:instrText xml:space="preserve"> PAGEREF _Toc196404715 \h </w:instrText>
      </w:r>
      <w:r>
        <w:fldChar w:fldCharType="separate"/>
      </w:r>
      <w:r>
        <w:t>7</w:t>
      </w:r>
      <w:r>
        <w:fldChar w:fldCharType="end"/>
      </w:r>
    </w:p>
    <w:p>
      <w:pPr>
        <w:pStyle w:val="TOC8"/>
        <w:rPr>
          <w:rFonts w:asciiTheme="minorHAnsi" w:eastAsiaTheme="minorEastAsia" w:hAnsiTheme="minorHAnsi" w:cstheme="minorBidi"/>
          <w:szCs w:val="22"/>
        </w:rPr>
      </w:pPr>
      <w:r>
        <w:t>13B.</w:t>
      </w:r>
      <w:r>
        <w:tab/>
        <w:t>Exemptions from Act’s requirement to have licence or permit</w:t>
      </w:r>
      <w:r>
        <w:tab/>
      </w:r>
      <w:r>
        <w:fldChar w:fldCharType="begin"/>
      </w:r>
      <w:r>
        <w:instrText xml:space="preserve"> PAGEREF _Toc196404716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_Toc196404717 \h </w:instrText>
      </w:r>
      <w:r>
        <w:fldChar w:fldCharType="separate"/>
      </w:r>
      <w:r>
        <w:t>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Forms</w:t>
      </w:r>
    </w:p>
    <w:p>
      <w:pPr>
        <w:pStyle w:val="TOC2"/>
        <w:keepNext w:val="0"/>
        <w:tabs>
          <w:tab w:val="right" w:leader="dot" w:pos="7077"/>
        </w:tabs>
        <w:rPr>
          <w:rFonts w:asciiTheme="minorHAnsi" w:eastAsiaTheme="minorEastAsia" w:hAnsiTheme="minorHAnsi" w:cstheme="minorBidi"/>
          <w:b w:val="0"/>
          <w:sz w:val="22"/>
          <w:szCs w:val="22"/>
        </w:rPr>
      </w:pPr>
      <w:r>
        <w:t>Schedule 2 — Prescribed bodies</w:t>
      </w:r>
    </w:p>
    <w:p>
      <w:pPr>
        <w:pStyle w:val="TOC2"/>
        <w:keepNext w:val="0"/>
        <w:tabs>
          <w:tab w:val="right" w:leader="dot" w:pos="7077"/>
        </w:tabs>
        <w:rPr>
          <w:rFonts w:asciiTheme="minorHAnsi" w:eastAsiaTheme="minorEastAsia" w:hAnsiTheme="minorHAnsi" w:cstheme="minorBidi"/>
          <w:b w:val="0"/>
          <w:sz w:val="22"/>
          <w:szCs w:val="22"/>
        </w:rPr>
      </w:pPr>
      <w:r>
        <w:t>Schedule 3 — Classes of vehicles</w:t>
      </w:r>
    </w:p>
    <w:p>
      <w:pPr>
        <w:pStyle w:val="TOC2"/>
        <w:tabs>
          <w:tab w:val="right" w:leader="dot" w:pos="7077"/>
        </w:tabs>
        <w:rPr>
          <w:rFonts w:asciiTheme="minorHAnsi" w:eastAsiaTheme="minorEastAsia" w:hAnsiTheme="minorHAnsi" w:cstheme="minorBidi"/>
          <w:b w:val="0"/>
          <w:sz w:val="22"/>
          <w:szCs w:val="22"/>
        </w:rPr>
      </w:pPr>
      <w:r>
        <w:lastRenderedPageBreak/>
        <w:t>Schedule 4 — Scope of a licence or permit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_Toc196404723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_Toc196404724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pPr>
      <w:bookmarkStart w:id="2" w:name="_Toc196404702"/>
      <w:r>
        <w:rPr>
          <w:rStyle w:val="CharSectno"/>
        </w:rPr>
        <w:t>1</w:t>
      </w:r>
      <w:r>
        <w:t>.</w:t>
      </w:r>
      <w: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rPr>
        <w:t>.</w:t>
      </w:r>
    </w:p>
    <w:p>
      <w:pPr>
        <w:pStyle w:val="Heading5"/>
      </w:pPr>
      <w:bookmarkStart w:id="3" w:name="_Toc196404703"/>
      <w:r>
        <w:rPr>
          <w:rStyle w:val="CharSectno"/>
        </w:rPr>
        <w:t>2</w:t>
      </w:r>
      <w:r>
        <w:t>.</w:t>
      </w:r>
      <w:r>
        <w:tab/>
        <w:t>Terms used</w:t>
      </w:r>
      <w:bookmarkEnd w:id="3"/>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lastRenderedPageBreak/>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Defstart"/>
      </w:pPr>
      <w:r>
        <w:tab/>
      </w:r>
      <w:r>
        <w:rPr>
          <w:rStyle w:val="CharDefText"/>
        </w:rPr>
        <w:t>transport investigation warden</w:t>
      </w:r>
      <w:r>
        <w:t xml:space="preserve"> has the meaning given in the </w:t>
      </w:r>
      <w:r>
        <w:rPr>
          <w:i/>
        </w:rPr>
        <w:t>Road Traffic (Administration) Regulations 2014</w:t>
      </w:r>
      <w:r>
        <w:t xml:space="preserve"> regulation 3.</w:t>
      </w:r>
    </w:p>
    <w:p>
      <w:pPr>
        <w:pStyle w:val="Footnotesection"/>
      </w:pPr>
      <w:r>
        <w:tab/>
        <w:t>[Regulation 2 inserted: Gazette 27 Apr 2001 p. 2203</w:t>
      </w:r>
      <w:r>
        <w:noBreakHyphen/>
        <w:t>4; amended: Gazette 11 Jul 2006 p. 2545; 28 Nov 2006 p. 4894; 22 Jun 2007 p. 2876; 13 Jun 2008 p. 2525; 8 Jan 2015 p. 57</w:t>
      </w:r>
      <w:r>
        <w:noBreakHyphen/>
        <w:t xml:space="preserve">8; SL 2025/66 r. 4.] </w:t>
      </w:r>
    </w:p>
    <w:p>
      <w:pPr>
        <w:pStyle w:val="Heading5"/>
      </w:pPr>
      <w:bookmarkStart w:id="4" w:name="_Toc196404704"/>
      <w:r>
        <w:rPr>
          <w:rStyle w:val="CharSectno"/>
        </w:rPr>
        <w:t>3</w:t>
      </w:r>
      <w:r>
        <w:t>.</w:t>
      </w:r>
      <w:r>
        <w:tab/>
        <w:t>Application for licence, form of</w:t>
      </w:r>
      <w:bookmarkEnd w:id="4"/>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Gazette 30 Jan 2001 p. 618.]</w:t>
      </w:r>
    </w:p>
    <w:p>
      <w:pPr>
        <w:pStyle w:val="Heading5"/>
      </w:pPr>
      <w:bookmarkStart w:id="5" w:name="_Toc196404705"/>
      <w:r>
        <w:rPr>
          <w:rStyle w:val="CharSectno"/>
        </w:rPr>
        <w:lastRenderedPageBreak/>
        <w:t>4</w:t>
      </w:r>
      <w:r>
        <w:t>.</w:t>
      </w:r>
      <w:r>
        <w:tab/>
        <w:t>Licence, form of</w:t>
      </w:r>
      <w:bookmarkEnd w:id="5"/>
    </w:p>
    <w:p>
      <w:pPr>
        <w:pStyle w:val="Subsection"/>
        <w:keepNext/>
        <w:rPr>
          <w:snapToGrid w:val="0"/>
        </w:rPr>
      </w:pPr>
      <w:r>
        <w:rPr>
          <w:snapToGrid w:val="0"/>
        </w:rPr>
        <w:tab/>
      </w:r>
      <w:r>
        <w:rPr>
          <w:snapToGrid w:val="0"/>
        </w:rPr>
        <w:tab/>
        <w:t>A licence shall be in the form of Form 2 in Schedule 1.</w:t>
      </w:r>
    </w:p>
    <w:p>
      <w:pPr>
        <w:pStyle w:val="Footnotesection"/>
        <w:ind w:left="890" w:hanging="890"/>
      </w:pPr>
      <w:r>
        <w:tab/>
        <w:t>[Regulation 4 inserted: Gazette 9 Jul 1976 p. 2367; amended: Gazette 30 Jan 2001 p. 619.]</w:t>
      </w:r>
    </w:p>
    <w:p>
      <w:pPr>
        <w:pStyle w:val="Heading5"/>
        <w:rPr>
          <w:snapToGrid w:val="0"/>
        </w:rPr>
      </w:pPr>
      <w:bookmarkStart w:id="6" w:name="_Toc196404706"/>
      <w:r>
        <w:rPr>
          <w:rStyle w:val="CharSectno"/>
        </w:rPr>
        <w:t>5</w:t>
      </w:r>
      <w:r>
        <w:rPr>
          <w:snapToGrid w:val="0"/>
        </w:rPr>
        <w:t>.</w:t>
      </w:r>
      <w:r>
        <w:rPr>
          <w:snapToGrid w:val="0"/>
        </w:rPr>
        <w:tab/>
        <w:t>Medical examinations</w:t>
      </w:r>
      <w:bookmarkEnd w:id="6"/>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Gazette 30 May 1975 p. 1604; 2 Feb 1982 p. 397; 31 Jan 1997 p. 674.] </w:t>
      </w:r>
    </w:p>
    <w:p>
      <w:pPr>
        <w:pStyle w:val="Heading5"/>
        <w:rPr>
          <w:snapToGrid w:val="0"/>
        </w:rPr>
      </w:pPr>
      <w:bookmarkStart w:id="7" w:name="_Toc196404707"/>
      <w:r>
        <w:rPr>
          <w:rStyle w:val="CharSectno"/>
        </w:rPr>
        <w:t>6</w:t>
      </w:r>
      <w:r>
        <w:rPr>
          <w:snapToGrid w:val="0"/>
        </w:rPr>
        <w:t>.</w:t>
      </w:r>
      <w:r>
        <w:rPr>
          <w:snapToGrid w:val="0"/>
        </w:rPr>
        <w:tab/>
        <w:t>Expired etc. licences etc. to be delivered to Director General</w:t>
      </w:r>
      <w:bookmarkEnd w:id="7"/>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Gazette 30 May 1975 p. 1604; 2 Feb 1982 p. 397; 31 Jan 1997 p. 674.] </w:t>
      </w:r>
    </w:p>
    <w:p>
      <w:pPr>
        <w:pStyle w:val="Heading5"/>
        <w:rPr>
          <w:snapToGrid w:val="0"/>
        </w:rPr>
      </w:pPr>
      <w:bookmarkStart w:id="8" w:name="_Toc196404708"/>
      <w:r>
        <w:rPr>
          <w:rStyle w:val="CharSectno"/>
        </w:rPr>
        <w:lastRenderedPageBreak/>
        <w:t>7</w:t>
      </w:r>
      <w:r>
        <w:rPr>
          <w:snapToGrid w:val="0"/>
        </w:rPr>
        <w:t>.</w:t>
      </w:r>
      <w:r>
        <w:rPr>
          <w:snapToGrid w:val="0"/>
        </w:rPr>
        <w:tab/>
        <w:t>Change of address to be notified to Director General</w:t>
      </w:r>
      <w:bookmarkEnd w:id="8"/>
    </w:p>
    <w:p>
      <w:pPr>
        <w:pStyle w:val="Subsection"/>
        <w:rPr>
          <w:snapToGrid w:val="0"/>
        </w:rPr>
      </w:pPr>
      <w:r>
        <w:rPr>
          <w:snapToGrid w:val="0"/>
        </w:rPr>
        <w:tab/>
      </w:r>
      <w:r>
        <w:rPr>
          <w:snapToGrid w:val="0"/>
        </w:rPr>
        <w:tab/>
        <w:t xml:space="preserve">Where, subsequent to the issue of the licence or permit, the holder changes </w:t>
      </w:r>
      <w:r>
        <w:t>their</w:t>
      </w:r>
      <w:r>
        <w:rPr>
          <w:snapToGrid w:val="0"/>
        </w:rPr>
        <w:t xml:space="preserve"> address, </w:t>
      </w:r>
      <w:r>
        <w:t>they</w:t>
      </w:r>
      <w:r>
        <w:rPr>
          <w:snapToGrid w:val="0"/>
        </w:rPr>
        <w:t xml:space="preserve"> shall notify the Director General of that fact, within 7 days after the change.</w:t>
      </w:r>
    </w:p>
    <w:p>
      <w:pPr>
        <w:pStyle w:val="Footnotesection"/>
        <w:spacing w:before="100"/>
        <w:ind w:left="890" w:hanging="890"/>
      </w:pPr>
      <w:r>
        <w:tab/>
        <w:t xml:space="preserve">[Regulation 7 amended: Gazette 30 May 1975 p. 1604; 2 Feb 1982 p. 397; 31 Jan 1997 p. 674; SL 2024/137 r. 6.] </w:t>
      </w:r>
    </w:p>
    <w:p>
      <w:pPr>
        <w:pStyle w:val="Heading5"/>
      </w:pPr>
      <w:bookmarkStart w:id="9" w:name="_Toc196389052"/>
      <w:bookmarkStart w:id="10" w:name="_Toc196389222"/>
      <w:bookmarkStart w:id="11" w:name="_Toc196404709"/>
      <w:r>
        <w:rPr>
          <w:rStyle w:val="CharSectno"/>
        </w:rPr>
        <w:t>8</w:t>
      </w:r>
      <w:r>
        <w:t>.</w:t>
      </w:r>
      <w:r>
        <w:tab/>
        <w:t>Licence or permit to be produced on request</w:t>
      </w:r>
      <w:bookmarkEnd w:id="9"/>
      <w:bookmarkEnd w:id="10"/>
      <w:bookmarkEnd w:id="11"/>
    </w:p>
    <w:p>
      <w:pPr>
        <w:pStyle w:val="Subsection"/>
      </w:pPr>
      <w:r>
        <w:tab/>
      </w:r>
      <w:r>
        <w:tab/>
        <w:t xml:space="preserve">The holder of a licence or permit must produce it for inspection at the request of any of the following persons — </w:t>
      </w:r>
    </w:p>
    <w:p>
      <w:pPr>
        <w:pStyle w:val="Indenta"/>
      </w:pPr>
      <w:r>
        <w:tab/>
        <w:t>(a)</w:t>
      </w:r>
      <w:r>
        <w:tab/>
        <w:t>a licensing officer;</w:t>
      </w:r>
    </w:p>
    <w:p>
      <w:pPr>
        <w:pStyle w:val="Indenta"/>
      </w:pPr>
      <w:r>
        <w:tab/>
        <w:t>(b)</w:t>
      </w:r>
      <w:r>
        <w:tab/>
        <w:t>a police officer;</w:t>
      </w:r>
    </w:p>
    <w:p>
      <w:pPr>
        <w:pStyle w:val="Indenta"/>
      </w:pPr>
      <w:r>
        <w:tab/>
        <w:t>(c)</w:t>
      </w:r>
      <w:r>
        <w:tab/>
        <w:t>a transport investigation warden;</w:t>
      </w:r>
    </w:p>
    <w:p>
      <w:pPr>
        <w:pStyle w:val="Indenta"/>
      </w:pPr>
      <w:r>
        <w:tab/>
        <w:t>(d)</w:t>
      </w:r>
      <w:r>
        <w:tab/>
        <w:t>a person wishing to receive, or who has received, driving instruction from the holder.</w:t>
      </w:r>
    </w:p>
    <w:p>
      <w:pPr>
        <w:pStyle w:val="Footnotesection"/>
      </w:pPr>
      <w:r>
        <w:tab/>
        <w:t>[Regulation 8 inserted: SL 2025/66 r. 5.]</w:t>
      </w:r>
    </w:p>
    <w:p>
      <w:pPr>
        <w:pStyle w:val="Heading5"/>
        <w:rPr>
          <w:snapToGrid w:val="0"/>
        </w:rPr>
      </w:pPr>
      <w:bookmarkStart w:id="12" w:name="_Toc196404710"/>
      <w:r>
        <w:rPr>
          <w:rStyle w:val="CharSectno"/>
        </w:rPr>
        <w:t>9</w:t>
      </w:r>
      <w:r>
        <w:rPr>
          <w:snapToGrid w:val="0"/>
        </w:rPr>
        <w:t>.</w:t>
      </w:r>
      <w:r>
        <w:rPr>
          <w:snapToGrid w:val="0"/>
        </w:rPr>
        <w:tab/>
      </w:r>
      <w:r>
        <w:t>Issue of replacement licence or permit</w:t>
      </w:r>
      <w:bookmarkEnd w:id="12"/>
    </w:p>
    <w:p>
      <w:pPr>
        <w:pStyle w:val="Subsection"/>
        <w:rPr>
          <w:snapToGrid w:val="0"/>
        </w:rPr>
      </w:pPr>
      <w:r>
        <w:rPr>
          <w:snapToGrid w:val="0"/>
        </w:rPr>
        <w:tab/>
      </w:r>
      <w:r>
        <w:rPr>
          <w:snapToGrid w:val="0"/>
        </w:rPr>
        <w:tab/>
        <w:t xml:space="preserve">Where the Director General is satisfied that a licence or permit has been lost, mutilated, or destroyed, </w:t>
      </w:r>
      <w:r>
        <w:t>the Director General</w:t>
      </w:r>
      <w:r>
        <w:rPr>
          <w:snapToGrid w:val="0"/>
        </w:rPr>
        <w:t xml:space="preserve"> may, on payment of the fee prescribed by these regulations, cause a replacement licence or permit to be issued; and the original licence or permit is, thereupon, of no force or effect.</w:t>
      </w:r>
    </w:p>
    <w:p>
      <w:pPr>
        <w:pStyle w:val="Footnotesection"/>
      </w:pPr>
      <w:r>
        <w:tab/>
        <w:t xml:space="preserve">[Regulation 9 amended: Gazette 30 May 1975 p. 1605; 2 Feb 1982 p. 397; 31 Jan 1997 p. 674; SL 2024/137 r. 6.] </w:t>
      </w:r>
    </w:p>
    <w:p>
      <w:pPr>
        <w:pStyle w:val="Heading5"/>
        <w:rPr>
          <w:snapToGrid w:val="0"/>
        </w:rPr>
      </w:pPr>
      <w:bookmarkStart w:id="13" w:name="_Toc196404711"/>
      <w:r>
        <w:rPr>
          <w:rStyle w:val="CharSectno"/>
        </w:rPr>
        <w:t>10</w:t>
      </w:r>
      <w:r>
        <w:rPr>
          <w:snapToGrid w:val="0"/>
        </w:rPr>
        <w:t>.</w:t>
      </w:r>
      <w:r>
        <w:rPr>
          <w:snapToGrid w:val="0"/>
        </w:rPr>
        <w:tab/>
        <w:t>Duplicate controls and mirrors, vehicles used for instruction to have</w:t>
      </w:r>
      <w:bookmarkEnd w:id="13"/>
    </w:p>
    <w:p>
      <w:pPr>
        <w:pStyle w:val="Subsection"/>
        <w:keepNext/>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 xml:space="preserve">every motor </w:t>
      </w:r>
      <w:r>
        <w:rPr>
          <w:snapToGrid w:val="0"/>
        </w:rPr>
        <w:lastRenderedPageBreak/>
        <w:t>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Gazette 29 Oct 1976 p. 4120; amended: Gazette 2 Feb 1982 p. 397; 31 Jan 1997 p. 674; 28 Jun 2013 p. 2803.] </w:t>
      </w:r>
    </w:p>
    <w:p>
      <w:pPr>
        <w:pStyle w:val="Ednotesection"/>
        <w:spacing w:before="240"/>
        <w:ind w:left="890" w:hanging="890"/>
      </w:pPr>
      <w:r>
        <w:t>[</w:t>
      </w:r>
      <w:r>
        <w:rPr>
          <w:b/>
          <w:bCs/>
        </w:rPr>
        <w:t>11.</w:t>
      </w:r>
      <w:r>
        <w:tab/>
        <w:t>Deleted: Gazette 30 Dec 2004 p. 6954.]</w:t>
      </w:r>
    </w:p>
    <w:p>
      <w:pPr>
        <w:pStyle w:val="Heading5"/>
        <w:spacing w:before="240"/>
        <w:rPr>
          <w:snapToGrid w:val="0"/>
        </w:rPr>
      </w:pPr>
      <w:bookmarkStart w:id="14" w:name="_Toc196404712"/>
      <w:r>
        <w:rPr>
          <w:rStyle w:val="CharSectno"/>
        </w:rPr>
        <w:t>12</w:t>
      </w:r>
      <w:r>
        <w:rPr>
          <w:snapToGrid w:val="0"/>
        </w:rPr>
        <w:t>.</w:t>
      </w:r>
      <w:r>
        <w:rPr>
          <w:snapToGrid w:val="0"/>
        </w:rPr>
        <w:tab/>
        <w:t>Bodies prescribed (Act s. 7(4)); classes of vehicle prescribed</w:t>
      </w:r>
      <w:bookmarkEnd w:id="14"/>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lastRenderedPageBreak/>
        <w:tab/>
        <w:t>[Regulation 12 amended: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15" w:name="_Toc196404713"/>
      <w:r>
        <w:rPr>
          <w:rStyle w:val="CharSectno"/>
        </w:rPr>
        <w:t>12A</w:t>
      </w:r>
      <w:r>
        <w:t>.</w:t>
      </w:r>
      <w:r>
        <w:tab/>
        <w:t>Scope of licence or permit (Sch. 4)</w:t>
      </w:r>
      <w:bookmarkEnd w:id="15"/>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Gazette 27 Apr 2001 p. 2205.]</w:t>
      </w:r>
    </w:p>
    <w:p>
      <w:pPr>
        <w:pStyle w:val="Heading5"/>
        <w:spacing w:before="180"/>
      </w:pPr>
      <w:bookmarkStart w:id="16" w:name="_Toc196404714"/>
      <w:r>
        <w:rPr>
          <w:rStyle w:val="CharSectno"/>
        </w:rPr>
        <w:t>13</w:t>
      </w:r>
      <w:r>
        <w:t>.</w:t>
      </w:r>
      <w:r>
        <w:tab/>
        <w:t>Fees</w:t>
      </w:r>
      <w:bookmarkEnd w:id="16"/>
    </w:p>
    <w:p>
      <w:pPr>
        <w:pStyle w:val="Subsection"/>
        <w:spacing w:before="120"/>
      </w:pPr>
      <w:r>
        <w:tab/>
      </w:r>
      <w:r>
        <w:tab/>
        <w:t>The fees specified in the Table are payable for the matters specified in the Table.</w:t>
      </w:r>
    </w:p>
    <w:p>
      <w:pPr>
        <w:pStyle w:val="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jc w:val="center"/>
            </w:pPr>
            <w:r>
              <w:rPr>
                <w:b/>
                <w:bCs/>
              </w:rPr>
              <w:t>Description</w:t>
            </w:r>
          </w:p>
        </w:tc>
        <w:tc>
          <w:tcPr>
            <w:tcW w:w="1134" w:type="dxa"/>
          </w:tcPr>
          <w:p>
            <w:pPr>
              <w:pStyle w:val="TableNAm"/>
              <w:jc w:val="center"/>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jc w:val="right"/>
            </w:pPr>
            <w:r>
              <w:t>$101.40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jc w:val="right"/>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jc w:val="right"/>
            </w:pPr>
            <w:r>
              <w:t>$5.35</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jc w:val="right"/>
            </w:pPr>
            <w:r>
              <w:t>$161.80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jc w:val="right"/>
            </w:pPr>
            <w:r>
              <w:t>$7.80</w:t>
            </w:r>
          </w:p>
        </w:tc>
      </w:tr>
    </w:tbl>
    <w:p>
      <w:pPr>
        <w:pStyle w:val="Footnotesection"/>
        <w:spacing w:before="80"/>
        <w:ind w:left="890" w:hanging="890"/>
        <w:rPr>
          <w:b/>
          <w:i w:val="0"/>
        </w:rPr>
      </w:pPr>
      <w:r>
        <w:tab/>
        <w:t>[Regulation 13 inserted: Gazette 29 May 2015 p. 1883; amended: Gazette 14 Jun 2016 p. 1991; 23 Jun 2017 p. 3259; 22 Jun 2018 p. 2185.]</w:t>
      </w:r>
    </w:p>
    <w:p>
      <w:pPr>
        <w:pStyle w:val="Heading5"/>
        <w:spacing w:before="180"/>
        <w:rPr>
          <w:snapToGrid w:val="0"/>
        </w:rPr>
      </w:pPr>
      <w:bookmarkStart w:id="17" w:name="_Toc196404715"/>
      <w:r>
        <w:rPr>
          <w:rStyle w:val="CharSectno"/>
        </w:rPr>
        <w:lastRenderedPageBreak/>
        <w:t>13A</w:t>
      </w:r>
      <w:r>
        <w:rPr>
          <w:snapToGrid w:val="0"/>
        </w:rPr>
        <w:t>.</w:t>
      </w:r>
      <w:r>
        <w:rPr>
          <w:snapToGrid w:val="0"/>
        </w:rPr>
        <w:tab/>
        <w:t>Exemption from Act’s requirements to pay fees</w:t>
      </w:r>
      <w:bookmarkEnd w:id="17"/>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 xml:space="preserve">Every licence or permit issued pursuant to this regulation shall have specified in it a condition that the holder will not, until the appropriate fee has been paid, act as a driving instructor other than in the course of </w:t>
      </w:r>
      <w:r>
        <w:t>their</w:t>
      </w:r>
      <w:r>
        <w:rPr>
          <w:snapToGrid w:val="0"/>
        </w:rPr>
        <w:t xml:space="preserve"> employment with the employer described in subregulation (1).</w:t>
      </w:r>
    </w:p>
    <w:p>
      <w:pPr>
        <w:pStyle w:val="Footnotesection"/>
      </w:pPr>
      <w:r>
        <w:tab/>
        <w:t xml:space="preserve">[Regulation 13A inserted: Gazette 9 Feb 1970 p. 369; amended: Gazette 30 May 1975 p. 1605; 9 Jul 1976 p. 2368; 2 Feb 1982 p. 397; 10 Jun 1988 p. 1906; 31 Jan 1997 p. 674; 30 Jan 2001 p. 619; 19 Feb 2013 p. 997; 8 Jan 2015 p. 59; SL 2024/137 r. 6.] </w:t>
      </w:r>
    </w:p>
    <w:p>
      <w:pPr>
        <w:pStyle w:val="Heading5"/>
      </w:pPr>
      <w:bookmarkStart w:id="18" w:name="_Toc196404716"/>
      <w:r>
        <w:rPr>
          <w:rStyle w:val="CharSectno"/>
        </w:rPr>
        <w:lastRenderedPageBreak/>
        <w:t>13B</w:t>
      </w:r>
      <w:r>
        <w:t>.</w:t>
      </w:r>
      <w:r>
        <w:tab/>
        <w:t>Exemptions from Act’s requirement to have licence or permit</w:t>
      </w:r>
      <w:bookmarkEnd w:id="18"/>
    </w:p>
    <w:p>
      <w:pPr>
        <w:pStyle w:val="Subsection"/>
        <w:keepNext/>
      </w:pPr>
      <w:r>
        <w:tab/>
        <w:t>(1)</w:t>
      </w:r>
      <w:r>
        <w:tab/>
        <w:t xml:space="preserve">A person is exempt from section 5(1) of the Act if — </w:t>
      </w:r>
    </w:p>
    <w:p>
      <w:pPr>
        <w:pStyle w:val="Indenta"/>
        <w:keepNext/>
      </w:pPr>
      <w:r>
        <w:tab/>
        <w:t>(a)</w:t>
      </w:r>
      <w:r>
        <w:tab/>
        <w:t xml:space="preserve">the only consideration the person receives for acting as a driving instructor is 1 or more of the following — </w:t>
      </w:r>
    </w:p>
    <w:p>
      <w:pPr>
        <w:pStyle w:val="Indenti"/>
      </w:pPr>
      <w:r>
        <w:tab/>
        <w:t>(i)</w:t>
      </w:r>
      <w:r>
        <w:tab/>
        <w:t xml:space="preserve">the reimbursement of reasonable expenses the person incurs in so acting; </w:t>
      </w:r>
    </w:p>
    <w:p>
      <w:pPr>
        <w:pStyle w:val="Indenti"/>
      </w:pPr>
      <w:r>
        <w:tab/>
        <w:t>(ii)</w:t>
      </w:r>
      <w:r>
        <w:tab/>
        <w:t>remuneration that the person would receive even if the person did not so act;</w:t>
      </w:r>
    </w:p>
    <w:p>
      <w:pPr>
        <w:pStyle w:val="Indenti"/>
      </w:pPr>
      <w:r>
        <w:tab/>
        <w:t>(iii)</w:t>
      </w:r>
      <w:r>
        <w:tab/>
        <w:t>remuneration covered by a monetary grant, or a portion of a monetary grant, designated under subregulation (2);</w:t>
      </w:r>
    </w:p>
    <w:p>
      <w:pPr>
        <w:pStyle w:val="Indenta"/>
      </w:pPr>
      <w:r>
        <w:tab/>
      </w:r>
      <w:r>
        <w:tab/>
        <w:t>and</w:t>
      </w:r>
    </w:p>
    <w:p>
      <w:pPr>
        <w:pStyle w:val="Indenta"/>
      </w:pPr>
      <w:r>
        <w:tab/>
        <w:t>(b)</w:t>
      </w:r>
      <w:r>
        <w:tab/>
        <w:t>the person does not act as a driving instructor on a full</w:t>
      </w:r>
      <w:r>
        <w:noBreakHyphen/>
        <w:t>time basis unless the person only receives consideration of a kind referred to in paragraph (a)(iii).</w:t>
      </w:r>
    </w:p>
    <w:p>
      <w:pPr>
        <w:pStyle w:val="Subsection"/>
      </w:pPr>
      <w:r>
        <w:tab/>
        <w:t>(2)</w:t>
      </w:r>
      <w:r>
        <w:tab/>
        <w:t xml:space="preserve">The Director General may designate a monetary grant, or a portion of a monetary grant, for the purposes of this regulation if — </w:t>
      </w:r>
    </w:p>
    <w:p>
      <w:pPr>
        <w:pStyle w:val="Indenta"/>
      </w:pPr>
      <w:r>
        <w:tab/>
        <w:t>(a)</w:t>
      </w:r>
      <w:r>
        <w:tab/>
        <w:t xml:space="preserve">the monetary grant or portion is provided under an agreement between a person (the </w:t>
      </w:r>
      <w:r>
        <w:rPr>
          <w:rStyle w:val="CharDefText"/>
        </w:rPr>
        <w:t>grantee</w:t>
      </w:r>
      <w:r>
        <w:t>) and the State; and</w:t>
      </w:r>
    </w:p>
    <w:p>
      <w:pPr>
        <w:pStyle w:val="Indenta"/>
      </w:pPr>
      <w:r>
        <w:tab/>
        <w:t>(b)</w:t>
      </w:r>
      <w:r>
        <w:tab/>
        <w:t>under the agreement, the grantee is to use the monetary grant or portion to remunerate 1 or more other persons for acting as a driving instructor.</w:t>
      </w:r>
    </w:p>
    <w:p>
      <w:pPr>
        <w:pStyle w:val="Footnotesection"/>
      </w:pPr>
      <w:r>
        <w:tab/>
        <w:t>[Regulation 13B inserted: SL 2024/137 r. 4.]</w:t>
      </w:r>
    </w:p>
    <w:p>
      <w:pPr>
        <w:pStyle w:val="Heading5"/>
        <w:rPr>
          <w:snapToGrid w:val="0"/>
        </w:rPr>
      </w:pPr>
      <w:bookmarkStart w:id="19" w:name="_Toc196404717"/>
      <w:r>
        <w:rPr>
          <w:rStyle w:val="CharSectno"/>
        </w:rPr>
        <w:t>14</w:t>
      </w:r>
      <w:r>
        <w:rPr>
          <w:snapToGrid w:val="0"/>
        </w:rPr>
        <w:t>.</w:t>
      </w:r>
      <w:r>
        <w:rPr>
          <w:snapToGrid w:val="0"/>
        </w:rPr>
        <w:tab/>
        <w:t>Offence and penalty</w:t>
      </w:r>
      <w:bookmarkEnd w:id="19"/>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lastRenderedPageBreak/>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Gazette 5 Sep 1968 p. 2685; 10 Jun 1988 p. 1906.] </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0" w:name="_Toc196403469"/>
      <w:bookmarkStart w:id="21" w:name="_Toc196404045"/>
      <w:bookmarkStart w:id="22" w:name="_Toc196404718"/>
      <w:r>
        <w:rPr>
          <w:rStyle w:val="CharSchNo"/>
        </w:rPr>
        <w:lastRenderedPageBreak/>
        <w:t>Schedule 1 </w:t>
      </w:r>
      <w:r>
        <w:t>— </w:t>
      </w:r>
      <w:r>
        <w:rPr>
          <w:rStyle w:val="CharSchText"/>
        </w:rPr>
        <w:t>Forms</w:t>
      </w:r>
      <w:bookmarkEnd w:id="20"/>
      <w:bookmarkEnd w:id="21"/>
      <w:bookmarkEnd w:id="22"/>
    </w:p>
    <w:p>
      <w:pPr>
        <w:pStyle w:val="yShoulderClause"/>
      </w:pPr>
      <w:r>
        <w:t>[r. 3 and 4]</w:t>
      </w:r>
    </w:p>
    <w:p>
      <w:pPr>
        <w:pStyle w:val="yFootnoteheading"/>
      </w:pPr>
      <w:r>
        <w:tab/>
        <w:t>[Heading inserted: Gazette 30 Jan 2001 p. 619.]</w:t>
      </w:r>
    </w:p>
    <w:p>
      <w:pPr>
        <w:pStyle w:val="yMiscellaneousHeading"/>
        <w:rPr>
          <w:b/>
          <w:snapToGrid w:val="0"/>
        </w:rPr>
      </w:pPr>
      <w:r>
        <w:rPr>
          <w:rStyle w:val="CharSClsNo"/>
        </w:rPr>
        <w:t>Form No. 1</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lastRenderedPageBreak/>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lastRenderedPageBreak/>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lastRenderedPageBreak/>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lastRenderedPageBreak/>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lastRenderedPageBreak/>
        <w:t>Form No. 2</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Gazette 9 Jul 1976 p. 2368; amended: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Gazette 9 Jul 1976 p. 2368.]</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24" w:name="_Toc196403470"/>
      <w:bookmarkStart w:id="25" w:name="_Toc196404046"/>
      <w:bookmarkStart w:id="26" w:name="_Toc196404719"/>
      <w:r>
        <w:rPr>
          <w:rStyle w:val="CharSchNo"/>
        </w:rPr>
        <w:lastRenderedPageBreak/>
        <w:t>Schedule 2</w:t>
      </w:r>
      <w:r>
        <w:t> — </w:t>
      </w:r>
      <w:r>
        <w:rPr>
          <w:rStyle w:val="CharSchText"/>
        </w:rPr>
        <w:t>Prescribed bodies</w:t>
      </w:r>
      <w:bookmarkEnd w:id="24"/>
      <w:bookmarkEnd w:id="25"/>
      <w:bookmarkEnd w:id="26"/>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Chisholm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Aegis Training Services Pty Ltd trading as Aegis Training Services</w:t>
      </w:r>
    </w:p>
    <w:p>
      <w:pPr>
        <w:pStyle w:val="yNumberedItem"/>
      </w:pPr>
      <w:r>
        <w:t>21.</w:t>
      </w:r>
      <w:r>
        <w:tab/>
        <w:t>Richards Mining Services Pty Ltd</w:t>
      </w:r>
    </w:p>
    <w:p>
      <w:pPr>
        <w:pStyle w:val="yNumberedItem"/>
      </w:pPr>
      <w:r>
        <w:t>22.</w:t>
      </w:r>
      <w:r>
        <w:tab/>
        <w:t>Shift Training Pty. Ltd. (ACN 168 567 280)</w:t>
      </w:r>
    </w:p>
    <w:p>
      <w:pPr>
        <w:pStyle w:val="yNumberedItem"/>
      </w:pPr>
      <w:r>
        <w:lastRenderedPageBreak/>
        <w:t>23.</w:t>
      </w:r>
      <w:r>
        <w:tab/>
        <w:t>Academy of Road Safety Pty Ltd (ACN 165 345 853)</w:t>
      </w:r>
    </w:p>
    <w:p>
      <w:pPr>
        <w:pStyle w:val="yNumberedItem"/>
      </w:pPr>
      <w:r>
        <w:t>24.</w:t>
      </w:r>
      <w:r>
        <w:tab/>
        <w:t>121 Training Pty Ltd (ACN 142 831 203)</w:t>
      </w:r>
    </w:p>
    <w:p>
      <w:pPr>
        <w:pStyle w:val="yNumberedItem"/>
      </w:pPr>
      <w:r>
        <w:t>25.</w:t>
      </w:r>
      <w:r>
        <w:tab/>
        <w:t>Webster College Pty Ltd (ACN 153 719 058) trading as East West Training</w:t>
      </w:r>
    </w:p>
    <w:p>
      <w:pPr>
        <w:pStyle w:val="yFootnotesection"/>
      </w:pPr>
      <w:r>
        <w:tab/>
        <w:t>[Schedule 2 inserted: Gazette 30 Jan 2001 p. 619</w:t>
      </w:r>
      <w:r>
        <w:noBreakHyphen/>
        <w:t>20; amended: Gazette 11 Mar 2003 p. 751; 18 Aug 2006 p. 3371; 9 Nov 2010 p. 5633; 8 Feb 2013 p. 869; 4 Nov 2014 p. 4207; 5 Apr 2016 p. 1030; 26 May 2017 p. 2634; 31 Dec 2019 p. 4684; SL 2023/181 r. 4; SL 2024/137 r. 5.]</w:t>
      </w:r>
    </w:p>
    <w:p>
      <w:pPr>
        <w:pStyle w:val="yScheduleHeading"/>
      </w:pPr>
      <w:bookmarkStart w:id="27" w:name="_Toc196403471"/>
      <w:bookmarkStart w:id="28" w:name="_Toc196404047"/>
      <w:bookmarkStart w:id="29" w:name="_Toc196404720"/>
      <w:r>
        <w:rPr>
          <w:rStyle w:val="CharSchNo"/>
        </w:rPr>
        <w:lastRenderedPageBreak/>
        <w:t>Schedule 3</w:t>
      </w:r>
      <w:r>
        <w:t> — </w:t>
      </w:r>
      <w:r>
        <w:rPr>
          <w:rStyle w:val="CharSchText"/>
        </w:rPr>
        <w:t>Classes of vehicles</w:t>
      </w:r>
      <w:bookmarkEnd w:id="27"/>
      <w:bookmarkEnd w:id="28"/>
      <w:bookmarkEnd w:id="29"/>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Gazette 27 Apr 2001 p. 2206.]</w:t>
      </w:r>
    </w:p>
    <w:p>
      <w:pPr>
        <w:pStyle w:val="yScheduleHeading"/>
      </w:pPr>
      <w:bookmarkStart w:id="30" w:name="_Toc196403472"/>
      <w:bookmarkStart w:id="31" w:name="_Toc196404048"/>
      <w:bookmarkStart w:id="32" w:name="_Toc196404721"/>
      <w:r>
        <w:rPr>
          <w:rStyle w:val="CharSchNo"/>
        </w:rPr>
        <w:lastRenderedPageBreak/>
        <w:t>Schedule 4</w:t>
      </w:r>
      <w:r>
        <w:t> — </w:t>
      </w:r>
      <w:r>
        <w:rPr>
          <w:rStyle w:val="CharSchText"/>
        </w:rPr>
        <w:t>Scope of a licence or permit</w:t>
      </w:r>
      <w:bookmarkEnd w:id="30"/>
      <w:bookmarkEnd w:id="31"/>
      <w:bookmarkEnd w:id="32"/>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33" w:name="_Toc196403473"/>
      <w:bookmarkStart w:id="34" w:name="_Toc196404049"/>
      <w:bookmarkStart w:id="35" w:name="_Toc196404722"/>
      <w:r>
        <w:lastRenderedPageBreak/>
        <w:t>Notes</w:t>
      </w:r>
      <w:bookmarkEnd w:id="33"/>
      <w:bookmarkEnd w:id="34"/>
      <w:bookmarkEnd w:id="35"/>
    </w:p>
    <w:p>
      <w:pPr>
        <w:pStyle w:val="nStatement"/>
      </w:pPr>
      <w:r>
        <w:t xml:space="preserve">This is a compilation of the </w:t>
      </w:r>
      <w:r>
        <w:rPr>
          <w:i/>
          <w:noProof/>
        </w:rPr>
        <w:t>Motor Vehicle Drivers Instructors Regulations 1964</w:t>
      </w:r>
      <w:r>
        <w:t xml:space="preserve"> and includes amendments made by other written laws. For provisions that have come into operation, and for information about any reprints, see the compilation table.</w:t>
      </w:r>
    </w:p>
    <w:p>
      <w:pPr>
        <w:pStyle w:val="nHeading3"/>
      </w:pPr>
      <w:bookmarkStart w:id="36" w:name="_Toc196404723"/>
      <w:r>
        <w:t>Compilation table</w:t>
      </w:r>
      <w:bookmarkEnd w:id="36"/>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8"/>
      </w:tblGrid>
      <w:tr>
        <w:trPr>
          <w:gridAfter w:val="1"/>
          <w:wAfter w:w="28"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1</w:t>
            </w:r>
          </w:p>
        </w:tc>
        <w:tc>
          <w:tcPr>
            <w:tcW w:w="1276" w:type="dxa"/>
          </w:tcPr>
          <w:p>
            <w:pPr>
              <w:pStyle w:val="nTable"/>
              <w:spacing w:after="40"/>
            </w:pPr>
            <w:r>
              <w:t>18 Dec 1981 p. 5193</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lastRenderedPageBreak/>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Vehicles Instructors Amendment Regulations 1996</w:t>
            </w:r>
            <w:r>
              <w:rPr>
                <w:vertAlign w:val="superscript"/>
              </w:rPr>
              <w:t> 2</w:t>
            </w:r>
          </w:p>
        </w:tc>
        <w:tc>
          <w:tcPr>
            <w:tcW w:w="1276" w:type="dxa"/>
          </w:tcPr>
          <w:p>
            <w:pPr>
              <w:pStyle w:val="nTable"/>
              <w:spacing w:after="40"/>
            </w:pPr>
            <w:r>
              <w:t>24 May 1996 p. 2170</w:t>
            </w:r>
          </w:p>
        </w:tc>
        <w:tc>
          <w:tcPr>
            <w:tcW w:w="2693" w:type="dxa"/>
          </w:tcPr>
          <w:p>
            <w:pPr>
              <w:pStyle w:val="nTable"/>
              <w:spacing w:after="40"/>
            </w:pPr>
            <w:r>
              <w:t>1 Jun 1996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2001</w:t>
            </w:r>
            <w:r>
              <w:rPr>
                <w:vertAlign w:val="superscript"/>
              </w:rPr>
              <w:t> 3</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lastRenderedPageBreak/>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lastRenderedPageBreak/>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b/>
                <w:snapToGrid w:val="0"/>
              </w:rPr>
            </w:pPr>
            <w:r>
              <w:rPr>
                <w:snapToGrid w:val="0"/>
              </w:rPr>
              <w:t>r. 1 and 2: 19 Feb 2013 (see r. 2(a));</w:t>
            </w:r>
            <w:r>
              <w:rPr>
                <w:snapToGrid w:val="0"/>
              </w:rPr>
              <w:br/>
              <w:t>Regulations other than r. 1 and 2: 20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29 Jun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snapToGrid w:val="0"/>
              </w:rPr>
            </w:pPr>
            <w:r>
              <w:rPr>
                <w:bCs/>
                <w:snapToGrid w:val="0"/>
              </w:rPr>
              <w:t>r. 1 and 2: 13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lastRenderedPageBreak/>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bCs/>
                <w:snapToGrid w:val="0"/>
              </w:rPr>
            </w:pPr>
            <w:r>
              <w:rPr>
                <w:bCs/>
                <w:snapToGrid w:val="0"/>
                <w:spacing w:val="-2"/>
              </w:rPr>
              <w:t xml:space="preserve">r. 1 and 2: </w:t>
            </w:r>
            <w:r>
              <w:t>29 May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rPr>
                <w:bCs/>
                <w:snapToGrid w:val="0"/>
              </w:rPr>
            </w:pPr>
            <w:r>
              <w:rPr>
                <w:b/>
                <w:bCs/>
                <w:snapToGrid w:val="0"/>
              </w:rPr>
              <w:t xml:space="preserve">Reprint 7: The </w:t>
            </w:r>
            <w:r>
              <w:rPr>
                <w:b/>
                <w:bCs/>
                <w:i/>
                <w:noProof/>
                <w:snapToGrid w:val="0"/>
              </w:rPr>
              <w:t>Motor Vehicle Drivers Instructors Regulations 1964</w:t>
            </w:r>
            <w:r>
              <w:rPr>
                <w:b/>
                <w:bCs/>
                <w:snapToGrid w:val="0"/>
              </w:rPr>
              <w:t xml:space="preserve"> as at 2 Oct 2015</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2016</w:t>
            </w:r>
          </w:p>
        </w:tc>
        <w:tc>
          <w:tcPr>
            <w:tcW w:w="1276" w:type="dxa"/>
            <w:shd w:val="clear" w:color="auto" w:fill="auto"/>
          </w:tcPr>
          <w:p>
            <w:pPr>
              <w:pStyle w:val="nTable"/>
              <w:spacing w:after="40"/>
            </w:pPr>
            <w:r>
              <w:t>5 Apr 2016 p. 1030</w:t>
            </w:r>
          </w:p>
        </w:tc>
        <w:tc>
          <w:tcPr>
            <w:tcW w:w="2693" w:type="dxa"/>
            <w:shd w:val="clear" w:color="auto" w:fill="auto"/>
          </w:tcPr>
          <w:p>
            <w:pPr>
              <w:pStyle w:val="nTable"/>
              <w:spacing w:after="40"/>
              <w:rPr>
                <w:bCs/>
                <w:snapToGrid w:val="0"/>
              </w:rPr>
            </w:pPr>
            <w:r>
              <w:rPr>
                <w:bCs/>
                <w:snapToGrid w:val="0"/>
                <w:spacing w:val="-2"/>
              </w:rPr>
              <w:t xml:space="preserve">r. 1 and 2: </w:t>
            </w:r>
            <w:r>
              <w:t xml:space="preserve">5 Apr 2016 </w:t>
            </w:r>
            <w:r>
              <w:rPr>
                <w:bCs/>
                <w:snapToGrid w:val="0"/>
                <w:spacing w:val="-2"/>
              </w:rPr>
              <w:t>(see r. 2(a));</w:t>
            </w:r>
            <w:r>
              <w:rPr>
                <w:bCs/>
                <w:snapToGrid w:val="0"/>
                <w:spacing w:val="-2"/>
              </w:rPr>
              <w:br/>
              <w:t>Regulations other than r. 1 and 2: 6</w:t>
            </w:r>
            <w:r>
              <w:t xml:space="preserve"> Apr 2016 </w:t>
            </w:r>
            <w:r>
              <w:rPr>
                <w:bCs/>
                <w:snapToGrid w:val="0"/>
                <w:spacing w:val="-2"/>
              </w:rPr>
              <w:t>(see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 xml:space="preserve">Transport Regulations Amendment (Fees and Charges) Regulations (No. 2) 2016 </w:t>
            </w:r>
            <w:r>
              <w:t>Pt. 3</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pPr>
            <w:r>
              <w:rPr>
                <w:i/>
              </w:rPr>
              <w:t>Motor Vehicle Drivers Instructors Amendment Regulations 2017</w:t>
            </w:r>
          </w:p>
        </w:tc>
        <w:tc>
          <w:tcPr>
            <w:tcW w:w="1276" w:type="dxa"/>
            <w:shd w:val="clear" w:color="auto" w:fill="auto"/>
          </w:tcPr>
          <w:p>
            <w:pPr>
              <w:pStyle w:val="nTable"/>
              <w:spacing w:after="40"/>
            </w:pPr>
            <w:r>
              <w:t>26 May 2017 p. 2634</w:t>
            </w:r>
          </w:p>
        </w:tc>
        <w:tc>
          <w:tcPr>
            <w:tcW w:w="2693" w:type="dxa"/>
            <w:shd w:val="clear" w:color="auto" w:fill="auto"/>
          </w:tcPr>
          <w:p>
            <w:pPr>
              <w:pStyle w:val="nTable"/>
              <w:spacing w:after="40"/>
            </w:pPr>
            <w:r>
              <w:t>r. 1 and 2: 26 May 2017 (see r. 2(a));</w:t>
            </w:r>
            <w:r>
              <w:br/>
              <w:t>Regulations other than r. 1 and 2: 27 May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2017</w:t>
            </w:r>
            <w:r>
              <w:t xml:space="preserve"> Pt. 3</w:t>
            </w:r>
          </w:p>
        </w:tc>
        <w:tc>
          <w:tcPr>
            <w:tcW w:w="1276" w:type="dxa"/>
            <w:tcBorders>
              <w:top w:val="nil"/>
              <w:bottom w:val="nil"/>
            </w:tcBorders>
          </w:tcPr>
          <w:p>
            <w:pPr>
              <w:pStyle w:val="nTable"/>
              <w:spacing w:after="40"/>
            </w:pPr>
            <w:r>
              <w:t>23 Jun 2017 p. 3253</w:t>
            </w:r>
            <w:r>
              <w:noBreakHyphen/>
              <w:t>78</w:t>
            </w:r>
          </w:p>
        </w:tc>
        <w:tc>
          <w:tcPr>
            <w:tcW w:w="2721"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2018</w:t>
            </w:r>
            <w:r>
              <w:t xml:space="preserve"> Pt. 4</w:t>
            </w:r>
          </w:p>
        </w:tc>
        <w:tc>
          <w:tcPr>
            <w:tcW w:w="1276" w:type="dxa"/>
            <w:tcBorders>
              <w:top w:val="nil"/>
              <w:bottom w:val="nil"/>
            </w:tcBorders>
          </w:tcPr>
          <w:p>
            <w:pPr>
              <w:pStyle w:val="nTable"/>
              <w:spacing w:after="40"/>
            </w:pPr>
            <w:r>
              <w:t>22 Jun 2018 p. 2184-93</w:t>
            </w:r>
          </w:p>
        </w:tc>
        <w:tc>
          <w:tcPr>
            <w:tcW w:w="2721"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Motor Vehicle Drivers Instructors Amendment Regulations 2019</w:t>
            </w:r>
          </w:p>
        </w:tc>
        <w:tc>
          <w:tcPr>
            <w:tcW w:w="1276" w:type="dxa"/>
            <w:tcBorders>
              <w:top w:val="nil"/>
              <w:bottom w:val="nil"/>
            </w:tcBorders>
          </w:tcPr>
          <w:p>
            <w:pPr>
              <w:pStyle w:val="nTable"/>
              <w:spacing w:after="40"/>
            </w:pPr>
            <w:r>
              <w:t>31 Dec 2019 p. 4683-4</w:t>
            </w:r>
          </w:p>
        </w:tc>
        <w:tc>
          <w:tcPr>
            <w:tcW w:w="2721" w:type="dxa"/>
            <w:gridSpan w:val="2"/>
            <w:tcBorders>
              <w:top w:val="nil"/>
              <w:bottom w:val="nil"/>
            </w:tcBorders>
          </w:tcPr>
          <w:p>
            <w:pPr>
              <w:pStyle w:val="nTable"/>
              <w:spacing w:after="40"/>
              <w:rPr>
                <w:snapToGrid w:val="0"/>
                <w:spacing w:val="-2"/>
              </w:rPr>
            </w:pPr>
            <w:r>
              <w:rPr>
                <w:snapToGrid w:val="0"/>
                <w:spacing w:val="-2"/>
              </w:rPr>
              <w:t>r. 1 and 2: 31 Dec 2019 (see r. 2(a));</w:t>
            </w:r>
            <w:r>
              <w:rPr>
                <w:snapToGrid w:val="0"/>
                <w:spacing w:val="-2"/>
              </w:rPr>
              <w:br/>
              <w:t>Regulations other than r. 1 and 2: 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Motor Vehicle Drivers Instructors Amendment Regulations 2023</w:t>
            </w:r>
          </w:p>
        </w:tc>
        <w:tc>
          <w:tcPr>
            <w:tcW w:w="1276" w:type="dxa"/>
            <w:tcBorders>
              <w:top w:val="nil"/>
              <w:bottom w:val="nil"/>
            </w:tcBorders>
          </w:tcPr>
          <w:p>
            <w:pPr>
              <w:pStyle w:val="nTable"/>
              <w:spacing w:after="40"/>
            </w:pPr>
            <w:r>
              <w:t>SL 2023/181 15 Nov 2023</w:t>
            </w:r>
          </w:p>
        </w:tc>
        <w:tc>
          <w:tcPr>
            <w:tcW w:w="2721" w:type="dxa"/>
            <w:gridSpan w:val="2"/>
            <w:tcBorders>
              <w:top w:val="nil"/>
              <w:bottom w:val="nil"/>
            </w:tcBorders>
          </w:tcPr>
          <w:p>
            <w:pPr>
              <w:pStyle w:val="nTable"/>
              <w:spacing w:after="40"/>
              <w:rPr>
                <w:snapToGrid w:val="0"/>
                <w:spacing w:val="-2"/>
              </w:rPr>
            </w:pPr>
            <w:r>
              <w:rPr>
                <w:snapToGrid w:val="0"/>
                <w:spacing w:val="-2"/>
              </w:rPr>
              <w:t>r. 1 and 2: 15 Nov 2023 (see r. 2(a));</w:t>
            </w:r>
            <w:r>
              <w:rPr>
                <w:snapToGrid w:val="0"/>
                <w:spacing w:val="-2"/>
              </w:rPr>
              <w:br/>
              <w:t>Regulations other than r. 1 and 2: 16 Nov 2023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lastRenderedPageBreak/>
              <w:t>Motor Vehicle Drivers Instructors Amendment Regulations 2024</w:t>
            </w:r>
          </w:p>
        </w:tc>
        <w:tc>
          <w:tcPr>
            <w:tcW w:w="1276" w:type="dxa"/>
            <w:tcBorders>
              <w:top w:val="nil"/>
              <w:bottom w:val="nil"/>
            </w:tcBorders>
          </w:tcPr>
          <w:p>
            <w:pPr>
              <w:pStyle w:val="nTable"/>
              <w:spacing w:after="40"/>
            </w:pPr>
            <w:r>
              <w:t>SL 2024/137 26 Jun 2024</w:t>
            </w:r>
          </w:p>
        </w:tc>
        <w:tc>
          <w:tcPr>
            <w:tcW w:w="2721" w:type="dxa"/>
            <w:gridSpan w:val="2"/>
            <w:tcBorders>
              <w:top w:val="nil"/>
              <w:bottom w:val="nil"/>
            </w:tcBorders>
          </w:tcPr>
          <w:p>
            <w:pPr>
              <w:pStyle w:val="nTable"/>
              <w:rPr>
                <w:snapToGrid w:val="0"/>
                <w:spacing w:val="-2"/>
              </w:rPr>
            </w:pPr>
            <w:r>
              <w:rPr>
                <w:spacing w:val="-2"/>
              </w:rPr>
              <w:t>r. 1 and 2: 26 Jun 2024 (see r. 2(a))</w:t>
            </w:r>
            <w:r>
              <w:rPr>
                <w:spacing w:val="-2"/>
              </w:rPr>
              <w:br/>
              <w:t>Regulations other than r. 1 and 2: 27 Jun 2024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Motor Vehicle Drivers Instructors Amendment Regulations 2025</w:t>
            </w:r>
          </w:p>
        </w:tc>
        <w:tc>
          <w:tcPr>
            <w:tcW w:w="1276" w:type="dxa"/>
            <w:tcBorders>
              <w:top w:val="nil"/>
              <w:bottom w:val="single" w:sz="4" w:space="0" w:color="auto"/>
            </w:tcBorders>
          </w:tcPr>
          <w:p>
            <w:pPr>
              <w:pStyle w:val="nTable"/>
              <w:spacing w:after="40"/>
            </w:pPr>
            <w:r>
              <w:t>SL 2025/66 30 Apr 2025</w:t>
            </w:r>
          </w:p>
        </w:tc>
        <w:tc>
          <w:tcPr>
            <w:tcW w:w="2721" w:type="dxa"/>
            <w:gridSpan w:val="2"/>
            <w:tcBorders>
              <w:top w:val="nil"/>
              <w:bottom w:val="single" w:sz="4" w:space="0" w:color="auto"/>
            </w:tcBorders>
          </w:tcPr>
          <w:p>
            <w:pPr>
              <w:pStyle w:val="nTable"/>
              <w:rPr>
                <w:spacing w:val="-2"/>
              </w:rPr>
            </w:pPr>
            <w:r>
              <w:rPr>
                <w:spacing w:val="-2"/>
              </w:rPr>
              <w:t>r. 1 and 2: 30 Apr 2025 (see r. 2(a));</w:t>
            </w:r>
            <w:r>
              <w:rPr>
                <w:spacing w:val="-2"/>
              </w:rPr>
              <w:br/>
              <w:t>Regulations other than r. 1 and 2: 1 May 2025 (see r. 2(b))</w:t>
            </w:r>
          </w:p>
        </w:tc>
      </w:tr>
    </w:tbl>
    <w:p>
      <w:pPr>
        <w:pStyle w:val="nHeading3"/>
      </w:pPr>
      <w:bookmarkStart w:id="37" w:name="_Toc196404724"/>
      <w:r>
        <w:t>Other notes</w:t>
      </w:r>
      <w:bookmarkEnd w:id="37"/>
    </w:p>
    <w:p>
      <w:pPr>
        <w:pStyle w:val="nNote"/>
        <w:spacing w:before="120"/>
        <w:rPr>
          <w:snapToGrid w:val="0"/>
        </w:rPr>
      </w:pPr>
      <w:r>
        <w:rPr>
          <w:snapToGrid w:val="0"/>
          <w:vertAlign w:val="superscript"/>
        </w:rPr>
        <w:t>1</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Note"/>
        <w:spacing w:before="120"/>
        <w:rPr>
          <w:snapToGrid w:val="0"/>
        </w:rPr>
      </w:pPr>
      <w:r>
        <w:rPr>
          <w:snapToGrid w:val="0"/>
          <w:vertAlign w:val="superscript"/>
        </w:rPr>
        <w:t>2</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Note"/>
        <w:keepNext/>
        <w:keepLines/>
        <w:spacing w:before="120"/>
        <w:rPr>
          <w:snapToGrid w:val="0"/>
        </w:rPr>
      </w:pPr>
      <w:r>
        <w:rPr>
          <w:snapToGrid w:val="0"/>
          <w:vertAlign w:val="superscript"/>
        </w:rPr>
        <w:t>3</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further effect.</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39" w:name="_Toc196404725"/>
      <w:r>
        <w:rPr>
          <w:sz w:val="28"/>
        </w:rPr>
        <w:lastRenderedPageBreak/>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axle</w:t>
      </w:r>
      <w:r>
        <w:tab/>
        <w:t>2</w:t>
      </w:r>
    </w:p>
    <w:p>
      <w:pPr>
        <w:pStyle w:val="DefinedTerms"/>
      </w:pPr>
      <w:r>
        <w:t>Department</w:t>
      </w:r>
      <w:r>
        <w:tab/>
        <w:t>2</w:t>
      </w:r>
    </w:p>
    <w:p>
      <w:pPr>
        <w:pStyle w:val="DefinedTerms"/>
      </w:pPr>
      <w:r>
        <w:t>grantee</w:t>
      </w:r>
      <w:r>
        <w:tab/>
        <w:t>13B(2)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semi-trailer</w:t>
      </w:r>
      <w:r>
        <w:tab/>
        <w:t>2</w:t>
      </w:r>
    </w:p>
    <w:p>
      <w:pPr>
        <w:pStyle w:val="DefinedTerms"/>
      </w:pPr>
      <w:r>
        <w:t>trailer</w:t>
      </w:r>
      <w:r>
        <w:tab/>
        <w:t>2</w:t>
      </w:r>
    </w:p>
    <w:p>
      <w:pPr>
        <w:pStyle w:val="DefinedTerms"/>
      </w:pPr>
      <w:r>
        <w:t>transport investigation warden</w:t>
      </w:r>
      <w:r>
        <w:tab/>
        <w:t>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5C7D13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0679DE7" w14:textId="5153DD35" w:rsidR="00DA4B25" w:rsidRDefault="0059223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E4282">
                        <w:rPr>
                          <w:sz w:val="16"/>
                        </w:rPr>
                        <w:t>2025</w:t>
                      </w:r>
                      <w:r>
                        <w:rPr>
                          <w:sz w:val="16"/>
                        </w:rPr>
                        <w:fldChar w:fldCharType="end"/>
                      </w:r>
                      <w:r>
                        <w:rPr>
                          <w:sz w:val="16"/>
                        </w:rPr>
                        <w:t>.</w:t>
                      </w:r>
                    </w:p>
                    <w:p w14:paraId="72216721" w14:textId="77777777" w:rsidR="00DA4B25" w:rsidRDefault="0059223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67E5062" w14:textId="0D4AC8F9" w:rsidR="00DA4B25" w:rsidRDefault="0059223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E4282">
                        <w:rPr>
                          <w:sz w:val="16"/>
                        </w:rPr>
                        <w:t>2025</w:t>
                      </w:r>
                      <w:r>
                        <w:rPr>
                          <w:sz w:val="16"/>
                        </w:rPr>
                        <w:fldChar w:fldCharType="end"/>
                      </w:r>
                      <w:r>
                        <w:rPr>
                          <w:sz w:val="16"/>
                        </w:rPr>
                        <w:t>.</w:t>
                      </w:r>
                    </w:p>
                    <w:p w14:paraId="36DE6897" w14:textId="77777777" w:rsidR="00DA4B25" w:rsidRDefault="0059223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60703"/>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 w:name="WAFER_20180627115738" w:val="RemoveTocBookmarks,RemoveUnusedBookmarks,RemoveLanguageTags,UsedStyles,ResetPageSize"/>
    <w:docVar w:name="WAFER_20180627115738_GUID" w:val="4f29192a-e7aa-4a6c-b21f-9c946cccd331"/>
    <w:docVar w:name="WAFER_20191224113656" w:val="RemoveTocBookmarks,RemoveUnusedBookmarks,RemoveLanguageTags,ResetPageSize,RunningHeaders,UpdateStyles,UsedStyles"/>
    <w:docVar w:name="WAFER_20191224113656_GUID" w:val="268a2365-0075-406d-ba32-070478d4c745"/>
    <w:docVar w:name="WAFER_202002110922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242_GUID" w:val="df46be05-2181-41ce-838a-896c01e5e875"/>
    <w:docVar w:name="WAFER_2023111015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50834_GUID" w:val="f5c71788-bcc2-49d5-b967-9e95e9644bc5"/>
    <w:docVar w:name="WAFER_20231228120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22_GUID" w:val="751066b0-27a7-4fdb-bb24-59b8c4b9a751"/>
    <w:docVar w:name="WAFER_20240621105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05736_GUID" w:val="722ebd8d-857d-4f3d-9956-4dadabddeaf0"/>
    <w:docVar w:name="WAFER_20250424160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60703_GUID" w:val="9ac193f3-127a-4025-a5f3-20889b3f88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88294C8B-C263-431C-B32E-174B278A4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1CF39-0952-470E-9512-870967D31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5997</Words>
  <Characters>30589</Characters>
  <Application>Microsoft Office Word</Application>
  <DocSecurity>0</DocSecurity>
  <Lines>1176</Lines>
  <Paragraphs>746</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1964 - 07-k0-00</dc:title>
  <dc:subject/>
  <dc:creator/>
  <cp:keywords/>
  <dc:description/>
  <cp:lastModifiedBy>Master Repository Process</cp:lastModifiedBy>
  <cp:revision>4</cp:revision>
  <cp:lastPrinted>2015-09-30T06:50:00Z</cp:lastPrinted>
  <dcterms:created xsi:type="dcterms:W3CDTF">2025-07-04T03:34:00Z</dcterms:created>
  <dcterms:modified xsi:type="dcterms:W3CDTF">2025-07-04T03:34:00Z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CommencementDate">
    <vt:lpwstr>20250501</vt:lpwstr>
  </property>
  <property fmtid="{D5CDD505-2E9C-101B-9397-08002B2CF9AE}" pid="8" name="CommencementAsAt">
    <vt:filetime>2025-04-30T16:00:00Z</vt:filetime>
  </property>
  <property fmtid="{D5CDD505-2E9C-101B-9397-08002B2CF9AE}" pid="9" name="CommencementYear">
    <vt:lpwstr>2025</vt:lpwstr>
  </property>
  <property fmtid="{D5CDD505-2E9C-101B-9397-08002B2CF9AE}" pid="10" name="AsAtDate">
    <vt:lpwstr>01 May 2025</vt:lpwstr>
  </property>
  <property fmtid="{D5CDD505-2E9C-101B-9397-08002B2CF9AE}" pid="11" name="Suffix">
    <vt:lpwstr>07-k0-00</vt:lpwstr>
  </property>
  <property fmtid="{D5CDD505-2E9C-101B-9397-08002B2CF9AE}" pid="12" name="Official">
    <vt:lpwstr/>
  </property>
</Properties>
</file>