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rPr>
          <w:noProof/>
        </w:rPr>
        <w:br/>
        <w:t>Shipping and Pilotage Act 1967</w:t>
      </w:r>
      <w:r>
        <w:rPr>
          <w:noProof/>
        </w:rPr>
        <w:b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_Toc196399766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_Toc196399767 \h </w:instrText>
      </w:r>
      <w:r>
        <w:fldChar w:fldCharType="separate"/>
      </w:r>
      <w:r>
        <w:t>1</w:t>
      </w:r>
      <w:r>
        <w:fldChar w:fldCharType="end"/>
      </w:r>
    </w:p>
    <w:p>
      <w:pPr>
        <w:pStyle w:val="TOC8"/>
        <w:rPr>
          <w:rFonts w:asciiTheme="minorHAnsi" w:eastAsiaTheme="minorEastAsia" w:hAnsiTheme="minorHAnsi" w:cstheme="minorBidi"/>
          <w:szCs w:val="22"/>
        </w:rPr>
      </w:pPr>
      <w:r>
        <w:t>2A.</w:t>
      </w:r>
      <w:r>
        <w:tab/>
        <w:t>Measurement of distance</w:t>
      </w:r>
      <w:r>
        <w:tab/>
      </w:r>
      <w:r>
        <w:fldChar w:fldCharType="begin"/>
      </w:r>
      <w:r>
        <w:instrText xml:space="preserve"> PAGEREF _Toc196399768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_Toc196399769 \h </w:instrText>
      </w:r>
      <w:r>
        <w:fldChar w:fldCharType="separate"/>
      </w:r>
      <w:r>
        <w:t>4</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_Toc196399770 \h </w:instrText>
      </w:r>
      <w:r>
        <w:fldChar w:fldCharType="separate"/>
      </w:r>
      <w:r>
        <w:t>4</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_Toc196399771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tab/>
        <w:t>Application of Part</w:t>
      </w:r>
      <w:r>
        <w:tab/>
      </w:r>
      <w:r>
        <w:fldChar w:fldCharType="begin"/>
      </w:r>
      <w:r>
        <w:instrText xml:space="preserve"> PAGEREF _Toc196399773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_Toc196399774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_Toc196399775 \h </w:instrText>
      </w:r>
      <w:r>
        <w:fldChar w:fldCharType="separate"/>
      </w:r>
      <w:r>
        <w:t>6</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_Toc196399776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_Toc196399777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_Toc196399778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_Toc196399779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_Toc196399780 \h </w:instrText>
      </w:r>
      <w:r>
        <w:fldChar w:fldCharType="separate"/>
      </w:r>
      <w:r>
        <w:t>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_Toc196399781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_Toc196399782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_Toc196399783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iCs/>
        </w:rPr>
        <w:t>Prevention of Collisions in State Waters Regulations 1983</w:t>
      </w:r>
      <w:r>
        <w:t xml:space="preserve"> apply</w:t>
      </w:r>
      <w:r>
        <w:tab/>
      </w:r>
      <w:r>
        <w:fldChar w:fldCharType="begin"/>
      </w:r>
      <w:r>
        <w:instrText xml:space="preserve"> PAGEREF _Toc196399784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_Toc196399785 \h </w:instrText>
      </w:r>
      <w:r>
        <w:fldChar w:fldCharType="separate"/>
      </w:r>
      <w:r>
        <w:t>10</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_Toc196399786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14B</w:t>
      </w:r>
      <w:r>
        <w:rPr>
          <w:snapToGrid w:val="0"/>
        </w:rPr>
        <w:t>.</w:t>
      </w:r>
      <w:r>
        <w:rPr>
          <w:snapToGrid w:val="0"/>
        </w:rPr>
        <w:tab/>
        <w:t>Passengers to keep within certain limits of vessel during navigation</w:t>
      </w:r>
      <w:r>
        <w:tab/>
      </w:r>
      <w:r>
        <w:fldChar w:fldCharType="begin"/>
      </w:r>
      <w:r>
        <w:instrText xml:space="preserve"> PAGEREF _Toc196399787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Towing vessels</w:t>
      </w:r>
      <w:r>
        <w:tab/>
      </w:r>
      <w:r>
        <w:fldChar w:fldCharType="begin"/>
      </w:r>
      <w:r>
        <w:instrText xml:space="preserve"> PAGEREF _Toc196399788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_Toc196399789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_Toc196399790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_Toc196399791 \h </w:instrText>
      </w:r>
      <w:r>
        <w:fldChar w:fldCharType="separate"/>
      </w:r>
      <w:r>
        <w:t>12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_Toc196399792 \h </w:instrText>
      </w:r>
      <w:r>
        <w:fldChar w:fldCharType="separate"/>
      </w:r>
      <w:r>
        <w:t>12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_Toc196399793 \h </w:instrText>
      </w:r>
      <w:r>
        <w:fldChar w:fldCharType="separate"/>
      </w:r>
      <w:r>
        <w:t>12</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_Toc196399794 \h </w:instrText>
      </w:r>
      <w:r>
        <w:fldChar w:fldCharType="separate"/>
      </w:r>
      <w:r>
        <w:t>13</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_Toc196399795 \h </w:instrText>
      </w:r>
      <w:r>
        <w:fldChar w:fldCharType="separate"/>
      </w:r>
      <w:r>
        <w:t>13</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_Toc196399796 \h </w:instrText>
      </w:r>
      <w:r>
        <w:fldChar w:fldCharType="separate"/>
      </w:r>
      <w:r>
        <w:t>14</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_Toc196399797 \h </w:instrText>
      </w:r>
      <w:r>
        <w:fldChar w:fldCharType="separate"/>
      </w:r>
      <w:r>
        <w:t>14</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_Toc196399798 \h </w:instrText>
      </w:r>
      <w:r>
        <w:fldChar w:fldCharType="separate"/>
      </w:r>
      <w:r>
        <w:t>16</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_Toc196399799 \h </w:instrText>
      </w:r>
      <w:r>
        <w:fldChar w:fldCharType="separate"/>
      </w:r>
      <w:r>
        <w:t>17</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_Toc196399800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_Toc196399801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_Toc196399803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_Toc196399804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_Toc196399805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_Toc196399806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_Toc196399807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_Toc196399808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_Toc196399809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_Toc196399810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_Toc196399811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_Toc196399812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_Toc196399813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_Toc196399814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_Toc196399815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_Toc196399816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_Toc196399817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_Toc196399818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_Toc196399820 \h </w:instrText>
      </w:r>
      <w:r>
        <w:fldChar w:fldCharType="separate"/>
      </w:r>
      <w:r>
        <w:t>25</w:t>
      </w:r>
      <w:r>
        <w:fldChar w:fldCharType="end"/>
      </w:r>
    </w:p>
    <w:p>
      <w:pPr>
        <w:pStyle w:val="TOC8"/>
        <w:rPr>
          <w:rFonts w:asciiTheme="minorHAnsi" w:eastAsiaTheme="minorEastAsia" w:hAnsiTheme="minorHAnsi" w:cstheme="minorBidi"/>
          <w:szCs w:val="22"/>
        </w:rPr>
      </w:pPr>
      <w:r>
        <w:lastRenderedPageBreak/>
        <w:t>38.</w:t>
      </w:r>
      <w:r>
        <w:tab/>
        <w:t>Vessels to be moored, berthed or removed as directed</w:t>
      </w:r>
      <w:r>
        <w:tab/>
      </w:r>
      <w:r>
        <w:fldChar w:fldCharType="begin"/>
      </w:r>
      <w:r>
        <w:instrText xml:space="preserve"> PAGEREF _Toc196399821 \h </w:instrText>
      </w:r>
      <w:r>
        <w:fldChar w:fldCharType="separate"/>
      </w:r>
      <w:r>
        <w:t>25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_Toc196399822 \h </w:instrText>
      </w:r>
      <w:r>
        <w:fldChar w:fldCharType="separate"/>
      </w:r>
      <w:r>
        <w:t>26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_Toc196399823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_Toc196399825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_Toc196399826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_Toc196399827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_Toc196399828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_Toc196399829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5A — Registration of registrable vessels</w:t>
      </w:r>
    </w:p>
    <w:p>
      <w:pPr>
        <w:pStyle w:val="TOC8"/>
        <w:rPr>
          <w:rFonts w:asciiTheme="minorHAnsi" w:eastAsiaTheme="minorEastAsia" w:hAnsiTheme="minorHAnsi" w:cstheme="minorBidi"/>
          <w:szCs w:val="22"/>
        </w:rPr>
      </w:pPr>
      <w:r>
        <w:t>45A</w:t>
      </w:r>
      <w:r>
        <w:rPr>
          <w:snapToGrid w:val="0"/>
        </w:rPr>
        <w:t>.</w:t>
      </w:r>
      <w:r>
        <w:rPr>
          <w:snapToGrid w:val="0"/>
        </w:rPr>
        <w:tab/>
      </w:r>
      <w:r>
        <w:t>Terms used</w:t>
      </w:r>
      <w:r>
        <w:tab/>
      </w:r>
      <w:r>
        <w:fldChar w:fldCharType="begin"/>
      </w:r>
      <w:r>
        <w:instrText xml:space="preserve"> PAGEREF _Toc196399831 \h </w:instrText>
      </w:r>
      <w:r>
        <w:fldChar w:fldCharType="separate"/>
      </w:r>
      <w:r>
        <w:t>30</w:t>
      </w:r>
      <w:r>
        <w:fldChar w:fldCharType="end"/>
      </w:r>
    </w:p>
    <w:p>
      <w:pPr>
        <w:pStyle w:val="TOC8"/>
        <w:rPr>
          <w:rFonts w:asciiTheme="minorHAnsi" w:eastAsiaTheme="minorEastAsia" w:hAnsiTheme="minorHAnsi" w:cstheme="minorBidi"/>
          <w:szCs w:val="22"/>
        </w:rPr>
      </w:pPr>
      <w:r>
        <w:t>45AA.</w:t>
      </w:r>
      <w:r>
        <w:tab/>
        <w:t>Accreditation of persons as hull identification number providers</w:t>
      </w:r>
      <w:r>
        <w:tab/>
      </w:r>
      <w:r>
        <w:fldChar w:fldCharType="begin"/>
      </w:r>
      <w:r>
        <w:instrText xml:space="preserve"> PAGEREF _Toc196399832 \h </w:instrText>
      </w:r>
      <w:r>
        <w:fldChar w:fldCharType="separate"/>
      </w:r>
      <w:r>
        <w:t>31</w:t>
      </w:r>
      <w:r>
        <w:fldChar w:fldCharType="end"/>
      </w:r>
    </w:p>
    <w:p>
      <w:pPr>
        <w:pStyle w:val="TOC8"/>
        <w:rPr>
          <w:rFonts w:asciiTheme="minorHAnsi" w:eastAsiaTheme="minorEastAsia" w:hAnsiTheme="minorHAnsi" w:cstheme="minorBidi"/>
          <w:szCs w:val="22"/>
        </w:rPr>
      </w:pPr>
      <w:r>
        <w:t>45AB.</w:t>
      </w:r>
      <w:r>
        <w:tab/>
        <w:t>Accreditation of persons as hull identification number examiners</w:t>
      </w:r>
      <w:r>
        <w:tab/>
      </w:r>
      <w:r>
        <w:fldChar w:fldCharType="begin"/>
      </w:r>
      <w:r>
        <w:instrText xml:space="preserve"> PAGEREF _Toc196399833 \h </w:instrText>
      </w:r>
      <w:r>
        <w:fldChar w:fldCharType="separate"/>
      </w:r>
      <w:r>
        <w:t>31</w:t>
      </w:r>
      <w:r>
        <w:fldChar w:fldCharType="end"/>
      </w:r>
    </w:p>
    <w:p>
      <w:pPr>
        <w:pStyle w:val="TOC8"/>
        <w:rPr>
          <w:rFonts w:asciiTheme="minorHAnsi" w:eastAsiaTheme="minorEastAsia" w:hAnsiTheme="minorHAnsi" w:cstheme="minorBidi"/>
          <w:szCs w:val="22"/>
        </w:rPr>
      </w:pPr>
      <w:r>
        <w:t>45AC.</w:t>
      </w:r>
      <w:r>
        <w:tab/>
        <w:t>Provisions relating to accreditation of hull identification number providers and examiners</w:t>
      </w:r>
      <w:r>
        <w:tab/>
      </w:r>
      <w:r>
        <w:fldChar w:fldCharType="begin"/>
      </w:r>
      <w:r>
        <w:instrText xml:space="preserve"> PAGEREF _Toc196399834 \h </w:instrText>
      </w:r>
      <w:r>
        <w:fldChar w:fldCharType="separate"/>
      </w:r>
      <w:r>
        <w:t>32</w:t>
      </w:r>
      <w:r>
        <w:fldChar w:fldCharType="end"/>
      </w:r>
    </w:p>
    <w:p>
      <w:pPr>
        <w:pStyle w:val="TOC8"/>
        <w:rPr>
          <w:rFonts w:asciiTheme="minorHAnsi" w:eastAsiaTheme="minorEastAsia" w:hAnsiTheme="minorHAnsi" w:cstheme="minorBidi"/>
          <w:szCs w:val="22"/>
        </w:rPr>
      </w:pPr>
      <w:r>
        <w:t>45AD.</w:t>
      </w:r>
      <w:r>
        <w:tab/>
        <w:t>Transitional provisions regarding accreditation of hull identification number providers and examiners</w:t>
      </w:r>
      <w:r>
        <w:tab/>
      </w:r>
      <w:r>
        <w:fldChar w:fldCharType="begin"/>
      </w:r>
      <w:r>
        <w:instrText xml:space="preserve"> PAGEREF _Toc196399835 \h </w:instrText>
      </w:r>
      <w:r>
        <w:fldChar w:fldCharType="separate"/>
      </w:r>
      <w:r>
        <w:t>33</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_Toc196399836 \h </w:instrText>
      </w:r>
      <w:r>
        <w:fldChar w:fldCharType="separate"/>
      </w:r>
      <w:r>
        <w:t>34</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_Toc196399837 \h </w:instrText>
      </w:r>
      <w:r>
        <w:fldChar w:fldCharType="separate"/>
      </w:r>
      <w:r>
        <w:t>42</w:t>
      </w:r>
      <w:r>
        <w:fldChar w:fldCharType="end"/>
      </w:r>
    </w:p>
    <w:p>
      <w:pPr>
        <w:pStyle w:val="TOC8"/>
        <w:rPr>
          <w:rFonts w:asciiTheme="minorHAnsi" w:eastAsiaTheme="minorEastAsia" w:hAnsiTheme="minorHAnsi" w:cstheme="minorBidi"/>
          <w:szCs w:val="22"/>
        </w:rPr>
      </w:pPr>
      <w:r>
        <w:t>45BAB.</w:t>
      </w:r>
      <w:r>
        <w:tab/>
        <w:t>Chief executive officer may issue registration stickers</w:t>
      </w:r>
      <w:r>
        <w:tab/>
      </w:r>
      <w:r>
        <w:fldChar w:fldCharType="begin"/>
      </w:r>
      <w:r>
        <w:instrText xml:space="preserve"> PAGEREF _Toc196399838 \h </w:instrText>
      </w:r>
      <w:r>
        <w:fldChar w:fldCharType="separate"/>
      </w:r>
      <w:r>
        <w:t>45</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_Toc196399839 \h </w:instrText>
      </w:r>
      <w:r>
        <w:fldChar w:fldCharType="separate"/>
      </w:r>
      <w:r>
        <w:t>45</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_Toc196399840 \h </w:instrText>
      </w:r>
      <w:r>
        <w:fldChar w:fldCharType="separate"/>
      </w:r>
      <w:r>
        <w:t>48</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_Toc196399841 \h </w:instrText>
      </w:r>
      <w:r>
        <w:fldChar w:fldCharType="separate"/>
      </w:r>
      <w:r>
        <w:t>48</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_Toc196399842 \h </w:instrText>
      </w:r>
      <w:r>
        <w:fldChar w:fldCharType="separate"/>
      </w:r>
      <w:r>
        <w:t>49</w:t>
      </w:r>
      <w:r>
        <w:fldChar w:fldCharType="end"/>
      </w:r>
    </w:p>
    <w:p>
      <w:pPr>
        <w:pStyle w:val="TOC8"/>
        <w:rPr>
          <w:rFonts w:asciiTheme="minorHAnsi" w:eastAsiaTheme="minorEastAsia" w:hAnsiTheme="minorHAnsi" w:cstheme="minorBidi"/>
          <w:szCs w:val="22"/>
        </w:rPr>
      </w:pPr>
      <w:r>
        <w:t>45EA.</w:t>
      </w:r>
      <w:r>
        <w:tab/>
        <w:t>Altering hull identification number prohibited</w:t>
      </w:r>
      <w:r>
        <w:tab/>
      </w:r>
      <w:r>
        <w:fldChar w:fldCharType="begin"/>
      </w:r>
      <w:r>
        <w:instrText xml:space="preserve"> PAGEREF _Toc196399843 \h </w:instrText>
      </w:r>
      <w:r>
        <w:fldChar w:fldCharType="separate"/>
      </w:r>
      <w:r>
        <w:t>52</w:t>
      </w:r>
      <w:r>
        <w:fldChar w:fldCharType="end"/>
      </w:r>
    </w:p>
    <w:p>
      <w:pPr>
        <w:pStyle w:val="TOC8"/>
        <w:rPr>
          <w:rFonts w:asciiTheme="minorHAnsi" w:eastAsiaTheme="minorEastAsia" w:hAnsiTheme="minorHAnsi" w:cstheme="minorBidi"/>
          <w:szCs w:val="22"/>
        </w:rPr>
      </w:pPr>
      <w:r>
        <w:t>45EB.</w:t>
      </w:r>
      <w:r>
        <w:tab/>
        <w:t>Duty of owner to reaffix hull identification number</w:t>
      </w:r>
      <w:r>
        <w:tab/>
      </w:r>
      <w:r>
        <w:fldChar w:fldCharType="begin"/>
      </w:r>
      <w:r>
        <w:instrText xml:space="preserve"> PAGEREF _Toc196399844 \h </w:instrText>
      </w:r>
      <w:r>
        <w:fldChar w:fldCharType="separate"/>
      </w:r>
      <w:r>
        <w:t>52</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_Toc196399845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Recreational skipper’s tickets, equipment and safety requirements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_Toc196399848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Recreational skippers’ tickets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_Toc196399850 \h </w:instrText>
      </w:r>
      <w:r>
        <w:fldChar w:fldCharType="separate"/>
      </w:r>
      <w:r>
        <w:t>58</w:t>
      </w:r>
      <w:r>
        <w:fldChar w:fldCharType="end"/>
      </w:r>
    </w:p>
    <w:p>
      <w:pPr>
        <w:pStyle w:val="TOC8"/>
        <w:rPr>
          <w:rFonts w:asciiTheme="minorHAnsi" w:eastAsiaTheme="minorEastAsia" w:hAnsiTheme="minorHAnsi" w:cstheme="minorBidi"/>
          <w:szCs w:val="22"/>
        </w:rPr>
      </w:pPr>
      <w:r>
        <w:t>47A.</w:t>
      </w:r>
      <w:r>
        <w:tab/>
        <w:t>Authority to drive motor boats and RST vessels</w:t>
      </w:r>
      <w:r>
        <w:tab/>
      </w:r>
      <w:r>
        <w:fldChar w:fldCharType="begin"/>
      </w:r>
      <w:r>
        <w:instrText xml:space="preserve"> PAGEREF _Toc196399851 \h </w:instrText>
      </w:r>
      <w:r>
        <w:fldChar w:fldCharType="separate"/>
      </w:r>
      <w:r>
        <w:t>59</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_Toc196399852 \h </w:instrText>
      </w:r>
      <w:r>
        <w:fldChar w:fldCharType="separate"/>
      </w:r>
      <w:r>
        <w:t>60</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_Toc196399853 \h </w:instrText>
      </w:r>
      <w:r>
        <w:fldChar w:fldCharType="separate"/>
      </w:r>
      <w:r>
        <w:t>60</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_Toc196399854 \h </w:instrText>
      </w:r>
      <w:r>
        <w:fldChar w:fldCharType="separate"/>
      </w:r>
      <w:r>
        <w:t>62</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_Toc196399855 \h </w:instrText>
      </w:r>
      <w:r>
        <w:fldChar w:fldCharType="separate"/>
      </w:r>
      <w:r>
        <w:t>62</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_Toc196399856 \h </w:instrText>
      </w:r>
      <w:r>
        <w:fldChar w:fldCharType="separate"/>
      </w:r>
      <w:r>
        <w:t>63</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_Toc196399857 \h </w:instrText>
      </w:r>
      <w:r>
        <w:fldChar w:fldCharType="separate"/>
      </w:r>
      <w:r>
        <w:t>63</w:t>
      </w:r>
      <w:r>
        <w:fldChar w:fldCharType="end"/>
      </w:r>
    </w:p>
    <w:p>
      <w:pPr>
        <w:pStyle w:val="TOC8"/>
        <w:rPr>
          <w:rFonts w:asciiTheme="minorHAnsi" w:eastAsiaTheme="minorEastAsia" w:hAnsiTheme="minorHAnsi" w:cstheme="minorBidi"/>
          <w:szCs w:val="22"/>
        </w:rPr>
      </w:pPr>
      <w:r>
        <w:t>47GA.</w:t>
      </w:r>
      <w:r>
        <w:tab/>
        <w:t>Effect of disqualification: cancellation</w:t>
      </w:r>
      <w:r>
        <w:tab/>
      </w:r>
      <w:r>
        <w:fldChar w:fldCharType="begin"/>
      </w:r>
      <w:r>
        <w:instrText xml:space="preserve"> PAGEREF _Toc196399858 \h </w:instrText>
      </w:r>
      <w:r>
        <w:fldChar w:fldCharType="separate"/>
      </w:r>
      <w:r>
        <w:t>64</w:t>
      </w:r>
      <w:r>
        <w:fldChar w:fldCharType="end"/>
      </w:r>
    </w:p>
    <w:p>
      <w:pPr>
        <w:pStyle w:val="TOC8"/>
        <w:rPr>
          <w:rFonts w:asciiTheme="minorHAnsi" w:eastAsiaTheme="minorEastAsia" w:hAnsiTheme="minorHAnsi" w:cstheme="minorBidi"/>
          <w:szCs w:val="22"/>
        </w:rPr>
      </w:pPr>
      <w:r>
        <w:t>47GB.</w:t>
      </w:r>
      <w:r>
        <w:tab/>
        <w:t>Effect of disqualification in another jurisdiction</w:t>
      </w:r>
      <w:r>
        <w:tab/>
      </w:r>
      <w:r>
        <w:fldChar w:fldCharType="begin"/>
      </w:r>
      <w:r>
        <w:instrText xml:space="preserve"> PAGEREF _Toc196399859 \h </w:instrText>
      </w:r>
      <w:r>
        <w:fldChar w:fldCharType="separate"/>
      </w:r>
      <w:r>
        <w:t>65</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_Toc196399860 \h </w:instrText>
      </w:r>
      <w:r>
        <w:fldChar w:fldCharType="separate"/>
      </w:r>
      <w:r>
        <w:t>65</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_Toc196399861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General regulations for motor boats, speed boats and personal watercraft</w:t>
      </w:r>
    </w:p>
    <w:p>
      <w:pPr>
        <w:pStyle w:val="TOC8"/>
        <w:rPr>
          <w:rFonts w:asciiTheme="minorHAnsi" w:eastAsiaTheme="minorEastAsia" w:hAnsiTheme="minorHAnsi" w:cstheme="minorBidi"/>
          <w:szCs w:val="22"/>
        </w:rPr>
      </w:pPr>
      <w:r>
        <w:t>48</w:t>
      </w:r>
      <w:r>
        <w:rPr>
          <w:snapToGrid w:val="0"/>
        </w:rPr>
        <w:t>.</w:t>
      </w:r>
      <w:r>
        <w:rPr>
          <w:snapToGrid w:val="0"/>
        </w:rPr>
        <w:tab/>
        <w:t>Limitation of speed, water ski-ing and para-sailing</w:t>
      </w:r>
      <w:r>
        <w:tab/>
      </w:r>
      <w:r>
        <w:fldChar w:fldCharType="begin"/>
      </w:r>
      <w:r>
        <w:instrText xml:space="preserve"> PAGEREF _Toc196399863 \h </w:instrText>
      </w:r>
      <w:r>
        <w:fldChar w:fldCharType="separate"/>
      </w:r>
      <w:r>
        <w:t>66</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_Toc196399864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_Toc196399865 \h </w:instrText>
      </w:r>
      <w:r>
        <w:fldChar w:fldCharType="separate"/>
      </w:r>
      <w:r>
        <w:t>68</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_Toc196399866 \h </w:instrText>
      </w:r>
      <w:r>
        <w:fldChar w:fldCharType="separate"/>
      </w:r>
      <w:r>
        <w:t>69</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_Toc196399867 \h </w:instrText>
      </w:r>
      <w:r>
        <w:fldChar w:fldCharType="separate"/>
      </w:r>
      <w:r>
        <w:t>69</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_Toc196399868 \h </w:instrText>
      </w:r>
      <w:r>
        <w:fldChar w:fldCharType="separate"/>
      </w:r>
      <w:r>
        <w:t>69</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_Toc196399869 \h </w:instrText>
      </w:r>
      <w:r>
        <w:fldChar w:fldCharType="separate"/>
      </w:r>
      <w:r>
        <w:t>69</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_Toc196399870 \h </w:instrText>
      </w:r>
      <w:r>
        <w:fldChar w:fldCharType="separate"/>
      </w:r>
      <w:r>
        <w:t>69</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_Toc196399871 \h </w:instrText>
      </w:r>
      <w:r>
        <w:fldChar w:fldCharType="separate"/>
      </w:r>
      <w:r>
        <w:t>70</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_Toc196399872 \h </w:instrText>
      </w:r>
      <w:r>
        <w:fldChar w:fldCharType="separate"/>
      </w:r>
      <w:r>
        <w:t>70</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_Toc196399873 \h </w:instrText>
      </w:r>
      <w:r>
        <w:fldChar w:fldCharType="separate"/>
      </w:r>
      <w:r>
        <w:t>70</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_Toc196399874 \h </w:instrText>
      </w:r>
      <w:r>
        <w:fldChar w:fldCharType="separate"/>
      </w:r>
      <w:r>
        <w:t>70</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r>
      <w:r>
        <w:t>Restrictions on slalom ski</w:t>
      </w:r>
      <w:r>
        <w:noBreakHyphen/>
        <w:t>ing or ski</w:t>
      </w:r>
      <w:r>
        <w:noBreakHyphen/>
        <w:t>jumping</w:t>
      </w:r>
      <w:r>
        <w:tab/>
      </w:r>
      <w:r>
        <w:fldChar w:fldCharType="begin"/>
      </w:r>
      <w:r>
        <w:instrText xml:space="preserve"> PAGEREF _Toc196399875 \h </w:instrText>
      </w:r>
      <w:r>
        <w:fldChar w:fldCharType="separate"/>
      </w:r>
      <w:r>
        <w:t>71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_Toc196399876 \h </w:instrText>
      </w:r>
      <w:r>
        <w:fldChar w:fldCharType="separate"/>
      </w:r>
      <w:r>
        <w:t>72</w:t>
      </w:r>
      <w:r>
        <w:fldChar w:fldCharType="end"/>
      </w:r>
    </w:p>
    <w:p>
      <w:pPr>
        <w:pStyle w:val="TOC8"/>
        <w:rPr>
          <w:rFonts w:asciiTheme="minorHAnsi" w:eastAsiaTheme="minorEastAsia" w:hAnsiTheme="minorHAnsi" w:cstheme="minorBidi"/>
          <w:szCs w:val="22"/>
        </w:rPr>
      </w:pPr>
      <w:r>
        <w:lastRenderedPageBreak/>
        <w:t>50A</w:t>
      </w:r>
      <w:r>
        <w:rPr>
          <w:snapToGrid w:val="0"/>
        </w:rPr>
        <w:t>.</w:t>
      </w:r>
      <w:r>
        <w:rPr>
          <w:snapToGrid w:val="0"/>
        </w:rPr>
        <w:tab/>
      </w:r>
      <w:r>
        <w:t>Restrictions on freestyle driving, surfing and wave jumping on personal watercraft</w:t>
      </w:r>
      <w:r>
        <w:tab/>
      </w:r>
      <w:r>
        <w:fldChar w:fldCharType="begin"/>
      </w:r>
      <w:r>
        <w:instrText xml:space="preserve"> PAGEREF _Toc196399877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Lifejackets</w:t>
      </w:r>
    </w:p>
    <w:p>
      <w:pPr>
        <w:pStyle w:val="TOC8"/>
        <w:rPr>
          <w:rFonts w:asciiTheme="minorHAnsi" w:eastAsiaTheme="minorEastAsia" w:hAnsiTheme="minorHAnsi" w:cstheme="minorBidi"/>
          <w:szCs w:val="22"/>
        </w:rPr>
      </w:pPr>
      <w:r>
        <w:t>50B.</w:t>
      </w:r>
      <w:r>
        <w:tab/>
        <w:t>Lifejackets to be worn on vessels</w:t>
      </w:r>
      <w:r>
        <w:tab/>
      </w:r>
      <w:r>
        <w:fldChar w:fldCharType="begin"/>
      </w:r>
      <w:r>
        <w:instrText xml:space="preserve"> PAGEREF _Toc196399879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5 — Sailboard riding</w:t>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_Toc196399881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Motor boats</w:t>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_Toc196399883 \h </w:instrText>
      </w:r>
      <w:r>
        <w:fldChar w:fldCharType="separate"/>
      </w:r>
      <w:r>
        <w:t>75</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_Toc196399884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7 — Aquatic sport events</w:t>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_Toc196399886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8 — Equipment and safety</w:t>
      </w:r>
    </w:p>
    <w:p>
      <w:pPr>
        <w:pStyle w:val="TOC8"/>
        <w:rPr>
          <w:rFonts w:asciiTheme="minorHAnsi" w:eastAsiaTheme="minorEastAsia" w:hAnsiTheme="minorHAnsi" w:cstheme="minorBidi"/>
          <w:szCs w:val="22"/>
        </w:rPr>
      </w:pPr>
      <w:r>
        <w:t>52A.</w:t>
      </w:r>
      <w:r>
        <w:tab/>
        <w:t>Pleasure vessels to be equipped with lifejackets</w:t>
      </w:r>
      <w:r>
        <w:tab/>
      </w:r>
      <w:r>
        <w:fldChar w:fldCharType="begin"/>
      </w:r>
      <w:r>
        <w:instrText xml:space="preserve"> PAGEREF _Toc196399888 \h </w:instrText>
      </w:r>
      <w:r>
        <w:fldChar w:fldCharType="separate"/>
      </w:r>
      <w:r>
        <w:t>76</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r>
      <w:r>
        <w:t>Pleasure vessels to be equipped with certain distress signals</w:t>
      </w:r>
      <w:r>
        <w:tab/>
      </w:r>
      <w:r>
        <w:fldChar w:fldCharType="begin"/>
      </w:r>
      <w:r>
        <w:instrText xml:space="preserve"> PAGEREF _Toc196399889 \h </w:instrText>
      </w:r>
      <w:r>
        <w:fldChar w:fldCharType="separate"/>
      </w:r>
      <w:r>
        <w:t>77</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r>
      <w:r>
        <w:t>Registrable vessels to be equipped with marine transceiver</w:t>
      </w:r>
      <w:r>
        <w:tab/>
      </w:r>
      <w:r>
        <w:fldChar w:fldCharType="begin"/>
      </w:r>
      <w:r>
        <w:instrText xml:space="preserve"> PAGEREF _Toc196399890 \h </w:instrText>
      </w:r>
      <w:r>
        <w:fldChar w:fldCharType="separate"/>
      </w:r>
      <w:r>
        <w:t>78</w:t>
      </w:r>
      <w:r>
        <w:fldChar w:fldCharType="end"/>
      </w:r>
    </w:p>
    <w:p>
      <w:pPr>
        <w:pStyle w:val="TOC8"/>
        <w:rPr>
          <w:rFonts w:asciiTheme="minorHAnsi" w:eastAsiaTheme="minorEastAsia" w:hAnsiTheme="minorHAnsi" w:cstheme="minorBidi"/>
          <w:szCs w:val="22"/>
        </w:rPr>
      </w:pPr>
      <w:r>
        <w:t>52BAB.</w:t>
      </w:r>
      <w:r>
        <w:tab/>
        <w:t>Pleasure vessels to carry locator beacons</w:t>
      </w:r>
      <w:r>
        <w:tab/>
      </w:r>
      <w:r>
        <w:fldChar w:fldCharType="begin"/>
      </w:r>
      <w:r>
        <w:instrText xml:space="preserve"> PAGEREF _Toc196399891 \h </w:instrText>
      </w:r>
      <w:r>
        <w:fldChar w:fldCharType="separate"/>
      </w:r>
      <w:r>
        <w:t>79</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_Toc196399892 \h </w:instrText>
      </w:r>
      <w:r>
        <w:fldChar w:fldCharType="separate"/>
      </w:r>
      <w:r>
        <w:t>79</w:t>
      </w:r>
      <w:r>
        <w:fldChar w:fldCharType="end"/>
      </w:r>
    </w:p>
    <w:p>
      <w:pPr>
        <w:pStyle w:val="TOC8"/>
        <w:rPr>
          <w:rFonts w:asciiTheme="minorHAnsi" w:eastAsiaTheme="minorEastAsia" w:hAnsiTheme="minorHAnsi" w:cstheme="minorBidi"/>
          <w:szCs w:val="22"/>
        </w:rPr>
      </w:pPr>
      <w:r>
        <w:t>52BB.</w:t>
      </w:r>
      <w:r>
        <w:tab/>
        <w:t>Lifejacket worn on personal watercraft to be maintained in serviceable condition</w:t>
      </w:r>
      <w:r>
        <w:tab/>
      </w:r>
      <w:r>
        <w:fldChar w:fldCharType="begin"/>
      </w:r>
      <w:r>
        <w:instrText xml:space="preserve"> PAGEREF _Toc196399893 \h </w:instrText>
      </w:r>
      <w:r>
        <w:fldChar w:fldCharType="separate"/>
      </w:r>
      <w:r>
        <w:t>80</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_Toc196399894 \h </w:instrText>
      </w:r>
      <w:r>
        <w:fldChar w:fldCharType="separate"/>
      </w:r>
      <w:r>
        <w:t>80</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_Toc196399895 \h </w:instrText>
      </w:r>
      <w:r>
        <w:fldChar w:fldCharType="separate"/>
      </w:r>
      <w:r>
        <w:t>81</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_Toc196399896 \h </w:instrText>
      </w:r>
      <w:r>
        <w:fldChar w:fldCharType="separate"/>
      </w:r>
      <w:r>
        <w:t>81</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_Toc196399897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9 — Offences and penalties</w:t>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_Toc196399899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r>
      <w:r>
        <w:t>Duty of owner or master</w:t>
      </w:r>
      <w:r>
        <w:tab/>
      </w:r>
      <w:r>
        <w:fldChar w:fldCharType="begin"/>
      </w:r>
      <w:r>
        <w:instrText xml:space="preserve"> PAGEREF _Toc196399901 \h </w:instrText>
      </w:r>
      <w:r>
        <w:fldChar w:fldCharType="separate"/>
      </w:r>
      <w:r>
        <w:t>83</w:t>
      </w:r>
      <w:r>
        <w:fldChar w:fldCharType="end"/>
      </w:r>
    </w:p>
    <w:p>
      <w:pPr>
        <w:pStyle w:val="TOC8"/>
        <w:rPr>
          <w:rFonts w:asciiTheme="minorHAnsi" w:eastAsiaTheme="minorEastAsia" w:hAnsiTheme="minorHAnsi" w:cstheme="minorBidi"/>
          <w:szCs w:val="22"/>
        </w:rPr>
      </w:pPr>
      <w:r>
        <w:t>69.</w:t>
      </w:r>
      <w:r>
        <w:tab/>
        <w:t>Form of warrant</w:t>
      </w:r>
      <w:r>
        <w:tab/>
      </w:r>
      <w:r>
        <w:fldChar w:fldCharType="begin"/>
      </w:r>
      <w:r>
        <w:instrText xml:space="preserve"> PAGEREF _Toc196399902 \h </w:instrText>
      </w:r>
      <w:r>
        <w:fldChar w:fldCharType="separate"/>
      </w:r>
      <w:r>
        <w:t>83</w:t>
      </w:r>
      <w:r>
        <w:fldChar w:fldCharType="end"/>
      </w:r>
    </w:p>
    <w:p>
      <w:pPr>
        <w:pStyle w:val="TOC8"/>
        <w:rPr>
          <w:rFonts w:asciiTheme="minorHAnsi" w:eastAsiaTheme="minorEastAsia" w:hAnsiTheme="minorHAnsi" w:cstheme="minorBidi"/>
          <w:szCs w:val="22"/>
        </w:rPr>
      </w:pPr>
      <w:r>
        <w:t>70.</w:t>
      </w:r>
      <w:r>
        <w:tab/>
        <w:t>Form of order to produce</w:t>
      </w:r>
      <w:r>
        <w:tab/>
      </w:r>
      <w:r>
        <w:fldChar w:fldCharType="begin"/>
      </w:r>
      <w:r>
        <w:instrText xml:space="preserve"> PAGEREF _Toc196399903 \h </w:instrText>
      </w:r>
      <w:r>
        <w:fldChar w:fldCharType="separate"/>
      </w:r>
      <w:r>
        <w:t>83</w:t>
      </w:r>
      <w:r>
        <w:fldChar w:fldCharType="end"/>
      </w:r>
    </w:p>
    <w:p>
      <w:pPr>
        <w:pStyle w:val="TOC8"/>
        <w:rPr>
          <w:rFonts w:asciiTheme="minorHAnsi" w:eastAsiaTheme="minorEastAsia" w:hAnsiTheme="minorHAnsi" w:cstheme="minorBidi"/>
          <w:szCs w:val="22"/>
        </w:rPr>
      </w:pPr>
      <w:r>
        <w:t>71.</w:t>
      </w:r>
      <w:r>
        <w:tab/>
        <w:t>Disclosure of information by Commissioner of Police</w:t>
      </w:r>
      <w:r>
        <w:tab/>
      </w:r>
      <w:r>
        <w:fldChar w:fldCharType="begin"/>
      </w:r>
      <w:r>
        <w:instrText xml:space="preserve"> PAGEREF _Toc196399904 \h </w:instrText>
      </w:r>
      <w:r>
        <w:fldChar w:fldCharType="separate"/>
      </w:r>
      <w:r>
        <w:t>83</w:t>
      </w:r>
      <w:r>
        <w:fldChar w:fldCharType="end"/>
      </w:r>
    </w:p>
    <w:p>
      <w:pPr>
        <w:pStyle w:val="TOC8"/>
        <w:rPr>
          <w:rFonts w:asciiTheme="minorHAnsi" w:eastAsiaTheme="minorEastAsia" w:hAnsiTheme="minorHAnsi" w:cstheme="minorBidi"/>
          <w:szCs w:val="22"/>
        </w:rPr>
      </w:pPr>
      <w:r>
        <w:t>72.</w:t>
      </w:r>
      <w:r>
        <w:tab/>
        <w:t>Disclosure of information: prescribed persons</w:t>
      </w:r>
      <w:r>
        <w:tab/>
      </w:r>
      <w:r>
        <w:fldChar w:fldCharType="begin"/>
      </w:r>
      <w:r>
        <w:instrText xml:space="preserve"> PAGEREF _Toc196399905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w:t>
      </w:r>
    </w:p>
    <w:p>
      <w:pPr>
        <w:pStyle w:val="TOC2"/>
        <w:tabs>
          <w:tab w:val="right" w:leader="dot" w:pos="7077"/>
        </w:tabs>
        <w:rPr>
          <w:rFonts w:asciiTheme="minorHAnsi" w:eastAsiaTheme="minorEastAsia" w:hAnsiTheme="minorHAnsi" w:cstheme="minorBidi"/>
          <w:b w:val="0"/>
          <w:sz w:val="22"/>
          <w:szCs w:val="22"/>
        </w:rPr>
      </w:pPr>
      <w:r>
        <w:t>Schedule 2 — Classes of things that are and are not vessels</w:t>
      </w:r>
    </w:p>
    <w:p>
      <w:pPr>
        <w:pStyle w:val="TOC4"/>
        <w:tabs>
          <w:tab w:val="right" w:leader="dot" w:pos="7077"/>
        </w:tabs>
        <w:rPr>
          <w:rFonts w:asciiTheme="minorHAnsi" w:eastAsiaTheme="minorEastAsia" w:hAnsiTheme="minorHAnsi" w:cstheme="minorBidi"/>
          <w:b w:val="0"/>
          <w:szCs w:val="22"/>
        </w:rPr>
      </w:pPr>
      <w:r>
        <w:t>Division 1 — Classes of things that are vessels</w:t>
      </w:r>
    </w:p>
    <w:p>
      <w:pPr>
        <w:pStyle w:val="TOC4"/>
        <w:tabs>
          <w:tab w:val="right" w:leader="dot" w:pos="7077"/>
        </w:tabs>
        <w:rPr>
          <w:rFonts w:asciiTheme="minorHAnsi" w:eastAsiaTheme="minorEastAsia" w:hAnsiTheme="minorHAnsi" w:cstheme="minorBidi"/>
          <w:b w:val="0"/>
          <w:szCs w:val="22"/>
        </w:rPr>
      </w:pPr>
      <w:r>
        <w:t>Division 2 — Classes of things that are not vessels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_Toc196399911 \h </w:instrText>
      </w:r>
      <w:r>
        <w:fldChar w:fldCharType="separate"/>
      </w:r>
      <w:r>
        <w:t>94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_Toc196399912 \h </w:instrText>
      </w:r>
      <w:r>
        <w:fldChar w:fldCharType="separate"/>
      </w:r>
      <w:r>
        <w:t>104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_Toc196399913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pPr>
        <w:pStyle w:val="NameofActReg"/>
        <w:spacing w:before="600" w:after="720"/>
        <w:outlineLvl w:val="0"/>
      </w:pPr>
      <w:r>
        <w:t>Navigable Waters Regulations 1958</w:t>
      </w:r>
    </w:p>
    <w:p>
      <w:pPr>
        <w:pStyle w:val="Heading2"/>
        <w:pageBreakBefore w:val="0"/>
        <w:spacing w:before="240"/>
      </w:pPr>
      <w:bookmarkStart w:id="2" w:name="_Toc196395396"/>
      <w:bookmarkStart w:id="3" w:name="_Toc196396549"/>
      <w:bookmarkStart w:id="4" w:name="_Toc196399765"/>
      <w:r>
        <w:rPr>
          <w:rStyle w:val="CharPartNo"/>
        </w:rPr>
        <w:t>Part I</w:t>
      </w:r>
      <w:r>
        <w:rPr>
          <w:rStyle w:val="CharDivNo"/>
        </w:rPr>
        <w:t> </w:t>
      </w:r>
      <w:r>
        <w:t>—</w:t>
      </w:r>
      <w:r>
        <w:rPr>
          <w:rStyle w:val="CharDivText"/>
        </w:rPr>
        <w:t> </w:t>
      </w:r>
      <w:r>
        <w:rPr>
          <w:rStyle w:val="CharPartText"/>
        </w:rPr>
        <w:t>Preliminary</w:t>
      </w:r>
      <w:bookmarkEnd w:id="2"/>
      <w:bookmarkEnd w:id="3"/>
      <w:bookmarkEnd w:id="4"/>
    </w:p>
    <w:p>
      <w:pPr>
        <w:pStyle w:val="Heading5"/>
        <w:spacing w:before="240"/>
        <w:rPr>
          <w:snapToGrid w:val="0"/>
        </w:rPr>
      </w:pPr>
      <w:bookmarkStart w:id="5" w:name="_Toc196399766"/>
      <w:r>
        <w:rPr>
          <w:rStyle w:val="CharSectno"/>
        </w:rPr>
        <w:t>1</w:t>
      </w:r>
      <w:r>
        <w:rPr>
          <w:snapToGrid w:val="0"/>
        </w:rPr>
        <w:t>.</w:t>
      </w:r>
      <w:r>
        <w:rPr>
          <w:snapToGrid w:val="0"/>
        </w:rPr>
        <w:tab/>
        <w:t>Citation and commencement</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6" w:name="_Toc196399767"/>
      <w:r>
        <w:rPr>
          <w:rStyle w:val="CharSectno"/>
        </w:rPr>
        <w:t>2</w:t>
      </w:r>
      <w:r>
        <w:rPr>
          <w:snapToGrid w:val="0"/>
        </w:rPr>
        <w:t>.</w:t>
      </w:r>
      <w:r>
        <w:rPr>
          <w:snapToGrid w:val="0"/>
        </w:rPr>
        <w:tab/>
        <w:t>Terms used</w:t>
      </w:r>
      <w:bookmarkEnd w:id="6"/>
      <w:r>
        <w:rPr>
          <w:snapToGrid w:val="0"/>
        </w:rPr>
        <w:t xml:space="preserve"> </w:t>
      </w:r>
    </w:p>
    <w:p>
      <w:pPr>
        <w:pStyle w:val="Subsection"/>
        <w:rPr>
          <w:snapToGrid w:val="0"/>
        </w:rPr>
      </w:pPr>
      <w:r>
        <w:rPr>
          <w:snapToGrid w:val="0"/>
        </w:rPr>
        <w:tab/>
      </w:r>
      <w:r>
        <w:t>(1)</w:t>
      </w:r>
      <w:r>
        <w:tab/>
        <w:t xml:space="preserve">In these regulations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keepNext/>
      </w:pPr>
      <w:r>
        <w:tab/>
      </w:r>
      <w:r>
        <w:rPr>
          <w:rStyle w:val="CharDefText"/>
        </w:rPr>
        <w:t>length</w:t>
      </w:r>
      <w:r>
        <w:t xml:space="preserve">, in relation to a vessel, means — </w:t>
      </w:r>
    </w:p>
    <w:p>
      <w:pPr>
        <w:pStyle w:val="Defpara"/>
      </w:pPr>
      <w:r>
        <w:tab/>
        <w:t>(a)</w:t>
      </w:r>
      <w:r>
        <w:tab/>
        <w:t xml:space="preserve">in the case of a vessel that is registered under regulation 45B — </w:t>
      </w:r>
    </w:p>
    <w:p>
      <w:pPr>
        <w:pStyle w:val="Defsubpara"/>
      </w:pPr>
      <w:r>
        <w:tab/>
        <w:t>(i)</w:t>
      </w:r>
      <w:r>
        <w:tab/>
        <w:t>the length of the vessel specified in the certificate of registration of that vessel; or</w:t>
      </w:r>
    </w:p>
    <w:p>
      <w:pPr>
        <w:pStyle w:val="Defsubpara"/>
        <w:keepNext/>
      </w:pPr>
      <w:r>
        <w:lastRenderedPageBreak/>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tab/>
      </w:r>
      <w:r>
        <w:rPr>
          <w:rStyle w:val="CharDefText"/>
        </w:rPr>
        <w:t>registrable vessel</w:t>
      </w:r>
      <w:r>
        <w:t> —</w:t>
      </w:r>
    </w:p>
    <w:p>
      <w:pPr>
        <w:pStyle w:val="Defpara"/>
      </w:pPr>
      <w:r>
        <w:tab/>
        <w:t>(a)</w:t>
      </w:r>
      <w:r>
        <w:tab/>
        <w:t>means a pleasure vessel that is fitted with, or has a fitting for, a motor, including, for example, a pleasure vessel that is ordinarily propelled by sail only but is fitted with, or has a fitting for, a motor; but</w:t>
      </w:r>
    </w:p>
    <w:p>
      <w:pPr>
        <w:pStyle w:val="Defpara"/>
      </w:pPr>
      <w:r>
        <w:tab/>
        <w:t>(b)</w:t>
      </w:r>
      <w:r>
        <w:tab/>
        <w:t>does not include a tender;</w:t>
      </w:r>
    </w:p>
    <w:p>
      <w:pPr>
        <w:pStyle w:val="Defstart"/>
      </w:pPr>
      <w:r>
        <w:rPr>
          <w:b/>
          <w:i/>
          <w:iCs/>
        </w:rPr>
        <w:tab/>
      </w:r>
      <w:r>
        <w:rPr>
          <w:rStyle w:val="CharDefText"/>
        </w:rPr>
        <w:t>speed boat</w:t>
      </w:r>
      <w:r>
        <w:t xml:space="preserve"> means a motor boat designed for, or capable of, a speed in excess of 12 knots;</w:t>
      </w:r>
    </w:p>
    <w:p>
      <w:pPr>
        <w:pStyle w:val="Defstart"/>
        <w:keepNext/>
      </w:pPr>
      <w:r>
        <w:lastRenderedPageBreak/>
        <w:tab/>
      </w:r>
      <w:r>
        <w:rPr>
          <w:rStyle w:val="CharDefText"/>
        </w:rPr>
        <w:t>tender</w:t>
      </w:r>
      <w:r>
        <w:t xml:space="preserve"> means an auxiliary vessel that is — </w:t>
      </w:r>
    </w:p>
    <w:p>
      <w:pPr>
        <w:pStyle w:val="Defpara"/>
      </w:pPr>
      <w:r>
        <w:tab/>
        <w:t>(a)</w:t>
      </w:r>
      <w:r>
        <w:tab/>
        <w:t>not more than 3.1 m in length; and</w:t>
      </w:r>
    </w:p>
    <w:p>
      <w:pPr>
        <w:pStyle w:val="Defpara"/>
      </w:pPr>
      <w:r>
        <w:tab/>
        <w:t>(b)</w:t>
      </w:r>
      <w:r>
        <w:tab/>
        <w:t>propelled by motored power not exceeding 3.73 kW; and</w:t>
      </w:r>
    </w:p>
    <w:p>
      <w:pPr>
        <w:pStyle w:val="Defpara"/>
      </w:pPr>
      <w:r>
        <w:tab/>
        <w:t>(c)</w:t>
      </w:r>
      <w:r>
        <w:tab/>
        <w:t>marked with the registration number of its parent vessel in black numerals not less than 50 mm in height and 12 mm in width with a white surround not less than 7 mm immediately forward of the transom on each side of the vessel; and</w:t>
      </w:r>
    </w:p>
    <w:p>
      <w:pPr>
        <w:pStyle w:val="Defpara"/>
      </w:pPr>
      <w:r>
        <w:tab/>
        <w:t>(d)</w:t>
      </w:r>
      <w:r>
        <w:tab/>
        <w:t>used for either or both of the following purposes, and for no other purpose —</w:t>
      </w:r>
    </w:p>
    <w:p>
      <w:pPr>
        <w:pStyle w:val="Defsubpara"/>
      </w:pPr>
      <w:r>
        <w:tab/>
        <w:t>(i)</w:t>
      </w:r>
      <w:r>
        <w:tab/>
        <w:t>as a life boat;</w:t>
      </w:r>
    </w:p>
    <w:p>
      <w:pPr>
        <w:pStyle w:val="Defsubpara"/>
      </w:pPr>
      <w:r>
        <w:tab/>
        <w:t>(ii)</w:t>
      </w:r>
      <w:r>
        <w:tab/>
        <w:t>as a means of transportation between the parent vessel and the shore.</w:t>
      </w:r>
    </w:p>
    <w:p>
      <w:pPr>
        <w:pStyle w:val="Subsection"/>
      </w:pPr>
      <w:r>
        <w:tab/>
        <w:t>(2)</w:t>
      </w:r>
      <w:r>
        <w:tab/>
        <w:t xml:space="preserve">For the purposes of the definition of </w:t>
      </w:r>
      <w:r>
        <w:rPr>
          <w:b/>
          <w:i/>
        </w:rPr>
        <w:t>vessel</w:t>
      </w:r>
      <w:r>
        <w:t xml:space="preserve"> in the </w:t>
      </w:r>
      <w:r>
        <w:rPr>
          <w:i/>
        </w:rPr>
        <w:t xml:space="preserve">Western Australian Marine Act 1982 </w:t>
      </w:r>
      <w:r>
        <w:rPr>
          <w:iCs/>
        </w:rPr>
        <w:t>section 3(1) </w:t>
      </w:r>
      <w:r>
        <w:t xml:space="preserve">— </w:t>
      </w:r>
    </w:p>
    <w:p>
      <w:pPr>
        <w:pStyle w:val="Indenta"/>
      </w:pPr>
      <w:r>
        <w:tab/>
        <w:t>(a)</w:t>
      </w:r>
      <w:r>
        <w:tab/>
        <w:t>a class of thing specified in Schedule 2 Division 1 is a vessel; and</w:t>
      </w:r>
    </w:p>
    <w:p>
      <w:pPr>
        <w:pStyle w:val="Indenta"/>
      </w:pPr>
      <w:r>
        <w:tab/>
        <w:t>(b)</w:t>
      </w:r>
      <w:r>
        <w:tab/>
        <w:t>a class of thing specified in Schedule 2 Division 2 is not a vessel.</w:t>
      </w:r>
    </w:p>
    <w:p>
      <w:pPr>
        <w:pStyle w:val="Subsection"/>
      </w:pPr>
      <w:r>
        <w:tab/>
        <w:t>(3)</w:t>
      </w:r>
      <w:r>
        <w:tab/>
        <w:t xml:space="preserve">If a term used in these regulations is given a meaning in the </w:t>
      </w:r>
      <w:r>
        <w:rPr>
          <w:i/>
        </w:rPr>
        <w:t>Western Australian Marine Act 1982</w:t>
      </w:r>
      <w:r>
        <w:t>, it has the same meaning in these regulations, unless the contrary intention appears.</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SL 2023/135 r. 4; SL 2024/191 r. 4.] </w:t>
      </w:r>
    </w:p>
    <w:p>
      <w:pPr>
        <w:pStyle w:val="Heading5"/>
      </w:pPr>
      <w:bookmarkStart w:id="7" w:name="_Toc196399768"/>
      <w:r>
        <w:rPr>
          <w:rStyle w:val="CharSectno"/>
        </w:rPr>
        <w:lastRenderedPageBreak/>
        <w:t>2A</w:t>
      </w:r>
      <w:r>
        <w:t>.</w:t>
      </w:r>
      <w:r>
        <w:tab/>
        <w:t>Measurement of distance</w:t>
      </w:r>
      <w:bookmarkEnd w:id="7"/>
    </w:p>
    <w:p>
      <w:pPr>
        <w:pStyle w:val="Subsection"/>
        <w:keepNext/>
      </w:pPr>
      <w:r>
        <w:tab/>
      </w:r>
      <w:r>
        <w:tab/>
        <w:t>In these regulations, a reference to a distance from any shore or land is a reference to that distance measured from the high water mark on the shore or land and not from any jetty, pier or other structure abutting on or adjacent to the shore or land.</w:t>
      </w:r>
    </w:p>
    <w:p>
      <w:pPr>
        <w:pStyle w:val="Footnotesection"/>
        <w:keepLines w:val="0"/>
      </w:pPr>
      <w:r>
        <w:tab/>
        <w:t xml:space="preserve">[Regulation 2A inserted: SL 2023/135 r. 5.] </w:t>
      </w:r>
    </w:p>
    <w:p>
      <w:pPr>
        <w:pStyle w:val="Heading5"/>
        <w:rPr>
          <w:snapToGrid w:val="0"/>
        </w:rPr>
      </w:pPr>
      <w:bookmarkStart w:id="8" w:name="_Toc196399769"/>
      <w:r>
        <w:rPr>
          <w:rStyle w:val="CharSectno"/>
        </w:rPr>
        <w:t>3</w:t>
      </w:r>
      <w:r>
        <w:rPr>
          <w:snapToGrid w:val="0"/>
        </w:rPr>
        <w:t>.</w:t>
      </w:r>
      <w:r>
        <w:rPr>
          <w:snapToGrid w:val="0"/>
        </w:rPr>
        <w:tab/>
        <w:t>Responsibility of master and owner</w:t>
      </w:r>
      <w:bookmarkEnd w:id="8"/>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regulation 51C applies </w:t>
      </w:r>
      <w:r>
        <w:rPr>
          <w:snapToGrid w:val="0"/>
        </w:rPr>
        <w:t>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SL 2024/191 r. 5.] </w:t>
      </w:r>
    </w:p>
    <w:p>
      <w:pPr>
        <w:pStyle w:val="Heading5"/>
        <w:rPr>
          <w:snapToGrid w:val="0"/>
        </w:rPr>
      </w:pPr>
      <w:bookmarkStart w:id="9" w:name="_Toc196399770"/>
      <w:r>
        <w:rPr>
          <w:rStyle w:val="CharSectno"/>
        </w:rPr>
        <w:t>3A</w:t>
      </w:r>
      <w:r>
        <w:rPr>
          <w:snapToGrid w:val="0"/>
        </w:rPr>
        <w:t>.</w:t>
      </w:r>
      <w:r>
        <w:rPr>
          <w:snapToGrid w:val="0"/>
        </w:rPr>
        <w:tab/>
        <w:t>When emergency vessels exempt</w:t>
      </w:r>
      <w:bookmarkEnd w:id="9"/>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0" w:name="_Toc196399771"/>
      <w:r>
        <w:rPr>
          <w:rStyle w:val="CharSectno"/>
        </w:rPr>
        <w:lastRenderedPageBreak/>
        <w:t>3B</w:t>
      </w:r>
      <w:r>
        <w:t>.</w:t>
      </w:r>
      <w:r>
        <w:tab/>
        <w:t>International Organization for Standardization</w:t>
      </w:r>
      <w:bookmarkEnd w:id="10"/>
    </w:p>
    <w:p>
      <w:pPr>
        <w:pStyle w:val="Subsection"/>
        <w:keepNext/>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1" w:name="_Toc196395403"/>
      <w:bookmarkStart w:id="12" w:name="_Toc196396556"/>
      <w:bookmarkStart w:id="13" w:name="_Toc196399772"/>
      <w:r>
        <w:rPr>
          <w:rStyle w:val="CharPartNo"/>
        </w:rPr>
        <w:lastRenderedPageBreak/>
        <w:t>Part II</w:t>
      </w:r>
      <w:r>
        <w:rPr>
          <w:rStyle w:val="CharDivNo"/>
        </w:rPr>
        <w:t> </w:t>
      </w:r>
      <w:r>
        <w:t>—</w:t>
      </w:r>
      <w:r>
        <w:rPr>
          <w:rStyle w:val="CharDivText"/>
        </w:rPr>
        <w:t> </w:t>
      </w:r>
      <w:r>
        <w:rPr>
          <w:rStyle w:val="CharPartText"/>
        </w:rPr>
        <w:t>General good order regulations</w:t>
      </w:r>
      <w:bookmarkEnd w:id="11"/>
      <w:bookmarkEnd w:id="12"/>
      <w:bookmarkEnd w:id="13"/>
      <w:r>
        <w:rPr>
          <w:rStyle w:val="CharPartText"/>
        </w:rPr>
        <w:t xml:space="preserve"> </w:t>
      </w:r>
    </w:p>
    <w:p>
      <w:pPr>
        <w:pStyle w:val="Heading5"/>
      </w:pPr>
      <w:bookmarkStart w:id="14" w:name="_Toc196399773"/>
      <w:r>
        <w:rPr>
          <w:rStyle w:val="CharSectno"/>
        </w:rPr>
        <w:t>4</w:t>
      </w:r>
      <w:r>
        <w:t>.</w:t>
      </w:r>
      <w:r>
        <w:tab/>
        <w:t>Application of Part</w:t>
      </w:r>
      <w:bookmarkEnd w:id="14"/>
    </w:p>
    <w:p>
      <w:pPr>
        <w:pStyle w:val="Subsection"/>
      </w:pPr>
      <w:r>
        <w:tab/>
      </w:r>
      <w:r>
        <w:tab/>
        <w:t xml:space="preserve">This Part applies to — </w:t>
      </w:r>
    </w:p>
    <w:p>
      <w:pPr>
        <w:pStyle w:val="Indenta"/>
      </w:pPr>
      <w:r>
        <w:tab/>
        <w:t>(a)</w:t>
      </w:r>
      <w:r>
        <w:tab/>
        <w:t>a vessel being a vessel referred to in any of the Acts or to the owner, master or person in charge of the vessel, as the case may be; and</w:t>
      </w:r>
    </w:p>
    <w:p>
      <w:pPr>
        <w:pStyle w:val="Indenta"/>
      </w:pPr>
      <w:r>
        <w:tab/>
        <w:t>(b)</w:t>
      </w:r>
      <w:r>
        <w:tab/>
        <w:t>persons in or on navigable waters.</w:t>
      </w:r>
    </w:p>
    <w:p>
      <w:pPr>
        <w:pStyle w:val="Footnotesection"/>
      </w:pPr>
      <w:r>
        <w:tab/>
        <w:t>[Regulation 4 inserted: SL 2024/191 r. 6.]</w:t>
      </w:r>
    </w:p>
    <w:p>
      <w:pPr>
        <w:pStyle w:val="Heading5"/>
        <w:rPr>
          <w:snapToGrid w:val="0"/>
        </w:rPr>
      </w:pPr>
      <w:bookmarkStart w:id="15" w:name="_Toc196399774"/>
      <w:r>
        <w:rPr>
          <w:rStyle w:val="CharSectno"/>
        </w:rPr>
        <w:t>5</w:t>
      </w:r>
      <w:r>
        <w:rPr>
          <w:snapToGrid w:val="0"/>
        </w:rPr>
        <w:t>.</w:t>
      </w:r>
      <w:r>
        <w:rPr>
          <w:snapToGrid w:val="0"/>
        </w:rPr>
        <w:tab/>
        <w:t>Inspection of vessels</w:t>
      </w:r>
      <w:bookmarkEnd w:id="15"/>
      <w:r>
        <w:rPr>
          <w:snapToGrid w:val="0"/>
        </w:rPr>
        <w:t xml:space="preserve"> </w:t>
      </w:r>
    </w:p>
    <w:p>
      <w:pPr>
        <w:pStyle w:val="Subsection"/>
        <w:rPr>
          <w:snapToGrid w:val="0"/>
        </w:rPr>
      </w:pPr>
      <w:r>
        <w:rPr>
          <w:snapToGrid w:val="0"/>
        </w:rPr>
        <w:tab/>
        <w:t>(a)</w:t>
      </w:r>
      <w:r>
        <w:rPr>
          <w:snapToGrid w:val="0"/>
        </w:rPr>
        <w:tab/>
        <w:t xml:space="preserve">Any officer of the </w:t>
      </w:r>
      <w:r>
        <w:t>Department</w:t>
      </w:r>
      <w:r>
        <w:rPr>
          <w:snapToGrid w:val="0"/>
        </w:rPr>
        <w:t xml:space="preserve">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 xml:space="preserve">Any person who obstructs, threatens or interferes with an officer of the </w:t>
      </w:r>
      <w:r>
        <w:t>Department</w:t>
      </w:r>
      <w:r>
        <w:rPr>
          <w:snapToGrid w:val="0"/>
        </w:rPr>
        <w:t xml:space="preserve"> or police officer when acting under the last preceding subregulation shall be guilty of an offence.</w:t>
      </w:r>
    </w:p>
    <w:p>
      <w:pPr>
        <w:pStyle w:val="Subsection"/>
        <w:rPr>
          <w:snapToGrid w:val="0"/>
        </w:rPr>
      </w:pPr>
      <w:r>
        <w:rPr>
          <w:snapToGrid w:val="0"/>
        </w:rPr>
        <w:tab/>
        <w:t>(c)</w:t>
      </w:r>
      <w:r>
        <w:rPr>
          <w:snapToGrid w:val="0"/>
        </w:rPr>
        <w:tab/>
        <w:t xml:space="preserve">No person on or about a vessel shall, on demand by an officer of the </w:t>
      </w:r>
      <w:r>
        <w:t>Department</w:t>
      </w:r>
      <w:r>
        <w:rPr>
          <w:snapToGrid w:val="0"/>
        </w:rPr>
        <w:t>, refuse to furnish the officer with the person’s name and address.</w:t>
      </w:r>
    </w:p>
    <w:p>
      <w:pPr>
        <w:pStyle w:val="Subsection"/>
        <w:rPr>
          <w:snapToGrid w:val="0"/>
        </w:rPr>
      </w:pPr>
      <w:r>
        <w:rPr>
          <w:snapToGrid w:val="0"/>
        </w:rPr>
        <w:tab/>
        <w:t>(d)</w:t>
      </w:r>
      <w:r>
        <w:rPr>
          <w:snapToGrid w:val="0"/>
        </w:rPr>
        <w:tab/>
        <w:t xml:space="preserve">The </w:t>
      </w:r>
      <w:r>
        <w:t>Department</w:t>
      </w:r>
      <w:r>
        <w:rPr>
          <w:snapToGrid w:val="0"/>
        </w:rPr>
        <w:t xml:space="preserve"> may cancel or suspend any certificate granted by the </w:t>
      </w:r>
      <w:r>
        <w:t>Department</w:t>
      </w:r>
      <w:r>
        <w:rPr>
          <w:snapToGrid w:val="0"/>
        </w:rPr>
        <w:t xml:space="preserve"> under any of the Acts to a person convicted of an offence under this regulation.</w:t>
      </w:r>
    </w:p>
    <w:p>
      <w:pPr>
        <w:pStyle w:val="Footnotesection"/>
      </w:pPr>
      <w:r>
        <w:tab/>
        <w:t>[Regulation 5 amended: SL 2024/191 r. 41.]</w:t>
      </w:r>
    </w:p>
    <w:p>
      <w:pPr>
        <w:pStyle w:val="Heading5"/>
        <w:rPr>
          <w:snapToGrid w:val="0"/>
        </w:rPr>
      </w:pPr>
      <w:bookmarkStart w:id="16" w:name="_Toc196399775"/>
      <w:r>
        <w:rPr>
          <w:rStyle w:val="CharSectno"/>
        </w:rPr>
        <w:t>6</w:t>
      </w:r>
      <w:r>
        <w:rPr>
          <w:snapToGrid w:val="0"/>
        </w:rPr>
        <w:t>.</w:t>
      </w:r>
      <w:r>
        <w:rPr>
          <w:snapToGrid w:val="0"/>
        </w:rPr>
        <w:tab/>
        <w:t>Lifesaving equipment not to be interfered with</w:t>
      </w:r>
      <w:bookmarkEnd w:id="16"/>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17" w:name="_Toc196399776"/>
      <w:r>
        <w:rPr>
          <w:rStyle w:val="CharSectno"/>
        </w:rPr>
        <w:lastRenderedPageBreak/>
        <w:t>6A</w:t>
      </w:r>
      <w:r>
        <w:rPr>
          <w:snapToGrid w:val="0"/>
        </w:rPr>
        <w:t>.</w:t>
      </w:r>
      <w:r>
        <w:rPr>
          <w:snapToGrid w:val="0"/>
        </w:rPr>
        <w:tab/>
        <w:t>Owner of vessel to comply with directions</w:t>
      </w:r>
      <w:bookmarkEnd w:id="17"/>
      <w:r>
        <w:rPr>
          <w:snapToGrid w:val="0"/>
        </w:rPr>
        <w:t xml:space="preserve"> </w:t>
      </w:r>
    </w:p>
    <w:p>
      <w:pPr>
        <w:pStyle w:val="Subsection"/>
        <w:spacing w:before="180"/>
        <w:rPr>
          <w:snapToGrid w:val="0"/>
        </w:rPr>
      </w:pPr>
      <w:r>
        <w:rPr>
          <w:snapToGrid w:val="0"/>
        </w:rPr>
        <w:tab/>
      </w:r>
      <w:r>
        <w:rPr>
          <w:snapToGrid w:val="0"/>
        </w:rPr>
        <w:tab/>
        <w:t xml:space="preserve">The owner of a vessel shall, at all times, comply with any directions given by an officer of the </w:t>
      </w:r>
      <w:r>
        <w:t>Department</w:t>
      </w:r>
      <w:r>
        <w:rPr>
          <w:snapToGrid w:val="0"/>
        </w:rPr>
        <w: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SL 2024/191 r. 41.] </w:t>
      </w:r>
    </w:p>
    <w:p>
      <w:pPr>
        <w:pStyle w:val="Heading5"/>
        <w:spacing w:before="240"/>
        <w:rPr>
          <w:snapToGrid w:val="0"/>
        </w:rPr>
      </w:pPr>
      <w:bookmarkStart w:id="18" w:name="_Toc196399777"/>
      <w:r>
        <w:rPr>
          <w:rStyle w:val="CharSectno"/>
        </w:rPr>
        <w:t>7</w:t>
      </w:r>
      <w:r>
        <w:rPr>
          <w:snapToGrid w:val="0"/>
        </w:rPr>
        <w:t>.</w:t>
      </w:r>
      <w:r>
        <w:rPr>
          <w:snapToGrid w:val="0"/>
        </w:rPr>
        <w:tab/>
        <w:t>Aids to navigation not to be interfered with</w:t>
      </w:r>
      <w:bookmarkEnd w:id="18"/>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 xml:space="preserve">No person shall, except with permission in writing from the </w:t>
      </w:r>
      <w:r>
        <w:t>Department</w:t>
      </w:r>
      <w:r>
        <w:rPr>
          <w:snapToGrid w:val="0"/>
        </w:rPr>
        <w:t>, make fast any vessel to any beacon, buoy, seamark or other aid to navigation.</w:t>
      </w:r>
    </w:p>
    <w:p>
      <w:pPr>
        <w:pStyle w:val="Footnotesection"/>
      </w:pPr>
      <w:r>
        <w:tab/>
        <w:t>[Regulation 7 amended: SL 2024/191 r. 41.]</w:t>
      </w:r>
    </w:p>
    <w:p>
      <w:pPr>
        <w:pStyle w:val="Heading5"/>
        <w:spacing w:before="240"/>
        <w:rPr>
          <w:snapToGrid w:val="0"/>
        </w:rPr>
      </w:pPr>
      <w:bookmarkStart w:id="19" w:name="_Toc196399778"/>
      <w:r>
        <w:rPr>
          <w:rStyle w:val="CharSectno"/>
        </w:rPr>
        <w:t>8</w:t>
      </w:r>
      <w:r>
        <w:rPr>
          <w:snapToGrid w:val="0"/>
        </w:rPr>
        <w:t>.</w:t>
      </w:r>
      <w:r>
        <w:rPr>
          <w:snapToGrid w:val="0"/>
        </w:rPr>
        <w:tab/>
        <w:t>Rubbish</w:t>
      </w:r>
      <w:bookmarkEnd w:id="19"/>
      <w:r>
        <w:rPr>
          <w:snapToGrid w:val="0"/>
        </w:rPr>
        <w:t xml:space="preserve"> </w:t>
      </w:r>
    </w:p>
    <w:p>
      <w:pPr>
        <w:pStyle w:val="Subsection"/>
        <w:spacing w:before="180"/>
        <w:rPr>
          <w:snapToGrid w:val="0"/>
        </w:rPr>
      </w:pPr>
      <w:r>
        <w:rPr>
          <w:snapToGrid w:val="0"/>
        </w:rPr>
        <w:tab/>
        <w:t>(a)</w:t>
      </w:r>
      <w:r>
        <w:rPr>
          <w:snapToGrid w:val="0"/>
        </w:rPr>
        <w:tab/>
        <w:t xml:space="preserve">No person shall throw into or cause to be placed in any port or harbour or navigable waters any matter or thing except with the permission of the </w:t>
      </w:r>
      <w:r>
        <w:t>Department</w:t>
      </w:r>
      <w:r>
        <w:rPr>
          <w:snapToGrid w:val="0"/>
        </w:rPr>
        <w:t>.</w:t>
      </w:r>
    </w:p>
    <w:p>
      <w:pPr>
        <w:pStyle w:val="Subsection"/>
        <w:spacing w:before="180"/>
        <w:rPr>
          <w:snapToGrid w:val="0"/>
        </w:rPr>
      </w:pPr>
      <w:r>
        <w:rPr>
          <w:snapToGrid w:val="0"/>
        </w:rPr>
        <w:tab/>
        <w:t>(b)</w:t>
      </w:r>
      <w:r>
        <w:rPr>
          <w:snapToGrid w:val="0"/>
        </w:rPr>
        <w:tab/>
        <w:t xml:space="preserve">A person convicted of an offence under this regulation shall within 10 days after demand by the </w:t>
      </w:r>
      <w:r>
        <w:t>Department</w:t>
      </w:r>
      <w:r>
        <w:rPr>
          <w:snapToGrid w:val="0"/>
        </w:rPr>
        <w:t xml:space="preserve"> remove or cause to be removed from the port or harbour or navigable waters the matter or thing thrown or placed therein. Where the matter or thing is not so removed within the period of 10 days, the </w:t>
      </w:r>
      <w:r>
        <w:t>Department</w:t>
      </w:r>
      <w:r>
        <w:rPr>
          <w:snapToGrid w:val="0"/>
        </w:rPr>
        <w:t xml:space="preserve"> may remove it or cause it to be removed and all costs incurred in or about such removal shall be deemed to be a debt payable to the </w:t>
      </w:r>
      <w:r>
        <w:t>State</w:t>
      </w:r>
      <w:r>
        <w:rPr>
          <w:snapToGrid w:val="0"/>
        </w:rPr>
        <w:t xml:space="preserve"> by the person offending and may be recovered by action in law in a court of competent jurisdiction.</w:t>
      </w:r>
    </w:p>
    <w:p>
      <w:pPr>
        <w:pStyle w:val="Footnotesection"/>
      </w:pPr>
      <w:r>
        <w:tab/>
        <w:t xml:space="preserve">[Regulation 8 amended: Gazette 28 May 1969 p. 1568; 22 Dec 1972 p. 4777; SL 2024/191 r. 7 and 41.] </w:t>
      </w:r>
    </w:p>
    <w:p>
      <w:pPr>
        <w:pStyle w:val="Heading5"/>
        <w:keepLines w:val="0"/>
        <w:spacing w:before="240"/>
        <w:rPr>
          <w:snapToGrid w:val="0"/>
        </w:rPr>
      </w:pPr>
      <w:bookmarkStart w:id="20" w:name="_Toc196399779"/>
      <w:r>
        <w:rPr>
          <w:rStyle w:val="CharSectno"/>
        </w:rPr>
        <w:lastRenderedPageBreak/>
        <w:t>9</w:t>
      </w:r>
      <w:r>
        <w:rPr>
          <w:snapToGrid w:val="0"/>
        </w:rPr>
        <w:t>.</w:t>
      </w:r>
      <w:r>
        <w:rPr>
          <w:snapToGrid w:val="0"/>
        </w:rPr>
        <w:tab/>
        <w:t>Sand below high water mark not to be interfered with</w:t>
      </w:r>
      <w:bookmarkEnd w:id="20"/>
      <w:r>
        <w:rPr>
          <w:snapToGrid w:val="0"/>
        </w:rPr>
        <w:t xml:space="preserve"> </w:t>
      </w:r>
    </w:p>
    <w:p>
      <w:pPr>
        <w:pStyle w:val="Subsection"/>
        <w:widowControl w:val="0"/>
        <w:rPr>
          <w:snapToGrid w:val="0"/>
        </w:rPr>
      </w:pPr>
      <w:r>
        <w:rPr>
          <w:snapToGrid w:val="0"/>
        </w:rPr>
        <w:tab/>
        <w:t>(a)</w:t>
      </w:r>
      <w:r>
        <w:rPr>
          <w:snapToGrid w:val="0"/>
        </w:rPr>
        <w:tab/>
        <w:t xml:space="preserve">Except as provided by subregulation (b) of the last preceding regulation, no person shall, except with permission of the </w:t>
      </w:r>
      <w:r>
        <w:t>Department</w:t>
      </w:r>
      <w:r>
        <w:rPr>
          <w:snapToGrid w:val="0"/>
        </w:rPr>
        <w: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Footnotesection"/>
      </w:pPr>
      <w:r>
        <w:tab/>
        <w:t>[Regulation 9 amended: SL 2024/191 r. 41.]</w:t>
      </w:r>
    </w:p>
    <w:p>
      <w:pPr>
        <w:pStyle w:val="Heading5"/>
        <w:rPr>
          <w:snapToGrid w:val="0"/>
        </w:rPr>
      </w:pPr>
      <w:bookmarkStart w:id="21" w:name="_Toc196399780"/>
      <w:r>
        <w:rPr>
          <w:rStyle w:val="CharSectno"/>
        </w:rPr>
        <w:t>10</w:t>
      </w:r>
      <w:r>
        <w:rPr>
          <w:snapToGrid w:val="0"/>
        </w:rPr>
        <w:t>.</w:t>
      </w:r>
      <w:r>
        <w:rPr>
          <w:snapToGrid w:val="0"/>
        </w:rPr>
        <w:tab/>
        <w:t>Conduct on or near vessels, public jetties or bridges</w:t>
      </w:r>
      <w:bookmarkEnd w:id="21"/>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22" w:name="_Toc196399781"/>
      <w:r>
        <w:rPr>
          <w:rStyle w:val="CharSectno"/>
        </w:rPr>
        <w:t>10A</w:t>
      </w:r>
      <w:r>
        <w:rPr>
          <w:snapToGrid w:val="0"/>
        </w:rPr>
        <w:t>.</w:t>
      </w:r>
      <w:r>
        <w:rPr>
          <w:snapToGrid w:val="0"/>
        </w:rPr>
        <w:tab/>
        <w:t>Areas for swimming</w:t>
      </w:r>
      <w:bookmarkEnd w:id="22"/>
      <w:r>
        <w:rPr>
          <w:snapToGrid w:val="0"/>
        </w:rPr>
        <w:t xml:space="preserve"> </w:t>
      </w:r>
    </w:p>
    <w:p>
      <w:pPr>
        <w:pStyle w:val="Subsection"/>
        <w:rPr>
          <w:snapToGrid w:val="0"/>
        </w:rPr>
      </w:pPr>
      <w:r>
        <w:rPr>
          <w:snapToGrid w:val="0"/>
        </w:rPr>
        <w:tab/>
      </w:r>
      <w:r>
        <w:rPr>
          <w:snapToGrid w:val="0"/>
        </w:rPr>
        <w:tab/>
        <w:t xml:space="preserve">The </w:t>
      </w:r>
      <w:r>
        <w:t>Department</w:t>
      </w:r>
      <w:r>
        <w:rPr>
          <w:snapToGrid w:val="0"/>
        </w:rPr>
        <w:t xml:space="preserve">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SL 2024/191 r. 41.] </w:t>
      </w:r>
    </w:p>
    <w:p>
      <w:pPr>
        <w:pStyle w:val="Heading5"/>
        <w:keepLines w:val="0"/>
        <w:spacing w:before="180"/>
        <w:rPr>
          <w:snapToGrid w:val="0"/>
        </w:rPr>
      </w:pPr>
      <w:bookmarkStart w:id="23" w:name="_Toc196399782"/>
      <w:r>
        <w:rPr>
          <w:rStyle w:val="CharSectno"/>
        </w:rPr>
        <w:lastRenderedPageBreak/>
        <w:t>11</w:t>
      </w:r>
      <w:r>
        <w:rPr>
          <w:snapToGrid w:val="0"/>
        </w:rPr>
        <w:t>.</w:t>
      </w:r>
      <w:r>
        <w:rPr>
          <w:snapToGrid w:val="0"/>
        </w:rPr>
        <w:tab/>
        <w:t>Swimming from public jetty to be at own risk</w:t>
      </w:r>
      <w:bookmarkEnd w:id="23"/>
      <w:r>
        <w:rPr>
          <w:snapToGrid w:val="0"/>
        </w:rPr>
        <w:t xml:space="preserve"> </w:t>
      </w:r>
    </w:p>
    <w:p>
      <w:pPr>
        <w:pStyle w:val="Subsection"/>
        <w:spacing w:before="120"/>
        <w:rPr>
          <w:snapToGrid w:val="0"/>
        </w:rPr>
      </w:pPr>
      <w:r>
        <w:rPr>
          <w:snapToGrid w:val="0"/>
        </w:rPr>
        <w:tab/>
      </w:r>
      <w:r>
        <w:rPr>
          <w:snapToGrid w:val="0"/>
        </w:rPr>
        <w:tab/>
        <w:t xml:space="preserve">A person using or swimming from a public jetty shall do so at his own risk so far as liability of the Crown or the </w:t>
      </w:r>
      <w:r>
        <w:t>Department</w:t>
      </w:r>
      <w:r>
        <w:rPr>
          <w:snapToGrid w:val="0"/>
        </w:rPr>
        <w:t xml:space="preserve"> is concerned for any injury, loss or damage incurred by that person in his use of the jetty.</w:t>
      </w:r>
    </w:p>
    <w:p>
      <w:pPr>
        <w:pStyle w:val="Footnotesection"/>
      </w:pPr>
      <w:r>
        <w:tab/>
        <w:t>[Regulation 11 amended: SL 2024/191 r. 41.]</w:t>
      </w:r>
    </w:p>
    <w:p>
      <w:pPr>
        <w:pStyle w:val="Heading5"/>
        <w:spacing w:before="180"/>
        <w:rPr>
          <w:snapToGrid w:val="0"/>
        </w:rPr>
      </w:pPr>
      <w:bookmarkStart w:id="24" w:name="_Toc196399783"/>
      <w:r>
        <w:rPr>
          <w:rStyle w:val="CharSectno"/>
        </w:rPr>
        <w:t>12</w:t>
      </w:r>
      <w:r>
        <w:rPr>
          <w:snapToGrid w:val="0"/>
        </w:rPr>
        <w:t>.</w:t>
      </w:r>
      <w:r>
        <w:rPr>
          <w:snapToGrid w:val="0"/>
        </w:rPr>
        <w:tab/>
        <w:t>Regattas</w:t>
      </w:r>
      <w:bookmarkEnd w:id="24"/>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25" w:name="_Toc196399784"/>
      <w:r>
        <w:rPr>
          <w:rStyle w:val="CharSectno"/>
        </w:rPr>
        <w:t>13</w:t>
      </w:r>
      <w:r>
        <w:rPr>
          <w:snapToGrid w:val="0"/>
        </w:rPr>
        <w:t>.</w:t>
      </w:r>
      <w:r>
        <w:rPr>
          <w:snapToGrid w:val="0"/>
        </w:rPr>
        <w:tab/>
      </w:r>
      <w:r>
        <w:rPr>
          <w:i/>
          <w:iCs/>
        </w:rPr>
        <w:t>Prevention of Collisions in State Waters Regulations 1983</w:t>
      </w:r>
      <w:r>
        <w:t xml:space="preserve"> apply</w:t>
      </w:r>
      <w:bookmarkEnd w:id="25"/>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iCs/>
        </w:rPr>
        <w:t>Prevention of Collisions in State Waters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SL 2025/68 r. 4.] </w:t>
      </w:r>
    </w:p>
    <w:p>
      <w:pPr>
        <w:pStyle w:val="Heading5"/>
        <w:keepLines w:val="0"/>
        <w:spacing w:before="160"/>
        <w:rPr>
          <w:snapToGrid w:val="0"/>
        </w:rPr>
      </w:pPr>
      <w:bookmarkStart w:id="26" w:name="_Toc196399785"/>
      <w:r>
        <w:rPr>
          <w:rStyle w:val="CharSectno"/>
        </w:rPr>
        <w:lastRenderedPageBreak/>
        <w:t>14</w:t>
      </w:r>
      <w:r>
        <w:rPr>
          <w:snapToGrid w:val="0"/>
        </w:rPr>
        <w:t>.</w:t>
      </w:r>
      <w:r>
        <w:rPr>
          <w:snapToGrid w:val="0"/>
        </w:rPr>
        <w:tab/>
        <w:t>Vessel not to be used to cause nuisance or damage</w:t>
      </w:r>
      <w:bookmarkEnd w:id="26"/>
    </w:p>
    <w:p>
      <w:pPr>
        <w:pStyle w:val="Subsection"/>
        <w:keepNext/>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27" w:name="_Toc196399786"/>
      <w:r>
        <w:rPr>
          <w:rStyle w:val="CharSectno"/>
        </w:rPr>
        <w:t>14A</w:t>
      </w:r>
      <w:r>
        <w:rPr>
          <w:snapToGrid w:val="0"/>
        </w:rPr>
        <w:t>.</w:t>
      </w:r>
      <w:r>
        <w:rPr>
          <w:snapToGrid w:val="0"/>
        </w:rPr>
        <w:tab/>
        <w:t>Safe navigation of vessels</w:t>
      </w:r>
      <w:bookmarkEnd w:id="27"/>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28" w:name="_Toc196399787"/>
      <w:r>
        <w:rPr>
          <w:rStyle w:val="CharSectno"/>
        </w:rPr>
        <w:t>14B</w:t>
      </w:r>
      <w:r>
        <w:rPr>
          <w:snapToGrid w:val="0"/>
        </w:rPr>
        <w:t>.</w:t>
      </w:r>
      <w:r>
        <w:rPr>
          <w:snapToGrid w:val="0"/>
        </w:rPr>
        <w:tab/>
        <w:t>Passengers to keep within certain limits of vessel during navigation</w:t>
      </w:r>
      <w:bookmarkEnd w:id="28"/>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29" w:name="_Toc196399788"/>
      <w:r>
        <w:rPr>
          <w:rStyle w:val="CharSectno"/>
        </w:rPr>
        <w:t>15</w:t>
      </w:r>
      <w:r>
        <w:rPr>
          <w:snapToGrid w:val="0"/>
        </w:rPr>
        <w:t>.</w:t>
      </w:r>
      <w:r>
        <w:rPr>
          <w:snapToGrid w:val="0"/>
        </w:rPr>
        <w:tab/>
        <w:t>Towing vessels</w:t>
      </w:r>
      <w:bookmarkEnd w:id="29"/>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lastRenderedPageBreak/>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30" w:name="_Toc196399789"/>
      <w:r>
        <w:rPr>
          <w:rStyle w:val="CharSectno"/>
        </w:rPr>
        <w:t>16</w:t>
      </w:r>
      <w:r>
        <w:rPr>
          <w:snapToGrid w:val="0"/>
        </w:rPr>
        <w:t>.</w:t>
      </w:r>
      <w:r>
        <w:rPr>
          <w:snapToGrid w:val="0"/>
        </w:rPr>
        <w:tab/>
        <w:t>Inflammable liquid</w:t>
      </w:r>
      <w:bookmarkEnd w:id="30"/>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31" w:name="_Toc196399790"/>
      <w:r>
        <w:rPr>
          <w:rStyle w:val="CharSectno"/>
        </w:rPr>
        <w:t>17</w:t>
      </w:r>
      <w:r>
        <w:rPr>
          <w:snapToGrid w:val="0"/>
        </w:rPr>
        <w:t>.</w:t>
      </w:r>
      <w:r>
        <w:rPr>
          <w:snapToGrid w:val="0"/>
        </w:rPr>
        <w:tab/>
        <w:t>Two vessels leaving adjacent berths at the same time</w:t>
      </w:r>
      <w:bookmarkEnd w:id="31"/>
      <w:r>
        <w:rPr>
          <w:snapToGrid w:val="0"/>
        </w:rPr>
        <w:t xml:space="preserve"> </w:t>
      </w:r>
    </w:p>
    <w:p>
      <w:pPr>
        <w:pStyle w:val="Subsection"/>
        <w:rPr>
          <w:snapToGrid w:val="0"/>
        </w:rPr>
      </w:pPr>
      <w:r>
        <w:rPr>
          <w:snapToGrid w:val="0"/>
        </w:rPr>
        <w:tab/>
      </w:r>
      <w:r>
        <w:rPr>
          <w:snapToGrid w:val="0"/>
        </w:rPr>
        <w:tab/>
        <w:t xml:space="preserve">Where 2 or more vessels are scheduled to leave the same or adjoining jetties or berths at the same time, the vessel first </w:t>
      </w:r>
      <w:r>
        <w:t>underway has</w:t>
      </w:r>
      <w:r>
        <w:rPr>
          <w:snapToGrid w:val="0"/>
        </w:rPr>
        <w:t xml:space="preserve"> the right of way and the other vessel or vessels </w:t>
      </w:r>
      <w:r>
        <w:t>must</w:t>
      </w:r>
      <w:r>
        <w:rPr>
          <w:snapToGrid w:val="0"/>
        </w:rPr>
        <w:t xml:space="preserve"> remain stationary until the vessel first </w:t>
      </w:r>
      <w:r>
        <w:t>underway</w:t>
      </w:r>
      <w:r>
        <w:rPr>
          <w:snapToGrid w:val="0"/>
        </w:rPr>
        <w:t>is well clear.</w:t>
      </w:r>
    </w:p>
    <w:p>
      <w:pPr>
        <w:pStyle w:val="Footnotesection"/>
      </w:pPr>
      <w:r>
        <w:tab/>
        <w:t xml:space="preserve">[Regulation 17 amended: Gazette 24 Apr 1998 p. 2161; SL 2023/135 r. 6.] </w:t>
      </w:r>
    </w:p>
    <w:p>
      <w:pPr>
        <w:pStyle w:val="Heading5"/>
        <w:keepLines w:val="0"/>
        <w:spacing w:before="180"/>
        <w:rPr>
          <w:snapToGrid w:val="0"/>
        </w:rPr>
      </w:pPr>
      <w:bookmarkStart w:id="32" w:name="_Toc196399791"/>
      <w:r>
        <w:rPr>
          <w:rStyle w:val="CharSectno"/>
        </w:rPr>
        <w:lastRenderedPageBreak/>
        <w:t>18</w:t>
      </w:r>
      <w:r>
        <w:rPr>
          <w:snapToGrid w:val="0"/>
        </w:rPr>
        <w:t>.</w:t>
      </w:r>
      <w:r>
        <w:rPr>
          <w:snapToGrid w:val="0"/>
        </w:rPr>
        <w:tab/>
        <w:t>Right of way when approaching jetties</w:t>
      </w:r>
      <w:bookmarkEnd w:id="32"/>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33" w:name="_Toc196399792"/>
      <w:r>
        <w:rPr>
          <w:rStyle w:val="CharSectno"/>
        </w:rPr>
        <w:t>18A</w:t>
      </w:r>
      <w:r>
        <w:rPr>
          <w:snapToGrid w:val="0"/>
        </w:rPr>
        <w:t>.</w:t>
      </w:r>
      <w:r>
        <w:rPr>
          <w:snapToGrid w:val="0"/>
        </w:rPr>
        <w:tab/>
        <w:t>At least 2 persons to man sea going vessel</w:t>
      </w:r>
      <w:bookmarkEnd w:id="3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SL 2024/191 r. 8.] </w:t>
      </w:r>
    </w:p>
    <w:p>
      <w:pPr>
        <w:pStyle w:val="Ednotesection"/>
        <w:ind w:left="890" w:hanging="890"/>
      </w:pPr>
      <w:r>
        <w:t>[</w:t>
      </w:r>
      <w:r>
        <w:rPr>
          <w:b/>
        </w:rPr>
        <w:t>19.</w:t>
      </w:r>
      <w:r>
        <w:tab/>
        <w:t>Deleted: SL 2023/135 r. 7.]</w:t>
      </w:r>
    </w:p>
    <w:p>
      <w:pPr>
        <w:pStyle w:val="Heading5"/>
        <w:rPr>
          <w:snapToGrid w:val="0"/>
        </w:rPr>
      </w:pPr>
      <w:bookmarkStart w:id="34" w:name="_Toc196399793"/>
      <w:r>
        <w:rPr>
          <w:rStyle w:val="CharSectno"/>
        </w:rPr>
        <w:t>19A</w:t>
      </w:r>
      <w:r>
        <w:rPr>
          <w:snapToGrid w:val="0"/>
        </w:rPr>
        <w:t>.</w:t>
      </w:r>
      <w:r>
        <w:rPr>
          <w:snapToGrid w:val="0"/>
        </w:rPr>
        <w:tab/>
        <w:t>Speed limit in Swan and Canning Rivers</w:t>
      </w:r>
      <w:bookmarkEnd w:id="34"/>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35" w:name="_Toc196399794"/>
      <w:r>
        <w:rPr>
          <w:rStyle w:val="CharSectno"/>
        </w:rPr>
        <w:lastRenderedPageBreak/>
        <w:t>19B</w:t>
      </w:r>
      <w:r>
        <w:rPr>
          <w:snapToGrid w:val="0"/>
        </w:rPr>
        <w:t>.</w:t>
      </w:r>
      <w:r>
        <w:rPr>
          <w:snapToGrid w:val="0"/>
        </w:rPr>
        <w:tab/>
        <w:t>Use of signals and flares etc.</w:t>
      </w:r>
      <w:bookmarkEnd w:id="35"/>
      <w:r>
        <w:rPr>
          <w:snapToGrid w:val="0"/>
        </w:rPr>
        <w:t xml:space="preserve"> </w:t>
      </w:r>
    </w:p>
    <w:p>
      <w:pPr>
        <w:pStyle w:val="Subsection"/>
        <w:keepNext/>
        <w:keepLines/>
        <w:spacing w:before="180"/>
        <w:rPr>
          <w:snapToGrid w:val="0"/>
        </w:rPr>
      </w:pPr>
      <w:r>
        <w:rPr>
          <w:snapToGrid w:val="0"/>
        </w:rPr>
        <w:tab/>
      </w:r>
      <w:r>
        <w:rPr>
          <w:snapToGrid w:val="0"/>
        </w:rPr>
        <w:tab/>
        <w:t xml:space="preserve">A person shall not, except in the case of an emergency, or where a vessel is in distress and requires assistance, use or set off any signal, flare, rocket or other distress signal without having first obtained the written permission of the </w:t>
      </w:r>
      <w:r>
        <w:t>Department</w:t>
      </w:r>
      <w:r>
        <w:rPr>
          <w:snapToGrid w:val="0"/>
        </w:rPr>
        <w: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SL 2024/191 r. 41.] </w:t>
      </w:r>
    </w:p>
    <w:p>
      <w:pPr>
        <w:pStyle w:val="Heading5"/>
        <w:spacing w:before="240"/>
        <w:rPr>
          <w:snapToGrid w:val="0"/>
        </w:rPr>
      </w:pPr>
      <w:bookmarkStart w:id="36" w:name="_Toc196399795"/>
      <w:r>
        <w:rPr>
          <w:rStyle w:val="CharSectno"/>
        </w:rPr>
        <w:t>19C</w:t>
      </w:r>
      <w:r>
        <w:rPr>
          <w:snapToGrid w:val="0"/>
        </w:rPr>
        <w:t>.</w:t>
      </w:r>
      <w:r>
        <w:rPr>
          <w:snapToGrid w:val="0"/>
        </w:rPr>
        <w:tab/>
        <w:t>Master to display diving signals during diving</w:t>
      </w:r>
      <w:bookmarkEnd w:id="36"/>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37" w:name="_Toc196399796"/>
      <w:r>
        <w:rPr>
          <w:rStyle w:val="CharSectno"/>
        </w:rPr>
        <w:lastRenderedPageBreak/>
        <w:t>19D</w:t>
      </w:r>
      <w:r>
        <w:t>.</w:t>
      </w:r>
      <w:r>
        <w:tab/>
        <w:t>Person to display certain signals when diving otherwise than from vessel</w:t>
      </w:r>
      <w:bookmarkEnd w:id="37"/>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38" w:name="_Toc196399797"/>
      <w:r>
        <w:rPr>
          <w:rStyle w:val="CharSectno"/>
        </w:rPr>
        <w:t>19E</w:t>
      </w:r>
      <w:r>
        <w:rPr>
          <w:snapToGrid w:val="0"/>
        </w:rPr>
        <w:t>.</w:t>
      </w:r>
      <w:r>
        <w:rPr>
          <w:snapToGrid w:val="0"/>
        </w:rPr>
        <w:tab/>
        <w:t>Precautions when approaching diving operations</w:t>
      </w:r>
      <w:bookmarkEnd w:id="38"/>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lastRenderedPageBreak/>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keepNext/>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w:t>
      </w:r>
      <w:r>
        <w:lastRenderedPageBreak/>
        <w:t xml:space="preserve">least 50 m clear of that place or vessel, must, while in such a position — </w:t>
      </w:r>
    </w:p>
    <w:p>
      <w:pPr>
        <w:pStyle w:val="Indenta"/>
        <w:keepNext/>
        <w:rPr>
          <w:snapToGrid w:val="0"/>
        </w:rPr>
      </w:pPr>
      <w:r>
        <w:rPr>
          <w:snapToGrid w:val="0"/>
        </w:rPr>
        <w:tab/>
        <w:t>(a)</w:t>
      </w:r>
      <w:r>
        <w:rPr>
          <w:snapToGrid w:val="0"/>
        </w:rPr>
        <w:tab/>
        <w:t>proceed at a safe speed; and</w:t>
      </w:r>
    </w:p>
    <w:p>
      <w:pPr>
        <w:pStyle w:val="Indenta"/>
        <w:keepNext/>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39" w:name="_Toc196399798"/>
      <w:r>
        <w:rPr>
          <w:rStyle w:val="CharSectno"/>
        </w:rPr>
        <w:t>19F</w:t>
      </w:r>
      <w:r>
        <w:rPr>
          <w:snapToGrid w:val="0"/>
        </w:rPr>
        <w:t>.</w:t>
      </w:r>
      <w:r>
        <w:rPr>
          <w:snapToGrid w:val="0"/>
        </w:rPr>
        <w:tab/>
        <w:t>Owner of vessel to supply driver’s name and address</w:t>
      </w:r>
      <w:bookmarkEnd w:id="39"/>
      <w:r>
        <w:rPr>
          <w:snapToGrid w:val="0"/>
        </w:rPr>
        <w:t xml:space="preserve"> </w:t>
      </w:r>
    </w:p>
    <w:p>
      <w:pPr>
        <w:pStyle w:val="Subsection"/>
        <w:rPr>
          <w:snapToGrid w:val="0"/>
        </w:rPr>
      </w:pPr>
      <w:r>
        <w:rPr>
          <w:snapToGrid w:val="0"/>
        </w:rPr>
        <w:tab/>
        <w:t>(1)</w:t>
      </w:r>
      <w:r>
        <w:rPr>
          <w:snapToGrid w:val="0"/>
        </w:rPr>
        <w:tab/>
        <w:t xml:space="preserve">When it is alleged that a vessel has been involved in the commission of an offence against any of the provisions of these regulations, an officer of the </w:t>
      </w:r>
      <w:r>
        <w:t>Department</w:t>
      </w:r>
      <w:r>
        <w:rPr>
          <w:snapToGrid w:val="0"/>
        </w:rPr>
        <w:t xml:space="preserve"> may demand from the owner or person for the time being in charge of the vessel, the name and address of the driver of the vessel at the time of the alleged offence.</w:t>
      </w:r>
    </w:p>
    <w:p>
      <w:pPr>
        <w:pStyle w:val="Subsection"/>
        <w:keepNext/>
        <w:rPr>
          <w:snapToGrid w:val="0"/>
        </w:rPr>
      </w:pPr>
      <w:r>
        <w:rPr>
          <w:snapToGrid w:val="0"/>
        </w:rPr>
        <w:tab/>
        <w:t>(2)</w:t>
      </w:r>
      <w:r>
        <w:rPr>
          <w:snapToGrid w:val="0"/>
        </w:rPr>
        <w:tab/>
        <w:t xml:space="preserve">If the owner, or person for the time being in charge of the vessel, refuses on demand to identify or supply the name and address of the driver of the vessel he commits an offence unless </w:t>
      </w:r>
      <w:r>
        <w:rPr>
          <w:snapToGrid w:val="0"/>
        </w:rPr>
        <w:lastRenderedPageBreak/>
        <w:t>he can prove there are reasonable grounds for him not having knowledge of the driver’s identity.</w:t>
      </w:r>
    </w:p>
    <w:p>
      <w:pPr>
        <w:pStyle w:val="Penstart"/>
        <w:keepNex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SL 2024/191 r. 41.] </w:t>
      </w:r>
    </w:p>
    <w:p>
      <w:pPr>
        <w:pStyle w:val="Ednotesection"/>
      </w:pPr>
      <w:r>
        <w:t>[</w:t>
      </w:r>
      <w:r>
        <w:rPr>
          <w:b/>
          <w:bCs/>
        </w:rPr>
        <w:t>19G.</w:t>
      </w:r>
      <w:r>
        <w:tab/>
        <w:t>Deleted: SL 2024/191 r. 9.]</w:t>
      </w:r>
    </w:p>
    <w:p>
      <w:pPr>
        <w:pStyle w:val="Heading5"/>
        <w:rPr>
          <w:snapToGrid w:val="0"/>
        </w:rPr>
      </w:pPr>
      <w:bookmarkStart w:id="40" w:name="_Toc196399799"/>
      <w:r>
        <w:rPr>
          <w:rStyle w:val="CharSectno"/>
        </w:rPr>
        <w:t>19H</w:t>
      </w:r>
      <w:r>
        <w:rPr>
          <w:snapToGrid w:val="0"/>
        </w:rPr>
        <w:t>.</w:t>
      </w:r>
      <w:r>
        <w:rPr>
          <w:snapToGrid w:val="0"/>
        </w:rPr>
        <w:tab/>
        <w:t>Declaration of emergency vessel</w:t>
      </w:r>
      <w:bookmarkEnd w:id="40"/>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41" w:name="_Toc196399800"/>
      <w:r>
        <w:rPr>
          <w:rStyle w:val="CharSectno"/>
        </w:rPr>
        <w:lastRenderedPageBreak/>
        <w:t>19I</w:t>
      </w:r>
      <w:r>
        <w:rPr>
          <w:snapToGrid w:val="0"/>
        </w:rPr>
        <w:t>.</w:t>
      </w:r>
      <w:r>
        <w:rPr>
          <w:snapToGrid w:val="0"/>
        </w:rPr>
        <w:tab/>
        <w:t>Flashing blue lamps</w:t>
      </w:r>
      <w:bookmarkEnd w:id="41"/>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42" w:name="_Toc196399801"/>
      <w:r>
        <w:rPr>
          <w:rStyle w:val="CharSectno"/>
        </w:rPr>
        <w:t>20</w:t>
      </w:r>
      <w:r>
        <w:rPr>
          <w:snapToGrid w:val="0"/>
        </w:rPr>
        <w:t>.</w:t>
      </w:r>
      <w:r>
        <w:rPr>
          <w:snapToGrid w:val="0"/>
        </w:rPr>
        <w:tab/>
        <w:t>Penalties</w:t>
      </w:r>
      <w:bookmarkEnd w:id="42"/>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43" w:name="_Toc196395433"/>
      <w:bookmarkStart w:id="44" w:name="_Toc196396586"/>
      <w:bookmarkStart w:id="45" w:name="_Toc196399802"/>
      <w:r>
        <w:rPr>
          <w:rStyle w:val="CharPartNo"/>
        </w:rPr>
        <w:lastRenderedPageBreak/>
        <w:t>Part III</w:t>
      </w:r>
      <w:r>
        <w:rPr>
          <w:rStyle w:val="CharDivNo"/>
        </w:rPr>
        <w:t> </w:t>
      </w:r>
      <w:r>
        <w:t>—</w:t>
      </w:r>
      <w:r>
        <w:rPr>
          <w:rStyle w:val="CharDivText"/>
        </w:rPr>
        <w:t> </w:t>
      </w:r>
      <w:r>
        <w:rPr>
          <w:rStyle w:val="CharPartText"/>
        </w:rPr>
        <w:t>Use of public jetties</w:t>
      </w:r>
      <w:bookmarkEnd w:id="43"/>
      <w:bookmarkEnd w:id="44"/>
      <w:bookmarkEnd w:id="45"/>
      <w:r>
        <w:rPr>
          <w:rStyle w:val="CharPartText"/>
        </w:rPr>
        <w:t xml:space="preserve"> </w:t>
      </w:r>
    </w:p>
    <w:p>
      <w:pPr>
        <w:pStyle w:val="Heading5"/>
        <w:spacing w:before="180"/>
        <w:rPr>
          <w:snapToGrid w:val="0"/>
        </w:rPr>
      </w:pPr>
      <w:bookmarkStart w:id="46" w:name="_Toc196399803"/>
      <w:r>
        <w:rPr>
          <w:rStyle w:val="CharSectno"/>
        </w:rPr>
        <w:t>21</w:t>
      </w:r>
      <w:r>
        <w:rPr>
          <w:snapToGrid w:val="0"/>
        </w:rPr>
        <w:t>.</w:t>
      </w:r>
      <w:r>
        <w:rPr>
          <w:snapToGrid w:val="0"/>
        </w:rPr>
        <w:tab/>
        <w:t>Terms used</w:t>
      </w:r>
      <w:bookmarkEnd w:id="46"/>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47" w:name="_Toc196399804"/>
      <w:r>
        <w:rPr>
          <w:rStyle w:val="CharSectno"/>
        </w:rPr>
        <w:t>22</w:t>
      </w:r>
      <w:r>
        <w:rPr>
          <w:snapToGrid w:val="0"/>
        </w:rPr>
        <w:t>.</w:t>
      </w:r>
      <w:r>
        <w:rPr>
          <w:snapToGrid w:val="0"/>
        </w:rPr>
        <w:tab/>
        <w:t>Application of this Part</w:t>
      </w:r>
      <w:bookmarkEnd w:id="47"/>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48" w:name="_Toc196399805"/>
      <w:r>
        <w:rPr>
          <w:rStyle w:val="CharSectno"/>
        </w:rPr>
        <w:t>23</w:t>
      </w:r>
      <w:r>
        <w:rPr>
          <w:snapToGrid w:val="0"/>
        </w:rPr>
        <w:t>.</w:t>
      </w:r>
      <w:r>
        <w:rPr>
          <w:snapToGrid w:val="0"/>
        </w:rPr>
        <w:tab/>
        <w:t>Jetties to be in accordance with these regulations</w:t>
      </w:r>
      <w:bookmarkEnd w:id="48"/>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49" w:name="_Toc196399806"/>
      <w:r>
        <w:rPr>
          <w:rStyle w:val="CharSectno"/>
        </w:rPr>
        <w:t>24</w:t>
      </w:r>
      <w:r>
        <w:rPr>
          <w:snapToGrid w:val="0"/>
        </w:rPr>
        <w:t>.</w:t>
      </w:r>
      <w:r>
        <w:rPr>
          <w:snapToGrid w:val="0"/>
        </w:rPr>
        <w:tab/>
        <w:t>Vessels moored to jetties</w:t>
      </w:r>
      <w:bookmarkEnd w:id="49"/>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50" w:name="_Toc196399807"/>
      <w:r>
        <w:rPr>
          <w:rStyle w:val="CharSectno"/>
        </w:rPr>
        <w:lastRenderedPageBreak/>
        <w:t>25</w:t>
      </w:r>
      <w:r>
        <w:rPr>
          <w:snapToGrid w:val="0"/>
        </w:rPr>
        <w:t>.</w:t>
      </w:r>
      <w:r>
        <w:rPr>
          <w:snapToGrid w:val="0"/>
        </w:rPr>
        <w:tab/>
        <w:t>Vessels not to remain at jetties</w:t>
      </w:r>
      <w:bookmarkEnd w:id="50"/>
      <w:r>
        <w:rPr>
          <w:snapToGrid w:val="0"/>
        </w:rPr>
        <w:t xml:space="preserve"> </w:t>
      </w:r>
    </w:p>
    <w:p>
      <w:pPr>
        <w:pStyle w:val="Subsection"/>
        <w:spacing w:before="120"/>
        <w:rPr>
          <w:snapToGrid w:val="0"/>
        </w:rPr>
      </w:pPr>
      <w:r>
        <w:rPr>
          <w:snapToGrid w:val="0"/>
        </w:rPr>
        <w:tab/>
        <w:t>(a)</w:t>
      </w:r>
      <w:r>
        <w:rPr>
          <w:snapToGrid w:val="0"/>
        </w:rPr>
        <w:tab/>
        <w:t xml:space="preserve">Any vessel fastened to or alongside a jetty shall be removed forthwith on order for removal being given by an officer of the </w:t>
      </w:r>
      <w:r>
        <w:t>Department</w:t>
      </w:r>
      <w:r>
        <w:rPr>
          <w:snapToGrid w:val="0"/>
        </w:rPr>
        <w: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 xml:space="preserve">Except with the written permission of the </w:t>
      </w:r>
      <w:r>
        <w:t>Department</w:t>
      </w:r>
      <w:r>
        <w:rPr>
          <w:snapToGrid w:val="0"/>
        </w:rPr>
        <w:t>, no vessel shall remain alongside a jetty for the purpose of loading or discharging cargo between sunset and the next following sunrise.</w:t>
      </w:r>
    </w:p>
    <w:p>
      <w:pPr>
        <w:pStyle w:val="Footnotesection"/>
      </w:pPr>
      <w:r>
        <w:tab/>
        <w:t>[Regulation 25 amended: SL 2024/191 r. 41.]</w:t>
      </w:r>
    </w:p>
    <w:p>
      <w:pPr>
        <w:pStyle w:val="Heading5"/>
        <w:rPr>
          <w:snapToGrid w:val="0"/>
        </w:rPr>
      </w:pPr>
      <w:bookmarkStart w:id="51" w:name="_Toc196399808"/>
      <w:r>
        <w:rPr>
          <w:rStyle w:val="CharSectno"/>
        </w:rPr>
        <w:t>26</w:t>
      </w:r>
      <w:r>
        <w:rPr>
          <w:snapToGrid w:val="0"/>
        </w:rPr>
        <w:t>.</w:t>
      </w:r>
      <w:r>
        <w:rPr>
          <w:snapToGrid w:val="0"/>
        </w:rPr>
        <w:tab/>
        <w:t>Cargo or property not to be left on jetties</w:t>
      </w:r>
      <w:bookmarkEnd w:id="51"/>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 xml:space="preserve">Property on a jetty shall be forthwith removed therefrom upon demand by an officer of the </w:t>
      </w:r>
      <w:r>
        <w:t>Department</w:t>
      </w:r>
      <w:r>
        <w:rPr>
          <w:snapToGrid w:val="0"/>
        </w:rPr>
        <w: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 xml:space="preserve">Property which remains on a jetty contrary to this regulation may be removed by an officer of the </w:t>
      </w:r>
      <w:r>
        <w:t>Department</w:t>
      </w:r>
      <w:r>
        <w:rPr>
          <w:snapToGrid w:val="0"/>
        </w:rPr>
        <w:t xml:space="preserve">, and the cost of removal and of any subsequent storage of the property shall </w:t>
      </w:r>
      <w:r>
        <w:rPr>
          <w:snapToGrid w:val="0"/>
        </w:rPr>
        <w:lastRenderedPageBreak/>
        <w:t xml:space="preserve">be deemed to be a debt to the </w:t>
      </w:r>
      <w:r>
        <w:t>State</w:t>
      </w:r>
      <w:r>
        <w:rPr>
          <w:snapToGrid w:val="0"/>
        </w:rPr>
        <w:t xml:space="preserve"> payable jointly and severally by the owner, consignor and consignee of the property, and may be recovered by action in a court of competent jurisdiction.</w:t>
      </w:r>
    </w:p>
    <w:p>
      <w:pPr>
        <w:pStyle w:val="Footnotesection"/>
      </w:pPr>
      <w:r>
        <w:tab/>
        <w:t>[Regulation 26 amended: SL 2024/191 r. 10 and 41.]</w:t>
      </w:r>
    </w:p>
    <w:p>
      <w:pPr>
        <w:pStyle w:val="Heading5"/>
        <w:keepLines w:val="0"/>
        <w:rPr>
          <w:snapToGrid w:val="0"/>
        </w:rPr>
      </w:pPr>
      <w:bookmarkStart w:id="52" w:name="_Toc196399809"/>
      <w:r>
        <w:rPr>
          <w:rStyle w:val="CharSectno"/>
        </w:rPr>
        <w:t>27</w:t>
      </w:r>
      <w:r>
        <w:rPr>
          <w:snapToGrid w:val="0"/>
        </w:rPr>
        <w:t>.</w:t>
      </w:r>
      <w:r>
        <w:rPr>
          <w:snapToGrid w:val="0"/>
        </w:rPr>
        <w:tab/>
        <w:t>Explosives not to be landed on jetties</w:t>
      </w:r>
      <w:bookmarkEnd w:id="52"/>
      <w:r>
        <w:rPr>
          <w:snapToGrid w:val="0"/>
        </w:rPr>
        <w:t xml:space="preserve"> </w:t>
      </w:r>
    </w:p>
    <w:p>
      <w:pPr>
        <w:pStyle w:val="Subsection"/>
        <w:rPr>
          <w:snapToGrid w:val="0"/>
        </w:rPr>
      </w:pPr>
      <w:r>
        <w:rPr>
          <w:snapToGrid w:val="0"/>
        </w:rPr>
        <w:tab/>
      </w:r>
      <w:r>
        <w:rPr>
          <w:snapToGrid w:val="0"/>
        </w:rPr>
        <w:tab/>
        <w:t xml:space="preserve">Without the permission of the </w:t>
      </w:r>
      <w:r>
        <w:t>Department</w:t>
      </w:r>
      <w:r>
        <w:rPr>
          <w:snapToGrid w:val="0"/>
        </w:rPr>
        <w: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SL 2024/191 r. 41.] </w:t>
      </w:r>
    </w:p>
    <w:p>
      <w:pPr>
        <w:pStyle w:val="Heading5"/>
        <w:keepNext w:val="0"/>
        <w:keepLines w:val="0"/>
        <w:rPr>
          <w:snapToGrid w:val="0"/>
        </w:rPr>
      </w:pPr>
      <w:bookmarkStart w:id="53" w:name="_Toc196399810"/>
      <w:r>
        <w:rPr>
          <w:rStyle w:val="CharSectno"/>
        </w:rPr>
        <w:t>28</w:t>
      </w:r>
      <w:r>
        <w:rPr>
          <w:snapToGrid w:val="0"/>
        </w:rPr>
        <w:t>.</w:t>
      </w:r>
      <w:r>
        <w:rPr>
          <w:snapToGrid w:val="0"/>
        </w:rPr>
        <w:tab/>
        <w:t>Vehicles and bicycles on jetties</w:t>
      </w:r>
      <w:bookmarkEnd w:id="53"/>
      <w:r>
        <w:rPr>
          <w:snapToGrid w:val="0"/>
        </w:rPr>
        <w:t xml:space="preserve"> </w:t>
      </w:r>
    </w:p>
    <w:p>
      <w:pPr>
        <w:pStyle w:val="Subsection"/>
        <w:rPr>
          <w:snapToGrid w:val="0"/>
        </w:rPr>
      </w:pPr>
      <w:r>
        <w:rPr>
          <w:snapToGrid w:val="0"/>
        </w:rPr>
        <w:tab/>
        <w:t>(a)</w:t>
      </w:r>
      <w:r>
        <w:rPr>
          <w:snapToGrid w:val="0"/>
        </w:rPr>
        <w:tab/>
        <w:t xml:space="preserve">No vehicle shall be driven on to or be or remain on a jetty without permission of an officer of the </w:t>
      </w:r>
      <w:r>
        <w:t>Department</w:t>
      </w:r>
      <w:r>
        <w:rPr>
          <w:snapToGrid w:val="0"/>
        </w:rPr>
        <w:t>.</w:t>
      </w:r>
    </w:p>
    <w:p>
      <w:pPr>
        <w:pStyle w:val="Subsection"/>
        <w:rPr>
          <w:snapToGrid w:val="0"/>
        </w:rPr>
      </w:pPr>
      <w:r>
        <w:rPr>
          <w:snapToGrid w:val="0"/>
        </w:rPr>
        <w:tab/>
        <w:t>(b)</w:t>
      </w:r>
      <w:r>
        <w:rPr>
          <w:snapToGrid w:val="0"/>
        </w:rPr>
        <w:tab/>
        <w:t>No person shall ride or have a bicycle on any jetty.</w:t>
      </w:r>
    </w:p>
    <w:p>
      <w:pPr>
        <w:pStyle w:val="Footnotesection"/>
      </w:pPr>
      <w:r>
        <w:tab/>
        <w:t>[Regulation 28 amended: SL 2024/191 r. 41.]</w:t>
      </w:r>
    </w:p>
    <w:p>
      <w:pPr>
        <w:pStyle w:val="Heading5"/>
        <w:rPr>
          <w:snapToGrid w:val="0"/>
        </w:rPr>
      </w:pPr>
      <w:bookmarkStart w:id="54" w:name="_Toc196399811"/>
      <w:r>
        <w:rPr>
          <w:rStyle w:val="CharSectno"/>
        </w:rPr>
        <w:t>29</w:t>
      </w:r>
      <w:r>
        <w:rPr>
          <w:snapToGrid w:val="0"/>
        </w:rPr>
        <w:t>.</w:t>
      </w:r>
      <w:r>
        <w:rPr>
          <w:snapToGrid w:val="0"/>
        </w:rPr>
        <w:tab/>
        <w:t>Written permission required for bulk cargoes</w:t>
      </w:r>
      <w:bookmarkEnd w:id="54"/>
      <w:r>
        <w:rPr>
          <w:snapToGrid w:val="0"/>
        </w:rPr>
        <w:t xml:space="preserve"> </w:t>
      </w:r>
    </w:p>
    <w:p>
      <w:pPr>
        <w:pStyle w:val="Subsection"/>
        <w:rPr>
          <w:snapToGrid w:val="0"/>
        </w:rPr>
      </w:pPr>
      <w:r>
        <w:rPr>
          <w:snapToGrid w:val="0"/>
        </w:rPr>
        <w:tab/>
        <w:t>(a)</w:t>
      </w:r>
      <w:r>
        <w:rPr>
          <w:snapToGrid w:val="0"/>
        </w:rPr>
        <w:tab/>
        <w:t xml:space="preserve">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w:t>
      </w:r>
      <w:r>
        <w:t>Department</w:t>
      </w:r>
      <w:r>
        <w:rPr>
          <w:snapToGrid w:val="0"/>
        </w:rPr>
        <w: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Footnotesection"/>
      </w:pPr>
      <w:r>
        <w:tab/>
        <w:t>[Regulation 29 amended: SL 2024/191 r. 41.]</w:t>
      </w:r>
    </w:p>
    <w:p>
      <w:pPr>
        <w:pStyle w:val="Heading5"/>
        <w:rPr>
          <w:snapToGrid w:val="0"/>
        </w:rPr>
      </w:pPr>
      <w:bookmarkStart w:id="55" w:name="_Toc196399812"/>
      <w:r>
        <w:rPr>
          <w:rStyle w:val="CharSectno"/>
        </w:rPr>
        <w:lastRenderedPageBreak/>
        <w:t>30</w:t>
      </w:r>
      <w:r>
        <w:rPr>
          <w:snapToGrid w:val="0"/>
        </w:rPr>
        <w:t>.</w:t>
      </w:r>
      <w:r>
        <w:rPr>
          <w:snapToGrid w:val="0"/>
        </w:rPr>
        <w:tab/>
        <w:t>Damage to jetties</w:t>
      </w:r>
      <w:bookmarkEnd w:id="55"/>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 xml:space="preserve">Where damage to a jetty is caused by an owner or by a person employed by him, the </w:t>
      </w:r>
      <w:r>
        <w:t>Department</w:t>
      </w:r>
      <w:r>
        <w:rPr>
          <w:snapToGrid w:val="0"/>
        </w:rPr>
        <w:t xml:space="preserve"> may repair the damage and the cost of such repairs shall be a debt due to the </w:t>
      </w:r>
      <w:r>
        <w:t>State</w:t>
      </w:r>
      <w:r>
        <w:rPr>
          <w:snapToGrid w:val="0"/>
        </w:rPr>
        <w:t xml:space="preserve"> and payable by the owner and may be recovered in a court of competent jurisdiction.</w:t>
      </w:r>
    </w:p>
    <w:p>
      <w:pPr>
        <w:pStyle w:val="Footnotesection"/>
      </w:pPr>
      <w:r>
        <w:tab/>
        <w:t>[Regulation 30 amended: SL 2024/191 r. 11.]</w:t>
      </w:r>
    </w:p>
    <w:p>
      <w:pPr>
        <w:pStyle w:val="Heading5"/>
        <w:spacing w:before="180"/>
        <w:rPr>
          <w:snapToGrid w:val="0"/>
        </w:rPr>
      </w:pPr>
      <w:bookmarkStart w:id="56" w:name="_Toc196399813"/>
      <w:r>
        <w:rPr>
          <w:rStyle w:val="CharSectno"/>
        </w:rPr>
        <w:t>31</w:t>
      </w:r>
      <w:r>
        <w:rPr>
          <w:snapToGrid w:val="0"/>
        </w:rPr>
        <w:t>.</w:t>
      </w:r>
      <w:r>
        <w:rPr>
          <w:snapToGrid w:val="0"/>
        </w:rPr>
        <w:tab/>
        <w:t>Fishing from public bridges and jetties</w:t>
      </w:r>
      <w:bookmarkEnd w:id="56"/>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57" w:name="_Toc196399814"/>
      <w:r>
        <w:rPr>
          <w:rStyle w:val="CharSectno"/>
        </w:rPr>
        <w:t>32</w:t>
      </w:r>
      <w:r>
        <w:rPr>
          <w:snapToGrid w:val="0"/>
        </w:rPr>
        <w:t>.</w:t>
      </w:r>
      <w:r>
        <w:rPr>
          <w:snapToGrid w:val="0"/>
        </w:rPr>
        <w:tab/>
        <w:t>Hawking, meetings etc. prohibited</w:t>
      </w:r>
      <w:bookmarkEnd w:id="5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 xml:space="preserve">without the consent of the </w:t>
      </w:r>
      <w:r>
        <w:t>Department</w:t>
      </w:r>
      <w:r>
        <w:rPr>
          <w:snapToGrid w:val="0"/>
        </w:rPr>
        <w: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 xml:space="preserve">without the consent of the </w:t>
      </w:r>
      <w:r>
        <w:t>Department</w:t>
      </w:r>
      <w:r>
        <w:rPr>
          <w:snapToGrid w:val="0"/>
        </w:rPr>
        <w:t>, display any sign or advertisement or use any loud speaking device, on a jetty; or</w:t>
      </w:r>
    </w:p>
    <w:p>
      <w:pPr>
        <w:pStyle w:val="Indenta"/>
        <w:keepNext/>
        <w:rPr>
          <w:snapToGrid w:val="0"/>
        </w:rPr>
      </w:pPr>
      <w:r>
        <w:rPr>
          <w:snapToGrid w:val="0"/>
        </w:rPr>
        <w:lastRenderedPageBreak/>
        <w:tab/>
        <w:t>(d)</w:t>
      </w:r>
      <w:r>
        <w:rPr>
          <w:snapToGrid w:val="0"/>
        </w:rPr>
        <w:tab/>
        <w:t>so conduct himself as to interfere with free movement of persons entering upon or leaving a jetty.</w:t>
      </w:r>
    </w:p>
    <w:p>
      <w:pPr>
        <w:pStyle w:val="Footnotesection"/>
      </w:pPr>
      <w:r>
        <w:tab/>
        <w:t xml:space="preserve">[Regulation 32 inserted: Gazette 23 Mar 1967 p. 815; amended: SL 2024/191 r. 41.] </w:t>
      </w:r>
    </w:p>
    <w:p>
      <w:pPr>
        <w:pStyle w:val="Heading5"/>
        <w:rPr>
          <w:snapToGrid w:val="0"/>
        </w:rPr>
      </w:pPr>
      <w:bookmarkStart w:id="58" w:name="_Toc196399815"/>
      <w:r>
        <w:rPr>
          <w:rStyle w:val="CharSectno"/>
        </w:rPr>
        <w:t>33</w:t>
      </w:r>
      <w:r>
        <w:rPr>
          <w:snapToGrid w:val="0"/>
        </w:rPr>
        <w:t>.</w:t>
      </w:r>
      <w:r>
        <w:rPr>
          <w:snapToGrid w:val="0"/>
        </w:rPr>
        <w:tab/>
        <w:t>Gangways to be provided</w:t>
      </w:r>
      <w:bookmarkEnd w:id="58"/>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keepNext/>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59" w:name="_Toc196399816"/>
      <w:r>
        <w:rPr>
          <w:rStyle w:val="CharSectno"/>
        </w:rPr>
        <w:t>34</w:t>
      </w:r>
      <w:r>
        <w:rPr>
          <w:snapToGrid w:val="0"/>
        </w:rPr>
        <w:t>.</w:t>
      </w:r>
      <w:r>
        <w:rPr>
          <w:snapToGrid w:val="0"/>
        </w:rPr>
        <w:tab/>
        <w:t>Material not to be removed without permission</w:t>
      </w:r>
      <w:bookmarkEnd w:id="59"/>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60" w:name="_Toc196399817"/>
      <w:r>
        <w:rPr>
          <w:rStyle w:val="CharSectno"/>
        </w:rPr>
        <w:t>35</w:t>
      </w:r>
      <w:r>
        <w:rPr>
          <w:snapToGrid w:val="0"/>
        </w:rPr>
        <w:t>.</w:t>
      </w:r>
      <w:r>
        <w:rPr>
          <w:snapToGrid w:val="0"/>
        </w:rPr>
        <w:tab/>
        <w:t>Obstruction of jetties or officer</w:t>
      </w:r>
      <w:bookmarkEnd w:id="60"/>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w:t>
      </w:r>
      <w:r>
        <w:t>Department</w:t>
      </w:r>
      <w:r>
        <w:rPr>
          <w:snapToGrid w:val="0"/>
        </w:rPr>
        <w:t xml:space="preserve">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keepLines/>
        <w:rPr>
          <w:snapToGrid w:val="0"/>
        </w:rPr>
      </w:pPr>
      <w:r>
        <w:rPr>
          <w:snapToGrid w:val="0"/>
        </w:rPr>
        <w:lastRenderedPageBreak/>
        <w:tab/>
        <w:t>(b)</w:t>
      </w:r>
      <w:r>
        <w:rPr>
          <w:snapToGrid w:val="0"/>
        </w:rPr>
        <w:tab/>
        <w:t xml:space="preserve">No person shall obstruct any representative, officer or workman of the </w:t>
      </w:r>
      <w:r>
        <w:t>Department</w:t>
      </w:r>
      <w:r>
        <w:rPr>
          <w:snapToGrid w:val="0"/>
        </w:rPr>
        <w:t xml:space="preserve">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SL 2024/191 r. 12.] </w:t>
      </w:r>
    </w:p>
    <w:p>
      <w:pPr>
        <w:pStyle w:val="Heading5"/>
        <w:rPr>
          <w:snapToGrid w:val="0"/>
        </w:rPr>
      </w:pPr>
      <w:bookmarkStart w:id="61" w:name="_Toc196399818"/>
      <w:r>
        <w:rPr>
          <w:rStyle w:val="CharSectno"/>
        </w:rPr>
        <w:t>36</w:t>
      </w:r>
      <w:r>
        <w:rPr>
          <w:snapToGrid w:val="0"/>
        </w:rPr>
        <w:t>.</w:t>
      </w:r>
      <w:r>
        <w:rPr>
          <w:snapToGrid w:val="0"/>
        </w:rPr>
        <w:tab/>
        <w:t>Penalties</w:t>
      </w:r>
      <w:bookmarkEnd w:id="61"/>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62" w:name="_Toc196395450"/>
      <w:bookmarkStart w:id="63" w:name="_Toc196396603"/>
      <w:bookmarkStart w:id="64" w:name="_Toc196399819"/>
      <w:r>
        <w:rPr>
          <w:rStyle w:val="CharPartNo"/>
        </w:rPr>
        <w:lastRenderedPageBreak/>
        <w:t>Part IV</w:t>
      </w:r>
      <w:r>
        <w:rPr>
          <w:rStyle w:val="CharDivNo"/>
        </w:rPr>
        <w:t> </w:t>
      </w:r>
      <w:r>
        <w:t>—</w:t>
      </w:r>
      <w:r>
        <w:rPr>
          <w:rStyle w:val="CharDivText"/>
        </w:rPr>
        <w:t> </w:t>
      </w:r>
      <w:r>
        <w:rPr>
          <w:rStyle w:val="CharPartText"/>
        </w:rPr>
        <w:t>Berthing and mooring</w:t>
      </w:r>
      <w:bookmarkEnd w:id="62"/>
      <w:bookmarkEnd w:id="63"/>
      <w:bookmarkEnd w:id="64"/>
      <w:r>
        <w:rPr>
          <w:rStyle w:val="CharPartText"/>
        </w:rPr>
        <w:t xml:space="preserve"> </w:t>
      </w:r>
    </w:p>
    <w:p>
      <w:pPr>
        <w:pStyle w:val="Heading5"/>
        <w:rPr>
          <w:snapToGrid w:val="0"/>
        </w:rPr>
      </w:pPr>
      <w:bookmarkStart w:id="65" w:name="_Toc196399820"/>
      <w:r>
        <w:rPr>
          <w:rStyle w:val="CharSectno"/>
        </w:rPr>
        <w:t>37</w:t>
      </w:r>
      <w:r>
        <w:rPr>
          <w:snapToGrid w:val="0"/>
        </w:rPr>
        <w:t>.</w:t>
      </w:r>
      <w:r>
        <w:rPr>
          <w:snapToGrid w:val="0"/>
        </w:rPr>
        <w:tab/>
        <w:t>Application of this Part</w:t>
      </w:r>
      <w:bookmarkEnd w:id="65"/>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pPr>
      <w:bookmarkStart w:id="66" w:name="_Toc196399821"/>
      <w:r>
        <w:rPr>
          <w:rStyle w:val="CharSectno"/>
        </w:rPr>
        <w:t>38</w:t>
      </w:r>
      <w:r>
        <w:t>.</w:t>
      </w:r>
      <w:r>
        <w:tab/>
        <w:t>Vessels to be moored, berthed or removed as directed</w:t>
      </w:r>
      <w:bookmarkEnd w:id="66"/>
    </w:p>
    <w:p>
      <w:pPr>
        <w:pStyle w:val="Subsection"/>
      </w:pPr>
      <w:r>
        <w:tab/>
        <w:t>(1)</w:t>
      </w:r>
      <w:r>
        <w:tab/>
        <w:t>If directed to do so by an officer of the Department, the owner, master or person in charge of a vessel must moor or berth the vessel in a place and in a manner as directed.</w:t>
      </w:r>
    </w:p>
    <w:p>
      <w:pPr>
        <w:pStyle w:val="Subsection"/>
      </w:pPr>
      <w:r>
        <w:tab/>
        <w:t>(2)</w:t>
      </w:r>
      <w:r>
        <w:tab/>
        <w:t>If directed to do so by an officer of the Department, the owner, master or person in charge of a vessel must remove the vessel or its mooring, or both, in accordance with the direction.</w:t>
      </w:r>
    </w:p>
    <w:p>
      <w:pPr>
        <w:pStyle w:val="Subsection"/>
      </w:pPr>
      <w:r>
        <w:tab/>
        <w:t>(3)</w:t>
      </w:r>
      <w:r>
        <w:tab/>
        <w:t>If the owner, master or person in charge of a vessel fails to remove a vessel or its mooring as required by subregulation (2) —</w:t>
      </w:r>
    </w:p>
    <w:p>
      <w:pPr>
        <w:pStyle w:val="Indenta"/>
      </w:pPr>
      <w:r>
        <w:tab/>
        <w:t>(a)</w:t>
      </w:r>
      <w:r>
        <w:tab/>
        <w:t xml:space="preserve">an officer may move or cause to be moved the vessel or mooring or both; and </w:t>
      </w:r>
    </w:p>
    <w:p>
      <w:pPr>
        <w:pStyle w:val="Indenta"/>
      </w:pPr>
      <w:r>
        <w:tab/>
        <w:t>(b)</w:t>
      </w:r>
      <w:r>
        <w:tab/>
        <w:t>the cost of moving the vessel or its mooring or both is recoverable from the owner, master or person in charge of the vessel in a court of competent jurisdiction as a debt due to the State.</w:t>
      </w:r>
    </w:p>
    <w:p>
      <w:pPr>
        <w:pStyle w:val="Subsection"/>
      </w:pPr>
      <w:r>
        <w:tab/>
        <w:t>(4)</w:t>
      </w:r>
      <w:r>
        <w:tab/>
        <w:t>Subregulation 3(b) does not limit regulation 40.</w:t>
      </w:r>
    </w:p>
    <w:p>
      <w:pPr>
        <w:pStyle w:val="Subsection"/>
      </w:pPr>
      <w:r>
        <w:tab/>
        <w:t>(5)</w:t>
      </w:r>
      <w:r>
        <w:tab/>
        <w:t>An officer of the Department may, without the knowledge or consent of the owner, master or person in charge of a vessel, move or cause to be moved the vessel or its mooring or both if the officer considers that it is necessary to do so.</w:t>
      </w:r>
    </w:p>
    <w:p>
      <w:pPr>
        <w:pStyle w:val="Footnotesection"/>
      </w:pPr>
      <w:r>
        <w:tab/>
        <w:t>[Regulation 38 inserted: SL 2024/191 r. 13.]</w:t>
      </w:r>
    </w:p>
    <w:p>
      <w:pPr>
        <w:pStyle w:val="Heading5"/>
        <w:rPr>
          <w:snapToGrid w:val="0"/>
        </w:rPr>
      </w:pPr>
      <w:bookmarkStart w:id="67" w:name="_Toc196399822"/>
      <w:r>
        <w:rPr>
          <w:rStyle w:val="CharSectno"/>
        </w:rPr>
        <w:lastRenderedPageBreak/>
        <w:t>39</w:t>
      </w:r>
      <w:r>
        <w:rPr>
          <w:snapToGrid w:val="0"/>
        </w:rPr>
        <w:t>.</w:t>
      </w:r>
      <w:r>
        <w:rPr>
          <w:snapToGrid w:val="0"/>
        </w:rPr>
        <w:tab/>
        <w:t>Vessels and moorings not to be interfered with</w:t>
      </w:r>
      <w:bookmarkEnd w:id="67"/>
      <w:r>
        <w:rPr>
          <w:snapToGrid w:val="0"/>
        </w:rPr>
        <w:t xml:space="preserve"> </w:t>
      </w:r>
    </w:p>
    <w:p>
      <w:pPr>
        <w:pStyle w:val="Subsection"/>
        <w:rPr>
          <w:snapToGrid w:val="0"/>
        </w:rPr>
      </w:pPr>
      <w:r>
        <w:rPr>
          <w:snapToGrid w:val="0"/>
        </w:rPr>
        <w:tab/>
      </w:r>
      <w:r>
        <w:rPr>
          <w:snapToGrid w:val="0"/>
        </w:rPr>
        <w:tab/>
        <w:t xml:space="preserve">No person shall, without the consent of the </w:t>
      </w:r>
      <w:r>
        <w:t>Department</w:t>
      </w:r>
      <w:r>
        <w:rPr>
          <w:snapToGrid w:val="0"/>
        </w:rPr>
        <w:t>, or of the owner of a vessel, move, let go or otherwise interfere with a vessel or its moorings.</w:t>
      </w:r>
    </w:p>
    <w:p>
      <w:pPr>
        <w:pStyle w:val="Footnotesection"/>
      </w:pPr>
      <w:r>
        <w:tab/>
        <w:t>[Regulation 39 amended: SL 2024/191 r. 41.]</w:t>
      </w:r>
    </w:p>
    <w:p>
      <w:pPr>
        <w:pStyle w:val="Heading5"/>
        <w:rPr>
          <w:snapToGrid w:val="0"/>
        </w:rPr>
      </w:pPr>
      <w:bookmarkStart w:id="68" w:name="_Toc196399823"/>
      <w:r>
        <w:rPr>
          <w:rStyle w:val="CharSectno"/>
        </w:rPr>
        <w:t>40</w:t>
      </w:r>
      <w:r>
        <w:rPr>
          <w:snapToGrid w:val="0"/>
        </w:rPr>
        <w:t>.</w:t>
      </w:r>
      <w:r>
        <w:rPr>
          <w:snapToGrid w:val="0"/>
        </w:rPr>
        <w:tab/>
        <w:t>Penalties</w:t>
      </w:r>
      <w:bookmarkEnd w:id="68"/>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69" w:name="_Toc196395455"/>
      <w:bookmarkStart w:id="70" w:name="_Toc196396608"/>
      <w:bookmarkStart w:id="71" w:name="_Toc196399824"/>
      <w:r>
        <w:rPr>
          <w:rStyle w:val="CharPartNo"/>
        </w:rPr>
        <w:lastRenderedPageBreak/>
        <w:t>Part V</w:t>
      </w:r>
      <w:r>
        <w:rPr>
          <w:rStyle w:val="CharDivNo"/>
        </w:rPr>
        <w:t> </w:t>
      </w:r>
      <w:r>
        <w:t>—</w:t>
      </w:r>
      <w:r>
        <w:rPr>
          <w:rStyle w:val="CharDivText"/>
        </w:rPr>
        <w:t> </w:t>
      </w:r>
      <w:r>
        <w:rPr>
          <w:rStyle w:val="CharPartText"/>
        </w:rPr>
        <w:t>Obstruction and wrecks</w:t>
      </w:r>
      <w:bookmarkEnd w:id="69"/>
      <w:bookmarkEnd w:id="70"/>
      <w:bookmarkEnd w:id="71"/>
      <w:r>
        <w:rPr>
          <w:rStyle w:val="CharPartText"/>
        </w:rPr>
        <w:t xml:space="preserve"> </w:t>
      </w:r>
    </w:p>
    <w:p>
      <w:pPr>
        <w:pStyle w:val="Heading5"/>
        <w:rPr>
          <w:snapToGrid w:val="0"/>
        </w:rPr>
      </w:pPr>
      <w:bookmarkStart w:id="72" w:name="_Toc196399825"/>
      <w:r>
        <w:rPr>
          <w:rStyle w:val="CharSectno"/>
        </w:rPr>
        <w:t>41</w:t>
      </w:r>
      <w:r>
        <w:rPr>
          <w:snapToGrid w:val="0"/>
        </w:rPr>
        <w:t>.</w:t>
      </w:r>
      <w:r>
        <w:rPr>
          <w:snapToGrid w:val="0"/>
        </w:rPr>
        <w:tab/>
        <w:t>Application of this Part</w:t>
      </w:r>
      <w:bookmarkEnd w:id="72"/>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73" w:name="_Toc196399826"/>
      <w:r>
        <w:rPr>
          <w:rStyle w:val="CharSectno"/>
        </w:rPr>
        <w:t>42</w:t>
      </w:r>
      <w:r>
        <w:rPr>
          <w:snapToGrid w:val="0"/>
        </w:rPr>
        <w:t>.</w:t>
      </w:r>
      <w:r>
        <w:rPr>
          <w:snapToGrid w:val="0"/>
        </w:rPr>
        <w:tab/>
        <w:t>Vessels not to be moored in fairway or channel</w:t>
      </w:r>
      <w:bookmarkEnd w:id="73"/>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 xml:space="preserve">Where an anchor has been slipped or let go from a vessel in distress in a fairway or channel, the </w:t>
      </w:r>
      <w:r>
        <w:t>owner, master or person in charge</w:t>
      </w:r>
      <w:r>
        <w:rPr>
          <w:snapToGrid w:val="0"/>
        </w:rPr>
        <w:t xml:space="preserve">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 xml:space="preserve">No person shall place a cable, rope or other obstruction in or across a fairway or channel without the permission in writing of the </w:t>
      </w:r>
      <w:r>
        <w:t>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Footnotesection"/>
      </w:pPr>
      <w:r>
        <w:tab/>
        <w:t>[Regulation 42 amended: SL 2024/191 r. 14.]</w:t>
      </w:r>
    </w:p>
    <w:p>
      <w:pPr>
        <w:pStyle w:val="Heading5"/>
        <w:rPr>
          <w:snapToGrid w:val="0"/>
        </w:rPr>
      </w:pPr>
      <w:bookmarkStart w:id="74" w:name="_Toc196399827"/>
      <w:r>
        <w:rPr>
          <w:rStyle w:val="CharSectno"/>
        </w:rPr>
        <w:t>43</w:t>
      </w:r>
      <w:r>
        <w:rPr>
          <w:snapToGrid w:val="0"/>
        </w:rPr>
        <w:t>.</w:t>
      </w:r>
      <w:r>
        <w:rPr>
          <w:snapToGrid w:val="0"/>
        </w:rPr>
        <w:tab/>
        <w:t>Channels or fairways not to be obstructed by nets etc.</w:t>
      </w:r>
      <w:bookmarkEnd w:id="74"/>
      <w:r>
        <w:rPr>
          <w:snapToGrid w:val="0"/>
        </w:rPr>
        <w:t xml:space="preserve"> </w:t>
      </w:r>
    </w:p>
    <w:p>
      <w:pPr>
        <w:pStyle w:val="Subsection"/>
        <w:rPr>
          <w:snapToGrid w:val="0"/>
        </w:rPr>
      </w:pPr>
      <w:r>
        <w:rPr>
          <w:snapToGrid w:val="0"/>
        </w:rPr>
        <w:tab/>
        <w:t>(a)</w:t>
      </w:r>
      <w:r>
        <w:rPr>
          <w:snapToGrid w:val="0"/>
        </w:rPr>
        <w:tab/>
        <w:t xml:space="preserve">No crab drop net, fishing net, marker buoy or other buoyed object shall be placed or allowed to remain in any channel or fairway in any port or harbour, or in any channel, fairway or passage in any navigable waters except by permission of the </w:t>
      </w:r>
      <w:r>
        <w:t>Department</w:t>
      </w:r>
      <w:r>
        <w:rPr>
          <w:snapToGrid w:val="0"/>
        </w:rPr>
        <w:t>.</w:t>
      </w:r>
    </w:p>
    <w:p>
      <w:pPr>
        <w:pStyle w:val="Subsection"/>
        <w:rPr>
          <w:snapToGrid w:val="0"/>
        </w:rPr>
      </w:pPr>
      <w:r>
        <w:rPr>
          <w:snapToGrid w:val="0"/>
        </w:rPr>
        <w:lastRenderedPageBreak/>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 xml:space="preserve">The owner of any vessel, wreck or thing which has been sunk, set adrift or abandoned in any port, harbour or navigable waters, shall raise and remove the same and where directions as to the removal are given to him by an officer of the </w:t>
      </w:r>
      <w:r>
        <w:t>Department</w:t>
      </w:r>
      <w:r>
        <w:rPr>
          <w:snapToGrid w:val="0"/>
        </w:rPr>
        <w:t>, the owner shall carry out the directions within such time as is specified by the officer.</w:t>
      </w:r>
    </w:p>
    <w:p>
      <w:pPr>
        <w:pStyle w:val="Subsection"/>
        <w:rPr>
          <w:snapToGrid w:val="0"/>
        </w:rPr>
      </w:pPr>
      <w:r>
        <w:rPr>
          <w:snapToGrid w:val="0"/>
        </w:rPr>
        <w:tab/>
        <w:t>(d)</w:t>
      </w:r>
      <w:r>
        <w:rPr>
          <w:snapToGrid w:val="0"/>
        </w:rPr>
        <w:tab/>
        <w:t xml:space="preserve">Where any vessel, wreck or thing is not removed in accordance with subregulation (c), or where the officer of the </w:t>
      </w:r>
      <w:r>
        <w:t>Department</w:t>
      </w:r>
      <w:r>
        <w:rPr>
          <w:snapToGrid w:val="0"/>
        </w:rPr>
        <w:t xml:space="preserve"> is unable, after making reasonable enquiries, to ascertain the identity or whereabouts of the owner, the </w:t>
      </w:r>
      <w:r>
        <w:t>Department</w:t>
      </w:r>
      <w:r>
        <w:rPr>
          <w:snapToGrid w:val="0"/>
        </w:rPr>
        <w:t xml:space="preserve"> may remove the same or cause it to be removed and the cost of such removal shall be deemed to be a debt due to the </w:t>
      </w:r>
      <w:r>
        <w:t>State</w:t>
      </w:r>
      <w:r>
        <w:rPr>
          <w:snapToGrid w:val="0"/>
        </w:rPr>
        <w:t xml:space="preserve"> by the owner of the vessel, wreck or thing and may be recovered by action in a court of competent jurisdiction.</w:t>
      </w:r>
    </w:p>
    <w:p>
      <w:pPr>
        <w:pStyle w:val="Subsection"/>
        <w:rPr>
          <w:snapToGrid w:val="0"/>
        </w:rPr>
      </w:pPr>
      <w:r>
        <w:rPr>
          <w:snapToGrid w:val="0"/>
        </w:rPr>
        <w:tab/>
        <w:t>(e)</w:t>
      </w:r>
      <w:r>
        <w:rPr>
          <w:snapToGrid w:val="0"/>
        </w:rPr>
        <w:tab/>
        <w:t xml:space="preserve">An officer of the </w:t>
      </w:r>
      <w:r>
        <w:t>Department</w:t>
      </w:r>
      <w:r>
        <w:rPr>
          <w:snapToGrid w:val="0"/>
        </w:rPr>
        <w:t xml:space="preserve"> may remove any buoyed object (including floats and attachments) found in any channel or fairway. A buoyed object so removed may be retained in the possession of the </w:t>
      </w:r>
      <w:r>
        <w:t>Department</w:t>
      </w:r>
      <w:r>
        <w:rPr>
          <w:snapToGrid w:val="0"/>
        </w:rPr>
        <w:t xml:space="preserve"> until claimed by the owner or person entitled to possession thereof. If no such claim is made within 3 months after possession by the </w:t>
      </w:r>
      <w:r>
        <w:t>Department</w:t>
      </w:r>
      <w:r>
        <w:rPr>
          <w:snapToGrid w:val="0"/>
        </w:rPr>
        <w:t>, the object so possessed shall be deemed to have been abandoned by the owner and may be disposed of accordingly.</w:t>
      </w:r>
    </w:p>
    <w:p>
      <w:pPr>
        <w:pStyle w:val="Footnotesection"/>
      </w:pPr>
      <w:r>
        <w:tab/>
        <w:t xml:space="preserve">[Regulation 43 amended: Gazette 30 Oct 1967 p. 2593; 22 Sep 1978 p. 3504; SL 2024/191 r. 15 and 41.] </w:t>
      </w:r>
    </w:p>
    <w:p>
      <w:pPr>
        <w:pStyle w:val="Heading5"/>
        <w:rPr>
          <w:snapToGrid w:val="0"/>
        </w:rPr>
      </w:pPr>
      <w:bookmarkStart w:id="75" w:name="_Toc196399828"/>
      <w:r>
        <w:rPr>
          <w:rStyle w:val="CharSectno"/>
        </w:rPr>
        <w:t>44</w:t>
      </w:r>
      <w:r>
        <w:rPr>
          <w:snapToGrid w:val="0"/>
        </w:rPr>
        <w:t>.</w:t>
      </w:r>
      <w:r>
        <w:rPr>
          <w:snapToGrid w:val="0"/>
        </w:rPr>
        <w:tab/>
        <w:t>Beached vessels to be removed by owner or officer</w:t>
      </w:r>
      <w:bookmarkEnd w:id="75"/>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lastRenderedPageBreak/>
        <w:tab/>
        <w:t>(b)</w:t>
      </w:r>
      <w:r>
        <w:rPr>
          <w:snapToGrid w:val="0"/>
        </w:rPr>
        <w:tab/>
        <w:t xml:space="preserve">The owner of a beached vessel shall remove it to another place if and when directed by an officer of the </w:t>
      </w:r>
      <w:r>
        <w:t>Department</w:t>
      </w:r>
      <w:r>
        <w:rPr>
          <w:snapToGrid w:val="0"/>
        </w:rPr>
        <w:t xml:space="preserve"> and in accordance with such directions.</w:t>
      </w:r>
    </w:p>
    <w:p>
      <w:pPr>
        <w:pStyle w:val="Subsection"/>
        <w:rPr>
          <w:snapToGrid w:val="0"/>
        </w:rPr>
      </w:pPr>
      <w:r>
        <w:rPr>
          <w:snapToGrid w:val="0"/>
        </w:rPr>
        <w:tab/>
        <w:t>(c)</w:t>
      </w:r>
      <w:r>
        <w:rPr>
          <w:snapToGrid w:val="0"/>
        </w:rPr>
        <w:tab/>
        <w:t xml:space="preserve">An officer of the </w:t>
      </w:r>
      <w:r>
        <w:t>Department</w:t>
      </w:r>
      <w:r>
        <w:rPr>
          <w:snapToGrid w:val="0"/>
        </w:rPr>
        <w:t xml:space="preserve"> may remove any beached vessel from any place to any other place.</w:t>
      </w:r>
    </w:p>
    <w:p>
      <w:pPr>
        <w:pStyle w:val="Footnotesection"/>
      </w:pPr>
      <w:r>
        <w:tab/>
        <w:t>[Regulation 44 amended: SL 2024/191 r. 41.]</w:t>
      </w:r>
    </w:p>
    <w:p>
      <w:pPr>
        <w:pStyle w:val="Heading5"/>
        <w:rPr>
          <w:snapToGrid w:val="0"/>
        </w:rPr>
      </w:pPr>
      <w:bookmarkStart w:id="76" w:name="_Toc196399829"/>
      <w:r>
        <w:rPr>
          <w:rStyle w:val="CharSectno"/>
        </w:rPr>
        <w:t>45</w:t>
      </w:r>
      <w:r>
        <w:rPr>
          <w:snapToGrid w:val="0"/>
        </w:rPr>
        <w:t>.</w:t>
      </w:r>
      <w:r>
        <w:rPr>
          <w:snapToGrid w:val="0"/>
        </w:rPr>
        <w:tab/>
        <w:t>Penalties</w:t>
      </w:r>
      <w:bookmarkEnd w:id="76"/>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77" w:name="_Toc196395461"/>
      <w:bookmarkStart w:id="78" w:name="_Toc196396614"/>
      <w:bookmarkStart w:id="79" w:name="_Toc196399830"/>
      <w:r>
        <w:rPr>
          <w:rStyle w:val="CharPartNo"/>
        </w:rPr>
        <w:lastRenderedPageBreak/>
        <w:t>Part 5A</w:t>
      </w:r>
      <w:r>
        <w:t> — </w:t>
      </w:r>
      <w:r>
        <w:rPr>
          <w:rStyle w:val="CharPartText"/>
        </w:rPr>
        <w:t>Registration of registrable vessels</w:t>
      </w:r>
      <w:bookmarkEnd w:id="77"/>
      <w:bookmarkEnd w:id="78"/>
      <w:bookmarkEnd w:id="79"/>
    </w:p>
    <w:p>
      <w:pPr>
        <w:pStyle w:val="Footnoteheading"/>
      </w:pPr>
      <w:r>
        <w:tab/>
        <w:t>[Heading inserted: SL 2024/191 r. 16.]</w:t>
      </w:r>
    </w:p>
    <w:p>
      <w:pPr>
        <w:pStyle w:val="Heading5"/>
        <w:spacing w:before="240"/>
        <w:rPr>
          <w:snapToGrid w:val="0"/>
        </w:rPr>
      </w:pPr>
      <w:bookmarkStart w:id="80" w:name="_Toc196399831"/>
      <w:r>
        <w:rPr>
          <w:rStyle w:val="CharSectno"/>
        </w:rPr>
        <w:t>45A</w:t>
      </w:r>
      <w:r>
        <w:rPr>
          <w:snapToGrid w:val="0"/>
        </w:rPr>
        <w:t>.</w:t>
      </w:r>
      <w:r>
        <w:rPr>
          <w:snapToGrid w:val="0"/>
        </w:rPr>
        <w:tab/>
      </w:r>
      <w:r>
        <w:t>Terms used</w:t>
      </w:r>
      <w:bookmarkEnd w:id="80"/>
    </w:p>
    <w:p>
      <w:pPr>
        <w:pStyle w:val="Ednotesubsection"/>
      </w:pPr>
      <w:r>
        <w:tab/>
        <w:t>[(1)</w:t>
      </w:r>
      <w:r>
        <w:tab/>
        <w:t>deleted]</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w:t>
      </w:r>
    </w:p>
    <w:p>
      <w:pPr>
        <w:pStyle w:val="Defsubpara"/>
      </w:pPr>
      <w:r>
        <w:tab/>
        <w:t>(i)</w:t>
      </w:r>
      <w:r>
        <w:tab/>
        <w:t>by a person approved by the chief executive officer or accredited to do so under regulation 45AA or 45AB; and</w:t>
      </w:r>
    </w:p>
    <w:p>
      <w:pPr>
        <w:pStyle w:val="Defsubpara"/>
      </w:pPr>
      <w:r>
        <w:tab/>
        <w:t>(ii)</w:t>
      </w:r>
      <w:r>
        <w:tab/>
        <w:t>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Ednotesubsection"/>
      </w:pPr>
      <w:r>
        <w:tab/>
        <w:t>[(3)</w:t>
      </w:r>
      <w:r>
        <w:tab/>
        <w:t>deleted]</w:t>
      </w:r>
    </w:p>
    <w:p>
      <w:pPr>
        <w:pStyle w:val="Footnotesection"/>
        <w:keepLines w:val="0"/>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w:t>
      </w:r>
      <w:r>
        <w:lastRenderedPageBreak/>
        <w:t xml:space="preserve">p. 2324; 1 Sep 2006 p. 3597; SL 2022/137 r. 4; SL 2023/135 r. 9; SL 2024/191 r. 17 and 41.] </w:t>
      </w:r>
    </w:p>
    <w:p>
      <w:pPr>
        <w:pStyle w:val="Heading5"/>
      </w:pPr>
      <w:bookmarkStart w:id="81" w:name="_Toc196399832"/>
      <w:r>
        <w:rPr>
          <w:rStyle w:val="CharSectno"/>
        </w:rPr>
        <w:t>45AA</w:t>
      </w:r>
      <w:r>
        <w:t>.</w:t>
      </w:r>
      <w:r>
        <w:tab/>
        <w:t>Accreditation of persons as hull identification number providers</w:t>
      </w:r>
      <w:bookmarkEnd w:id="81"/>
    </w:p>
    <w:p>
      <w:pPr>
        <w:pStyle w:val="Subsection"/>
      </w:pPr>
      <w:r>
        <w:tab/>
        <w:t>(1)</w:t>
      </w:r>
      <w:r>
        <w:tab/>
        <w:t>The chief executive officer may accredit a person as a hull identification number provider.</w:t>
      </w:r>
    </w:p>
    <w:p>
      <w:pPr>
        <w:pStyle w:val="Subsection"/>
      </w:pPr>
      <w:r>
        <w:tab/>
        <w:t>(2)</w:t>
      </w:r>
      <w:r>
        <w:tab/>
        <w:t>A hull identification number provider accredited under subregulation (1) is accredited to —</w:t>
      </w:r>
    </w:p>
    <w:p>
      <w:pPr>
        <w:pStyle w:val="Indenta"/>
      </w:pPr>
      <w:r>
        <w:tab/>
        <w:t>(a)</w:t>
      </w:r>
      <w:r>
        <w:tab/>
        <w:t>affix hull identification numbers to vessels; and</w:t>
      </w:r>
    </w:p>
    <w:p>
      <w:pPr>
        <w:pStyle w:val="Indenta"/>
      </w:pPr>
      <w:r>
        <w:tab/>
        <w:t>(b)</w:t>
      </w:r>
      <w:r>
        <w:tab/>
        <w:t>examine vessels for the purpose of verifying that they have hull identification numbers; and</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provider is $429.10.</w:t>
      </w:r>
    </w:p>
    <w:p>
      <w:pPr>
        <w:pStyle w:val="Footnotesection"/>
        <w:ind w:left="890" w:hanging="890"/>
      </w:pPr>
      <w:r>
        <w:tab/>
        <w:t>[Regulation 45AA inserted: SL 2022/137 r. 5; amended: SL 2023/45 r. 8; SL 2024/57 r. 8.]</w:t>
      </w:r>
    </w:p>
    <w:p>
      <w:pPr>
        <w:pStyle w:val="Heading5"/>
      </w:pPr>
      <w:bookmarkStart w:id="82" w:name="_Toc196399833"/>
      <w:r>
        <w:rPr>
          <w:rStyle w:val="CharSectno"/>
        </w:rPr>
        <w:t>45AB</w:t>
      </w:r>
      <w:r>
        <w:t>.</w:t>
      </w:r>
      <w:r>
        <w:tab/>
        <w:t>Accreditation of persons as hull identification number examiners</w:t>
      </w:r>
      <w:bookmarkEnd w:id="82"/>
    </w:p>
    <w:p>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pPr>
        <w:pStyle w:val="Indenta"/>
      </w:pPr>
      <w:r>
        <w:tab/>
        <w:t>(a)</w:t>
      </w:r>
      <w:r>
        <w:tab/>
        <w:t>affix hull identification numbers to vessels;</w:t>
      </w:r>
    </w:p>
    <w:p>
      <w:pPr>
        <w:pStyle w:val="Indenta"/>
        <w:keepNext/>
        <w:keepLines/>
      </w:pPr>
      <w:r>
        <w:lastRenderedPageBreak/>
        <w:tab/>
        <w:t>(b)</w:t>
      </w:r>
      <w:r>
        <w:tab/>
        <w:t>examine vessels for the purpose of verifying that they have hull identification numbers;</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examiner is $119.05.</w:t>
      </w:r>
    </w:p>
    <w:p>
      <w:pPr>
        <w:pStyle w:val="Footnotesection"/>
        <w:ind w:left="890" w:hanging="890"/>
      </w:pPr>
      <w:r>
        <w:tab/>
        <w:t>[Regulation 45AB inserted: SL 2022/137 r. 5; amended: SL 2023/45 r. 9; SL 2024/57 r. 8.]</w:t>
      </w:r>
    </w:p>
    <w:p>
      <w:pPr>
        <w:pStyle w:val="Heading5"/>
      </w:pPr>
      <w:bookmarkStart w:id="83" w:name="_Toc196399834"/>
      <w:r>
        <w:rPr>
          <w:rStyle w:val="CharSectno"/>
        </w:rPr>
        <w:t>45AC</w:t>
      </w:r>
      <w:r>
        <w:t>.</w:t>
      </w:r>
      <w:r>
        <w:tab/>
        <w:t>Provisions relating to accreditation of hull identification number providers and examiners</w:t>
      </w:r>
      <w:bookmarkEnd w:id="83"/>
    </w:p>
    <w:p>
      <w:pPr>
        <w:pStyle w:val="Subsection"/>
      </w:pPr>
      <w:r>
        <w:tab/>
        <w:t>(1)</w:t>
      </w:r>
      <w:r>
        <w:tab/>
        <w:t>The chief executive officer may impose conditions on an accreditation under regulation 45AA(1) or 45AB(1) and may revoke or vary those conditions.</w:t>
      </w:r>
    </w:p>
    <w:p>
      <w:pPr>
        <w:pStyle w:val="Subsection"/>
      </w:pPr>
      <w:r>
        <w:tab/>
        <w:t>(2)</w:t>
      </w:r>
      <w:r>
        <w:tab/>
        <w:t>The chief executive officer may extend the accreditation of a person under regulation 45AA(1) or 45AB(1) by notice given to the person.</w:t>
      </w:r>
    </w:p>
    <w:p>
      <w:pPr>
        <w:pStyle w:val="Subsection"/>
        <w:keepNext/>
      </w:pPr>
      <w:r>
        <w:tab/>
        <w:t>(3)</w:t>
      </w:r>
      <w:r>
        <w:tab/>
        <w:t>The chief executive officer may revoke the accreditation of a person under regulation 45AA(1) or 45AB(1) if the chief executive officer is satisfied that —</w:t>
      </w:r>
    </w:p>
    <w:p>
      <w:pPr>
        <w:pStyle w:val="Indenta"/>
      </w:pPr>
      <w:r>
        <w:tab/>
        <w:t>(a)</w:t>
      </w:r>
      <w:r>
        <w:tab/>
        <w:t>the person has not complied with a condition of the accreditation; or</w:t>
      </w:r>
    </w:p>
    <w:p>
      <w:pPr>
        <w:pStyle w:val="Indenta"/>
      </w:pPr>
      <w:r>
        <w:tab/>
        <w:t>(b)</w:t>
      </w:r>
      <w:r>
        <w:tab/>
        <w:t>the accreditation is no longer appropriate.</w:t>
      </w:r>
    </w:p>
    <w:p>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pPr>
        <w:pStyle w:val="Footnotesection"/>
        <w:ind w:left="890" w:hanging="890"/>
      </w:pPr>
      <w:r>
        <w:tab/>
        <w:t>[Regulation 45AC inserted: SL 2022/137 r. 5.]</w:t>
      </w:r>
    </w:p>
    <w:p>
      <w:pPr>
        <w:pStyle w:val="Heading5"/>
      </w:pPr>
      <w:bookmarkStart w:id="84" w:name="_Toc196399835"/>
      <w:r>
        <w:rPr>
          <w:rStyle w:val="CharSectno"/>
        </w:rPr>
        <w:lastRenderedPageBreak/>
        <w:t>45AD</w:t>
      </w:r>
      <w:r>
        <w:t>.</w:t>
      </w:r>
      <w:r>
        <w:tab/>
        <w:t>Transitional provisions regarding accreditation of hull identification number providers and examiners</w:t>
      </w:r>
      <w:bookmarkEnd w:id="84"/>
    </w:p>
    <w:p>
      <w:pPr>
        <w:pStyle w:val="Subsection"/>
        <w:keepNext/>
      </w:pPr>
      <w:r>
        <w:tab/>
        <w:t>(1)</w:t>
      </w:r>
      <w:r>
        <w:tab/>
        <w:t>In this regulation —</w:t>
      </w:r>
    </w:p>
    <w:p>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pPr>
        <w:pStyle w:val="Subsection"/>
      </w:pPr>
      <w:r>
        <w:tab/>
        <w:t>(2)</w:t>
      </w:r>
      <w:r>
        <w:tab/>
        <w:t>On and from commencement day —</w:t>
      </w:r>
    </w:p>
    <w:p>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relation to hull identification numbers, is taken to be accredited as a hull identification number examiner under regulation 45AB(1); and</w:t>
      </w:r>
    </w:p>
    <w:p>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pPr>
        <w:pStyle w:val="Subsection"/>
      </w:pPr>
      <w:r>
        <w:tab/>
        <w:t>(3)</w:t>
      </w:r>
      <w:r>
        <w:tab/>
        <w:t xml:space="preserve">A person taken to be accredited under subregulation (2)(a) or (b) is taken to be accredited for the period specified in the approval referred to in that paragraph, subject to any extension </w:t>
      </w:r>
      <w:r>
        <w:lastRenderedPageBreak/>
        <w:t>or revocation of the accreditation under regulation 45AC(2) or (3).</w:t>
      </w:r>
    </w:p>
    <w:p>
      <w:pPr>
        <w:pStyle w:val="Footnotesection"/>
        <w:ind w:left="890" w:hanging="890"/>
      </w:pPr>
      <w:r>
        <w:tab/>
        <w:t>[Regulation 45AD inserted: SL 2022/137 r. 5.]</w:t>
      </w:r>
    </w:p>
    <w:p>
      <w:pPr>
        <w:pStyle w:val="Heading5"/>
        <w:rPr>
          <w:snapToGrid w:val="0"/>
        </w:rPr>
      </w:pPr>
      <w:bookmarkStart w:id="85" w:name="_Toc196399836"/>
      <w:r>
        <w:rPr>
          <w:rStyle w:val="CharSectno"/>
        </w:rPr>
        <w:t>45B</w:t>
      </w:r>
      <w:r>
        <w:rPr>
          <w:snapToGrid w:val="0"/>
        </w:rPr>
        <w:t>.</w:t>
      </w:r>
      <w:r>
        <w:rPr>
          <w:snapToGrid w:val="0"/>
        </w:rPr>
        <w:tab/>
        <w:t>Registration of vessels</w:t>
      </w:r>
      <w:bookmarkEnd w:id="85"/>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 xml:space="preserve">the vessel is registered with the </w:t>
      </w:r>
      <w:r>
        <w:t>Department</w:t>
      </w:r>
      <w:r>
        <w:rPr>
          <w:snapToGrid w:val="0"/>
        </w:rPr>
        <w:t xml:space="preserve">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 xml:space="preserve">A person may, within the period of 30 days immediately succeeding the day of expiry of the registration of the vessel, use or have in navigable waters a vessel that is not registered with the </w:t>
      </w:r>
      <w:r>
        <w:t>Department</w:t>
      </w:r>
      <w:r>
        <w:rPr>
          <w:snapToGrid w:val="0"/>
        </w:rPr>
        <w:t xml:space="preserve"> in accordance with this Part.</w:t>
      </w:r>
    </w:p>
    <w:p>
      <w:pPr>
        <w:pStyle w:val="Subsection"/>
        <w:rPr>
          <w:snapToGrid w:val="0"/>
        </w:rPr>
      </w:pPr>
      <w:r>
        <w:rPr>
          <w:snapToGrid w:val="0"/>
        </w:rPr>
        <w:tab/>
        <w:t>(2a)</w:t>
      </w:r>
      <w:r>
        <w:rPr>
          <w:snapToGrid w:val="0"/>
        </w:rPr>
        <w:tab/>
        <w:t xml:space="preserve">A person may, within the period of 3 months immediately succeeding the day of entry of a registered interstate pleasure vessel into any navigable waters, use or have in navigable waters a registered interstate pleasure vessel that is not registered with the </w:t>
      </w:r>
      <w:r>
        <w:t>Department</w:t>
      </w:r>
      <w:r>
        <w:rPr>
          <w:snapToGrid w:val="0"/>
        </w:rPr>
        <w:t xml:space="preserve"> in accordance with this regulation.</w:t>
      </w:r>
    </w:p>
    <w:p>
      <w:pPr>
        <w:pStyle w:val="Subsection"/>
        <w:rPr>
          <w:snapToGrid w:val="0"/>
        </w:rPr>
      </w:pPr>
      <w:r>
        <w:rPr>
          <w:snapToGrid w:val="0"/>
        </w:rPr>
        <w:tab/>
        <w:t>(3)</w:t>
      </w:r>
      <w:r>
        <w:rPr>
          <w:snapToGrid w:val="0"/>
        </w:rPr>
        <w:tab/>
        <w:t xml:space="preserve">Every application for the registration of a registrable vessel shall be made to the </w:t>
      </w:r>
      <w:r>
        <w:t>Department</w:t>
      </w:r>
      <w:r>
        <w:rPr>
          <w:snapToGrid w:val="0"/>
        </w:rPr>
        <w:t xml:space="preserve"> in writing on a form specified by the Minister and shall include — </w:t>
      </w:r>
    </w:p>
    <w:p>
      <w:pPr>
        <w:pStyle w:val="Indenta"/>
        <w:keepNext/>
        <w:rPr>
          <w:snapToGrid w:val="0"/>
        </w:rPr>
      </w:pPr>
      <w:r>
        <w:rPr>
          <w:snapToGrid w:val="0"/>
        </w:rPr>
        <w:tab/>
        <w:t>(a)</w:t>
      </w:r>
      <w:r>
        <w:rPr>
          <w:snapToGrid w:val="0"/>
        </w:rPr>
        <w:tab/>
        <w:t xml:space="preserve">subject to paragraph (aa) the full name and residential address of the owner of the vessel and the telephone </w:t>
      </w:r>
      <w:r>
        <w:rPr>
          <w:snapToGrid w:val="0"/>
        </w:rPr>
        <w:lastRenderedPageBreak/>
        <w:t>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(aa)</w:t>
      </w:r>
      <w:r>
        <w:tab/>
        <w:t>a certificate issued by a person accredited to do so under regulation 45AA or 45AB verifying the hull identification number of the vessel; and</w:t>
      </w:r>
    </w:p>
    <w:p>
      <w:pPr>
        <w:pStyle w:val="Indenta"/>
      </w:pPr>
      <w:r>
        <w:tab/>
        <w:t>(a)</w:t>
      </w:r>
      <w:r>
        <w:tab/>
        <w:t>such proof of the particulars referred to in subregulation (3) as the Department may require; and</w:t>
      </w:r>
    </w:p>
    <w:p>
      <w:pPr>
        <w:pStyle w:val="Indenta"/>
        <w:keepNext/>
      </w:pPr>
      <w:r>
        <w:lastRenderedPageBreak/>
        <w:tab/>
        <w:t>(b)</w:t>
      </w:r>
      <w:r>
        <w:tab/>
        <w:t>the appropriate fee ascertained in accordance with the following Table —</w:t>
      </w:r>
    </w:p>
    <w:p>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trPr>
          <w:cantSplit/>
          <w:tblHeader/>
        </w:trPr>
        <w:tc>
          <w:tcPr>
            <w:tcW w:w="4253" w:type="dxa"/>
            <w:noWrap/>
          </w:tcPr>
          <w:p>
            <w:pPr>
              <w:pStyle w:val="TableNAm"/>
              <w:rPr>
                <w:b/>
                <w:bCs/>
              </w:rPr>
            </w:pPr>
            <w:r>
              <w:rPr>
                <w:b/>
                <w:bCs/>
              </w:rPr>
              <w:t>Length of vessel</w:t>
            </w:r>
          </w:p>
        </w:tc>
        <w:tc>
          <w:tcPr>
            <w:tcW w:w="1701" w:type="dxa"/>
            <w:noWrap/>
          </w:tcPr>
          <w:p>
            <w:pPr>
              <w:pStyle w:val="TableNAm"/>
              <w:jc w:val="center"/>
              <w:rPr>
                <w:b/>
                <w:bCs/>
              </w:rPr>
            </w:pPr>
            <w:r>
              <w:rPr>
                <w:b/>
                <w:bCs/>
              </w:rPr>
              <w:t>Fee ($)</w:t>
            </w:r>
          </w:p>
        </w:tc>
      </w:tr>
      <w:tr>
        <w:trPr>
          <w:cantSplit/>
        </w:trPr>
        <w:tc>
          <w:tcPr>
            <w:tcW w:w="4253" w:type="dxa"/>
            <w:noWrap/>
          </w:tcPr>
          <w:p>
            <w:pPr>
              <w:pStyle w:val="TableNAm"/>
              <w:tabs>
                <w:tab w:val="clear" w:pos="567"/>
                <w:tab w:val="left" w:pos="743"/>
              </w:tabs>
              <w:ind w:left="460" w:hanging="460"/>
            </w:pPr>
            <w:r>
              <w:t>(i)</w:t>
            </w:r>
            <w:r>
              <w:tab/>
              <w:t>less than 5 m</w:t>
            </w:r>
          </w:p>
        </w:tc>
        <w:tc>
          <w:tcPr>
            <w:tcW w:w="1701" w:type="dxa"/>
            <w:noWrap/>
          </w:tcPr>
          <w:p>
            <w:pPr>
              <w:pStyle w:val="TableNAm"/>
              <w:jc w:val="center"/>
            </w:pPr>
            <w:r>
              <w:t>154.85</w:t>
            </w:r>
          </w:p>
        </w:tc>
      </w:tr>
      <w:tr>
        <w:trPr>
          <w:cantSplit/>
        </w:trPr>
        <w:tc>
          <w:tcPr>
            <w:tcW w:w="4253" w:type="dxa"/>
            <w:noWrap/>
          </w:tcPr>
          <w:p>
            <w:pPr>
              <w:pStyle w:val="TableNAm"/>
              <w:tabs>
                <w:tab w:val="clear" w:pos="567"/>
                <w:tab w:val="left" w:pos="743"/>
              </w:tabs>
              <w:ind w:left="460" w:hanging="460"/>
            </w:pPr>
            <w:r>
              <w:t>(ii)</w:t>
            </w:r>
            <w:r>
              <w:tab/>
              <w:t>5 m or more but less than 10 m</w:t>
            </w:r>
          </w:p>
        </w:tc>
        <w:tc>
          <w:tcPr>
            <w:tcW w:w="1701" w:type="dxa"/>
            <w:noWrap/>
          </w:tcPr>
          <w:p>
            <w:pPr>
              <w:pStyle w:val="TableNAm"/>
              <w:jc w:val="center"/>
            </w:pPr>
            <w:r>
              <w:t>328.75</w:t>
            </w:r>
          </w:p>
        </w:tc>
      </w:tr>
      <w:tr>
        <w:trPr>
          <w:cantSplit/>
        </w:trPr>
        <w:tc>
          <w:tcPr>
            <w:tcW w:w="4253" w:type="dxa"/>
            <w:noWrap/>
          </w:tcPr>
          <w:p>
            <w:pPr>
              <w:pStyle w:val="TableNAm"/>
              <w:tabs>
                <w:tab w:val="clear" w:pos="567"/>
                <w:tab w:val="left" w:pos="743"/>
              </w:tabs>
              <w:ind w:left="460" w:hanging="460"/>
            </w:pPr>
            <w:r>
              <w:t>(iii)</w:t>
            </w:r>
            <w:r>
              <w:tab/>
              <w:t>10 m or more but less than 20 m</w:t>
            </w:r>
          </w:p>
        </w:tc>
        <w:tc>
          <w:tcPr>
            <w:tcW w:w="1701" w:type="dxa"/>
            <w:noWrap/>
          </w:tcPr>
          <w:p>
            <w:pPr>
              <w:pStyle w:val="TableNAm"/>
              <w:jc w:val="center"/>
            </w:pPr>
            <w:r>
              <w:t>659.40</w:t>
            </w:r>
          </w:p>
        </w:tc>
      </w:tr>
      <w:tr>
        <w:trPr>
          <w:cantSplit/>
        </w:trPr>
        <w:tc>
          <w:tcPr>
            <w:tcW w:w="4253" w:type="dxa"/>
            <w:noWrap/>
          </w:tcPr>
          <w:p>
            <w:pPr>
              <w:pStyle w:val="TableNAm"/>
              <w:tabs>
                <w:tab w:val="clear" w:pos="567"/>
                <w:tab w:val="left" w:pos="743"/>
              </w:tabs>
              <w:ind w:left="460" w:hanging="460"/>
            </w:pPr>
            <w:r>
              <w:t>(iv)</w:t>
            </w:r>
            <w:r>
              <w:tab/>
              <w:t>20 m or more</w:t>
            </w:r>
          </w:p>
        </w:tc>
        <w:tc>
          <w:tcPr>
            <w:tcW w:w="1701" w:type="dxa"/>
            <w:noWrap/>
          </w:tcPr>
          <w:p>
            <w:pPr>
              <w:pStyle w:val="TableNAm"/>
              <w:jc w:val="center"/>
            </w:pPr>
            <w:r>
              <w:t>964.35</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t>$34.15.</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keepNext/>
      </w:pPr>
      <w:r>
        <w:lastRenderedPageBreak/>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lastRenderedPageBreak/>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 xml:space="preserve">When the </w:t>
      </w:r>
      <w:r>
        <w:t>Department</w:t>
      </w:r>
      <w:r>
        <w:rPr>
          <w:snapToGrid w:val="0"/>
        </w:rPr>
        <w:t xml:space="preserve"> registers a vessel under this Part, other than under regulation 45BAA, the </w:t>
      </w:r>
      <w:r>
        <w:t>Department</w:t>
      </w:r>
      <w:r>
        <w:rPr>
          <w:snapToGrid w:val="0"/>
        </w:rPr>
        <w:t xml:space="preserve">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lastRenderedPageBreak/>
        <w:tab/>
        <w:t>(6A)</w:t>
      </w:r>
      <w:r>
        <w:tab/>
        <w:t>An owner of a registered vessel, or a person authorised in writing by an owner, may be issued with a replacement certificate of registration on payment of a fee of $14.35.</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 xml:space="preserve">the number shall not be positioned under a flared bow of the vessel and shall at all times be easily visible, whether or not the vessel is </w:t>
      </w:r>
      <w:r>
        <w:t>underway;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 xml:space="preserve">where the vessel is a yacht which is or may be propelled by mechanical power, the registration number allotted to the vessel is legibly marked on each side of the hull of </w:t>
      </w:r>
      <w:r>
        <w:rPr>
          <w:snapToGrid w:val="0"/>
        </w:rPr>
        <w:lastRenderedPageBreak/>
        <w:t>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lastRenderedPageBreak/>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w:t>
      </w:r>
      <w:r>
        <w:lastRenderedPageBreak/>
        <w:t xml:space="preserve">p. 1641; 17 May 2019 p. 1438; SL 2020/60 r. 8; SL 2021/68 r. 14; SL 2022/56 r. 6; SL 2022/137 r. 6; SL 2023/45 r. 10; SL 2023/135 r. 10; SL 2024/57 r. 8; SL 2024/191 r. 41.] </w:t>
      </w:r>
    </w:p>
    <w:p>
      <w:pPr>
        <w:pStyle w:val="Heading5"/>
        <w:rPr>
          <w:snapToGrid w:val="0"/>
        </w:rPr>
      </w:pPr>
      <w:bookmarkStart w:id="86" w:name="_Toc196399837"/>
      <w:r>
        <w:rPr>
          <w:rStyle w:val="CharSectno"/>
        </w:rPr>
        <w:t>45BAA</w:t>
      </w:r>
      <w:r>
        <w:rPr>
          <w:snapToGrid w:val="0"/>
        </w:rPr>
        <w:t>.</w:t>
      </w:r>
      <w:r>
        <w:rPr>
          <w:snapToGrid w:val="0"/>
        </w:rPr>
        <w:tab/>
        <w:t>Registration of foreign pleasure vessels</w:t>
      </w:r>
      <w:bookmarkEnd w:id="86"/>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 xml:space="preserve">Subject to subregulation (3), a person shall not use or have in any navigable waters a foreign pleasure vessel unless the vessel is registered with the </w:t>
      </w:r>
      <w:r>
        <w:t>Department</w:t>
      </w:r>
      <w:r>
        <w:rPr>
          <w:snapToGrid w:val="0"/>
        </w:rPr>
        <w:t xml:space="preserve">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 xml:space="preserve">A person may, within the period of 30 days immediately succeeding the day of entry of the foreign pleasure vessel into any navigable waters, use or have in navigable waters a foreign pleasure vessel that is not registered with the </w:t>
      </w:r>
      <w:r>
        <w:t>Department</w:t>
      </w:r>
      <w:r>
        <w:rPr>
          <w:snapToGrid w:val="0"/>
        </w:rPr>
        <w:t xml:space="preserve"> in accordance with this regulation.</w:t>
      </w:r>
    </w:p>
    <w:p>
      <w:pPr>
        <w:pStyle w:val="Subsection"/>
        <w:rPr>
          <w:snapToGrid w:val="0"/>
        </w:rPr>
      </w:pPr>
      <w:r>
        <w:rPr>
          <w:snapToGrid w:val="0"/>
        </w:rPr>
        <w:tab/>
        <w:t>(4)</w:t>
      </w:r>
      <w:r>
        <w:rPr>
          <w:snapToGrid w:val="0"/>
        </w:rPr>
        <w:tab/>
        <w:t xml:space="preserve">Every application for the registration of a foreign pleasure vessel shall be made to the </w:t>
      </w:r>
      <w:r>
        <w:t>Department</w:t>
      </w:r>
      <w:r>
        <w:rPr>
          <w:snapToGrid w:val="0"/>
        </w:rPr>
        <w:t xml:space="preserve">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lastRenderedPageBreak/>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 xml:space="preserve">$34.15 </w:t>
      </w:r>
      <w:r>
        <w:rPr>
          <w:snapToGrid w:val="0"/>
        </w:rPr>
        <w:t>and the appropriate fee ascertained in accordance with the following Table for each 3 month period or part of a 3 month period for which it is proposed the vessel will be in navigable waters —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trPr>
          <w:tblHeader/>
        </w:trPr>
        <w:tc>
          <w:tcPr>
            <w:tcW w:w="3970" w:type="dxa"/>
            <w:noWrap/>
          </w:tcPr>
          <w:p>
            <w:pPr>
              <w:pStyle w:val="TableNAm"/>
              <w:jc w:val="center"/>
              <w:rPr>
                <w:b/>
                <w:bCs/>
              </w:rPr>
            </w:pPr>
            <w:r>
              <w:rPr>
                <w:b/>
              </w:rPr>
              <w:t>Length of vessel</w:t>
            </w:r>
          </w:p>
        </w:tc>
        <w:tc>
          <w:tcPr>
            <w:tcW w:w="2097" w:type="dxa"/>
            <w:noWrap/>
          </w:tcPr>
          <w:p>
            <w:pPr>
              <w:pStyle w:val="TableNAm"/>
              <w:jc w:val="center"/>
              <w:rPr>
                <w:b/>
                <w:bCs/>
              </w:rPr>
            </w:pPr>
            <w:r>
              <w:rPr>
                <w:b/>
                <w:bCs/>
              </w:rPr>
              <w:t>Fee ($)</w:t>
            </w:r>
          </w:p>
        </w:tc>
      </w:tr>
      <w:tr>
        <w:tc>
          <w:tcPr>
            <w:tcW w:w="3970" w:type="dxa"/>
            <w:noWrap/>
          </w:tcPr>
          <w:p>
            <w:pPr>
              <w:pStyle w:val="TableNAm"/>
            </w:pPr>
            <w:r>
              <w:t>(i)</w:t>
            </w:r>
            <w:r>
              <w:tab/>
              <w:t>less than 5 m</w:t>
            </w:r>
          </w:p>
        </w:tc>
        <w:tc>
          <w:tcPr>
            <w:tcW w:w="2097" w:type="dxa"/>
            <w:noWrap/>
            <w:vAlign w:val="bottom"/>
          </w:tcPr>
          <w:p>
            <w:pPr>
              <w:pStyle w:val="TableNAm"/>
              <w:ind w:right="714"/>
              <w:jc w:val="right"/>
            </w:pPr>
            <w:r>
              <w:t>4.65</w:t>
            </w:r>
          </w:p>
        </w:tc>
      </w:tr>
      <w:tr>
        <w:tc>
          <w:tcPr>
            <w:tcW w:w="3970" w:type="dxa"/>
            <w:noWrap/>
          </w:tcPr>
          <w:p>
            <w:pPr>
              <w:pStyle w:val="TableNAm"/>
            </w:pPr>
            <w:r>
              <w:t>(ii)</w:t>
            </w:r>
            <w:r>
              <w:tab/>
              <w:t>5 m or more but less than 10 m</w:t>
            </w:r>
          </w:p>
        </w:tc>
        <w:tc>
          <w:tcPr>
            <w:tcW w:w="2097" w:type="dxa"/>
            <w:noWrap/>
            <w:vAlign w:val="bottom"/>
          </w:tcPr>
          <w:p>
            <w:pPr>
              <w:pStyle w:val="TableNAm"/>
              <w:ind w:right="714"/>
              <w:jc w:val="right"/>
            </w:pPr>
            <w:r>
              <w:t>8.65</w:t>
            </w:r>
          </w:p>
        </w:tc>
      </w:tr>
      <w:tr>
        <w:tc>
          <w:tcPr>
            <w:tcW w:w="3970" w:type="dxa"/>
            <w:noWrap/>
          </w:tcPr>
          <w:p>
            <w:pPr>
              <w:pStyle w:val="TableNAm"/>
            </w:pPr>
            <w:r>
              <w:t>(iii)</w:t>
            </w:r>
            <w:r>
              <w:tab/>
              <w:t>10 m or more but less than 20 m</w:t>
            </w:r>
          </w:p>
        </w:tc>
        <w:tc>
          <w:tcPr>
            <w:tcW w:w="2097" w:type="dxa"/>
            <w:noWrap/>
            <w:vAlign w:val="bottom"/>
          </w:tcPr>
          <w:p>
            <w:pPr>
              <w:pStyle w:val="TableNAm"/>
              <w:ind w:right="714"/>
              <w:jc w:val="right"/>
            </w:pPr>
            <w:r>
              <w:t>11.25</w:t>
            </w:r>
          </w:p>
        </w:tc>
      </w:tr>
      <w:tr>
        <w:tc>
          <w:tcPr>
            <w:tcW w:w="3970" w:type="dxa"/>
            <w:noWrap/>
          </w:tcPr>
          <w:p>
            <w:pPr>
              <w:pStyle w:val="TableNAm"/>
            </w:pPr>
            <w:r>
              <w:t>(iv)</w:t>
            </w:r>
            <w:r>
              <w:tab/>
              <w:t>20 m or more but less than 30 m</w:t>
            </w:r>
          </w:p>
        </w:tc>
        <w:tc>
          <w:tcPr>
            <w:tcW w:w="2097" w:type="dxa"/>
            <w:noWrap/>
            <w:vAlign w:val="bottom"/>
          </w:tcPr>
          <w:p>
            <w:pPr>
              <w:pStyle w:val="TableNAm"/>
              <w:ind w:right="714"/>
              <w:jc w:val="right"/>
            </w:pPr>
            <w:r>
              <w:t>22.50</w:t>
            </w:r>
          </w:p>
        </w:tc>
      </w:tr>
      <w:tr>
        <w:tc>
          <w:tcPr>
            <w:tcW w:w="3970" w:type="dxa"/>
            <w:noWrap/>
          </w:tcPr>
          <w:p>
            <w:pPr>
              <w:pStyle w:val="TableNAm"/>
            </w:pPr>
            <w:r>
              <w:t>(v)</w:t>
            </w:r>
            <w:r>
              <w:tab/>
              <w:t>30 m or more but less than 40 m</w:t>
            </w:r>
          </w:p>
        </w:tc>
        <w:tc>
          <w:tcPr>
            <w:tcW w:w="2097" w:type="dxa"/>
            <w:noWrap/>
            <w:vAlign w:val="bottom"/>
          </w:tcPr>
          <w:p>
            <w:pPr>
              <w:pStyle w:val="TableNAm"/>
              <w:ind w:right="714"/>
              <w:jc w:val="right"/>
            </w:pPr>
            <w:r>
              <w:t>44.85</w:t>
            </w:r>
          </w:p>
        </w:tc>
      </w:tr>
      <w:tr>
        <w:tc>
          <w:tcPr>
            <w:tcW w:w="3970" w:type="dxa"/>
            <w:noWrap/>
          </w:tcPr>
          <w:p>
            <w:pPr>
              <w:pStyle w:val="TableNAm"/>
            </w:pPr>
            <w:r>
              <w:t>(vi)</w:t>
            </w:r>
            <w:r>
              <w:tab/>
              <w:t>40 m or more</w:t>
            </w:r>
          </w:p>
        </w:tc>
        <w:tc>
          <w:tcPr>
            <w:tcW w:w="2097" w:type="dxa"/>
            <w:noWrap/>
            <w:vAlign w:val="bottom"/>
          </w:tcPr>
          <w:p>
            <w:pPr>
              <w:pStyle w:val="TableNAm"/>
              <w:ind w:right="714"/>
              <w:jc w:val="right"/>
            </w:pPr>
            <w:r>
              <w:t>89.85</w:t>
            </w:r>
          </w:p>
        </w:tc>
      </w:tr>
    </w:tbl>
    <w:p>
      <w:pPr>
        <w:pStyle w:val="Subsection"/>
        <w:keepNext/>
        <w:rPr>
          <w:snapToGrid w:val="0"/>
        </w:rPr>
      </w:pPr>
      <w:r>
        <w:rPr>
          <w:snapToGrid w:val="0"/>
        </w:rPr>
        <w:tab/>
        <w:t>(5)</w:t>
      </w:r>
      <w:r>
        <w:rPr>
          <w:snapToGrid w:val="0"/>
        </w:rPr>
        <w:tab/>
        <w:t xml:space="preserve">When the </w:t>
      </w:r>
      <w:r>
        <w:t>Department</w:t>
      </w:r>
      <w:r>
        <w:rPr>
          <w:snapToGrid w:val="0"/>
        </w:rPr>
        <w:t xml:space="preserve"> registers a foreign pleasure vessel under this regulation the </w:t>
      </w:r>
      <w:r>
        <w:t>Department</w:t>
      </w:r>
      <w:r>
        <w:rPr>
          <w:snapToGrid w:val="0"/>
        </w:rPr>
        <w:t xml:space="preserve"> shall, if the vessel has not previously been registered under this regulation, allot a </w:t>
      </w:r>
      <w:r>
        <w:rPr>
          <w:snapToGrid w:val="0"/>
        </w:rPr>
        <w:lastRenderedPageBreak/>
        <w:t>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 xml:space="preserve">Where an application for registration as a foreign pleasure vessel is duly made under this regulation and is accompanied by the prescribed fees the </w:t>
      </w:r>
      <w:r>
        <w:t>Department</w:t>
      </w:r>
      <w:r>
        <w:rPr>
          <w:snapToGrid w:val="0"/>
        </w:rPr>
        <w:t xml:space="preserve">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 xml:space="preserve">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w:t>
      </w:r>
      <w:r>
        <w:t>Department</w:t>
      </w:r>
      <w:r>
        <w:rPr>
          <w:snapToGrid w:val="0"/>
        </w:rPr>
        <w:t xml:space="preserve"> shall register the vessel for a period expiring on the proposed departure date shown in that application and the registration shall be deemed to be a continuation of the previous registration and to have effect </w:t>
      </w:r>
      <w:r>
        <w:rPr>
          <w:snapToGrid w:val="0"/>
        </w:rPr>
        <w:lastRenderedPageBreak/>
        <w:t>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SL 2023/45 r. 11; SL 2024/57 r. 8; SL 2024/191 r. 41.] </w:t>
      </w:r>
    </w:p>
    <w:p>
      <w:pPr>
        <w:pStyle w:val="Heading5"/>
      </w:pPr>
      <w:bookmarkStart w:id="87" w:name="_Toc196399838"/>
      <w:r>
        <w:rPr>
          <w:rStyle w:val="CharSectno"/>
        </w:rPr>
        <w:t>45BAB</w:t>
      </w:r>
      <w:r>
        <w:t>.</w:t>
      </w:r>
      <w:r>
        <w:tab/>
        <w:t>Chief executive officer may issue registration stickers</w:t>
      </w:r>
      <w:bookmarkEnd w:id="87"/>
    </w:p>
    <w:p>
      <w:pPr>
        <w:pStyle w:val="Subsection"/>
      </w:pPr>
      <w:r>
        <w:tab/>
        <w:t>(1)</w:t>
      </w:r>
      <w:r>
        <w:tab/>
        <w:t>The chief executive officer may issue to the owner of a registered vessel, or to a person authorised in writing by the owner, an adhesive sticker that displays the registration number allotted to the vessel.</w:t>
      </w:r>
    </w:p>
    <w:p>
      <w:pPr>
        <w:pStyle w:val="Subsection"/>
      </w:pPr>
      <w:r>
        <w:tab/>
        <w:t>(2)</w:t>
      </w:r>
      <w:r>
        <w:tab/>
        <w:t>The fee for issuing a sticker under subregulation (1) is $2.00.</w:t>
      </w:r>
    </w:p>
    <w:p>
      <w:pPr>
        <w:pStyle w:val="Footnotesection"/>
        <w:ind w:left="890" w:hanging="890"/>
      </w:pPr>
      <w:r>
        <w:tab/>
        <w:t xml:space="preserve">[Regulation 45BAB inserted: SL 2022/137 r. 7; amended: SL 2023/45 r. 12; SL 2024/57 r. 8.] </w:t>
      </w:r>
    </w:p>
    <w:p>
      <w:pPr>
        <w:pStyle w:val="Heading5"/>
        <w:rPr>
          <w:snapToGrid w:val="0"/>
        </w:rPr>
      </w:pPr>
      <w:bookmarkStart w:id="88" w:name="_Toc196399839"/>
      <w:r>
        <w:rPr>
          <w:rStyle w:val="CharSectno"/>
        </w:rPr>
        <w:t>45BA</w:t>
      </w:r>
      <w:r>
        <w:rPr>
          <w:snapToGrid w:val="0"/>
        </w:rPr>
        <w:t>.</w:t>
      </w:r>
      <w:r>
        <w:rPr>
          <w:snapToGrid w:val="0"/>
        </w:rPr>
        <w:tab/>
        <w:t>Dealers plates</w:t>
      </w:r>
      <w:bookmarkEnd w:id="88"/>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lastRenderedPageBreak/>
        <w:tab/>
        <w:t>(e)</w:t>
      </w:r>
      <w:r>
        <w:rPr>
          <w:snapToGrid w:val="0"/>
        </w:rPr>
        <w:tab/>
        <w:t>buying or selling trade articles used on vessels,</w:t>
      </w:r>
    </w:p>
    <w:p>
      <w:pPr>
        <w:pStyle w:val="Subsection"/>
        <w:rPr>
          <w:snapToGrid w:val="0"/>
        </w:rPr>
      </w:pPr>
      <w:r>
        <w:rPr>
          <w:snapToGrid w:val="0"/>
        </w:rPr>
        <w:tab/>
      </w:r>
      <w:r>
        <w:rPr>
          <w:snapToGrid w:val="0"/>
        </w:rPr>
        <w:tab/>
        <w:t xml:space="preserve">may apply in writing to the </w:t>
      </w:r>
      <w:r>
        <w:t>Department</w:t>
      </w:r>
      <w:r>
        <w:rPr>
          <w:snapToGrid w:val="0"/>
        </w:rPr>
        <w:t xml:space="preserve"> for the issue to him of one or more sets of dealers plates.</w:t>
      </w:r>
    </w:p>
    <w:p>
      <w:pPr>
        <w:pStyle w:val="Subsection"/>
        <w:keepNext/>
      </w:pPr>
      <w:r>
        <w:rPr>
          <w:snapToGrid w:val="0"/>
        </w:rPr>
        <w:tab/>
        <w:t>(2)</w:t>
      </w:r>
      <w:r>
        <w:rPr>
          <w:snapToGrid w:val="0"/>
        </w:rPr>
        <w:tab/>
        <w:t xml:space="preserve">An application under subregulation (1) shall be made in writing in a form approved by the </w:t>
      </w:r>
      <w:r>
        <w:t>Department</w:t>
      </w:r>
      <w:r>
        <w:rPr>
          <w:snapToGrid w:val="0"/>
        </w:rPr>
        <w:t xml:space="preserve"> and be accompanied by a </w:t>
      </w:r>
      <w:r>
        <w:t xml:space="preserve"> fee of — </w:t>
      </w:r>
    </w:p>
    <w:p>
      <w:pPr>
        <w:pStyle w:val="Indenta"/>
        <w:spacing w:before="60"/>
      </w:pPr>
      <w:r>
        <w:tab/>
        <w:t>(a)</w:t>
      </w:r>
      <w:r>
        <w:tab/>
        <w:t>$416.20 for the issue of the first set of plates; and</w:t>
      </w:r>
    </w:p>
    <w:p>
      <w:pPr>
        <w:pStyle w:val="Indenta"/>
        <w:spacing w:before="60"/>
        <w:rPr>
          <w:snapToGrid w:val="0"/>
        </w:rPr>
      </w:pPr>
      <w:r>
        <w:tab/>
        <w:t>(b)</w:t>
      </w:r>
      <w:r>
        <w:tab/>
        <w:t>$173.95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w:t>
      </w:r>
      <w:r>
        <w:t>Department</w:t>
      </w:r>
      <w:r>
        <w:rPr>
          <w:snapToGrid w:val="0"/>
        </w:rPr>
        <w:t xml:space="preserve">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$316.00 for the first set of plates and 10% of that fee for each additional set of plates are</w:t>
      </w:r>
      <w:r>
        <w:rPr>
          <w:snapToGrid w:val="0"/>
        </w:rPr>
        <w:t xml:space="preserve"> paid to the </w:t>
      </w:r>
      <w:r>
        <w:t>Department</w:t>
      </w:r>
      <w:r>
        <w:rPr>
          <w:snapToGrid w:val="0"/>
        </w:rPr>
        <w:t xml:space="preserve">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 xml:space="preserve">the plates are securely affixed to the vessel and are visible at a distance of 50 m while the vessel is </w:t>
      </w:r>
      <w:r>
        <w:t>underway,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lastRenderedPageBreak/>
        <w:tab/>
        <w:t>(4a)</w:t>
      </w:r>
      <w:r>
        <w:tab/>
        <w:t>A person who contravenes subregulation (4) commits an offence.</w:t>
      </w:r>
    </w:p>
    <w:p>
      <w:pPr>
        <w:pStyle w:val="Subsection"/>
        <w:spacing w:before="120"/>
        <w:rPr>
          <w:snapToGrid w:val="0"/>
        </w:rPr>
      </w:pPr>
      <w:r>
        <w:rPr>
          <w:snapToGrid w:val="0"/>
        </w:rPr>
        <w:tab/>
        <w:t>(5)(a)</w:t>
      </w:r>
      <w:r>
        <w:rPr>
          <w:snapToGrid w:val="0"/>
        </w:rPr>
        <w:tab/>
        <w:t xml:space="preserve">The </w:t>
      </w:r>
      <w:r>
        <w:t>Department</w:t>
      </w:r>
      <w:r>
        <w:rPr>
          <w:snapToGrid w:val="0"/>
        </w:rPr>
        <w:t xml:space="preserve"> </w:t>
      </w:r>
      <w:r>
        <w:t>may by notice served on a person to whom dealers plates have been issued</w:t>
      </w:r>
      <w:r>
        <w:rPr>
          <w:snapToGrid w:val="0"/>
        </w:rPr>
        <w:t xml:space="preserve">, require him to immediately or within 7 days deliver up the plates to the </w:t>
      </w:r>
      <w:r>
        <w:t>Department</w:t>
      </w:r>
      <w:r>
        <w:rPr>
          <w:snapToGrid w:val="0"/>
        </w:rPr>
        <w: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$173.95.</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w:t>
      </w:r>
      <w:r>
        <w:lastRenderedPageBreak/>
        <w:t xml:space="preserve">27 May 2016 p. 1551; 25 May 2018 p. 1641; 17 May 2019 p. 1438; SL 2020/60 r. 8; SL 2021/68 r. 14; SL 2022/56 r. 6; SL 2023/45 r. 13; SL 2023/135 r. 11; SL 2024/57 r. 8; SL 2024/191 r. 41.] </w:t>
      </w:r>
    </w:p>
    <w:p>
      <w:pPr>
        <w:pStyle w:val="Heading5"/>
        <w:spacing w:before="240"/>
        <w:rPr>
          <w:snapToGrid w:val="0"/>
        </w:rPr>
      </w:pPr>
      <w:bookmarkStart w:id="89" w:name="_Toc196399840"/>
      <w:r>
        <w:rPr>
          <w:rStyle w:val="CharSectno"/>
        </w:rPr>
        <w:t>45C</w:t>
      </w:r>
      <w:r>
        <w:rPr>
          <w:snapToGrid w:val="0"/>
        </w:rPr>
        <w:t>.</w:t>
      </w:r>
      <w:r>
        <w:rPr>
          <w:snapToGrid w:val="0"/>
        </w:rPr>
        <w:tab/>
        <w:t>Duration of registration etc.</w:t>
      </w:r>
      <w:bookmarkEnd w:id="89"/>
      <w:r>
        <w:rPr>
          <w:snapToGrid w:val="0"/>
        </w:rPr>
        <w:t xml:space="preserve"> </w:t>
      </w:r>
    </w:p>
    <w:p>
      <w:pPr>
        <w:pStyle w:val="Subsection"/>
        <w:spacing w:before="180"/>
        <w:rPr>
          <w:snapToGrid w:val="0"/>
        </w:rPr>
      </w:pPr>
      <w:r>
        <w:rPr>
          <w:snapToGrid w:val="0"/>
        </w:rPr>
        <w:tab/>
        <w:t>(1)</w:t>
      </w:r>
      <w:r>
        <w:rPr>
          <w:snapToGrid w:val="0"/>
        </w:rPr>
        <w:tab/>
        <w:t xml:space="preserve">Subject to subregulation (2), where an application for registration is duly made under regulation 45B and is accompanied by the prescribed fees the </w:t>
      </w:r>
      <w:r>
        <w:t>Department</w:t>
      </w:r>
      <w:r>
        <w:rPr>
          <w:snapToGrid w:val="0"/>
        </w:rPr>
        <w:t xml:space="preserve">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 xml:space="preserve">the </w:t>
      </w:r>
      <w:r>
        <w:t>Department</w:t>
      </w:r>
      <w:r>
        <w:rPr>
          <w:snapToGrid w:val="0"/>
        </w:rPr>
        <w:t xml:space="preserve">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amended: SL 2024/191 r. 41.] </w:t>
      </w:r>
    </w:p>
    <w:p>
      <w:pPr>
        <w:pStyle w:val="Heading5"/>
        <w:rPr>
          <w:snapToGrid w:val="0"/>
        </w:rPr>
      </w:pPr>
      <w:bookmarkStart w:id="90" w:name="_Toc196399841"/>
      <w:r>
        <w:rPr>
          <w:rStyle w:val="CharSectno"/>
        </w:rPr>
        <w:t>45D</w:t>
      </w:r>
      <w:r>
        <w:rPr>
          <w:snapToGrid w:val="0"/>
        </w:rPr>
        <w:t>.</w:t>
      </w:r>
      <w:r>
        <w:rPr>
          <w:snapToGrid w:val="0"/>
        </w:rPr>
        <w:tab/>
        <w:t>Owners to furnish particulars of changes of address etc.</w:t>
      </w:r>
      <w:bookmarkEnd w:id="90"/>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 xml:space="preserve">produce to an officer of the </w:t>
      </w:r>
      <w:r>
        <w:t>Department</w:t>
      </w:r>
      <w:r>
        <w:rPr>
          <w:snapToGrid w:val="0"/>
        </w:rPr>
        <w:t xml:space="preserve"> or a member of the police force the certificate of registration of the </w:t>
      </w:r>
      <w:r>
        <w:rPr>
          <w:snapToGrid w:val="0"/>
        </w:rPr>
        <w:lastRenderedPageBreak/>
        <w:t>vessel within the time specified by the officer or member; and</w:t>
      </w:r>
    </w:p>
    <w:p>
      <w:pPr>
        <w:pStyle w:val="Indenta"/>
        <w:rPr>
          <w:snapToGrid w:val="0"/>
        </w:rPr>
      </w:pPr>
      <w:r>
        <w:rPr>
          <w:snapToGrid w:val="0"/>
        </w:rPr>
        <w:tab/>
        <w:t>(b)</w:t>
      </w:r>
      <w:r>
        <w:rPr>
          <w:snapToGrid w:val="0"/>
        </w:rPr>
        <w:tab/>
        <w:t xml:space="preserve">notify the </w:t>
      </w:r>
      <w:r>
        <w:t>Department</w:t>
      </w:r>
      <w:r>
        <w:rPr>
          <w:snapToGrid w:val="0"/>
        </w:rPr>
        <w:t xml:space="preserve">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SL 2024/191 r. 41.] </w:t>
      </w:r>
    </w:p>
    <w:p>
      <w:pPr>
        <w:pStyle w:val="Heading5"/>
        <w:keepLines w:val="0"/>
        <w:spacing w:before="180"/>
        <w:rPr>
          <w:snapToGrid w:val="0"/>
        </w:rPr>
      </w:pPr>
      <w:bookmarkStart w:id="91" w:name="_Toc196399842"/>
      <w:r>
        <w:rPr>
          <w:rStyle w:val="CharSectno"/>
        </w:rPr>
        <w:t>45E</w:t>
      </w:r>
      <w:r>
        <w:rPr>
          <w:snapToGrid w:val="0"/>
        </w:rPr>
        <w:t>.</w:t>
      </w:r>
      <w:r>
        <w:rPr>
          <w:snapToGrid w:val="0"/>
        </w:rPr>
        <w:tab/>
        <w:t>Transfers of vessels</w:t>
      </w:r>
      <w:bookmarkEnd w:id="91"/>
      <w:r>
        <w:rPr>
          <w:snapToGrid w:val="0"/>
        </w:rPr>
        <w:t xml:space="preserve"> </w:t>
      </w:r>
    </w:p>
    <w:p>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 xml:space="preserve">within 7 days of the sale or disposal, give notice to the </w:t>
      </w:r>
      <w:r>
        <w:t>Department</w:t>
      </w:r>
      <w:r>
        <w:rPr>
          <w:snapToGrid w:val="0"/>
        </w:rPr>
        <w:t xml:space="preserve"> in writing of the sale or disposal of the vessel of the consent to the sale or disposal of the vessel of all registered owners of the vessel and the name and </w:t>
      </w:r>
      <w:r>
        <w:rPr>
          <w:snapToGrid w:val="0"/>
        </w:rPr>
        <w:lastRenderedPageBreak/>
        <w:t>address of the person to whom the vessel has been sold or disposed of.</w:t>
      </w:r>
    </w:p>
    <w:p>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w:t>
      </w:r>
      <w:r>
        <w:t>Department</w:t>
      </w:r>
      <w:r>
        <w:rPr>
          <w:snapToGrid w:val="0"/>
        </w:rPr>
        <w:t xml:space="preserve"> for the transfer of the vessel and include with </w:t>
      </w:r>
      <w:r>
        <w:t>the</w:t>
      </w:r>
      <w:r>
        <w:rPr>
          <w:snapToGrid w:val="0"/>
        </w:rPr>
        <w:t xml:space="preserve"> application a recording fee of </w:t>
      </w:r>
      <w:r>
        <w:t>$34.15;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 and</w:t>
      </w:r>
    </w:p>
    <w:p>
      <w:pPr>
        <w:pStyle w:val="Indenti"/>
      </w:pPr>
      <w:r>
        <w:tab/>
        <w:t>(iv)</w:t>
      </w:r>
      <w:r>
        <w:tab/>
        <w:t>a certificate issued by a person accredited to do so under regulation 45AA or 45AB verifying the hull identification number of the vessel.</w:t>
      </w:r>
    </w:p>
    <w:p>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w:t>
      </w:r>
      <w:r>
        <w:t>Department</w:t>
      </w:r>
      <w:r>
        <w:rPr>
          <w:snapToGrid w:val="0"/>
        </w:rPr>
        <w:t xml:space="preserve"> in writing of the loss of that vessel, however occasioned, within 15 days of </w:t>
      </w:r>
      <w:r>
        <w:t>the owner</w:t>
      </w:r>
      <w:r>
        <w:rPr>
          <w:snapToGrid w:val="0"/>
        </w:rPr>
        <w:t xml:space="preserve"> learning of that loss.</w:t>
      </w:r>
    </w:p>
    <w:p>
      <w:pPr>
        <w:pStyle w:val="Subsection"/>
        <w:rPr>
          <w:snapToGrid w:val="0"/>
        </w:rPr>
      </w:pPr>
      <w:r>
        <w:rPr>
          <w:snapToGrid w:val="0"/>
        </w:rPr>
        <w:lastRenderedPageBreak/>
        <w:tab/>
        <w:t>(4)</w:t>
      </w:r>
      <w:r>
        <w:rPr>
          <w:snapToGrid w:val="0"/>
        </w:rPr>
        <w:tab/>
        <w:t xml:space="preserve">Subregulation (3) does not apply if the </w:t>
      </w:r>
      <w:r>
        <w:t>Department</w:t>
      </w:r>
      <w:r>
        <w:rPr>
          <w:snapToGrid w:val="0"/>
        </w:rPr>
        <w:t xml:space="preserve">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SL 2021/68 r. 14; SL 2022/56 r. 6; SL 2022/137 r. 8; SL 2023/45 r. 14; SL 2024/57 r. 8; SL 2024/191 r. 41.] </w:t>
      </w:r>
    </w:p>
    <w:p>
      <w:pPr>
        <w:pStyle w:val="Heading5"/>
      </w:pPr>
      <w:bookmarkStart w:id="92" w:name="_Toc196399843"/>
      <w:r>
        <w:rPr>
          <w:rStyle w:val="CharSectno"/>
        </w:rPr>
        <w:lastRenderedPageBreak/>
        <w:t>45EA</w:t>
      </w:r>
      <w:r>
        <w:t>.</w:t>
      </w:r>
      <w:r>
        <w:tab/>
        <w:t>Altering hull identification number prohibited</w:t>
      </w:r>
      <w:bookmarkEnd w:id="92"/>
    </w:p>
    <w:p>
      <w:pPr>
        <w:pStyle w:val="Subsection"/>
        <w:spacing w:before="120"/>
      </w:pPr>
      <w:r>
        <w:tab/>
        <w:t>(1)</w:t>
      </w:r>
      <w:r>
        <w:tab/>
        <w:t>A person who, without the approval of the chief executive officer, alters, removes or renders illegible the hull identification number of a registered vessel commits an offence.</w:t>
      </w:r>
    </w:p>
    <w:p>
      <w:pPr>
        <w:pStyle w:val="Subsection"/>
      </w:pPr>
      <w:r>
        <w:tab/>
        <w:t>(2)</w:t>
      </w:r>
      <w:r>
        <w:tab/>
        <w:t>Subregulation (1) does not apply to a person accredited under regulation 45AA(1) or 45AB(1) acting in accordance with their accreditation.</w:t>
      </w:r>
    </w:p>
    <w:p>
      <w:pPr>
        <w:pStyle w:val="Footnotesection"/>
        <w:spacing w:before="100"/>
        <w:ind w:left="890" w:hanging="890"/>
      </w:pPr>
      <w:r>
        <w:tab/>
        <w:t>[Regulation 45EA inserted: Gazette 1 Dec 2000 p. 6768; amended: SL 2022/137 r. 9.]</w:t>
      </w:r>
    </w:p>
    <w:p>
      <w:pPr>
        <w:pStyle w:val="Heading5"/>
      </w:pPr>
      <w:bookmarkStart w:id="93" w:name="_Toc196399844"/>
      <w:r>
        <w:rPr>
          <w:rStyle w:val="CharSectno"/>
        </w:rPr>
        <w:t>45EB</w:t>
      </w:r>
      <w:r>
        <w:t>.</w:t>
      </w:r>
      <w:r>
        <w:tab/>
        <w:t>Duty of owner to reaffix hull identification number</w:t>
      </w:r>
      <w:bookmarkEnd w:id="93"/>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pPr>
        <w:pStyle w:val="Indenta"/>
      </w:pPr>
      <w:r>
        <w:tab/>
        <w:t>(a)</w:t>
      </w:r>
      <w:r>
        <w:tab/>
        <w:t>by a person approved by the chief executive officer or accredited to do so under regulation 45AA or 45AB; and</w:t>
      </w:r>
    </w:p>
    <w:p>
      <w:pPr>
        <w:pStyle w:val="Indenta"/>
      </w:pPr>
      <w:r>
        <w:tab/>
        <w:t>(b)</w:t>
      </w:r>
      <w:r>
        <w:tab/>
        <w:t>in a form and manner approved by the chief executive officer.</w:t>
      </w:r>
    </w:p>
    <w:p>
      <w:pPr>
        <w:pStyle w:val="Footnotesection"/>
        <w:spacing w:before="100"/>
        <w:ind w:left="890" w:hanging="890"/>
      </w:pPr>
      <w:r>
        <w:tab/>
        <w:t>[Regulation 45EB inserted: SL 2022/137 r. 10.]</w:t>
      </w:r>
    </w:p>
    <w:p>
      <w:pPr>
        <w:pStyle w:val="Heading5"/>
      </w:pPr>
      <w:bookmarkStart w:id="94" w:name="_Toc196399845"/>
      <w:r>
        <w:rPr>
          <w:rStyle w:val="CharSectno"/>
        </w:rPr>
        <w:t>45F</w:t>
      </w:r>
      <w:r>
        <w:t>.</w:t>
      </w:r>
      <w:r>
        <w:tab/>
        <w:t>Penalties</w:t>
      </w:r>
      <w:bookmarkEnd w:id="94"/>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95" w:name="_Toc196395477"/>
      <w:bookmarkStart w:id="96" w:name="_Toc196396630"/>
      <w:bookmarkStart w:id="97" w:name="_Toc196399846"/>
      <w:r>
        <w:rPr>
          <w:rStyle w:val="CharPartNo"/>
        </w:rPr>
        <w:lastRenderedPageBreak/>
        <w:t>Part 6</w:t>
      </w:r>
      <w:r>
        <w:t> — </w:t>
      </w:r>
      <w:r>
        <w:rPr>
          <w:rStyle w:val="CharPartText"/>
        </w:rPr>
        <w:t>Recreational skipper’s tickets, equipment and safety requirements</w:t>
      </w:r>
      <w:bookmarkEnd w:id="95"/>
      <w:bookmarkEnd w:id="96"/>
      <w:bookmarkEnd w:id="97"/>
    </w:p>
    <w:p>
      <w:pPr>
        <w:pStyle w:val="Footnoteheading"/>
      </w:pPr>
      <w:r>
        <w:tab/>
        <w:t>[Heading inserted: SL 2024/191 r. 18.]</w:t>
      </w:r>
    </w:p>
    <w:p>
      <w:pPr>
        <w:pStyle w:val="Heading3"/>
      </w:pPr>
      <w:bookmarkStart w:id="98" w:name="_Toc196395478"/>
      <w:bookmarkStart w:id="99" w:name="_Toc196396631"/>
      <w:bookmarkStart w:id="100" w:name="_Toc196399847"/>
      <w:r>
        <w:rPr>
          <w:rStyle w:val="CharDivNo"/>
        </w:rPr>
        <w:t>Division 1</w:t>
      </w:r>
      <w:r>
        <w:t> — </w:t>
      </w:r>
      <w:r>
        <w:rPr>
          <w:rStyle w:val="CharDivText"/>
        </w:rPr>
        <w:t>Preliminary</w:t>
      </w:r>
      <w:bookmarkEnd w:id="98"/>
      <w:bookmarkEnd w:id="99"/>
      <w:bookmarkEnd w:id="100"/>
    </w:p>
    <w:p>
      <w:pPr>
        <w:pStyle w:val="Footnoteheading"/>
      </w:pPr>
      <w:r>
        <w:tab/>
        <w:t>[Heading inserted: SL 2023/135 r. 12.]</w:t>
      </w:r>
    </w:p>
    <w:p>
      <w:pPr>
        <w:pStyle w:val="Heading5"/>
        <w:rPr>
          <w:snapToGrid w:val="0"/>
        </w:rPr>
      </w:pPr>
      <w:bookmarkStart w:id="101" w:name="_Toc196399848"/>
      <w:r>
        <w:rPr>
          <w:rStyle w:val="CharSectno"/>
        </w:rPr>
        <w:t>46</w:t>
      </w:r>
      <w:r>
        <w:rPr>
          <w:snapToGrid w:val="0"/>
        </w:rPr>
        <w:t>.</w:t>
      </w:r>
      <w:r>
        <w:rPr>
          <w:snapToGrid w:val="0"/>
        </w:rPr>
        <w:tab/>
        <w:t>Terms used</w:t>
      </w:r>
      <w:bookmarkEnd w:id="10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In this Part — </w:t>
      </w:r>
    </w:p>
    <w:p>
      <w:pPr>
        <w:pStyle w:val="Defstart"/>
      </w:pPr>
      <w:r>
        <w:tab/>
      </w:r>
      <w:r>
        <w:rPr>
          <w:rStyle w:val="CharDefText"/>
        </w:rPr>
        <w:t>appropriate lifejacket</w:t>
      </w:r>
      <w:r>
        <w:t xml:space="preserve">, for a person, means — </w:t>
      </w:r>
    </w:p>
    <w:p>
      <w:pPr>
        <w:pStyle w:val="Defpara"/>
      </w:pPr>
      <w:r>
        <w:tab/>
        <w:t>(a)</w:t>
      </w:r>
      <w:r>
        <w:tab/>
        <w:t xml:space="preserve">in relation to a registrable vessel that is not a personal watercraft, any of the following, of a size and buoyancy appropriate to the body mass of that person — </w:t>
      </w:r>
    </w:p>
    <w:p>
      <w:pPr>
        <w:pStyle w:val="zDefsubpara"/>
      </w:pPr>
      <w:r>
        <w:tab/>
        <w:t>(i)</w:t>
      </w:r>
      <w:r>
        <w:tab/>
        <w:t>a Level 100 lifejacket;</w:t>
      </w:r>
    </w:p>
    <w:p>
      <w:pPr>
        <w:pStyle w:val="zDefsubpara"/>
      </w:pPr>
      <w:r>
        <w:tab/>
        <w:t>(ii)</w:t>
      </w:r>
      <w:r>
        <w:tab/>
        <w:t>a Level 150 lifejacket;</w:t>
      </w:r>
    </w:p>
    <w:p>
      <w:pPr>
        <w:pStyle w:val="zDefsubpara"/>
      </w:pPr>
      <w:r>
        <w:tab/>
        <w:t>(iii)</w:t>
      </w:r>
      <w:r>
        <w:tab/>
        <w:t>a Level 275 lifejacket;</w:t>
      </w:r>
    </w:p>
    <w:p>
      <w:pPr>
        <w:pStyle w:val="zDefsubpara"/>
      </w:pPr>
      <w:r>
        <w:tab/>
        <w:t>(iv)</w:t>
      </w:r>
      <w:r>
        <w:tab/>
        <w:t>a SOLAS lifejacket;</w:t>
      </w:r>
    </w:p>
    <w:p>
      <w:pPr>
        <w:pStyle w:val="Defpara"/>
      </w:pPr>
      <w:r>
        <w:tab/>
      </w:r>
      <w:r>
        <w:tab/>
        <w:t>and</w:t>
      </w:r>
    </w:p>
    <w:p>
      <w:pPr>
        <w:pStyle w:val="Defpara"/>
      </w:pPr>
      <w:r>
        <w:tab/>
        <w:t>(b)</w:t>
      </w:r>
      <w:r>
        <w:tab/>
        <w:t>in relation to a non</w:t>
      </w:r>
      <w:r>
        <w:noBreakHyphen/>
        <w:t xml:space="preserve">registrable vessel and a registrable vessel that is a personal watercraft, any of the following, of a size and buoyancy appropriate to the body mass of that person — </w:t>
      </w:r>
    </w:p>
    <w:p>
      <w:pPr>
        <w:pStyle w:val="zDefsubpara"/>
      </w:pPr>
      <w:r>
        <w:tab/>
        <w:t>(i)</w:t>
      </w:r>
      <w:r>
        <w:tab/>
        <w:t xml:space="preserve">a Level 50S lifejacket; </w:t>
      </w:r>
    </w:p>
    <w:p>
      <w:pPr>
        <w:pStyle w:val="zDefsubpara"/>
      </w:pPr>
      <w:r>
        <w:tab/>
        <w:t>(ii)</w:t>
      </w:r>
      <w:r>
        <w:tab/>
        <w:t xml:space="preserve">a Level 50 lifejacket; </w:t>
      </w:r>
    </w:p>
    <w:p>
      <w:pPr>
        <w:pStyle w:val="zDefsubpara"/>
      </w:pPr>
      <w:r>
        <w:tab/>
        <w:t>(iii)</w:t>
      </w:r>
      <w:r>
        <w:tab/>
        <w:t>a Level 100 lifejacket;</w:t>
      </w:r>
    </w:p>
    <w:p>
      <w:pPr>
        <w:pStyle w:val="zDefsubpara"/>
      </w:pPr>
      <w:r>
        <w:tab/>
        <w:t>(iv)</w:t>
      </w:r>
      <w:r>
        <w:tab/>
        <w:t>a Level 150 lifejacket;</w:t>
      </w:r>
    </w:p>
    <w:p>
      <w:pPr>
        <w:pStyle w:val="zDefsubpara"/>
      </w:pPr>
      <w:r>
        <w:tab/>
        <w:t>(v)</w:t>
      </w:r>
      <w:r>
        <w:tab/>
        <w:t>a Level 275 lifejacket;</w:t>
      </w:r>
    </w:p>
    <w:p>
      <w:pPr>
        <w:pStyle w:val="zDefsubpara"/>
      </w:pPr>
      <w:r>
        <w:tab/>
        <w:t>(vi)</w:t>
      </w:r>
      <w:r>
        <w:tab/>
        <w:t>a SOLAS lifejacket;</w:t>
      </w:r>
    </w:p>
    <w:p>
      <w:pPr>
        <w:pStyle w:val="Defstart"/>
      </w:pPr>
      <w:r>
        <w:lastRenderedPageBreak/>
        <w:tab/>
      </w:r>
      <w:r>
        <w:rPr>
          <w:rStyle w:val="CharDefText"/>
        </w:rPr>
        <w:t>approved electronic visual distress signal</w:t>
      </w:r>
      <w:r>
        <w:t xml:space="preserve"> means an electronic visual distress signal approved by the Minister, for the purposes of regulation 52B, by notice published in the </w:t>
      </w:r>
      <w:r>
        <w:rPr>
          <w:i/>
        </w:rPr>
        <w:t>Gazette</w:t>
      </w:r>
      <w:r>
        <w:t>;</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Australian Communications and Media Authority</w:t>
      </w:r>
      <w:r>
        <w:t xml:space="preserve"> means the Australian Communications and Media Authority established under the </w:t>
      </w:r>
      <w:r>
        <w:rPr>
          <w:i/>
        </w:rPr>
        <w:t>Australian Communications and Media Authority Act 2005</w:t>
      </w:r>
      <w:r>
        <w:t xml:space="preserve"> (Commonwealth) section 6;</w:t>
      </w:r>
    </w:p>
    <w:p>
      <w:pPr>
        <w:pStyle w:val="Defstart"/>
      </w:pPr>
      <w:r>
        <w:tab/>
      </w:r>
      <w:r>
        <w:rPr>
          <w:rStyle w:val="CharDefText"/>
        </w:rPr>
        <w:t>Emergency Position</w:t>
      </w:r>
      <w:r>
        <w:rPr>
          <w:rStyle w:val="CharDefText"/>
        </w:rPr>
        <w:noBreakHyphen/>
        <w:t>Indicating Radio Beacon</w:t>
      </w:r>
      <w:r>
        <w:t xml:space="preserve"> means an emergency position</w:t>
      </w:r>
      <w:r>
        <w:noBreakHyphen/>
        <w:t xml:space="preserve">indicating radio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4280.1:2003; or</w:t>
      </w:r>
    </w:p>
    <w:p>
      <w:pPr>
        <w:pStyle w:val="zDefsubpara"/>
      </w:pPr>
      <w:r>
        <w:tab/>
        <w:t>(ii)</w:t>
      </w:r>
      <w:r>
        <w:tab/>
        <w:t>AS/NZS 4280.1:2017; or</w:t>
      </w:r>
    </w:p>
    <w:p>
      <w:pPr>
        <w:pStyle w:val="zDefsubpara"/>
      </w:pPr>
      <w:r>
        <w:tab/>
        <w:t>(iii)</w:t>
      </w:r>
      <w:r>
        <w:tab/>
        <w:t xml:space="preserve">AS/NZS 4280.1:2022; </w:t>
      </w:r>
    </w:p>
    <w:p>
      <w:pPr>
        <w:pStyle w:val="Defpara"/>
      </w:pPr>
      <w:r>
        <w:tab/>
      </w:r>
      <w:r>
        <w:tab/>
        <w:t>and</w:t>
      </w:r>
    </w:p>
    <w:p>
      <w:pPr>
        <w:pStyle w:val="Defpara"/>
      </w:pPr>
      <w:r>
        <w:tab/>
        <w:t>(b)</w:t>
      </w:r>
      <w:r>
        <w:tab/>
        <w:t>on or after 1 September 2028 but before 1 September 2033, is GNSS</w:t>
      </w:r>
      <w:r>
        <w:noBreakHyphen/>
        <w:t xml:space="preserve">equipped and complies with — </w:t>
      </w:r>
    </w:p>
    <w:p>
      <w:pPr>
        <w:pStyle w:val="zDefsubpara"/>
      </w:pPr>
      <w:r>
        <w:tab/>
        <w:t>(i)</w:t>
      </w:r>
      <w:r>
        <w:tab/>
        <w:t>AS/NZS 4280.1:2017; or</w:t>
      </w:r>
    </w:p>
    <w:p>
      <w:pPr>
        <w:pStyle w:val="zDefsubpara"/>
      </w:pPr>
      <w:r>
        <w:tab/>
        <w:t>(ii)</w:t>
      </w:r>
      <w:r>
        <w:tab/>
        <w:t xml:space="preserve">AS/NZS 4280.1:2022; </w:t>
      </w:r>
    </w:p>
    <w:p>
      <w:pPr>
        <w:pStyle w:val="Defpara"/>
      </w:pPr>
      <w:r>
        <w:tab/>
      </w:r>
      <w:r>
        <w:tab/>
        <w:t>and</w:t>
      </w:r>
    </w:p>
    <w:p>
      <w:pPr>
        <w:pStyle w:val="Defpara"/>
      </w:pPr>
      <w:r>
        <w:tab/>
        <w:t>(c)</w:t>
      </w:r>
      <w:r>
        <w:tab/>
        <w:t>on or after 1 September 2033, is GNSS</w:t>
      </w:r>
      <w:r>
        <w:noBreakHyphen/>
        <w:t>equipped and complies with AS/NZS 4280.1:2022;</w:t>
      </w:r>
    </w:p>
    <w:p>
      <w:pPr>
        <w:pStyle w:val="Defstart"/>
      </w:pPr>
      <w:r>
        <w:lastRenderedPageBreak/>
        <w:tab/>
      </w:r>
      <w:r>
        <w:rPr>
          <w:rStyle w:val="CharDefText"/>
        </w:rPr>
        <w:t>GNSS</w:t>
      </w:r>
      <w:r>
        <w:rPr>
          <w:rStyle w:val="CharDefText"/>
        </w:rPr>
        <w:noBreakHyphen/>
        <w:t>equipped</w:t>
      </w:r>
      <w:r>
        <w:t>, in relation to an Emergency Position</w:t>
      </w:r>
      <w:r>
        <w:noBreakHyphen/>
        <w:t xml:space="preserve">Indicating Radio Beacon or a personal locator beacon, means capable of — </w:t>
      </w:r>
    </w:p>
    <w:p>
      <w:pPr>
        <w:pStyle w:val="Defpara"/>
      </w:pPr>
      <w:r>
        <w:tab/>
        <w:t>(a)</w:t>
      </w:r>
      <w:r>
        <w:tab/>
        <w:t>determining, by means of a global navigation satellite system, the location of the Emergency Position</w:t>
      </w:r>
      <w:r>
        <w:noBreakHyphen/>
        <w:t>Indicating Radio Beacon or personal locator beacon, as the case may be; and</w:t>
      </w:r>
    </w:p>
    <w:p>
      <w:pPr>
        <w:pStyle w:val="Defpara"/>
      </w:pPr>
      <w:r>
        <w:tab/>
        <w:t>(b)</w:t>
      </w:r>
      <w:r>
        <w:tab/>
        <w:t>encoding information as to the location within the signal transmitted by the Emergency Position</w:t>
      </w:r>
      <w:r>
        <w:noBreakHyphen/>
        <w:t>Indicating Radio Beacon or personal locator beacon;</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keepNext/>
      </w:pPr>
      <w:r>
        <w:tab/>
      </w:r>
      <w:r>
        <w:rPr>
          <w:rStyle w:val="CharDefText"/>
        </w:rPr>
        <w:t>Level 275 lifejacket</w:t>
      </w:r>
      <w:r>
        <w:t xml:space="preserve"> means — </w:t>
      </w:r>
    </w:p>
    <w:p>
      <w:pPr>
        <w:pStyle w:val="Defpara"/>
      </w:pPr>
      <w:r>
        <w:tab/>
        <w:t>(a)</w:t>
      </w:r>
      <w:r>
        <w:tab/>
        <w:t>a lifejacket classified as Level 275 by AS 4758; or</w:t>
      </w:r>
    </w:p>
    <w:p>
      <w:pPr>
        <w:pStyle w:val="Defpara"/>
      </w:pPr>
      <w:r>
        <w:lastRenderedPageBreak/>
        <w:tab/>
        <w:t>(b)</w:t>
      </w:r>
      <w:r>
        <w:tab/>
        <w:t>a lifejacket classified as performance level 275 by ISO 12402;</w:t>
      </w:r>
    </w:p>
    <w:p>
      <w:pPr>
        <w:pStyle w:val="Defstart"/>
      </w:pPr>
      <w:r>
        <w:tab/>
      </w:r>
      <w:r>
        <w:rPr>
          <w:rStyle w:val="CharDefText"/>
        </w:rPr>
        <w:t>marine transceiver</w:t>
      </w:r>
      <w:r>
        <w:t xml:space="preserve"> means a marine radio transceiver approved by the Australian Communications and Media Authority that is — </w:t>
      </w:r>
    </w:p>
    <w:p>
      <w:pPr>
        <w:pStyle w:val="Defpara"/>
      </w:pPr>
      <w:r>
        <w:tab/>
        <w:t>(a)</w:t>
      </w:r>
      <w:r>
        <w:tab/>
        <w:t>a High Frequency or Very High Frequency radio; or</w:t>
      </w:r>
    </w:p>
    <w:p>
      <w:pPr>
        <w:pStyle w:val="Defpara"/>
      </w:pPr>
      <w:r>
        <w:tab/>
        <w:t>(b)</w:t>
      </w:r>
      <w:r>
        <w:tab/>
        <w:t>before 1 September 2028 — a 27 MHz radio;</w:t>
      </w:r>
    </w:p>
    <w:p>
      <w:pPr>
        <w:pStyle w:val="Defstart"/>
      </w:pPr>
      <w:r>
        <w:tab/>
      </w:r>
      <w:r>
        <w:rPr>
          <w:rStyle w:val="CharDefText"/>
        </w:rPr>
        <w:t>non</w:t>
      </w:r>
      <w:r>
        <w:rPr>
          <w:rStyle w:val="CharDefText"/>
        </w:rPr>
        <w:noBreakHyphen/>
        <w:t>registrable vessel</w:t>
      </w:r>
      <w:r>
        <w:t xml:space="preserve"> — </w:t>
      </w:r>
    </w:p>
    <w:p>
      <w:pPr>
        <w:pStyle w:val="Defpara"/>
      </w:pPr>
      <w:r>
        <w:tab/>
        <w:t>(a)</w:t>
      </w:r>
      <w:r>
        <w:tab/>
        <w:t xml:space="preserve">means a pleasure vessel that is not a registrable vessel within the meaning of paragraph (a) of the definition of </w:t>
      </w:r>
      <w:r>
        <w:rPr>
          <w:b/>
          <w:i/>
        </w:rPr>
        <w:t>registrable vessel</w:t>
      </w:r>
      <w:r>
        <w:rPr>
          <w:bCs/>
          <w:iCs/>
        </w:rPr>
        <w:t xml:space="preserve"> in regulation 2(1)</w:t>
      </w:r>
      <w:r>
        <w:t>; and</w:t>
      </w:r>
    </w:p>
    <w:p>
      <w:pPr>
        <w:pStyle w:val="Defpara"/>
      </w:pPr>
      <w:r>
        <w:tab/>
        <w:t>(b)</w:t>
      </w:r>
      <w:r>
        <w:tab/>
        <w:t>includes a tender;</w:t>
      </w:r>
    </w:p>
    <w:p>
      <w:pPr>
        <w:pStyle w:val="Defstart"/>
      </w:pPr>
      <w:r>
        <w:tab/>
      </w:r>
      <w:r>
        <w:rPr>
          <w:rStyle w:val="CharDefText"/>
        </w:rPr>
        <w:t>paddle craft</w:t>
      </w:r>
      <w:r>
        <w:t xml:space="preserve"> — </w:t>
      </w:r>
    </w:p>
    <w:p>
      <w:pPr>
        <w:pStyle w:val="Defpara"/>
      </w:pPr>
      <w:r>
        <w:tab/>
        <w:t>(a)</w:t>
      </w:r>
      <w:r>
        <w:tab/>
        <w:t>means a vessel that is propelled by a paddle or by the movements of a person operating the paddle craft, including, for example, a canoe, a kayak (sit</w:t>
      </w:r>
      <w:r>
        <w:noBreakHyphen/>
        <w:t>in or sit</w:t>
      </w:r>
      <w:r>
        <w:noBreakHyphen/>
        <w:t>on</w:t>
      </w:r>
      <w:r>
        <w:noBreakHyphen/>
        <w:t>top) and a surfski; but</w:t>
      </w:r>
    </w:p>
    <w:p>
      <w:pPr>
        <w:pStyle w:val="Defpara"/>
      </w:pPr>
      <w:r>
        <w:tab/>
        <w:t>(b)</w:t>
      </w:r>
      <w:r>
        <w:tab/>
        <w:t>does not include a stand-up paddle board;</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4280.2:2003; or</w:t>
      </w:r>
    </w:p>
    <w:p>
      <w:pPr>
        <w:pStyle w:val="zDefsubpara"/>
      </w:pPr>
      <w:r>
        <w:tab/>
        <w:t>(ii)</w:t>
      </w:r>
      <w:r>
        <w:tab/>
        <w:t xml:space="preserve">AS/NZS 4280.2:2017; </w:t>
      </w:r>
    </w:p>
    <w:p>
      <w:pPr>
        <w:pStyle w:val="Defpara"/>
      </w:pPr>
      <w:r>
        <w:tab/>
      </w:r>
      <w:r>
        <w:tab/>
        <w:t>and</w:t>
      </w:r>
    </w:p>
    <w:p>
      <w:pPr>
        <w:pStyle w:val="Defpara"/>
      </w:pPr>
      <w:r>
        <w:tab/>
        <w:t>(b)</w:t>
      </w:r>
      <w:r>
        <w:tab/>
        <w:t>on or after 1 September 2028, is GNSS</w:t>
      </w:r>
      <w:r>
        <w:noBreakHyphen/>
        <w:t>equipped and complies with AS/NZS 4280.2:2017;</w:t>
      </w:r>
    </w:p>
    <w:p>
      <w:pPr>
        <w:pStyle w:val="Defstart"/>
      </w:pPr>
      <w:r>
        <w:lastRenderedPageBreak/>
        <w:tab/>
      </w:r>
      <w:r>
        <w:rPr>
          <w:rStyle w:val="CharDefText"/>
        </w:rPr>
        <w:t>sailboard</w:t>
      </w:r>
      <w:r>
        <w:t xml:space="preserve"> means a vessel that is principally propelled by wind, including, for example, a board that is used for kiteboarding, kitefoiling, windfoiling, windsurfing, wingboarding, wingfoiling, winging, wingsailing or wingsurfing;</w:t>
      </w:r>
    </w:p>
    <w:p>
      <w:pPr>
        <w:pStyle w:val="Defstart"/>
      </w:pPr>
      <w:r>
        <w:tab/>
      </w:r>
      <w:r>
        <w:rPr>
          <w:rStyle w:val="CharDefText"/>
        </w:rPr>
        <w:t>sailboard riding</w:t>
      </w:r>
      <w:r>
        <w:t xml:space="preserve"> includes kiteboarding, kitefoiling windfoiling, windsurfing, wingboarding, wingfoiling or similar use of a sailboard for the purpose of engaging in a water-related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SL 2023/135 r. 13; SL 2024/191 r. 19.] </w:t>
      </w:r>
    </w:p>
    <w:p>
      <w:pPr>
        <w:pStyle w:val="Heading3"/>
      </w:pPr>
      <w:bookmarkStart w:id="102" w:name="_Toc196395480"/>
      <w:bookmarkStart w:id="103" w:name="_Toc196396633"/>
      <w:bookmarkStart w:id="104" w:name="_Toc196399849"/>
      <w:r>
        <w:rPr>
          <w:rStyle w:val="CharDivNo"/>
        </w:rPr>
        <w:t>Division 2</w:t>
      </w:r>
      <w:r>
        <w:t> — </w:t>
      </w:r>
      <w:r>
        <w:rPr>
          <w:rStyle w:val="CharDivText"/>
        </w:rPr>
        <w:t>Recreational skippers’ tickets</w:t>
      </w:r>
      <w:bookmarkEnd w:id="102"/>
      <w:bookmarkEnd w:id="103"/>
      <w:bookmarkEnd w:id="104"/>
    </w:p>
    <w:p>
      <w:pPr>
        <w:pStyle w:val="Footnoteheading"/>
        <w:keepNext/>
      </w:pPr>
      <w:r>
        <w:tab/>
        <w:t>[Heading inserted: SL 2023/135 r. 14.]</w:t>
      </w:r>
    </w:p>
    <w:p>
      <w:pPr>
        <w:pStyle w:val="Ednotesection"/>
        <w:ind w:left="890" w:hanging="890"/>
      </w:pPr>
      <w:r>
        <w:t>[</w:t>
      </w:r>
      <w:r>
        <w:rPr>
          <w:b/>
        </w:rPr>
        <w:t>46A.</w:t>
      </w:r>
      <w:r>
        <w:tab/>
        <w:t>Deleted: Gazette 3 Mar 2017 p. 1486.]</w:t>
      </w:r>
    </w:p>
    <w:p>
      <w:pPr>
        <w:pStyle w:val="Ednotedivision"/>
        <w:spacing w:before="240"/>
      </w:pPr>
      <w:r>
        <w:t>[Heading deleted: Gazette 1 Jul 1983 p. 2263.]</w:t>
      </w:r>
    </w:p>
    <w:p>
      <w:pPr>
        <w:pStyle w:val="Heading5"/>
        <w:spacing w:before="240"/>
      </w:pPr>
      <w:bookmarkStart w:id="105" w:name="_Toc196399850"/>
      <w:r>
        <w:rPr>
          <w:rStyle w:val="CharSectno"/>
        </w:rPr>
        <w:lastRenderedPageBreak/>
        <w:t>47</w:t>
      </w:r>
      <w:r>
        <w:t>.</w:t>
      </w:r>
      <w:r>
        <w:tab/>
        <w:t>Terms used</w:t>
      </w:r>
      <w:bookmarkEnd w:id="105"/>
    </w:p>
    <w:p>
      <w:pPr>
        <w:pStyle w:val="Subsection"/>
        <w:spacing w:before="180"/>
      </w:pPr>
      <w:r>
        <w:tab/>
        <w:t>(1)</w:t>
      </w:r>
      <w:r>
        <w:tab/>
        <w:t xml:space="preserve">In this Division — </w:t>
      </w:r>
    </w:p>
    <w:p>
      <w:pPr>
        <w:pStyle w:val="Defstart"/>
      </w:pPr>
      <w:r>
        <w:rPr>
          <w:b/>
          <w:i/>
          <w:iCs/>
        </w:rPr>
        <w:tab/>
      </w:r>
      <w:r>
        <w:rPr>
          <w:rStyle w:val="CharDefText"/>
        </w:rPr>
        <w:t>CEO</w:t>
      </w:r>
      <w:r>
        <w:t xml:space="preserve"> means the chief executive officer;</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is a registrable vessel; and</w:t>
      </w:r>
    </w:p>
    <w:p>
      <w:pPr>
        <w:pStyle w:val="Defpara"/>
        <w:rPr>
          <w:rStyle w:val="DraftersNotes"/>
        </w:rPr>
      </w:pPr>
      <w:r>
        <w:tab/>
        <w:t>(b)</w:t>
      </w:r>
      <w:r>
        <w:tab/>
        <w:t>is propelled by motored power that exceeds 4.5 kW.</w:t>
      </w:r>
    </w:p>
    <w:p>
      <w:pPr>
        <w:pStyle w:val="Subsection"/>
        <w:spacing w:before="180"/>
      </w:pPr>
      <w:r>
        <w:tab/>
        <w:t>(2)</w:t>
      </w:r>
      <w:r>
        <w:tab/>
        <w:t>For the purposes of this Division, a person</w:t>
      </w:r>
      <w:r>
        <w:rPr>
          <w:b/>
          <w:bCs/>
        </w:rPr>
        <w:t xml:space="preserve"> </w:t>
      </w:r>
      <w:r>
        <w:t xml:space="preserve">meets the recreational skipper’s competency requirements if the person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this Division, an applicant for a recreational skipper’s ticket is taken to have lodged an application if the applicant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 amended: SL 2023/135 r. 15; SL 2024/191 r. 20.]</w:t>
      </w:r>
    </w:p>
    <w:p>
      <w:pPr>
        <w:pStyle w:val="Ednotesection"/>
        <w:ind w:left="890" w:hanging="890"/>
      </w:pPr>
      <w:r>
        <w:t>[</w:t>
      </w:r>
      <w:r>
        <w:rPr>
          <w:b/>
        </w:rPr>
        <w:t>47AA, 47AB.</w:t>
      </w:r>
      <w:r>
        <w:tab/>
        <w:t>Deleted: Gazette 25 Jul 2014 p. 2583.]</w:t>
      </w:r>
    </w:p>
    <w:p>
      <w:pPr>
        <w:pStyle w:val="Heading5"/>
        <w:keepLines w:val="0"/>
      </w:pPr>
      <w:bookmarkStart w:id="106" w:name="_Toc196399851"/>
      <w:r>
        <w:rPr>
          <w:rStyle w:val="CharSectno"/>
        </w:rPr>
        <w:lastRenderedPageBreak/>
        <w:t>47A</w:t>
      </w:r>
      <w:r>
        <w:t>.</w:t>
      </w:r>
      <w:r>
        <w:tab/>
        <w:t>Authority to drive motor boats and RST vessels</w:t>
      </w:r>
      <w:bookmarkEnd w:id="106"/>
    </w:p>
    <w:p>
      <w:pPr>
        <w:pStyle w:val="Ednotesubsection"/>
      </w:pPr>
      <w:r>
        <w:tab/>
        <w:t>[(1)</w:t>
      </w:r>
      <w:r>
        <w:tab/>
        <w:t>deleted]</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keepNext/>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master or person in charge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 amended: SL 2023/135 r. 16; SL 2024/191 r. 21.]</w:t>
      </w:r>
    </w:p>
    <w:p>
      <w:pPr>
        <w:pStyle w:val="Heading5"/>
      </w:pPr>
      <w:bookmarkStart w:id="107" w:name="_Toc196399852"/>
      <w:r>
        <w:rPr>
          <w:rStyle w:val="CharSectno"/>
        </w:rPr>
        <w:lastRenderedPageBreak/>
        <w:t>47B</w:t>
      </w:r>
      <w:r>
        <w:rPr>
          <w:iCs/>
        </w:rPr>
        <w:t>.</w:t>
      </w:r>
      <w:r>
        <w:rPr>
          <w:iCs/>
        </w:rPr>
        <w:tab/>
        <w:t>Learner deemed to be directly supervised</w:t>
      </w:r>
      <w:bookmarkEnd w:id="107"/>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108" w:name="_Toc196399853"/>
      <w:r>
        <w:rPr>
          <w:rStyle w:val="CharSectno"/>
        </w:rPr>
        <w:t>47C</w:t>
      </w:r>
      <w:r>
        <w:t>.</w:t>
      </w:r>
      <w:r>
        <w:tab/>
        <w:t>Recreational skipper’s ticket</w:t>
      </w:r>
      <w:bookmarkEnd w:id="108"/>
    </w:p>
    <w:p>
      <w:pPr>
        <w:pStyle w:val="Subsection"/>
        <w:rPr>
          <w:rStyle w:val="DraftersNotes"/>
        </w:rPr>
      </w:pPr>
      <w:r>
        <w:tab/>
        <w:t>(1)</w:t>
      </w:r>
      <w:r>
        <w:tab/>
        <w:t xml:space="preserve">Subject to regulations 47G and 47GB, the CEO is to grant a recreational skipper’s ticket to a person who applies in accordance with subregulation (3), if satisfied that the person meets the recreational skipper’s competency requirements. </w:t>
      </w:r>
    </w:p>
    <w:p>
      <w:pPr>
        <w:pStyle w:val="Subsection"/>
        <w:keepNext/>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$34.15; and</w:t>
      </w:r>
    </w:p>
    <w:p>
      <w:pPr>
        <w:pStyle w:val="Indenta"/>
        <w:keepNext/>
      </w:pPr>
      <w:r>
        <w:lastRenderedPageBreak/>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$25.35.</w:t>
      </w:r>
    </w:p>
    <w:p>
      <w:pPr>
        <w:pStyle w:val="Subsection"/>
      </w:pPr>
      <w:r>
        <w:tab/>
        <w:t>(6)</w:t>
      </w:r>
      <w:r>
        <w:tab/>
        <w:t>The CEO may issue a replacement recreational skipper’s ticket at any other time if the CEO considers it appropriate.</w:t>
      </w:r>
    </w:p>
    <w:p>
      <w:pPr>
        <w:pStyle w:val="Subsection"/>
        <w:keepNext/>
      </w:pPr>
      <w:r>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lastRenderedPageBreak/>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 SL 2024/57 r. 8; SL 2024/62 r. 4.]</w:t>
      </w:r>
    </w:p>
    <w:p>
      <w:pPr>
        <w:pStyle w:val="Ednotesection"/>
        <w:ind w:left="890" w:hanging="890"/>
      </w:pPr>
      <w:r>
        <w:t>[</w:t>
      </w:r>
      <w:r>
        <w:rPr>
          <w:b/>
        </w:rPr>
        <w:t>47CA.</w:t>
      </w:r>
      <w:r>
        <w:tab/>
        <w:t>Deleted: Gazette 25 Jul 2014 p. 2583.]</w:t>
      </w:r>
    </w:p>
    <w:p>
      <w:pPr>
        <w:pStyle w:val="Heading5"/>
      </w:pPr>
      <w:bookmarkStart w:id="109" w:name="_Toc196399854"/>
      <w:r>
        <w:rPr>
          <w:rStyle w:val="CharSectno"/>
        </w:rPr>
        <w:t>47D</w:t>
      </w:r>
      <w:r>
        <w:t>.</w:t>
      </w:r>
      <w:r>
        <w:tab/>
        <w:t>Recreational skipper’s ticket, conditions on</w:t>
      </w:r>
      <w:bookmarkEnd w:id="109"/>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keepNext/>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110" w:name="_Toc196399855"/>
      <w:r>
        <w:rPr>
          <w:rStyle w:val="CharSectno"/>
        </w:rPr>
        <w:t>47E</w:t>
      </w:r>
      <w:r>
        <w:t>.</w:t>
      </w:r>
      <w:r>
        <w:tab/>
        <w:t>Interstate or overseas ticket valid for 3 months</w:t>
      </w:r>
      <w:bookmarkEnd w:id="110"/>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111" w:name="_Toc196399856"/>
      <w:r>
        <w:rPr>
          <w:rStyle w:val="CharSectno"/>
        </w:rPr>
        <w:lastRenderedPageBreak/>
        <w:t>47F</w:t>
      </w:r>
      <w:r>
        <w:t>.</w:t>
      </w:r>
      <w:r>
        <w:tab/>
        <w:t>Exemptions</w:t>
      </w:r>
      <w:bookmarkEnd w:id="111"/>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112" w:name="_Toc196399857"/>
      <w:r>
        <w:rPr>
          <w:rStyle w:val="CharSectno"/>
        </w:rPr>
        <w:t>47G</w:t>
      </w:r>
      <w:r>
        <w:t>.</w:t>
      </w:r>
      <w:r>
        <w:tab/>
        <w:t>Recreational skipper’s ticket, CEO may refuse, cancel or suspend</w:t>
      </w:r>
      <w:bookmarkEnd w:id="112"/>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lastRenderedPageBreak/>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113" w:name="_Toc196399858"/>
      <w:r>
        <w:rPr>
          <w:rStyle w:val="CharSectno"/>
        </w:rPr>
        <w:t>47GA</w:t>
      </w:r>
      <w:r>
        <w:t>.</w:t>
      </w:r>
      <w:r>
        <w:tab/>
        <w:t>Effect of disqualification: cancellation</w:t>
      </w:r>
      <w:bookmarkEnd w:id="113"/>
    </w:p>
    <w:p>
      <w:pPr>
        <w:pStyle w:val="Subsection"/>
      </w:pPr>
      <w:r>
        <w:tab/>
        <w:t>(1)</w:t>
      </w:r>
      <w:r>
        <w:tab/>
        <w:t xml:space="preserve">In this regulation — </w:t>
      </w:r>
    </w:p>
    <w:p>
      <w:pPr>
        <w:pStyle w:val="Defstart"/>
      </w:pPr>
      <w:r>
        <w:tab/>
      </w:r>
      <w:r>
        <w:rPr>
          <w:rStyle w:val="CharDefText"/>
        </w:rPr>
        <w:t>prescribed offence</w:t>
      </w:r>
      <w:r>
        <w:t xml:space="preserve"> means an offence against section 75C(1), 75CA(1), 75CD(1), 75DA(1), 75DD(1), 75HB(1), 75HC(1), 75HE(1), 75HH(1) or 75HI(1);</w:t>
      </w:r>
    </w:p>
    <w:p>
      <w:pPr>
        <w:pStyle w:val="Defstart"/>
      </w:pPr>
      <w:r>
        <w:tab/>
      </w:r>
      <w:r>
        <w:rPr>
          <w:rStyle w:val="CharDefText"/>
        </w:rPr>
        <w:t>section</w:t>
      </w:r>
      <w:r>
        <w:t xml:space="preserve"> means section of the </w:t>
      </w:r>
      <w:r>
        <w:rPr>
          <w:i/>
          <w:iCs/>
        </w:rPr>
        <w:t>Western Australian Marine Act 1982</w:t>
      </w:r>
      <w:r>
        <w:t>.</w:t>
      </w:r>
    </w:p>
    <w:p>
      <w:pPr>
        <w:pStyle w:val="Subsection"/>
      </w:pPr>
      <w:r>
        <w:tab/>
        <w:t>(2)</w:t>
      </w:r>
      <w:r>
        <w:tab/>
        <w:t xml:space="preserve">This regulation applies in relation to a person who is disqualified under a disqualification order on being convicted of an offence (the </w:t>
      </w:r>
      <w:r>
        <w:rPr>
          <w:rStyle w:val="CharDefText"/>
        </w:rPr>
        <w:t>present offence</w:t>
      </w:r>
      <w:r>
        <w:t>) if —</w:t>
      </w:r>
    </w:p>
    <w:p>
      <w:pPr>
        <w:pStyle w:val="Indenta"/>
      </w:pPr>
      <w:r>
        <w:tab/>
        <w:t>(a)</w:t>
      </w:r>
      <w:r>
        <w:tab/>
        <w:t>the present offence is a prescribed offence, other than an offence against section 75DA(1), and the person has previously been convicted of a prescribed offence; or</w:t>
      </w:r>
    </w:p>
    <w:p>
      <w:pPr>
        <w:pStyle w:val="Indenta"/>
      </w:pPr>
      <w:r>
        <w:tab/>
        <w:t>(b)</w:t>
      </w:r>
      <w:r>
        <w:tab/>
        <w:t>the present offence is an offence against section 75DA(1) and the person has been convicted of a prescribed offence within the period of 5 years preceding the conviction for the present offence; or</w:t>
      </w:r>
    </w:p>
    <w:p>
      <w:pPr>
        <w:pStyle w:val="Indenta"/>
      </w:pPr>
      <w:r>
        <w:tab/>
        <w:t>(c)</w:t>
      </w:r>
      <w:r>
        <w:tab/>
        <w:t>the present offence is an offence against section 75B(1) or (2), 75BA(1) or (2), 75BB(1) or (3), 75C(1) or 75CA(1).</w:t>
      </w:r>
    </w:p>
    <w:p>
      <w:pPr>
        <w:pStyle w:val="Subsection"/>
      </w:pPr>
      <w:r>
        <w:tab/>
        <w:t>(3)</w:t>
      </w:r>
      <w:r>
        <w:tab/>
        <w:t>A recreational skipper’s ticket held by the person is cancelled by force of this regulation.</w:t>
      </w:r>
    </w:p>
    <w:p>
      <w:pPr>
        <w:pStyle w:val="Subsection"/>
      </w:pPr>
      <w:r>
        <w:lastRenderedPageBreak/>
        <w:tab/>
        <w:t>(4)</w:t>
      </w:r>
      <w:r>
        <w:tab/>
        <w:t>If a recreational skipper’s ticket is cancelled under subregulation (3), the CEO must give written notice of the cancellation, and the reasons for it, to the ticket holder.</w:t>
      </w:r>
    </w:p>
    <w:p>
      <w:pPr>
        <w:pStyle w:val="Subsection"/>
      </w:pPr>
      <w:r>
        <w:tab/>
        <w:t>(5)</w:t>
      </w:r>
      <w:r>
        <w:tab/>
        <w:t>Regulation 47E does not apply in relation to the person.</w:t>
      </w:r>
    </w:p>
    <w:p>
      <w:pPr>
        <w:pStyle w:val="Footnotesection"/>
        <w:ind w:left="890" w:hanging="890"/>
      </w:pPr>
      <w:r>
        <w:tab/>
        <w:t xml:space="preserve">[Regulation 49GA inserted: SL 2024/62 r. 5.] </w:t>
      </w:r>
    </w:p>
    <w:p>
      <w:pPr>
        <w:pStyle w:val="Heading5"/>
      </w:pPr>
      <w:bookmarkStart w:id="114" w:name="_Toc196399859"/>
      <w:r>
        <w:rPr>
          <w:rStyle w:val="CharSectno"/>
        </w:rPr>
        <w:t>47GB</w:t>
      </w:r>
      <w:r>
        <w:t>.</w:t>
      </w:r>
      <w:r>
        <w:tab/>
        <w:t>Effect of disqualification in another jurisdiction</w:t>
      </w:r>
      <w:bookmarkEnd w:id="114"/>
    </w:p>
    <w:p>
      <w:pPr>
        <w:pStyle w:val="Subsection"/>
      </w:pPr>
      <w:r>
        <w:tab/>
      </w:r>
      <w:r>
        <w:tab/>
        <w:t xml:space="preserve">For the purposes of the </w:t>
      </w:r>
      <w:r>
        <w:rPr>
          <w:i/>
          <w:iCs/>
        </w:rPr>
        <w:t>Western Australian Marine Act 1982</w:t>
      </w:r>
      <w:r>
        <w:t xml:space="preserve"> section 124GQ(b), if a person is disqualified from holding or obtaining a foreign skipper’s ticket under the law of another Australian jurisdiction or an overseas jurisdiction — </w:t>
      </w:r>
    </w:p>
    <w:p>
      <w:pPr>
        <w:pStyle w:val="Indenta"/>
      </w:pPr>
      <w:r>
        <w:tab/>
        <w:t>(a)</w:t>
      </w:r>
      <w:r>
        <w:tab/>
        <w:t>a recreational skipper’s ticket held by the person is suspended while the disqualification is in effect; and</w:t>
      </w:r>
    </w:p>
    <w:p>
      <w:pPr>
        <w:pStyle w:val="Indenta"/>
      </w:pPr>
      <w:r>
        <w:tab/>
        <w:t>(b)</w:t>
      </w:r>
      <w:r>
        <w:tab/>
        <w:t>the person cannot obtain a recreational skipper’s ticket.</w:t>
      </w:r>
    </w:p>
    <w:p>
      <w:pPr>
        <w:pStyle w:val="Footnotesection"/>
        <w:ind w:left="890" w:hanging="890"/>
      </w:pPr>
      <w:r>
        <w:tab/>
        <w:t xml:space="preserve">[Regulation 49GB inserted: SL 2024/62 r. 5.] </w:t>
      </w:r>
    </w:p>
    <w:p>
      <w:pPr>
        <w:pStyle w:val="Heading5"/>
      </w:pPr>
      <w:bookmarkStart w:id="115" w:name="_Toc196399860"/>
      <w:r>
        <w:rPr>
          <w:rStyle w:val="CharSectno"/>
        </w:rPr>
        <w:t>47H</w:t>
      </w:r>
      <w:r>
        <w:rPr>
          <w:iCs/>
        </w:rPr>
        <w:t>.</w:t>
      </w:r>
      <w:r>
        <w:rPr>
          <w:iCs/>
        </w:rPr>
        <w:tab/>
        <w:t>Ticket</w:t>
      </w:r>
      <w:r>
        <w:t xml:space="preserve"> </w:t>
      </w:r>
      <w:r>
        <w:rPr>
          <w:iCs/>
        </w:rPr>
        <w:t>to be produced on request</w:t>
      </w:r>
      <w:bookmarkEnd w:id="115"/>
    </w:p>
    <w:p>
      <w:pPr>
        <w:pStyle w:val="Subsection"/>
      </w:pPr>
      <w:r>
        <w:tab/>
        <w:t>(1)</w:t>
      </w:r>
      <w:r>
        <w:tab/>
        <w:t xml:space="preserve">The holder of a recreational skipper’s ticket must produce it for inspection when requested to do so by an authorised person (as defined in the </w:t>
      </w:r>
      <w:r>
        <w:rPr>
          <w:i/>
        </w:rPr>
        <w:t xml:space="preserve">Western Australian Marine Act 1982 </w:t>
      </w:r>
      <w:r>
        <w:rPr>
          <w:iCs/>
        </w:rPr>
        <w:t>section 3(1)).</w:t>
      </w:r>
    </w:p>
    <w:p>
      <w:pPr>
        <w:pStyle w:val="Subsection"/>
        <w:keepNext/>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lastRenderedPageBreak/>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 amended: SL 2024/191 r. 22.]</w:t>
      </w:r>
    </w:p>
    <w:p>
      <w:pPr>
        <w:pStyle w:val="Heading5"/>
      </w:pPr>
      <w:bookmarkStart w:id="116" w:name="_Toc196399861"/>
      <w:r>
        <w:rPr>
          <w:rStyle w:val="CharSectno"/>
        </w:rPr>
        <w:t>47I</w:t>
      </w:r>
      <w:r>
        <w:rPr>
          <w:iCs/>
        </w:rPr>
        <w:t>.</w:t>
      </w:r>
      <w:r>
        <w:rPr>
          <w:iCs/>
        </w:rPr>
        <w:tab/>
        <w:t xml:space="preserve">Ticket </w:t>
      </w:r>
      <w:r>
        <w:t>holder to notify change of details</w:t>
      </w:r>
      <w:bookmarkEnd w:id="116"/>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3"/>
      </w:pPr>
      <w:bookmarkStart w:id="117" w:name="_Toc196395493"/>
      <w:bookmarkStart w:id="118" w:name="_Toc196396646"/>
      <w:bookmarkStart w:id="119" w:name="_Toc196399862"/>
      <w:r>
        <w:rPr>
          <w:rStyle w:val="CharDivNo"/>
        </w:rPr>
        <w:t>Division 3</w:t>
      </w:r>
      <w:r>
        <w:t> — </w:t>
      </w:r>
      <w:r>
        <w:rPr>
          <w:rStyle w:val="CharDivText"/>
        </w:rPr>
        <w:t>General regulations for motor boats, speed boats and personal watercraft</w:t>
      </w:r>
      <w:bookmarkEnd w:id="117"/>
      <w:bookmarkEnd w:id="118"/>
      <w:bookmarkEnd w:id="119"/>
    </w:p>
    <w:p>
      <w:pPr>
        <w:pStyle w:val="Footnoteheading"/>
      </w:pPr>
      <w:r>
        <w:tab/>
        <w:t>[Heading inserted: SL 2024/191 r. 23.]</w:t>
      </w:r>
    </w:p>
    <w:p>
      <w:pPr>
        <w:pStyle w:val="Heading5"/>
        <w:spacing w:before="240"/>
        <w:rPr>
          <w:snapToGrid w:val="0"/>
        </w:rPr>
      </w:pPr>
      <w:bookmarkStart w:id="120" w:name="_Toc196399863"/>
      <w:r>
        <w:rPr>
          <w:rStyle w:val="CharSectno"/>
        </w:rPr>
        <w:t>48</w:t>
      </w:r>
      <w:r>
        <w:rPr>
          <w:snapToGrid w:val="0"/>
        </w:rPr>
        <w:t>.</w:t>
      </w:r>
      <w:r>
        <w:rPr>
          <w:snapToGrid w:val="0"/>
        </w:rPr>
        <w:tab/>
        <w:t>Limitation of speed, water ski-ing and para-sailing</w:t>
      </w:r>
      <w:bookmarkEnd w:id="120"/>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 xml:space="preserve">without the approval of the </w:t>
      </w:r>
      <w:r>
        <w:t>Department</w:t>
      </w:r>
      <w:r>
        <w:rPr>
          <w:snapToGrid w:val="0"/>
        </w:rPr>
        <w:t> — </w:t>
      </w:r>
    </w:p>
    <w:p>
      <w:pPr>
        <w:pStyle w:val="Indenti"/>
        <w:rPr>
          <w:snapToGrid w:val="0"/>
        </w:rPr>
      </w:pPr>
      <w:r>
        <w:rPr>
          <w:snapToGrid w:val="0"/>
        </w:rPr>
        <w:tab/>
        <w:t>(i)</w:t>
      </w:r>
      <w:r>
        <w:rPr>
          <w:snapToGrid w:val="0"/>
        </w:rPr>
        <w:tab/>
        <w:t>in any water having a depth of less than 3 m; or</w:t>
      </w:r>
    </w:p>
    <w:p>
      <w:pPr>
        <w:pStyle w:val="Indenti"/>
        <w:keepNext/>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 xml:space="preserve">within 15 m of a vessel </w:t>
      </w:r>
      <w:r>
        <w:t>underway; or</w:t>
      </w:r>
    </w:p>
    <w:p>
      <w:pPr>
        <w:pStyle w:val="Indenta"/>
        <w:keepNext/>
        <w:rPr>
          <w:snapToGrid w:val="0"/>
        </w:rPr>
      </w:pPr>
      <w:r>
        <w:rPr>
          <w:snapToGrid w:val="0"/>
        </w:rPr>
        <w:lastRenderedPageBreak/>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SL 2023/135 r. 18; SL 2024/191 r. 41.] </w:t>
      </w:r>
    </w:p>
    <w:p>
      <w:pPr>
        <w:pStyle w:val="Heading5"/>
        <w:spacing w:before="240"/>
        <w:rPr>
          <w:snapToGrid w:val="0"/>
        </w:rPr>
      </w:pPr>
      <w:bookmarkStart w:id="121" w:name="_Toc196399864"/>
      <w:r>
        <w:rPr>
          <w:rStyle w:val="CharSectno"/>
        </w:rPr>
        <w:t>48A</w:t>
      </w:r>
      <w:r>
        <w:rPr>
          <w:snapToGrid w:val="0"/>
        </w:rPr>
        <w:t>.</w:t>
      </w:r>
      <w:r>
        <w:rPr>
          <w:snapToGrid w:val="0"/>
        </w:rPr>
        <w:tab/>
        <w:t>Areas for speed boats and water ski</w:t>
      </w:r>
      <w:r>
        <w:rPr>
          <w:snapToGrid w:val="0"/>
        </w:rPr>
        <w:noBreakHyphen/>
        <w:t>ing</w:t>
      </w:r>
      <w:bookmarkEnd w:id="121"/>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 xml:space="preserve">define and set aside any area of navigable waters for the purpose of racing by speed boats </w:t>
      </w:r>
      <w:r>
        <w:t>for which permission to race has been granted</w:t>
      </w:r>
      <w:r>
        <w:rPr>
          <w:snapToGrid w:val="0"/>
        </w:rPr>
        <w:t xml:space="preserv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 xml:space="preserve">sailor or a water skier in any navigable waters, except in an area defined and set aside by the chief executive </w:t>
      </w:r>
      <w:r>
        <w:rPr>
          <w:snapToGrid w:val="0"/>
        </w:rPr>
        <w:lastRenderedPageBreak/>
        <w:t>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SL 2024/191 r. 24.] </w:t>
      </w:r>
    </w:p>
    <w:p>
      <w:pPr>
        <w:pStyle w:val="Heading5"/>
        <w:keepLines w:val="0"/>
        <w:spacing w:before="180"/>
        <w:rPr>
          <w:snapToGrid w:val="0"/>
        </w:rPr>
      </w:pPr>
      <w:bookmarkStart w:id="122" w:name="_Toc196399865"/>
      <w:r>
        <w:rPr>
          <w:rStyle w:val="CharSectno"/>
        </w:rPr>
        <w:t>49</w:t>
      </w:r>
      <w:r>
        <w:rPr>
          <w:snapToGrid w:val="0"/>
        </w:rPr>
        <w:t>.</w:t>
      </w:r>
      <w:r>
        <w:rPr>
          <w:snapToGrid w:val="0"/>
        </w:rPr>
        <w:tab/>
        <w:t>Driver to be accompanied and to be alert</w:t>
      </w:r>
      <w:bookmarkEnd w:id="122"/>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123" w:name="_Toc196399866"/>
      <w:r>
        <w:rPr>
          <w:rStyle w:val="CharSectno"/>
        </w:rPr>
        <w:lastRenderedPageBreak/>
        <w:t>49C</w:t>
      </w:r>
      <w:r>
        <w:rPr>
          <w:snapToGrid w:val="0"/>
        </w:rPr>
        <w:t>.</w:t>
      </w:r>
      <w:r>
        <w:rPr>
          <w:snapToGrid w:val="0"/>
        </w:rPr>
        <w:tab/>
        <w:t>Driving speed boats behind skiers</w:t>
      </w:r>
      <w:bookmarkEnd w:id="123"/>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w:t>
      </w:r>
      <w:r>
        <w:t xml:space="preserve">underway </w:t>
      </w:r>
      <w:r>
        <w:rPr>
          <w:snapToGrid w:val="0"/>
        </w:rPr>
        <w:t xml:space="preserve">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SL 2023/135 r. 19.] </w:t>
      </w:r>
    </w:p>
    <w:p>
      <w:pPr>
        <w:pStyle w:val="Heading5"/>
        <w:spacing w:before="180"/>
        <w:rPr>
          <w:snapToGrid w:val="0"/>
        </w:rPr>
      </w:pPr>
      <w:bookmarkStart w:id="124" w:name="_Toc196399867"/>
      <w:r>
        <w:rPr>
          <w:rStyle w:val="CharSectno"/>
        </w:rPr>
        <w:t>49D</w:t>
      </w:r>
      <w:r>
        <w:rPr>
          <w:snapToGrid w:val="0"/>
        </w:rPr>
        <w:t>.</w:t>
      </w:r>
      <w:r>
        <w:rPr>
          <w:snapToGrid w:val="0"/>
        </w:rPr>
        <w:tab/>
        <w:t>Right of way when landing a water skier</w:t>
      </w:r>
      <w:bookmarkEnd w:id="124"/>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125" w:name="_Toc196399868"/>
      <w:r>
        <w:rPr>
          <w:rStyle w:val="CharSectno"/>
        </w:rPr>
        <w:t>49E</w:t>
      </w:r>
      <w:r>
        <w:rPr>
          <w:snapToGrid w:val="0"/>
        </w:rPr>
        <w:t>.</w:t>
      </w:r>
      <w:r>
        <w:rPr>
          <w:snapToGrid w:val="0"/>
        </w:rPr>
        <w:tab/>
        <w:t>Ski ropes</w:t>
      </w:r>
      <w:bookmarkEnd w:id="125"/>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126" w:name="_Toc196399869"/>
      <w:r>
        <w:rPr>
          <w:rStyle w:val="CharSectno"/>
        </w:rPr>
        <w:t>49F</w:t>
      </w:r>
      <w:r>
        <w:rPr>
          <w:snapToGrid w:val="0"/>
        </w:rPr>
        <w:t>.</w:t>
      </w:r>
      <w:r>
        <w:rPr>
          <w:snapToGrid w:val="0"/>
        </w:rPr>
        <w:tab/>
        <w:t>Towing trick water skiers</w:t>
      </w:r>
      <w:bookmarkEnd w:id="126"/>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127" w:name="_Toc196399870"/>
      <w:r>
        <w:rPr>
          <w:rStyle w:val="CharSectno"/>
        </w:rPr>
        <w:t>49G</w:t>
      </w:r>
      <w:r>
        <w:rPr>
          <w:snapToGrid w:val="0"/>
        </w:rPr>
        <w:t>.</w:t>
      </w:r>
      <w:r>
        <w:rPr>
          <w:snapToGrid w:val="0"/>
        </w:rPr>
        <w:tab/>
        <w:t>Towing skiers near landing or take</w:t>
      </w:r>
      <w:r>
        <w:rPr>
          <w:snapToGrid w:val="0"/>
        </w:rPr>
        <w:noBreakHyphen/>
        <w:t>off areas</w:t>
      </w:r>
      <w:bookmarkEnd w:id="127"/>
      <w:r>
        <w:rPr>
          <w:snapToGrid w:val="0"/>
        </w:rPr>
        <w:t xml:space="preserve"> </w:t>
      </w:r>
    </w:p>
    <w:p>
      <w:pPr>
        <w:pStyle w:val="Subsection"/>
        <w:keepNext/>
        <w:rPr>
          <w:snapToGrid w:val="0"/>
        </w:rPr>
      </w:pPr>
      <w:r>
        <w:rPr>
          <w:snapToGrid w:val="0"/>
        </w:rPr>
        <w:tab/>
      </w:r>
      <w:r>
        <w:rPr>
          <w:snapToGrid w:val="0"/>
        </w:rPr>
        <w:tab/>
        <w:t xml:space="preserve">Except as otherwise provided by any notice published under the provisions of regulation 48A, a person shall not drive a speed boat towing water skiers within 30 m of the shore of any </w:t>
      </w:r>
      <w:r>
        <w:rPr>
          <w:snapToGrid w:val="0"/>
        </w:rPr>
        <w:lastRenderedPageBreak/>
        <w:t>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128" w:name="_Toc196399871"/>
      <w:r>
        <w:rPr>
          <w:rStyle w:val="CharSectno"/>
        </w:rPr>
        <w:t>49H</w:t>
      </w:r>
      <w:r>
        <w:rPr>
          <w:snapToGrid w:val="0"/>
        </w:rPr>
        <w:t>.</w:t>
      </w:r>
      <w:r>
        <w:rPr>
          <w:snapToGrid w:val="0"/>
        </w:rPr>
        <w:tab/>
        <w:t>Ski line to be retrieved</w:t>
      </w:r>
      <w:bookmarkEnd w:id="128"/>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129" w:name="_Toc196399872"/>
      <w:r>
        <w:rPr>
          <w:rStyle w:val="CharSectno"/>
        </w:rPr>
        <w:t>49I</w:t>
      </w:r>
      <w:r>
        <w:rPr>
          <w:snapToGrid w:val="0"/>
        </w:rPr>
        <w:t>.</w:t>
      </w:r>
      <w:r>
        <w:rPr>
          <w:snapToGrid w:val="0"/>
        </w:rPr>
        <w:tab/>
        <w:t>Driver of speed boat not to approach shore where skier has landed</w:t>
      </w:r>
      <w:bookmarkEnd w:id="129"/>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130" w:name="_Toc196399873"/>
      <w:r>
        <w:rPr>
          <w:rStyle w:val="CharSectno"/>
        </w:rPr>
        <w:t>49J</w:t>
      </w:r>
      <w:r>
        <w:rPr>
          <w:snapToGrid w:val="0"/>
        </w:rPr>
        <w:t>.</w:t>
      </w:r>
      <w:r>
        <w:rPr>
          <w:snapToGrid w:val="0"/>
        </w:rPr>
        <w:tab/>
        <w:t>Sitting on gunwale or back of driver’s seat prohibited</w:t>
      </w:r>
      <w:bookmarkEnd w:id="130"/>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131" w:name="_Toc196399874"/>
      <w:r>
        <w:rPr>
          <w:rStyle w:val="CharSectno"/>
        </w:rPr>
        <w:t>49K</w:t>
      </w:r>
      <w:r>
        <w:rPr>
          <w:snapToGrid w:val="0"/>
        </w:rPr>
        <w:t>.</w:t>
      </w:r>
      <w:r>
        <w:rPr>
          <w:snapToGrid w:val="0"/>
        </w:rPr>
        <w:tab/>
        <w:t>Water skis to be retrieved immediately</w:t>
      </w:r>
      <w:bookmarkEnd w:id="131"/>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lastRenderedPageBreak/>
        <w:t>[</w:t>
      </w:r>
      <w:r>
        <w:rPr>
          <w:b/>
        </w:rPr>
        <w:t>49L.</w:t>
      </w:r>
      <w:r>
        <w:tab/>
        <w:t xml:space="preserve">Deleted: Gazette 1 Jul 1983 p. 2263.] </w:t>
      </w:r>
    </w:p>
    <w:p>
      <w:pPr>
        <w:pStyle w:val="Heading5"/>
        <w:rPr>
          <w:snapToGrid w:val="0"/>
        </w:rPr>
      </w:pPr>
      <w:bookmarkStart w:id="132" w:name="_Toc196399875"/>
      <w:r>
        <w:rPr>
          <w:rStyle w:val="CharSectno"/>
        </w:rPr>
        <w:t>49M</w:t>
      </w:r>
      <w:r>
        <w:rPr>
          <w:snapToGrid w:val="0"/>
        </w:rPr>
        <w:t>.</w:t>
      </w:r>
      <w:r>
        <w:rPr>
          <w:snapToGrid w:val="0"/>
        </w:rPr>
        <w:tab/>
      </w:r>
      <w:r>
        <w:t>Restrictions on slalom ski</w:t>
      </w:r>
      <w:r>
        <w:noBreakHyphen/>
        <w:t>ing or ski</w:t>
      </w:r>
      <w:r>
        <w:noBreakHyphen/>
        <w:t>jumping</w:t>
      </w:r>
      <w:bookmarkEnd w:id="132"/>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 xml:space="preserve">jump unless prior approval in writing has been obtained from the </w:t>
      </w:r>
      <w:r>
        <w:t>Department</w:t>
      </w:r>
      <w:r>
        <w:rPr>
          <w:snapToGrid w:val="0"/>
        </w:rPr>
        <w: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of a size and buoyancy appropriate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Ednotesubpara"/>
      </w:pPr>
      <w:r>
        <w:tab/>
        <w:t>[(vii)-(ix)</w:t>
      </w:r>
      <w:r>
        <w:tab/>
        <w:t>deleted]</w:t>
      </w:r>
    </w:p>
    <w:p>
      <w:pPr>
        <w:pStyle w:val="Indenta"/>
      </w:pPr>
      <w:r>
        <w:tab/>
      </w:r>
      <w:r>
        <w:tab/>
        <w:t>and</w:t>
      </w:r>
    </w:p>
    <w:p>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 xml:space="preserve">jump by the person or club having the approval of the </w:t>
      </w:r>
      <w:r>
        <w:t>Department</w:t>
      </w:r>
      <w:r>
        <w:rPr>
          <w:snapToGrid w:val="0"/>
        </w:rPr>
        <w:t xml:space="preserve"> to use the water for that purpose.</w:t>
      </w:r>
    </w:p>
    <w:p>
      <w:pPr>
        <w:pStyle w:val="Footnotesection"/>
      </w:pPr>
      <w:r>
        <w:tab/>
        <w:t xml:space="preserve">[Regulation 49M inserted: Gazette 16 Oct 1970 p. 3206; amended: Gazette 14 Feb 1975 p. 572; 24 Apr 1998 p. 2162; 3 Mar 2017 p. 1487; SL 2023/135 r. 20; SL 2024/191 r. 25 and 41.] </w:t>
      </w:r>
    </w:p>
    <w:p>
      <w:pPr>
        <w:pStyle w:val="Heading5"/>
        <w:rPr>
          <w:snapToGrid w:val="0"/>
        </w:rPr>
      </w:pPr>
      <w:bookmarkStart w:id="133" w:name="_Toc196399876"/>
      <w:r>
        <w:rPr>
          <w:rStyle w:val="CharSectno"/>
        </w:rPr>
        <w:lastRenderedPageBreak/>
        <w:t>50</w:t>
      </w:r>
      <w:r>
        <w:rPr>
          <w:snapToGrid w:val="0"/>
        </w:rPr>
        <w:t>.</w:t>
      </w:r>
      <w:r>
        <w:rPr>
          <w:snapToGrid w:val="0"/>
        </w:rPr>
        <w:tab/>
        <w:t>Towing of water skier prohibited at certain times</w:t>
      </w:r>
      <w:bookmarkEnd w:id="133"/>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w:t>
      </w:r>
      <w:r>
        <w:t>8 am</w:t>
      </w:r>
      <w:r>
        <w:rPr>
          <w:snapToGrid w:val="0"/>
        </w:rPr>
        <w:t xml:space="preserve"> and after </w:t>
      </w:r>
      <w:r>
        <w:t xml:space="preserve">sunset </w:t>
      </w:r>
      <w:r>
        <w:rPr>
          <w:snapToGrid w:val="0"/>
        </w:rPr>
        <w:t>in the waters of the Swan River; or</w:t>
      </w:r>
    </w:p>
    <w:p>
      <w:pPr>
        <w:pStyle w:val="Indenta"/>
        <w:rPr>
          <w:snapToGrid w:val="0"/>
        </w:rPr>
      </w:pPr>
      <w:r>
        <w:rPr>
          <w:snapToGrid w:val="0"/>
        </w:rPr>
        <w:tab/>
        <w:t>(b)</w:t>
      </w:r>
      <w:r>
        <w:rPr>
          <w:snapToGrid w:val="0"/>
        </w:rPr>
        <w:tab/>
        <w:t xml:space="preserve">before </w:t>
      </w:r>
      <w:r>
        <w:t>9 am</w:t>
      </w:r>
      <w:r>
        <w:rPr>
          <w:snapToGrid w:val="0"/>
        </w:rPr>
        <w:t xml:space="preserve"> and after </w:t>
      </w:r>
      <w:r>
        <w:t xml:space="preserve">sunset </w:t>
      </w:r>
      <w:r>
        <w:rPr>
          <w:snapToGrid w:val="0"/>
        </w:rPr>
        <w:t>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SL 2023/135 r. 21.] </w:t>
      </w:r>
    </w:p>
    <w:p>
      <w:pPr>
        <w:pStyle w:val="Heading5"/>
        <w:spacing w:before="260"/>
        <w:rPr>
          <w:snapToGrid w:val="0"/>
        </w:rPr>
      </w:pPr>
      <w:bookmarkStart w:id="134" w:name="_Toc196399877"/>
      <w:r>
        <w:rPr>
          <w:rStyle w:val="CharSectno"/>
        </w:rPr>
        <w:t>50A</w:t>
      </w:r>
      <w:r>
        <w:rPr>
          <w:snapToGrid w:val="0"/>
        </w:rPr>
        <w:t>.</w:t>
      </w:r>
      <w:r>
        <w:rPr>
          <w:snapToGrid w:val="0"/>
        </w:rPr>
        <w:tab/>
      </w:r>
      <w:r>
        <w:t>Restrictions on freestyle driving, surfing and wave jumping on personal watercraft</w:t>
      </w:r>
      <w:bookmarkEnd w:id="134"/>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lastRenderedPageBreak/>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iCs/>
        </w:rPr>
        <w:t>Prevention of Collisions in State Waters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amended: SL 2025/68 r. 5.] </w:t>
      </w:r>
    </w:p>
    <w:p>
      <w:pPr>
        <w:pStyle w:val="Heading3"/>
      </w:pPr>
      <w:bookmarkStart w:id="135" w:name="_Toc196395509"/>
      <w:bookmarkStart w:id="136" w:name="_Toc196396662"/>
      <w:bookmarkStart w:id="137" w:name="_Toc196399878"/>
      <w:r>
        <w:rPr>
          <w:rStyle w:val="CharDivNo"/>
        </w:rPr>
        <w:t>Division 4</w:t>
      </w:r>
      <w:r>
        <w:t> — </w:t>
      </w:r>
      <w:r>
        <w:rPr>
          <w:rStyle w:val="CharDivText"/>
        </w:rPr>
        <w:t>Lifejackets</w:t>
      </w:r>
      <w:bookmarkEnd w:id="135"/>
      <w:bookmarkEnd w:id="136"/>
      <w:bookmarkEnd w:id="137"/>
    </w:p>
    <w:p>
      <w:pPr>
        <w:pStyle w:val="Footnoteheading"/>
        <w:keepNext/>
      </w:pPr>
      <w:r>
        <w:tab/>
        <w:t>[Heading inserted: SL 2023/135 r. 22.]</w:t>
      </w:r>
    </w:p>
    <w:p>
      <w:pPr>
        <w:pStyle w:val="Heading5"/>
      </w:pPr>
      <w:bookmarkStart w:id="138" w:name="_Toc196399879"/>
      <w:r>
        <w:rPr>
          <w:rStyle w:val="CharSectno"/>
        </w:rPr>
        <w:t>50B</w:t>
      </w:r>
      <w:r>
        <w:t>.</w:t>
      </w:r>
      <w:r>
        <w:tab/>
        <w:t>Lifejackets to be worn on vessels</w:t>
      </w:r>
      <w:bookmarkEnd w:id="138"/>
    </w:p>
    <w:p>
      <w:pPr>
        <w:pStyle w:val="Subsection"/>
        <w:keepNext/>
      </w:pPr>
      <w:r>
        <w:tab/>
        <w:t>(1)</w:t>
      </w:r>
      <w:r>
        <w:tab/>
        <w:t>In this regulation — </w:t>
      </w:r>
    </w:p>
    <w:p>
      <w:pPr>
        <w:pStyle w:val="Defstart"/>
      </w:pPr>
      <w:r>
        <w:tab/>
      </w:r>
      <w:r>
        <w:rPr>
          <w:rStyle w:val="CharDefText"/>
        </w:rPr>
        <w:t>open area</w:t>
      </w:r>
      <w:r>
        <w:t>, in relation to a pleasure vessel, means all areas of the vessel that are not wholly enclosed by a rigid structure.</w:t>
      </w:r>
    </w:p>
    <w:p>
      <w:pPr>
        <w:pStyle w:val="Subsection"/>
        <w:keepNext/>
        <w:keepLines/>
      </w:pPr>
      <w:r>
        <w:lastRenderedPageBreak/>
        <w:tab/>
        <w:t>(2)</w:t>
      </w:r>
      <w:r>
        <w:tab/>
        <w:t>If a pleasure vessel that is not a personal watercraft is outside protected waters and more than 400 m from any shore, each person on the vessel who has reached 12 months of age but who is not yet 12 years of age must, when on an open area of the vessel, wear an appropriate lifejacket.</w:t>
      </w:r>
    </w:p>
    <w:p>
      <w:pPr>
        <w:pStyle w:val="Subsection"/>
      </w:pPr>
      <w:r>
        <w:tab/>
        <w:t>(3)</w:t>
      </w:r>
      <w:r>
        <w:tab/>
        <w:t>If a pleasure vessel that is less than 4.8 m in length but that is not a personal watercraft is outside protected waters and more than 400 m from any shore, each person on the vessel who has reached 12 months of age must wear an appropriate lifejacket.</w:t>
      </w:r>
    </w:p>
    <w:p>
      <w:pPr>
        <w:pStyle w:val="Subsection"/>
      </w:pPr>
      <w:r>
        <w:tab/>
        <w:t>(4)</w:t>
      </w:r>
      <w:r>
        <w:tab/>
        <w:t>If a vessel is a personal watercraft that is in navigable waters, each person on the vessel who has reached 12 months of age must wear an appropriate lifejacket.</w:t>
      </w:r>
    </w:p>
    <w:p>
      <w:pPr>
        <w:pStyle w:val="Subsection"/>
      </w:pPr>
      <w:r>
        <w:tab/>
        <w:t>(5)</w:t>
      </w:r>
      <w:r>
        <w:tab/>
        <w:t>If a person who has reached 12 years of age is required to wear an appropriate lifejacket under subregulation (3) or (4) and the person is wearing a lifejacket, that person must produce the lifejacket to an officer of the Department on demand.</w:t>
      </w:r>
    </w:p>
    <w:p>
      <w:pPr>
        <w:pStyle w:val="Subsection"/>
      </w:pPr>
      <w:r>
        <w:tab/>
        <w:t>(6)</w:t>
      </w:r>
      <w:r>
        <w:tab/>
        <w:t>The master of a vessel must ensure that each person who is required to wear an appropriate lifejacket under subregulation (2), (3) or (4) wears an appropriate lifejacket.</w:t>
      </w:r>
    </w:p>
    <w:p>
      <w:pPr>
        <w:pStyle w:val="Subsection"/>
      </w:pPr>
      <w:r>
        <w:tab/>
        <w:t>(7)</w:t>
      </w:r>
      <w:r>
        <w:tab/>
        <w:t>If a person on the vessel who is not yet 12 years of age is required to wear an appropriate lifejacket under subregulation (2), (3) or (4) and the person is wearing a lifejacket, the master of the vessel must produce the lifejacket to an officer of the Department on demand.</w:t>
      </w:r>
    </w:p>
    <w:p>
      <w:pPr>
        <w:pStyle w:val="Subsection"/>
      </w:pPr>
      <w:r>
        <w:tab/>
        <w:t>(8)</w:t>
      </w:r>
      <w:r>
        <w:tab/>
        <w:t>A person who has reached 12 years of age who contravenes subregulation (3), (4) or (5) commits an offence.</w:t>
      </w:r>
    </w:p>
    <w:p>
      <w:pPr>
        <w:pStyle w:val="Subsection"/>
      </w:pPr>
      <w:r>
        <w:tab/>
        <w:t>(9)</w:t>
      </w:r>
      <w:r>
        <w:tab/>
        <w:t>A master of a vessel who contravenes subregulation (6) or (7) commits an offence.</w:t>
      </w:r>
    </w:p>
    <w:p>
      <w:pPr>
        <w:pStyle w:val="Footnotesection"/>
      </w:pPr>
      <w:r>
        <w:tab/>
        <w:t>[Regulation 50B inserted: SL 2023/135 r. 23; amended: SL 2024/191 r. 26 and 41.]</w:t>
      </w:r>
    </w:p>
    <w:p>
      <w:pPr>
        <w:pStyle w:val="Heading3"/>
      </w:pPr>
      <w:bookmarkStart w:id="139" w:name="_Toc196395511"/>
      <w:bookmarkStart w:id="140" w:name="_Toc196396664"/>
      <w:bookmarkStart w:id="141" w:name="_Toc196399880"/>
      <w:r>
        <w:rPr>
          <w:rStyle w:val="CharDivNo"/>
        </w:rPr>
        <w:lastRenderedPageBreak/>
        <w:t>Division 5</w:t>
      </w:r>
      <w:r>
        <w:t> — </w:t>
      </w:r>
      <w:r>
        <w:rPr>
          <w:rStyle w:val="CharDivText"/>
        </w:rPr>
        <w:t>Sailboard riding</w:t>
      </w:r>
      <w:bookmarkEnd w:id="139"/>
      <w:bookmarkEnd w:id="140"/>
      <w:bookmarkEnd w:id="141"/>
    </w:p>
    <w:p>
      <w:pPr>
        <w:pStyle w:val="Footnoteheading"/>
        <w:keepNext/>
      </w:pPr>
      <w:r>
        <w:tab/>
        <w:t>[Heading inserted: SL 2023/135 r. 24.]</w:t>
      </w:r>
    </w:p>
    <w:p>
      <w:pPr>
        <w:pStyle w:val="Heading5"/>
      </w:pPr>
      <w:bookmarkStart w:id="142" w:name="_Toc196399881"/>
      <w:r>
        <w:rPr>
          <w:rStyle w:val="CharSectno"/>
        </w:rPr>
        <w:t>50C</w:t>
      </w:r>
      <w:r>
        <w:t>.</w:t>
      </w:r>
      <w:r>
        <w:tab/>
        <w:t>Restrictions on sailboard riding</w:t>
      </w:r>
      <w:bookmarkEnd w:id="142"/>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Heading3"/>
      </w:pPr>
      <w:bookmarkStart w:id="143" w:name="_Toc196395513"/>
      <w:bookmarkStart w:id="144" w:name="_Toc196396666"/>
      <w:bookmarkStart w:id="145" w:name="_Toc196399882"/>
      <w:r>
        <w:rPr>
          <w:rStyle w:val="CharDivNo"/>
        </w:rPr>
        <w:t>Division 6</w:t>
      </w:r>
      <w:r>
        <w:t> — </w:t>
      </w:r>
      <w:r>
        <w:rPr>
          <w:rStyle w:val="CharDivText"/>
        </w:rPr>
        <w:t>Motor boats</w:t>
      </w:r>
      <w:bookmarkEnd w:id="143"/>
      <w:bookmarkEnd w:id="144"/>
      <w:bookmarkEnd w:id="145"/>
    </w:p>
    <w:p>
      <w:pPr>
        <w:pStyle w:val="Footnoteheading"/>
        <w:keepNext/>
      </w:pPr>
      <w:r>
        <w:tab/>
        <w:t>[Heading inserted: SL 2023/135 r. 25.]</w:t>
      </w:r>
    </w:p>
    <w:p>
      <w:pPr>
        <w:pStyle w:val="Ednotesection"/>
        <w:keepNext/>
      </w:pPr>
      <w:r>
        <w:t>[</w:t>
      </w:r>
      <w:r>
        <w:rPr>
          <w:b/>
        </w:rPr>
        <w:t>50D.</w:t>
      </w:r>
      <w:r>
        <w:rPr>
          <w:b/>
        </w:rPr>
        <w:tab/>
      </w:r>
      <w:r>
        <w:t>Deleted: Gazette 19 Dec 1962 p. 4017.]</w:t>
      </w:r>
    </w:p>
    <w:p>
      <w:pPr>
        <w:pStyle w:val="Heading5"/>
        <w:rPr>
          <w:snapToGrid w:val="0"/>
        </w:rPr>
      </w:pPr>
      <w:bookmarkStart w:id="146" w:name="_Toc196399883"/>
      <w:r>
        <w:rPr>
          <w:rStyle w:val="CharSectno"/>
        </w:rPr>
        <w:t>51</w:t>
      </w:r>
      <w:r>
        <w:rPr>
          <w:snapToGrid w:val="0"/>
        </w:rPr>
        <w:t>.</w:t>
      </w:r>
      <w:r>
        <w:rPr>
          <w:snapToGrid w:val="0"/>
        </w:rPr>
        <w:tab/>
        <w:t>Silencers on motor boats</w:t>
      </w:r>
      <w:bookmarkEnd w:id="146"/>
      <w:r>
        <w:rPr>
          <w:snapToGrid w:val="0"/>
        </w:rPr>
        <w:t xml:space="preserve"> </w:t>
      </w:r>
    </w:p>
    <w:p>
      <w:pPr>
        <w:pStyle w:val="Subsection"/>
        <w:keepNext/>
        <w:rPr>
          <w:snapToGrid w:val="0"/>
        </w:rPr>
      </w:pPr>
      <w:r>
        <w:rPr>
          <w:snapToGrid w:val="0"/>
        </w:rPr>
        <w:tab/>
      </w:r>
      <w:r>
        <w:rPr>
          <w:snapToGrid w:val="0"/>
        </w:rPr>
        <w:tab/>
        <w:t xml:space="preserve">A person shall not use a motor boat unless it is fitted with an efficient silencer approved by the </w:t>
      </w:r>
      <w:r>
        <w:t>Department</w:t>
      </w:r>
      <w:r>
        <w:rPr>
          <w:snapToGrid w:val="0"/>
        </w:rPr>
        <w:t>.</w:t>
      </w:r>
    </w:p>
    <w:p>
      <w:pPr>
        <w:pStyle w:val="Footnotesection"/>
      </w:pPr>
      <w:r>
        <w:tab/>
        <w:t xml:space="preserve">[Regulation 51 inserted: Gazette 19 Dec 1962 p. 4017; amended: SL 2024/191 r. 41.] </w:t>
      </w:r>
    </w:p>
    <w:p>
      <w:pPr>
        <w:pStyle w:val="Heading5"/>
        <w:rPr>
          <w:snapToGrid w:val="0"/>
        </w:rPr>
      </w:pPr>
      <w:bookmarkStart w:id="147" w:name="_Toc196399884"/>
      <w:r>
        <w:rPr>
          <w:rStyle w:val="CharSectno"/>
        </w:rPr>
        <w:lastRenderedPageBreak/>
        <w:t>51A</w:t>
      </w:r>
      <w:r>
        <w:rPr>
          <w:snapToGrid w:val="0"/>
        </w:rPr>
        <w:t>.</w:t>
      </w:r>
      <w:r>
        <w:rPr>
          <w:snapToGrid w:val="0"/>
        </w:rPr>
        <w:tab/>
        <w:t>Motor boats not to emit smoke or vapour</w:t>
      </w:r>
      <w:bookmarkEnd w:id="147"/>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Heading3"/>
      </w:pPr>
      <w:bookmarkStart w:id="148" w:name="_Toc196395516"/>
      <w:bookmarkStart w:id="149" w:name="_Toc196396669"/>
      <w:bookmarkStart w:id="150" w:name="_Toc196399885"/>
      <w:r>
        <w:rPr>
          <w:rStyle w:val="CharDivNo"/>
        </w:rPr>
        <w:t>Division 7</w:t>
      </w:r>
      <w:r>
        <w:t> — </w:t>
      </w:r>
      <w:r>
        <w:rPr>
          <w:rStyle w:val="CharDivText"/>
        </w:rPr>
        <w:t>Aquatic sport events</w:t>
      </w:r>
      <w:bookmarkEnd w:id="148"/>
      <w:bookmarkEnd w:id="149"/>
      <w:bookmarkEnd w:id="150"/>
    </w:p>
    <w:p>
      <w:pPr>
        <w:pStyle w:val="Footnoteheading"/>
      </w:pPr>
      <w:r>
        <w:tab/>
        <w:t>[Heading inserted: SL 2023/135 r. 26.]</w:t>
      </w:r>
    </w:p>
    <w:p>
      <w:pPr>
        <w:pStyle w:val="Ednotesection"/>
      </w:pPr>
      <w:r>
        <w:t>[</w:t>
      </w:r>
      <w:r>
        <w:rPr>
          <w:b/>
        </w:rPr>
        <w:t>51B.</w:t>
      </w:r>
      <w:r>
        <w:tab/>
        <w:t xml:space="preserve">Deleted: Gazette 7 Sep 1979 p. 2735.] </w:t>
      </w:r>
    </w:p>
    <w:p>
      <w:pPr>
        <w:pStyle w:val="Heading5"/>
        <w:spacing w:before="180"/>
        <w:rPr>
          <w:snapToGrid w:val="0"/>
        </w:rPr>
      </w:pPr>
      <w:bookmarkStart w:id="151" w:name="_Toc196399886"/>
      <w:r>
        <w:rPr>
          <w:rStyle w:val="CharSectno"/>
        </w:rPr>
        <w:t>51C</w:t>
      </w:r>
      <w:r>
        <w:rPr>
          <w:snapToGrid w:val="0"/>
        </w:rPr>
        <w:t>.</w:t>
      </w:r>
      <w:r>
        <w:rPr>
          <w:snapToGrid w:val="0"/>
        </w:rPr>
        <w:tab/>
        <w:t>Organized races, displays, regattas and aquatic sports</w:t>
      </w:r>
      <w:bookmarkEnd w:id="151"/>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Ednotesubsection"/>
      </w:pPr>
      <w:r>
        <w:tab/>
        <w:t>[(2)</w:t>
      </w:r>
      <w:r>
        <w:tab/>
        <w:t>deleted]</w:t>
      </w:r>
    </w:p>
    <w:p>
      <w:pPr>
        <w:pStyle w:val="Footnotesection"/>
        <w:spacing w:before="100"/>
        <w:ind w:left="890" w:hanging="890"/>
      </w:pPr>
      <w:r>
        <w:tab/>
        <w:t xml:space="preserve">[Regulation 51C inserted: Gazette 19 Dec 1962 p. 4017; amended: Gazette 25 Nov 2011 p. 4874; 25 Jul 2014 p. 2583; SL 2024/191 r. 27.] </w:t>
      </w:r>
    </w:p>
    <w:p>
      <w:pPr>
        <w:pStyle w:val="Heading3"/>
      </w:pPr>
      <w:bookmarkStart w:id="152" w:name="_Toc196395518"/>
      <w:bookmarkStart w:id="153" w:name="_Toc196396671"/>
      <w:bookmarkStart w:id="154" w:name="_Toc196399887"/>
      <w:r>
        <w:rPr>
          <w:rStyle w:val="CharDivNo"/>
        </w:rPr>
        <w:t>Division 8</w:t>
      </w:r>
      <w:r>
        <w:t> — </w:t>
      </w:r>
      <w:r>
        <w:rPr>
          <w:rStyle w:val="CharDivText"/>
        </w:rPr>
        <w:t>Equipment and safety</w:t>
      </w:r>
      <w:bookmarkEnd w:id="152"/>
      <w:bookmarkEnd w:id="153"/>
      <w:bookmarkEnd w:id="154"/>
    </w:p>
    <w:p>
      <w:pPr>
        <w:pStyle w:val="Footnoteheading"/>
        <w:keepNext/>
      </w:pPr>
      <w:r>
        <w:tab/>
        <w:t>[Heading inserted: SL 2023/135 r. 27.]</w:t>
      </w:r>
    </w:p>
    <w:p>
      <w:pPr>
        <w:pStyle w:val="Ednotesection"/>
        <w:keepNext/>
        <w:ind w:left="890" w:hanging="890"/>
      </w:pPr>
      <w:r>
        <w:t>[</w:t>
      </w:r>
      <w:r>
        <w:rPr>
          <w:b/>
        </w:rPr>
        <w:t>51D, 52.</w:t>
      </w:r>
      <w:r>
        <w:tab/>
        <w:t>Deleted: SL 2023/135 r. 28.]</w:t>
      </w:r>
    </w:p>
    <w:p>
      <w:pPr>
        <w:pStyle w:val="Heading5"/>
      </w:pPr>
      <w:bookmarkStart w:id="155" w:name="_Toc196399888"/>
      <w:r>
        <w:rPr>
          <w:rStyle w:val="CharSectno"/>
        </w:rPr>
        <w:t>52A</w:t>
      </w:r>
      <w:r>
        <w:t>.</w:t>
      </w:r>
      <w:r>
        <w:tab/>
        <w:t>Pleasure vessels to be equipped with lifejackets</w:t>
      </w:r>
      <w:bookmarkEnd w:id="155"/>
    </w:p>
    <w:p>
      <w:pPr>
        <w:pStyle w:val="Subsection"/>
      </w:pPr>
      <w:r>
        <w:tab/>
        <w:t>(1)</w:t>
      </w:r>
      <w:r>
        <w:tab/>
        <w:t>This regulation does not apply to a personal watercraft.</w:t>
      </w:r>
    </w:p>
    <w:p>
      <w:pPr>
        <w:pStyle w:val="Subsection"/>
      </w:pPr>
      <w:r>
        <w:tab/>
        <w:t>(2)</w:t>
      </w:r>
      <w:r>
        <w:tab/>
        <w:t>The owner or master of a registrable vessel must ensure that the vessel is equipped with at least 1 appropriate lifejacket for each person on board who has reached 12 months of age.</w:t>
      </w:r>
    </w:p>
    <w:p>
      <w:pPr>
        <w:pStyle w:val="Subsection"/>
      </w:pPr>
      <w:r>
        <w:lastRenderedPageBreak/>
        <w:tab/>
        <w:t>(3)</w:t>
      </w:r>
      <w:r>
        <w:tab/>
        <w:t>The owner or master of a non</w:t>
      </w:r>
      <w:r>
        <w:noBreakHyphen/>
        <w:t>registrable vessel must ensure that the vessel, while outside protected waters and more than 400 m from any shore, is equipped with at least 1 appropriate lifejacket for each person on board who has reached 12 months of age.</w:t>
      </w:r>
    </w:p>
    <w:p>
      <w:pPr>
        <w:pStyle w:val="Subsection"/>
      </w:pPr>
      <w:r>
        <w:tab/>
        <w:t>(4)</w:t>
      </w:r>
      <w:r>
        <w:tab/>
        <w:t>For the purposes of determining the number of lifejackets a vessel is equipped with under subregulation (2) or (3), a lifejacket being worn by a person on board the vessel is taken to be a lifejacket that the vessel is equipped with.</w:t>
      </w:r>
    </w:p>
    <w:p>
      <w:pPr>
        <w:pStyle w:val="Subsection"/>
        <w:rPr>
          <w:rStyle w:val="DraftersNotes"/>
          <w:b w:val="0"/>
          <w:i w:val="0"/>
        </w:rPr>
      </w:pPr>
      <w:r>
        <w:tab/>
        <w:t>(5)</w:t>
      </w:r>
      <w:r>
        <w:tab/>
        <w:t>An owner or master who contravenes this regulation commits an offence.</w:t>
      </w:r>
    </w:p>
    <w:p>
      <w:pPr>
        <w:pStyle w:val="Footnotesection"/>
      </w:pPr>
      <w:r>
        <w:tab/>
        <w:t>[Regulation 52A inserted: SL 2023/135 r. 28; amended: SL 2024/191 r. 28.]</w:t>
      </w:r>
    </w:p>
    <w:p>
      <w:pPr>
        <w:pStyle w:val="Heading5"/>
        <w:rPr>
          <w:snapToGrid w:val="0"/>
        </w:rPr>
      </w:pPr>
      <w:bookmarkStart w:id="156" w:name="_Toc196399889"/>
      <w:r>
        <w:rPr>
          <w:rStyle w:val="CharSectno"/>
        </w:rPr>
        <w:t>52B</w:t>
      </w:r>
      <w:r>
        <w:rPr>
          <w:snapToGrid w:val="0"/>
        </w:rPr>
        <w:t>.</w:t>
      </w:r>
      <w:r>
        <w:rPr>
          <w:snapToGrid w:val="0"/>
        </w:rPr>
        <w:tab/>
      </w:r>
      <w:r>
        <w:t>Pleasure vessels to be equipped with certain distress signals</w:t>
      </w:r>
      <w:bookmarkEnd w:id="156"/>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pPr>
      <w:r>
        <w:tab/>
        <w:t>(1)</w:t>
      </w:r>
      <w:r>
        <w:tab/>
        <w:t xml:space="preserve">The owner or master of a pleasure vessel must ensure that the vessel, while outside protected waters and more than 400 m from any shore, is equipped with the following distress signals — </w:t>
      </w:r>
    </w:p>
    <w:p>
      <w:pPr>
        <w:pStyle w:val="Indenta"/>
      </w:pPr>
      <w:r>
        <w:tab/>
        <w:t>(a)</w:t>
      </w:r>
      <w:r>
        <w:tab/>
        <w:t>not fewer than —</w:t>
      </w:r>
    </w:p>
    <w:p>
      <w:pPr>
        <w:pStyle w:val="Indenti"/>
      </w:pPr>
      <w:r>
        <w:tab/>
        <w:t>(i)</w:t>
      </w:r>
      <w:r>
        <w:tab/>
        <w:t>2 red hand held flares; and</w:t>
      </w:r>
    </w:p>
    <w:p>
      <w:pPr>
        <w:pStyle w:val="Indenti"/>
      </w:pPr>
      <w:r>
        <w:tab/>
        <w:t>(ii)</w:t>
      </w:r>
      <w:r>
        <w:tab/>
        <w:t>2 orange hand held flares;</w:t>
      </w:r>
    </w:p>
    <w:p>
      <w:pPr>
        <w:pStyle w:val="Indenta"/>
      </w:pPr>
      <w:r>
        <w:tab/>
      </w:r>
      <w:r>
        <w:tab/>
        <w:t>or</w:t>
      </w:r>
    </w:p>
    <w:p>
      <w:pPr>
        <w:pStyle w:val="Indenta"/>
      </w:pPr>
      <w:r>
        <w:tab/>
        <w:t>(b)</w:t>
      </w:r>
      <w:r>
        <w:tab/>
        <w:t xml:space="preserve">an approved electronic visual distress signal if — </w:t>
      </w:r>
    </w:p>
    <w:p>
      <w:pPr>
        <w:pStyle w:val="Indenti"/>
      </w:pPr>
      <w:r>
        <w:tab/>
        <w:t>(i)</w:t>
      </w:r>
      <w:r>
        <w:tab/>
        <w:t>the vessel is also equipped with an Emergency Position</w:t>
      </w:r>
      <w:r>
        <w:noBreakHyphen/>
        <w:t>Indicating Radio Beacon that is GNSS</w:t>
      </w:r>
      <w:r>
        <w:noBreakHyphen/>
        <w:t>equipped; or</w:t>
      </w:r>
    </w:p>
    <w:p>
      <w:pPr>
        <w:pStyle w:val="Indenti"/>
      </w:pPr>
      <w:r>
        <w:lastRenderedPageBreak/>
        <w:tab/>
        <w:t>(ii)</w:t>
      </w:r>
      <w:r>
        <w:tab/>
        <w:t>a personal locator beacon that is GNSS</w:t>
      </w:r>
      <w:r>
        <w:noBreakHyphen/>
        <w:t>equipped is attached to a person on board the vessel;</w:t>
      </w:r>
    </w:p>
    <w:p>
      <w:pPr>
        <w:pStyle w:val="Indenta"/>
      </w:pPr>
      <w:r>
        <w:tab/>
      </w:r>
      <w:r>
        <w:tab/>
        <w:t>or</w:t>
      </w:r>
    </w:p>
    <w:p>
      <w:pPr>
        <w:pStyle w:val="Indenta"/>
      </w:pPr>
      <w:r>
        <w:tab/>
        <w:t>(c)</w:t>
      </w:r>
      <w:r>
        <w:tab/>
        <w:t xml:space="preserve">before 1 September 2026, not fewer than — </w:t>
      </w:r>
    </w:p>
    <w:p>
      <w:pPr>
        <w:pStyle w:val="Indenti"/>
      </w:pPr>
      <w:r>
        <w:tab/>
        <w:t>(i)</w:t>
      </w:r>
      <w:r>
        <w:tab/>
        <w:t>2 orange hand held flares; and</w:t>
      </w:r>
    </w:p>
    <w:p>
      <w:pPr>
        <w:pStyle w:val="Indenti"/>
      </w:pPr>
      <w:r>
        <w:tab/>
        <w:t>(ii)</w:t>
      </w:r>
      <w:r>
        <w:tab/>
        <w:t>2 parachute distress rockets.</w:t>
      </w:r>
    </w:p>
    <w:p>
      <w:pPr>
        <w:pStyle w:val="Ednotesubsection"/>
        <w:tabs>
          <w:tab w:val="clear" w:pos="879"/>
          <w:tab w:val="left" w:pos="969"/>
        </w:tabs>
      </w:pPr>
      <w:r>
        <w:tab/>
        <w:t>[(1a), (2)</w:t>
      </w:r>
      <w:r>
        <w:tab/>
        <w:t>deleted]</w:t>
      </w:r>
    </w:p>
    <w:p>
      <w:pPr>
        <w:pStyle w:val="Subsection"/>
        <w:keepNext/>
      </w:pPr>
      <w:r>
        <w:tab/>
        <w:t>(2AA)</w:t>
      </w:r>
      <w:r>
        <w:tab/>
        <w:t>The distress signals required by subregulation (1)(a) and (c)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Ednotesubsection"/>
      </w:pPr>
      <w:r>
        <w:tab/>
        <w:t>[(2A)</w:t>
      </w:r>
      <w:r>
        <w:tab/>
        <w:t>deleted]</w:t>
      </w:r>
    </w:p>
    <w:p>
      <w:pPr>
        <w:pStyle w:val="Subsection"/>
        <w:keepNext/>
        <w:rPr>
          <w:snapToGrid w:val="0"/>
        </w:rPr>
      </w:pPr>
      <w:r>
        <w:rPr>
          <w:snapToGrid w:val="0"/>
        </w:rPr>
        <w:tab/>
        <w:t>(3)</w:t>
      </w:r>
      <w:r>
        <w:rPr>
          <w:snapToGrid w:val="0"/>
        </w:rPr>
        <w:tab/>
        <w:t xml:space="preserve">An owner </w:t>
      </w:r>
      <w:r>
        <w:t>or master</w:t>
      </w:r>
      <w:r>
        <w:rPr>
          <w:snapToGrid w:val="0"/>
        </w:rPr>
        <w:t xml:space="preserve"> who contravenes this regulation commits an offence.</w:t>
      </w:r>
    </w:p>
    <w:p>
      <w:pPr>
        <w:pStyle w:val="Footnotesection"/>
        <w:keepLines w:val="0"/>
      </w:pPr>
      <w:r>
        <w:tab/>
        <w:t>[Regulation 52B inserted: Gazette 22 Aug 1975 p. 3044; amended: Gazette 11 May 1990 p. 2283; 31 Dec 1993 p. 6913</w:t>
      </w:r>
      <w:r>
        <w:noBreakHyphen/>
        <w:t>14; 24 Apr 1998 p. 2164; 24 Oct 2008 p. 4670; 11 Dec 2009 p. 5059; 13 Dec 2013 p. 6177; 25 Jul 2014 p. 2584; 3 Mar 2017 p. 1489; SL 2023/135 r. 29; SL 2024/191 r. 29.]</w:t>
      </w:r>
    </w:p>
    <w:p>
      <w:pPr>
        <w:pStyle w:val="Heading5"/>
        <w:rPr>
          <w:snapToGrid w:val="0"/>
        </w:rPr>
      </w:pPr>
      <w:bookmarkStart w:id="157" w:name="_Toc196399890"/>
      <w:r>
        <w:rPr>
          <w:rStyle w:val="CharSectno"/>
        </w:rPr>
        <w:t>52BAA</w:t>
      </w:r>
      <w:r>
        <w:rPr>
          <w:snapToGrid w:val="0"/>
        </w:rPr>
        <w:t>.</w:t>
      </w:r>
      <w:r>
        <w:rPr>
          <w:snapToGrid w:val="0"/>
        </w:rPr>
        <w:tab/>
      </w:r>
      <w:r>
        <w:t>Registrable vessels to be equipped with marine transceiver</w:t>
      </w:r>
      <w:bookmarkEnd w:id="157"/>
    </w:p>
    <w:p>
      <w:pPr>
        <w:pStyle w:val="Subsection"/>
      </w:pPr>
      <w:r>
        <w:tab/>
        <w:t>(1)</w:t>
      </w:r>
      <w:r>
        <w:tab/>
        <w:t xml:space="preserve">The owner or master of a registrable vessel that proceeds more than 4 nautical miles from any shore must ensure that the vessel is equipped with a marine transceiver. </w:t>
      </w:r>
    </w:p>
    <w:p>
      <w:pPr>
        <w:pStyle w:val="Subsection"/>
        <w:rPr>
          <w:snapToGrid w:val="0"/>
        </w:rPr>
      </w:pPr>
      <w:r>
        <w:rPr>
          <w:snapToGrid w:val="0"/>
        </w:rPr>
        <w:tab/>
        <w:t>(2)</w:t>
      </w:r>
      <w:r>
        <w:rPr>
          <w:snapToGrid w:val="0"/>
        </w:rPr>
        <w:tab/>
        <w:t xml:space="preserve">Whilst the vessel is </w:t>
      </w:r>
      <w:r>
        <w:t xml:space="preserve">underway the marine </w:t>
      </w:r>
      <w:r>
        <w:rPr>
          <w:snapToGrid w:val="0"/>
        </w:rPr>
        <w:t xml:space="preserve">transceiver referred to in subregulation (1) must, when not used for other transmission, remain switched on and tuned to the emergency distress calling </w:t>
      </w:r>
      <w:r>
        <w:rPr>
          <w:snapToGrid w:val="0"/>
        </w:rPr>
        <w:lastRenderedPageBreak/>
        <w:t>frequency or the working frequency of the shore station with which the vessel is logged on.</w:t>
      </w:r>
    </w:p>
    <w:p>
      <w:pPr>
        <w:pStyle w:val="Ednotesubsection"/>
      </w:pPr>
      <w:r>
        <w:tab/>
        <w:t>[(3A)</w:t>
      </w:r>
      <w:r>
        <w:tab/>
        <w:t>deleted]</w:t>
      </w:r>
    </w:p>
    <w:p>
      <w:pPr>
        <w:pStyle w:val="Subsection"/>
        <w:keepNext/>
        <w:rPr>
          <w:snapToGrid w:val="0"/>
        </w:rPr>
      </w:pPr>
      <w:r>
        <w:rPr>
          <w:snapToGrid w:val="0"/>
        </w:rPr>
        <w:tab/>
        <w:t>(3)</w:t>
      </w:r>
      <w:r>
        <w:rPr>
          <w:snapToGrid w:val="0"/>
        </w:rPr>
        <w:tab/>
        <w:t xml:space="preserve">An owner </w:t>
      </w:r>
      <w:r>
        <w:t>or master</w:t>
      </w:r>
      <w:r>
        <w:rPr>
          <w:snapToGrid w:val="0"/>
        </w:rPr>
        <w:t xml:space="preserve"> who contravenes this regulation commits an offence.</w:t>
      </w:r>
    </w:p>
    <w:p>
      <w:pPr>
        <w:pStyle w:val="Footnotesection"/>
      </w:pPr>
      <w:r>
        <w:tab/>
        <w:t xml:space="preserve">[Regulation 52BAA inserted: Gazette 31 Dec 1993 p. 6914; amended: Gazette 24 Apr 1998 p. 2164; 25 Jul 2014 p. 2585; SL 2023/135 r. 30; SL 2024/191 r. 30.] </w:t>
      </w:r>
    </w:p>
    <w:p>
      <w:pPr>
        <w:pStyle w:val="Heading5"/>
      </w:pPr>
      <w:bookmarkStart w:id="158" w:name="_Toc196399891"/>
      <w:r>
        <w:rPr>
          <w:rStyle w:val="CharSectno"/>
        </w:rPr>
        <w:t>52BAB</w:t>
      </w:r>
      <w:r>
        <w:t>.</w:t>
      </w:r>
      <w:r>
        <w:tab/>
        <w:t>Pleasure vessels to carry locator beacons</w:t>
      </w:r>
      <w:bookmarkEnd w:id="158"/>
    </w:p>
    <w:p>
      <w:pPr>
        <w:pStyle w:val="Subsection"/>
      </w:pPr>
      <w:r>
        <w:tab/>
        <w:t>(1)</w:t>
      </w:r>
      <w:r>
        <w:tab/>
        <w:t xml:space="preserve">The owner or master of a pleasure vessel that is outside protected waters and more than 400 m from any shore must ensure that — </w:t>
      </w:r>
    </w:p>
    <w:p>
      <w:pPr>
        <w:pStyle w:val="Indenta"/>
      </w:pPr>
      <w:r>
        <w:tab/>
        <w:t>(a)</w:t>
      </w:r>
      <w:r>
        <w:tab/>
        <w:t>the vessel is equipped with an Emergency Position</w:t>
      </w:r>
      <w:r>
        <w:noBreakHyphen/>
        <w:t>Indicating Radio Beacon; or</w:t>
      </w:r>
    </w:p>
    <w:p>
      <w:pPr>
        <w:pStyle w:val="Indenta"/>
      </w:pPr>
      <w:r>
        <w:tab/>
        <w:t>(b)</w:t>
      </w:r>
      <w:r>
        <w:tab/>
        <w:t>a personal locator beacon is attached to a person on board the vessel.</w:t>
      </w:r>
    </w:p>
    <w:p>
      <w:pPr>
        <w:pStyle w:val="Subsection"/>
      </w:pPr>
      <w:r>
        <w:tab/>
        <w:t>(2)</w:t>
      </w:r>
      <w:r>
        <w:tab/>
        <w:t>An owner or master who contravenes this regulation commits an offence.</w:t>
      </w:r>
    </w:p>
    <w:p>
      <w:pPr>
        <w:pStyle w:val="Footnotesection"/>
      </w:pPr>
      <w:r>
        <w:tab/>
        <w:t>[Regulation 52BAB inserted: SL 2023/135 r. 31; amended: SL 2024/191 r. 31.]</w:t>
      </w:r>
    </w:p>
    <w:p>
      <w:pPr>
        <w:pStyle w:val="Ednotesection"/>
        <w:tabs>
          <w:tab w:val="clear" w:pos="893"/>
          <w:tab w:val="left" w:pos="1843"/>
        </w:tabs>
      </w:pPr>
      <w:r>
        <w:t>[</w:t>
      </w:r>
      <w:r>
        <w:rPr>
          <w:b/>
        </w:rPr>
        <w:t>52BAC, 52BAD</w:t>
      </w:r>
      <w:r>
        <w:t>.</w:t>
      </w:r>
      <w:r>
        <w:tab/>
        <w:t>Deleted: SL 2024/191 r. 32.]</w:t>
      </w:r>
    </w:p>
    <w:p>
      <w:pPr>
        <w:pStyle w:val="Heading5"/>
        <w:rPr>
          <w:snapToGrid w:val="0"/>
        </w:rPr>
      </w:pPr>
      <w:bookmarkStart w:id="159" w:name="_Toc196399892"/>
      <w:r>
        <w:rPr>
          <w:rStyle w:val="CharSectno"/>
        </w:rPr>
        <w:t>52BA</w:t>
      </w:r>
      <w:r>
        <w:rPr>
          <w:snapToGrid w:val="0"/>
        </w:rPr>
        <w:t>.</w:t>
      </w:r>
      <w:r>
        <w:rPr>
          <w:snapToGrid w:val="0"/>
        </w:rPr>
        <w:tab/>
        <w:t>Equipment to be maintained in serviceable condition and readily accessible</w:t>
      </w:r>
      <w:bookmarkEnd w:id="159"/>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lastRenderedPageBreak/>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 xml:space="preserve">All equipment required to be carried on board any vessel pursuant to regulations 52A, 52B, 52BAA, </w:t>
      </w:r>
      <w:r>
        <w:t>52BAB</w:t>
      </w:r>
      <w:r>
        <w:rPr>
          <w:snapToGrid w:val="0"/>
        </w:rPr>
        <w:t xml:space="preserve"> and 52G shall be produced to an officer of the </w:t>
      </w:r>
      <w:r>
        <w:t>Department</w:t>
      </w:r>
      <w:r>
        <w:rPr>
          <w:snapToGrid w:val="0"/>
        </w:rPr>
        <w:t xml:space="preserve"> on demand.</w:t>
      </w:r>
    </w:p>
    <w:p>
      <w:pPr>
        <w:pStyle w:val="Footnotesection"/>
      </w:pPr>
      <w:r>
        <w:tab/>
        <w:t xml:space="preserve">[Regulation 52BA inserted: Gazette 17 Sep 1976 p. 3464; amended: Gazette 31 Dec 1993 p. 6915; SL 2023/135 r. 33; SL 2024/191 r. 41.] </w:t>
      </w:r>
    </w:p>
    <w:p>
      <w:pPr>
        <w:pStyle w:val="Heading5"/>
      </w:pPr>
      <w:bookmarkStart w:id="160" w:name="_Toc196399893"/>
      <w:r>
        <w:rPr>
          <w:rStyle w:val="CharSectno"/>
        </w:rPr>
        <w:t>52BB</w:t>
      </w:r>
      <w:r>
        <w:t>.</w:t>
      </w:r>
      <w:r>
        <w:tab/>
        <w:t>Lifejacket worn on personal watercraft to be maintained in serviceable condition</w:t>
      </w:r>
      <w:bookmarkEnd w:id="160"/>
      <w:r>
        <w:t xml:space="preserve"> </w:t>
      </w:r>
    </w:p>
    <w:p>
      <w:pPr>
        <w:pStyle w:val="Subsection"/>
      </w:pPr>
      <w:r>
        <w:tab/>
      </w:r>
      <w:r>
        <w:tab/>
        <w:t>A lifejacket that is required to be worn under regulation 50B(4) must be maintained in a serviceable condition.</w:t>
      </w:r>
    </w:p>
    <w:p>
      <w:pPr>
        <w:pStyle w:val="Footnotesection"/>
      </w:pPr>
      <w:r>
        <w:tab/>
        <w:t xml:space="preserve">[Regulation 52BB inserted: SL 2023/135 r. 34.] </w:t>
      </w:r>
    </w:p>
    <w:p>
      <w:pPr>
        <w:pStyle w:val="Ednotesection"/>
        <w:ind w:left="890" w:hanging="890"/>
      </w:pPr>
      <w:r>
        <w:t>[</w:t>
      </w:r>
      <w:r>
        <w:rPr>
          <w:b/>
        </w:rPr>
        <w:t>52C.</w:t>
      </w:r>
      <w:r>
        <w:tab/>
        <w:t>Deleted: SL 2023/135 r. 35.]</w:t>
      </w:r>
    </w:p>
    <w:p>
      <w:pPr>
        <w:pStyle w:val="Ednotesection"/>
      </w:pPr>
      <w:r>
        <w:t>[</w:t>
      </w:r>
      <w:r>
        <w:rPr>
          <w:b/>
          <w:bCs/>
        </w:rPr>
        <w:t>52CA</w:t>
      </w:r>
      <w:r>
        <w:t>.</w:t>
      </w:r>
      <w:r>
        <w:tab/>
        <w:t>Deleted: SL 2024/191 r. 33.]</w:t>
      </w:r>
    </w:p>
    <w:p>
      <w:pPr>
        <w:pStyle w:val="Ednotesection"/>
      </w:pPr>
      <w:r>
        <w:t>[</w:t>
      </w:r>
      <w:r>
        <w:rPr>
          <w:b/>
        </w:rPr>
        <w:t>52CAB.</w:t>
      </w:r>
      <w:r>
        <w:rPr>
          <w:b/>
        </w:rPr>
        <w:tab/>
        <w:t xml:space="preserve"> </w:t>
      </w:r>
      <w:r>
        <w:t xml:space="preserve">Deleted: Gazette 24 Apr 1998 p. 2164.] </w:t>
      </w:r>
    </w:p>
    <w:p>
      <w:pPr>
        <w:pStyle w:val="Ednotesection"/>
      </w:pPr>
      <w:r>
        <w:t>[</w:t>
      </w:r>
      <w:r>
        <w:rPr>
          <w:b/>
          <w:bCs/>
        </w:rPr>
        <w:t>52D</w:t>
      </w:r>
      <w:r>
        <w:t>.</w:t>
      </w:r>
      <w:r>
        <w:tab/>
        <w:t>Deleted: SL 2024/191 r. 33.]</w:t>
      </w:r>
    </w:p>
    <w:p>
      <w:pPr>
        <w:pStyle w:val="Heading5"/>
        <w:rPr>
          <w:snapToGrid w:val="0"/>
        </w:rPr>
      </w:pPr>
      <w:bookmarkStart w:id="161" w:name="_Toc196399894"/>
      <w:r>
        <w:rPr>
          <w:rStyle w:val="CharSectno"/>
        </w:rPr>
        <w:t>52E</w:t>
      </w:r>
      <w:r>
        <w:rPr>
          <w:snapToGrid w:val="0"/>
        </w:rPr>
        <w:t>.</w:t>
      </w:r>
      <w:r>
        <w:rPr>
          <w:snapToGrid w:val="0"/>
        </w:rPr>
        <w:tab/>
        <w:t>Storage and use of fuel in motor boats</w:t>
      </w:r>
      <w:bookmarkEnd w:id="161"/>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lastRenderedPageBreak/>
        <w:tab/>
        <w:t>(c)</w:t>
      </w:r>
      <w:r>
        <w:rPr>
          <w:snapToGrid w:val="0"/>
        </w:rPr>
        <w:tab/>
        <w:t xml:space="preserve">a short length of flexible piping of some other material may be used with the approval of the </w:t>
      </w:r>
      <w:r>
        <w:t>Department</w:t>
      </w:r>
      <w:r>
        <w:rPr>
          <w:snapToGrid w:val="0"/>
        </w:rPr>
        <w: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amended: SL 2024/191 r. 41.] </w:t>
      </w:r>
    </w:p>
    <w:p>
      <w:pPr>
        <w:pStyle w:val="Heading5"/>
        <w:rPr>
          <w:snapToGrid w:val="0"/>
        </w:rPr>
      </w:pPr>
      <w:bookmarkStart w:id="162" w:name="_Toc196399895"/>
      <w:r>
        <w:rPr>
          <w:rStyle w:val="CharSectno"/>
        </w:rPr>
        <w:t>52F</w:t>
      </w:r>
      <w:r>
        <w:rPr>
          <w:snapToGrid w:val="0"/>
        </w:rPr>
        <w:t>.</w:t>
      </w:r>
      <w:r>
        <w:rPr>
          <w:snapToGrid w:val="0"/>
        </w:rPr>
        <w:tab/>
        <w:t>Ventilation of engine compartment</w:t>
      </w:r>
      <w:bookmarkEnd w:id="162"/>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163" w:name="_Toc196399896"/>
      <w:r>
        <w:rPr>
          <w:rStyle w:val="CharSectno"/>
        </w:rPr>
        <w:t>52G</w:t>
      </w:r>
      <w:r>
        <w:rPr>
          <w:snapToGrid w:val="0"/>
        </w:rPr>
        <w:t>.</w:t>
      </w:r>
      <w:r>
        <w:rPr>
          <w:snapToGrid w:val="0"/>
        </w:rPr>
        <w:tab/>
        <w:t>Navigation lights</w:t>
      </w:r>
      <w:bookmarkEnd w:id="163"/>
      <w:r>
        <w:rPr>
          <w:snapToGrid w:val="0"/>
        </w:rPr>
        <w:t xml:space="preserve"> </w:t>
      </w:r>
    </w:p>
    <w:p>
      <w:pPr>
        <w:pStyle w:val="Subsection"/>
        <w:rPr>
          <w:snapToGrid w:val="0"/>
        </w:rPr>
      </w:pPr>
      <w:r>
        <w:rPr>
          <w:snapToGrid w:val="0"/>
        </w:rPr>
        <w:tab/>
        <w:t>(1)</w:t>
      </w:r>
      <w:r>
        <w:rPr>
          <w:snapToGrid w:val="0"/>
        </w:rPr>
        <w:tab/>
        <w:t xml:space="preserve">The </w:t>
      </w:r>
      <w:r>
        <w:t>master</w:t>
      </w:r>
      <w:r>
        <w:rPr>
          <w:snapToGrid w:val="0"/>
        </w:rPr>
        <w:t xml:space="preserve"> of a vessel must ensure that the vessel, while operating between sunset and sunrise, displays the navigation lights prescribed under the </w:t>
      </w:r>
      <w:r>
        <w:rPr>
          <w:i/>
          <w:iCs/>
        </w:rPr>
        <w:t>Prevention of Collisions in State Waters Regulations 1983</w:t>
      </w:r>
      <w:r>
        <w:t>.</w:t>
      </w:r>
    </w:p>
    <w:p>
      <w:pPr>
        <w:pStyle w:val="Subsection"/>
        <w:keepNext/>
        <w:rPr>
          <w:snapToGrid w:val="0"/>
        </w:rPr>
      </w:pPr>
      <w:r>
        <w:rPr>
          <w:snapToGrid w:val="0"/>
        </w:rPr>
        <w:tab/>
        <w:t>(2)</w:t>
      </w:r>
      <w:r>
        <w:rPr>
          <w:snapToGrid w:val="0"/>
        </w:rPr>
        <w:tab/>
      </w:r>
      <w:r>
        <w:t>A master</w:t>
      </w:r>
      <w:r>
        <w:rPr>
          <w:snapToGrid w:val="0"/>
        </w:rPr>
        <w:t xml:space="preserve"> who contravenes this regulation commits an offence.</w:t>
      </w:r>
    </w:p>
    <w:p>
      <w:pPr>
        <w:pStyle w:val="Footnotesection"/>
      </w:pPr>
      <w:r>
        <w:tab/>
        <w:t xml:space="preserve">[Regulation 52G inserted: Gazette 31 Dec 1993 p. 6915; amended: SL 2024/191 r. 34; SL 2025/68 r. 6.] </w:t>
      </w:r>
    </w:p>
    <w:p>
      <w:pPr>
        <w:pStyle w:val="Heading5"/>
        <w:rPr>
          <w:snapToGrid w:val="0"/>
        </w:rPr>
      </w:pPr>
      <w:bookmarkStart w:id="164" w:name="_Toc196399897"/>
      <w:r>
        <w:rPr>
          <w:rStyle w:val="CharSectno"/>
        </w:rPr>
        <w:t>52H</w:t>
      </w:r>
      <w:r>
        <w:rPr>
          <w:snapToGrid w:val="0"/>
        </w:rPr>
        <w:t>.</w:t>
      </w:r>
      <w:r>
        <w:rPr>
          <w:snapToGrid w:val="0"/>
        </w:rPr>
        <w:tab/>
        <w:t>Reporting accidents and fires</w:t>
      </w:r>
      <w:bookmarkEnd w:id="164"/>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lastRenderedPageBreak/>
        <w:tab/>
        <w:t>(d)</w:t>
      </w:r>
      <w:r>
        <w:rPr>
          <w:snapToGrid w:val="0"/>
        </w:rPr>
        <w:tab/>
        <w:t>loss of life or serious injury occurs,</w:t>
      </w:r>
    </w:p>
    <w:p>
      <w:pPr>
        <w:pStyle w:val="Subsection"/>
        <w:keepNext/>
        <w:rPr>
          <w:snapToGrid w:val="0"/>
        </w:rPr>
      </w:pPr>
      <w:r>
        <w:rPr>
          <w:snapToGrid w:val="0"/>
        </w:rPr>
        <w:tab/>
      </w:r>
      <w:r>
        <w:rPr>
          <w:snapToGrid w:val="0"/>
        </w:rPr>
        <w:tab/>
        <w:t xml:space="preserve">the owner or </w:t>
      </w:r>
      <w:r>
        <w:t>master</w:t>
      </w:r>
      <w:r>
        <w:rPr>
          <w:snapToGrid w:val="0"/>
        </w:rPr>
        <w:t xml:space="preserve"> of the vessel shall within 7 days of the occurrence of that accident or fire notify the </w:t>
      </w:r>
      <w:r>
        <w:t>Department</w:t>
      </w:r>
      <w:r>
        <w:rPr>
          <w:snapToGrid w:val="0"/>
        </w:rPr>
        <w:t xml:space="preserve"> by sending to the </w:t>
      </w:r>
      <w:r>
        <w:t>Department</w:t>
      </w:r>
      <w:r>
        <w:rPr>
          <w:snapToGrid w:val="0"/>
        </w:rPr>
        <w:t xml:space="preserve"> a written report containing particulars of the accident or fire and of any loss, damage, injury or loss of life.</w:t>
      </w:r>
    </w:p>
    <w:p>
      <w:pPr>
        <w:pStyle w:val="Footnotesection"/>
      </w:pPr>
      <w:r>
        <w:tab/>
        <w:t xml:space="preserve">[Regulation 52H inserted: Gazette 12 Jul 1974 p. 2626; amended: SL 2024/191 r. 35 and 41.] </w:t>
      </w:r>
    </w:p>
    <w:p>
      <w:pPr>
        <w:pStyle w:val="Heading3"/>
      </w:pPr>
      <w:bookmarkStart w:id="165" w:name="_Toc196395529"/>
      <w:bookmarkStart w:id="166" w:name="_Toc196396682"/>
      <w:bookmarkStart w:id="167" w:name="_Toc196399898"/>
      <w:r>
        <w:rPr>
          <w:rStyle w:val="CharDivNo"/>
        </w:rPr>
        <w:t>Division 9</w:t>
      </w:r>
      <w:r>
        <w:t> — </w:t>
      </w:r>
      <w:r>
        <w:rPr>
          <w:rStyle w:val="CharDivText"/>
        </w:rPr>
        <w:t>Offences and penalties</w:t>
      </w:r>
      <w:bookmarkEnd w:id="165"/>
      <w:bookmarkEnd w:id="166"/>
      <w:bookmarkEnd w:id="167"/>
    </w:p>
    <w:p>
      <w:pPr>
        <w:pStyle w:val="Footnoteheading"/>
      </w:pPr>
      <w:r>
        <w:tab/>
        <w:t>[Heading inserted: SL 2023/135 r. 37.]</w:t>
      </w:r>
    </w:p>
    <w:p>
      <w:pPr>
        <w:pStyle w:val="Heading5"/>
        <w:spacing w:before="260"/>
        <w:rPr>
          <w:snapToGrid w:val="0"/>
        </w:rPr>
      </w:pPr>
      <w:bookmarkStart w:id="168" w:name="_Toc196399899"/>
      <w:r>
        <w:rPr>
          <w:rStyle w:val="CharSectno"/>
        </w:rPr>
        <w:t>53</w:t>
      </w:r>
      <w:r>
        <w:rPr>
          <w:snapToGrid w:val="0"/>
        </w:rPr>
        <w:t>.</w:t>
      </w:r>
      <w:r>
        <w:rPr>
          <w:snapToGrid w:val="0"/>
        </w:rPr>
        <w:tab/>
        <w:t>Offences and penalties</w:t>
      </w:r>
      <w:bookmarkEnd w:id="168"/>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Ednotesubsection"/>
      </w:pPr>
      <w:r>
        <w:tab/>
        <w:t>[(2)-(4)</w:t>
      </w:r>
      <w:r>
        <w:tab/>
        <w:t>deleted]</w:t>
      </w:r>
    </w:p>
    <w:p>
      <w:pPr>
        <w:pStyle w:val="Subsection"/>
        <w:keepNext/>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SL 2024/191 r. 36.] </w:t>
      </w:r>
    </w:p>
    <w:p>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pPr>
        <w:pStyle w:val="Heading2"/>
      </w:pPr>
      <w:bookmarkStart w:id="169" w:name="_Toc196395531"/>
      <w:bookmarkStart w:id="170" w:name="_Toc196396684"/>
      <w:bookmarkStart w:id="171" w:name="_Toc196399900"/>
      <w:r>
        <w:rPr>
          <w:rStyle w:val="CharPartNo"/>
        </w:rPr>
        <w:lastRenderedPageBreak/>
        <w:t>Part VIII</w:t>
      </w:r>
      <w:r>
        <w:rPr>
          <w:rStyle w:val="CharDivNo"/>
        </w:rPr>
        <w:t> </w:t>
      </w:r>
      <w:r>
        <w:t>—</w:t>
      </w:r>
      <w:r>
        <w:rPr>
          <w:rStyle w:val="CharDivText"/>
        </w:rPr>
        <w:t> </w:t>
      </w:r>
      <w:r>
        <w:rPr>
          <w:rStyle w:val="CharPartText"/>
        </w:rPr>
        <w:t>Miscellaneous</w:t>
      </w:r>
      <w:bookmarkEnd w:id="169"/>
      <w:bookmarkEnd w:id="170"/>
      <w:bookmarkEnd w:id="171"/>
    </w:p>
    <w:p>
      <w:pPr>
        <w:pStyle w:val="Footnoteheading"/>
      </w:pPr>
      <w:r>
        <w:tab/>
        <w:t>[Heading inserted: Gazette 25 Jul 2014 p. 2591.]</w:t>
      </w:r>
    </w:p>
    <w:p>
      <w:pPr>
        <w:pStyle w:val="Heading5"/>
        <w:rPr>
          <w:snapToGrid w:val="0"/>
        </w:rPr>
      </w:pPr>
      <w:bookmarkStart w:id="172" w:name="_Toc196399901"/>
      <w:r>
        <w:rPr>
          <w:rStyle w:val="CharSectno"/>
        </w:rPr>
        <w:t>68</w:t>
      </w:r>
      <w:r>
        <w:rPr>
          <w:snapToGrid w:val="0"/>
        </w:rPr>
        <w:t>.</w:t>
      </w:r>
      <w:r>
        <w:rPr>
          <w:snapToGrid w:val="0"/>
        </w:rPr>
        <w:tab/>
      </w:r>
      <w:r>
        <w:t>Duty of owner or master</w:t>
      </w:r>
      <w:bookmarkEnd w:id="172"/>
    </w:p>
    <w:p>
      <w:pPr>
        <w:pStyle w:val="Subsection"/>
        <w:rPr>
          <w:snapToGrid w:val="0"/>
        </w:rPr>
      </w:pPr>
      <w:r>
        <w:rPr>
          <w:snapToGrid w:val="0"/>
        </w:rPr>
        <w:tab/>
      </w:r>
      <w:r>
        <w:rPr>
          <w:snapToGrid w:val="0"/>
        </w:rPr>
        <w:tab/>
        <w:t xml:space="preserve">Where by these regulations an act is required to be done, or forbidden to be done in relation to any vessel, the owner or </w:t>
      </w:r>
      <w:r>
        <w:t>master of the vessel</w:t>
      </w:r>
      <w:r>
        <w:rPr>
          <w:snapToGrid w:val="0"/>
        </w:rPr>
        <w:t xml:space="preserve">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amended: SL 2024/191 r. 37.] </w:t>
      </w:r>
    </w:p>
    <w:p>
      <w:pPr>
        <w:pStyle w:val="Heading5"/>
      </w:pPr>
      <w:bookmarkStart w:id="173" w:name="_Toc196399902"/>
      <w:r>
        <w:rPr>
          <w:rStyle w:val="CharSectno"/>
        </w:rPr>
        <w:t>69</w:t>
      </w:r>
      <w:r>
        <w:t>.</w:t>
      </w:r>
      <w:r>
        <w:tab/>
        <w:t>Form of warrant</w:t>
      </w:r>
      <w:bookmarkEnd w:id="173"/>
    </w:p>
    <w:p>
      <w:pPr>
        <w:pStyle w:val="Subsection"/>
      </w:pPr>
      <w:r>
        <w:tab/>
      </w:r>
      <w:r>
        <w:tab/>
        <w:t xml:space="preserve">For the purposes of the </w:t>
      </w:r>
      <w:r>
        <w:rPr>
          <w:i/>
          <w:iCs/>
        </w:rPr>
        <w:t>Western Australian Marine Act 1982</w:t>
      </w:r>
      <w:r>
        <w:t xml:space="preserve"> section 26(5) a warrant must be in the form of Schedule 1 Form 4.</w:t>
      </w:r>
    </w:p>
    <w:p>
      <w:pPr>
        <w:pStyle w:val="Footnotesection"/>
      </w:pPr>
      <w:r>
        <w:tab/>
        <w:t>[Regulation 69 inserted: SL 2023/204 r. 4.]</w:t>
      </w:r>
    </w:p>
    <w:p>
      <w:pPr>
        <w:pStyle w:val="Heading5"/>
      </w:pPr>
      <w:bookmarkStart w:id="174" w:name="_Toc196399903"/>
      <w:r>
        <w:rPr>
          <w:rStyle w:val="CharSectno"/>
        </w:rPr>
        <w:t>70</w:t>
      </w:r>
      <w:r>
        <w:t>.</w:t>
      </w:r>
      <w:r>
        <w:tab/>
        <w:t>Form of order to produce</w:t>
      </w:r>
      <w:bookmarkEnd w:id="174"/>
    </w:p>
    <w:p>
      <w:pPr>
        <w:pStyle w:val="Subsection"/>
      </w:pPr>
      <w:r>
        <w:tab/>
      </w:r>
      <w:r>
        <w:tab/>
        <w:t xml:space="preserve">For the purposes of the </w:t>
      </w:r>
      <w:r>
        <w:rPr>
          <w:i/>
          <w:iCs/>
        </w:rPr>
        <w:t>Western Australian Marine Act 1982</w:t>
      </w:r>
      <w:r>
        <w:t xml:space="preserve"> section 18D(4) an order to produce must be in the form of Schedule 1 Form 5.</w:t>
      </w:r>
    </w:p>
    <w:p>
      <w:pPr>
        <w:pStyle w:val="Footnotesection"/>
        <w:ind w:left="890" w:hanging="890"/>
      </w:pPr>
      <w:r>
        <w:tab/>
        <w:t xml:space="preserve">[Regulation 70 inserted: SL 2024/62 r. 6.] </w:t>
      </w:r>
    </w:p>
    <w:p>
      <w:pPr>
        <w:pStyle w:val="Heading5"/>
      </w:pPr>
      <w:bookmarkStart w:id="175" w:name="_Toc196399904"/>
      <w:r>
        <w:rPr>
          <w:rStyle w:val="CharSectno"/>
        </w:rPr>
        <w:t>71</w:t>
      </w:r>
      <w:r>
        <w:t>.</w:t>
      </w:r>
      <w:r>
        <w:tab/>
        <w:t>Disclosure of information by Commissioner of Police</w:t>
      </w:r>
      <w:bookmarkEnd w:id="175"/>
    </w:p>
    <w:p>
      <w:pPr>
        <w:pStyle w:val="Subsection"/>
      </w:pPr>
      <w:r>
        <w:tab/>
        <w:t>(1)</w:t>
      </w:r>
      <w:r>
        <w:tab/>
        <w:t xml:space="preserve">In this regulation — </w:t>
      </w:r>
    </w:p>
    <w:p>
      <w:pPr>
        <w:pStyle w:val="Defstart"/>
      </w:pPr>
      <w:r>
        <w:tab/>
      </w:r>
      <w:r>
        <w:rPr>
          <w:rStyle w:val="CharDefText"/>
        </w:rPr>
        <w:t>criminal intelligence information</w:t>
      </w:r>
      <w:r>
        <w:t xml:space="preserve"> means — </w:t>
      </w:r>
    </w:p>
    <w:p>
      <w:pPr>
        <w:pStyle w:val="Defpara"/>
      </w:pPr>
      <w:r>
        <w:tab/>
        <w:t>(a)</w:t>
      </w:r>
      <w:r>
        <w:tab/>
        <w:t>information relating to actual or suspected criminal activity (whether in this State or elsewhere) the disclosure of which could reasonably be expected —</w:t>
      </w:r>
    </w:p>
    <w:p>
      <w:pPr>
        <w:pStyle w:val="Defsubpara"/>
      </w:pPr>
      <w:r>
        <w:tab/>
        <w:t>(i)</w:t>
      </w:r>
      <w:r>
        <w:tab/>
        <w:t>to prejudice criminal investigations; or</w:t>
      </w:r>
    </w:p>
    <w:p>
      <w:pPr>
        <w:pStyle w:val="Defsubpara"/>
      </w:pPr>
      <w:r>
        <w:lastRenderedPageBreak/>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Subsection"/>
        <w:rPr>
          <w:rStyle w:val="DraftersNotes"/>
          <w:b w:val="0"/>
          <w:i w:val="0"/>
        </w:rPr>
      </w:pPr>
      <w:r>
        <w:tab/>
        <w:t>(2)</w:t>
      </w:r>
      <w:r>
        <w:tab/>
        <w:t xml:space="preserve">The information prescribed for the purposes of the </w:t>
      </w:r>
      <w:r>
        <w:rPr>
          <w:i/>
          <w:iCs/>
        </w:rPr>
        <w:t>Western Australian Marine Act 1982</w:t>
      </w:r>
      <w:r>
        <w:t xml:space="preserve"> section 109(3) is information, other than criminal intelligence information, relating to the actual or suspected conduct of a person that may indicate that the person poses a risk of violence.</w:t>
      </w:r>
    </w:p>
    <w:p>
      <w:pPr>
        <w:pStyle w:val="Footnotesection"/>
        <w:ind w:left="890" w:hanging="890"/>
      </w:pPr>
      <w:r>
        <w:tab/>
        <w:t xml:space="preserve">[Regulation 71 inserted: SL 2024/62 r. 6.] </w:t>
      </w:r>
    </w:p>
    <w:p>
      <w:pPr>
        <w:pStyle w:val="Heading5"/>
      </w:pPr>
      <w:bookmarkStart w:id="176" w:name="_Toc196399905"/>
      <w:r>
        <w:rPr>
          <w:rStyle w:val="CharSectno"/>
        </w:rPr>
        <w:t>72</w:t>
      </w:r>
      <w:r>
        <w:t>.</w:t>
      </w:r>
      <w:r>
        <w:tab/>
        <w:t>Disclosure of information: prescribed persons</w:t>
      </w:r>
      <w:bookmarkEnd w:id="176"/>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iCs/>
        </w:rPr>
        <w:t>Public Service Act 1999</w:t>
      </w:r>
      <w:r>
        <w:t xml:space="preserve"> (Commonwealth) section 7;</w:t>
      </w:r>
    </w:p>
    <w:p>
      <w:pPr>
        <w:pStyle w:val="Defstart"/>
      </w:pPr>
      <w:r>
        <w:tab/>
      </w:r>
      <w:r>
        <w:rPr>
          <w:rStyle w:val="CharDefText"/>
        </w:rPr>
        <w:t>CEO</w:t>
      </w:r>
      <w:r>
        <w:t xml:space="preserve"> means the chief executive officer.</w:t>
      </w:r>
    </w:p>
    <w:p>
      <w:pPr>
        <w:pStyle w:val="Subsection"/>
      </w:pPr>
      <w:r>
        <w:tab/>
        <w:t>(2)</w:t>
      </w:r>
      <w:r>
        <w:tab/>
        <w:t xml:space="preserve">For the purposes of the definition of </w:t>
      </w:r>
      <w:r>
        <w:rPr>
          <w:b/>
          <w:bCs/>
          <w:i/>
          <w:iCs/>
        </w:rPr>
        <w:t>prescribed person</w:t>
      </w:r>
      <w:r>
        <w:t xml:space="preserve"> in the </w:t>
      </w:r>
      <w:r>
        <w:rPr>
          <w:i/>
          <w:iCs/>
        </w:rPr>
        <w:t>Western Australian Marine Act 1982</w:t>
      </w:r>
      <w:r>
        <w:t xml:space="preserve"> section 111(1), the following are prescribed — </w:t>
      </w:r>
    </w:p>
    <w:p>
      <w:pPr>
        <w:pStyle w:val="Indenta"/>
      </w:pPr>
      <w:r>
        <w:tab/>
        <w:t>(a)</w:t>
      </w:r>
      <w:r>
        <w:tab/>
        <w:t xml:space="preserve">the Chairperson of ASIC, as defined in the </w:t>
      </w:r>
      <w:r>
        <w:rPr>
          <w:i/>
          <w:iCs/>
        </w:rPr>
        <w:t>Australian Securities and Investments Commission Act 2001</w:t>
      </w:r>
      <w:r>
        <w:t xml:space="preserve"> (Commonwealth) section 5(1), or a staff member, as </w:t>
      </w:r>
      <w:r>
        <w:lastRenderedPageBreak/>
        <w:t>defined in that subsection, nominated by the Chairperson to the CEO;</w:t>
      </w:r>
    </w:p>
    <w:p>
      <w:pPr>
        <w:pStyle w:val="Indenta"/>
      </w:pPr>
      <w:r>
        <w:tab/>
        <w:t>(b)</w:t>
      </w:r>
      <w:r>
        <w:tab/>
        <w:t xml:space="preserve">the Commissioner, as defined in the </w:t>
      </w:r>
      <w:r>
        <w:rPr>
          <w:i/>
          <w:iCs/>
        </w:rPr>
        <w:t>Australian Federal Police Act 1979</w:t>
      </w:r>
      <w:r>
        <w:t xml:space="preserve"> (Commonwealth) section 4(1), or an AFP employee, as defined in that subsection, nominated by the Commissioner to the CEO;</w:t>
      </w:r>
    </w:p>
    <w:p>
      <w:pPr>
        <w:pStyle w:val="Indenta"/>
      </w:pPr>
      <w:r>
        <w:tab/>
        <w:t>(c)</w:t>
      </w:r>
      <w:r>
        <w:tab/>
        <w:t xml:space="preserve">the Australian Border Force Commissioner, appointed under the </w:t>
      </w:r>
      <w:r>
        <w:rPr>
          <w:i/>
          <w:iCs/>
        </w:rPr>
        <w:t>Australian Border Force Act 2015</w:t>
      </w:r>
      <w:r>
        <w:t xml:space="preserve"> (Commonwealth) section 11(1) (</w:t>
      </w:r>
      <w:r>
        <w:rPr>
          <w:rStyle w:val="CharDefText"/>
        </w:rPr>
        <w:t>ABF Commissioner</w:t>
      </w:r>
      <w:r>
        <w:t>), or an Immigration and Border Protection worker, as defined in section 4(1) of that Act, nominated by the ABF Commissioner to the CEO;</w:t>
      </w:r>
    </w:p>
    <w:p>
      <w:pPr>
        <w:pStyle w:val="Indenta"/>
      </w:pPr>
      <w:r>
        <w:tab/>
        <w:t>(d)</w:t>
      </w:r>
      <w:r>
        <w:tab/>
        <w:t>the Comptroller</w:t>
      </w:r>
      <w:r>
        <w:noBreakHyphen/>
        <w:t xml:space="preserve">General of Customs, referred to in the </w:t>
      </w:r>
      <w:r>
        <w:rPr>
          <w:i/>
          <w:iCs/>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(e)</w:t>
      </w:r>
      <w:r>
        <w:tab/>
        <w:t xml:space="preserve">the Chief of the Defence Force, appointed under the </w:t>
      </w:r>
      <w:r>
        <w:rPr>
          <w:i/>
          <w:iCs/>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(f)</w:t>
      </w:r>
      <w:r>
        <w:tab/>
        <w:t>the Inspector</w:t>
      </w:r>
      <w:r>
        <w:noBreakHyphen/>
        <w:t xml:space="preserve">General, as defined in the </w:t>
      </w:r>
      <w:r>
        <w:rPr>
          <w:i/>
          <w:iCs/>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(g)</w:t>
      </w:r>
      <w:r>
        <w:tab/>
        <w:t xml:space="preserve">the Registrar, as defined in the </w:t>
      </w:r>
      <w:r>
        <w:rPr>
          <w:i/>
          <w:iCs/>
        </w:rPr>
        <w:t>Child Support (Registration and Collection) Act 1988</w:t>
      </w:r>
      <w:r>
        <w:t xml:space="preserve"> (Commonwealth) section 4(1), or an APS employee of the department of the Commonwealth public service principally assisting the Commonwealth Minister in the administration of that Act nominated by the Registrar to the CEO;</w:t>
      </w:r>
    </w:p>
    <w:p>
      <w:pPr>
        <w:pStyle w:val="Indenta"/>
      </w:pPr>
      <w:r>
        <w:lastRenderedPageBreak/>
        <w:tab/>
        <w:t>(h)</w:t>
      </w:r>
      <w:r>
        <w:tab/>
        <w:t xml:space="preserve">the Electoral Commissioner, as defined in the </w:t>
      </w:r>
      <w:r>
        <w:rPr>
          <w:i/>
          <w:iCs/>
        </w:rPr>
        <w:t>Commonwealth Electoral Act 1918</w:t>
      </w:r>
      <w:r>
        <w:t xml:space="preserve"> (Commonwealth) section 4(1), or a member of the staff mentioned in section 29 of that Act nominated by the Electoral Commissioner to the CEO;</w:t>
      </w:r>
    </w:p>
    <w:p>
      <w:pPr>
        <w:pStyle w:val="Indenta"/>
      </w:pPr>
      <w:r>
        <w:tab/>
        <w:t>(i)</w:t>
      </w:r>
      <w:r>
        <w:tab/>
        <w:t xml:space="preserve">the Commissioner, as defined in the </w:t>
      </w:r>
      <w:r>
        <w:rPr>
          <w:i/>
          <w:iCs/>
        </w:rPr>
        <w:t>Corruption, Crime and Misconduct Act 2003</w:t>
      </w:r>
      <w:r>
        <w:t xml:space="preserve"> section 3(1), or another officer of the Commission, as defined in that subsection, nominated by the Commissioner to the CEO;</w:t>
      </w:r>
    </w:p>
    <w:p>
      <w:pPr>
        <w:pStyle w:val="Indenta"/>
      </w:pPr>
      <w:r>
        <w:tab/>
        <w:t>(j)</w:t>
      </w:r>
      <w:r>
        <w:tab/>
        <w:t xml:space="preserve">the Electoral Commissioner, as defined in the </w:t>
      </w:r>
      <w:r>
        <w:rPr>
          <w:i/>
          <w:iCs/>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iCs/>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iCs/>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a CEO of a local government, as defined in the </w:t>
      </w:r>
      <w:r>
        <w:rPr>
          <w:i/>
          <w:iCs/>
        </w:rPr>
        <w:t>Local Government Act 1995</w:t>
      </w:r>
      <w:r>
        <w:t xml:space="preserve"> section 1.4 (</w:t>
      </w:r>
      <w:r>
        <w:rPr>
          <w:rStyle w:val="CharDefText"/>
        </w:rPr>
        <w:t>LG CEO</w:t>
      </w:r>
      <w:r>
        <w:t>), or an employee of that local government, as defined in that section, nominated by the LG CEO to the CEO;</w:t>
      </w:r>
    </w:p>
    <w:p>
      <w:pPr>
        <w:pStyle w:val="Indenta"/>
      </w:pPr>
      <w:r>
        <w:tab/>
        <w:t>(n)</w:t>
      </w:r>
      <w:r>
        <w:tab/>
        <w:t xml:space="preserve">the chief executive officer of a GTE, as defined in the </w:t>
      </w:r>
      <w:r>
        <w:rPr>
          <w:i/>
          <w:iCs/>
        </w:rPr>
        <w:t>Government Trading Enterprises Act 2023</w:t>
      </w:r>
      <w:r>
        <w:t xml:space="preserve"> section 3(1) (</w:t>
      </w:r>
      <w:r>
        <w:rPr>
          <w:rStyle w:val="CharDefText"/>
        </w:rPr>
        <w:t>GTE CEO</w:t>
      </w:r>
      <w:r>
        <w:t>), or a member of staff of the GTE, as defined in that subsection, nominated by the GTE CEO to the CEO;</w:t>
      </w:r>
    </w:p>
    <w:p>
      <w:pPr>
        <w:pStyle w:val="Indenta"/>
      </w:pPr>
      <w:r>
        <w:tab/>
        <w:t>(o)</w:t>
      </w:r>
      <w:r>
        <w:tab/>
        <w:t xml:space="preserve">the chief executive officer of an agency, as defined in the </w:t>
      </w:r>
      <w:r>
        <w:rPr>
          <w:i/>
          <w:iCs/>
        </w:rPr>
        <w:t>Public Sector Management Act 1994</w:t>
      </w:r>
      <w:r>
        <w:t xml:space="preserve"> section 3(1), or a person employed in that agency nominated by the chief executive officer to the CEO;</w:t>
      </w:r>
    </w:p>
    <w:p>
      <w:pPr>
        <w:pStyle w:val="Indenta"/>
      </w:pPr>
      <w:r>
        <w:lastRenderedPageBreak/>
        <w:tab/>
        <w:t>(p)</w:t>
      </w:r>
      <w:r>
        <w:tab/>
        <w:t xml:space="preserve">an Agency Head, as defined in the </w:t>
      </w:r>
      <w:r>
        <w:rPr>
          <w:i/>
          <w:iCs/>
        </w:rPr>
        <w:t>Public Service Act 1999</w:t>
      </w:r>
      <w:r>
        <w:t xml:space="preserve"> (Commonwealth) section 7, or an APS employee of the Agency Head’s Agency nominated by the Agency Head to the CEO;</w:t>
      </w:r>
    </w:p>
    <w:p>
      <w:pPr>
        <w:pStyle w:val="Indenta"/>
      </w:pPr>
      <w:r>
        <w:tab/>
        <w:t>(q)</w:t>
      </w:r>
      <w:r>
        <w:tab/>
        <w:t xml:space="preserve">the Commissioner, as defined in the </w:t>
      </w:r>
      <w:r>
        <w:rPr>
          <w:i/>
          <w:iCs/>
        </w:rPr>
        <w:t>Taxation Administration Act 1953</w:t>
      </w:r>
      <w:r>
        <w:t xml:space="preserve"> (Commonwealth) section 2(1), or a member of the staff mentioned in section 4A of that Act nominated by the Commissioner to the CEO;</w:t>
      </w:r>
    </w:p>
    <w:p>
      <w:pPr>
        <w:pStyle w:val="Indenta"/>
      </w:pPr>
      <w:r>
        <w:tab/>
        <w:t>(r)</w:t>
      </w:r>
      <w:r>
        <w:tab/>
        <w:t xml:space="preserve">a registered liquidator appointed under the </w:t>
      </w:r>
      <w:r>
        <w:rPr>
          <w:i/>
          <w:iCs/>
        </w:rPr>
        <w:t>Corporations Act 2001</w:t>
      </w:r>
      <w:r>
        <w:t xml:space="preserve"> (Commonwealth) section 472(1) or a liquidator appointed under section 489EC(1) of that Act;</w:t>
      </w:r>
    </w:p>
    <w:p>
      <w:pPr>
        <w:pStyle w:val="Indenta"/>
        <w:rPr>
          <w:rStyle w:val="DraftersNotes"/>
          <w:b w:val="0"/>
          <w:i w:val="0"/>
        </w:rPr>
      </w:pPr>
      <w:r>
        <w:tab/>
        <w:t>(s)</w:t>
      </w:r>
      <w:r>
        <w:tab/>
        <w:t xml:space="preserve">a registered trustee of the estate of a bankrupt appointed under the </w:t>
      </w:r>
      <w:r>
        <w:rPr>
          <w:i/>
          <w:iCs/>
        </w:rPr>
        <w:t>Bankruptcy Act 1966</w:t>
      </w:r>
      <w:r>
        <w:t xml:space="preserve"> (Commonwealth);</w:t>
      </w:r>
    </w:p>
    <w:p>
      <w:pPr>
        <w:pStyle w:val="Indenta"/>
      </w:pPr>
      <w:r>
        <w:tab/>
        <w:t>(t)</w:t>
      </w:r>
      <w:r>
        <w:tab/>
        <w:t>the Commissioner (however designated) of the police force of another State or of the Northern Territory, or another officer of that police force nominated by the Commissioner of that police force to the CEO;</w:t>
      </w:r>
    </w:p>
    <w:p>
      <w:pPr>
        <w:pStyle w:val="Indenta"/>
      </w:pPr>
      <w:r>
        <w:tab/>
        <w:t>(u)</w:t>
      </w:r>
      <w:r>
        <w:tab/>
        <w:t>the chief executive officer (however designated) of a department of the public service of another State, the Australian Capital Territory or the Northern Territory, or a person employed in that department nominated by the chief executive officer of that department to the CEO;</w:t>
      </w:r>
    </w:p>
    <w:p>
      <w:pPr>
        <w:pStyle w:val="Indenta"/>
      </w:pPr>
      <w:r>
        <w:tab/>
        <w:t>(v)</w:t>
      </w:r>
      <w:r>
        <w:tab/>
        <w:t>the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Footnotesection"/>
        <w:ind w:left="890" w:hanging="890"/>
      </w:pPr>
      <w:r>
        <w:tab/>
        <w:t xml:space="preserve">[Regulation 72 inserted: SL 2024/62 r. 6; amended: SL 2024/191 r. 38.] </w:t>
      </w:r>
    </w:p>
    <w:p>
      <w:pPr>
        <w:pStyle w:val="Footnotesection"/>
        <w:rPr>
          <w:i w:val="0"/>
          <w:iCs/>
        </w:rPr>
      </w:pP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77" w:name="_Toc196395537"/>
      <w:bookmarkStart w:id="178" w:name="_Toc196396690"/>
      <w:bookmarkStart w:id="179" w:name="_Toc196399906"/>
      <w:r>
        <w:rPr>
          <w:rStyle w:val="CharSchNo"/>
        </w:rPr>
        <w:lastRenderedPageBreak/>
        <w:t>Schedule 1</w:t>
      </w:r>
      <w:bookmarkEnd w:id="177"/>
      <w:bookmarkEnd w:id="178"/>
      <w:bookmarkEnd w:id="179"/>
    </w:p>
    <w:p>
      <w:pPr>
        <w:pStyle w:val="yShoulderClause"/>
      </w:pPr>
      <w:r>
        <w:t>[r. 69 and 70]</w:t>
      </w:r>
    </w:p>
    <w:p>
      <w:pPr>
        <w:pStyle w:val="yFootnoteheading"/>
      </w:pPr>
      <w:r>
        <w:tab/>
        <w:t>[Heading inserted: SL 2021/161 r. 5; amended: SL 2023/204 r. 5; SL 2024/62 r. 7; SL 2024/191 r. 39(1).]</w:t>
      </w:r>
    </w:p>
    <w:p>
      <w:pPr>
        <w:pStyle w:val="yFootnotesection"/>
      </w:pPr>
      <w:r>
        <w:t>[Forms 1-3 deleted: SL 2024/191 r. 39(2).]</w:t>
      </w:r>
    </w:p>
    <w:p>
      <w:pPr>
        <w:pStyle w:val="yMiscellaneousHeading"/>
        <w:spacing w:before="240" w:after="160"/>
      </w:pPr>
      <w:r>
        <w:rPr>
          <w:rStyle w:val="CharSClsNo"/>
          <w:b/>
        </w:rPr>
        <w:t>Form 4</w:t>
      </w:r>
    </w:p>
    <w:p>
      <w:pPr>
        <w:pStyle w:val="yMiscellaneousBody"/>
        <w:jc w:val="center"/>
        <w:rPr>
          <w:bCs/>
        </w:rPr>
      </w:pPr>
      <w:r>
        <w:rPr>
          <w:bCs/>
        </w:rPr>
        <w:t>ENTRY WARRANT</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90"/>
        <w:gridCol w:w="202"/>
        <w:gridCol w:w="284"/>
        <w:gridCol w:w="1843"/>
        <w:gridCol w:w="708"/>
        <w:gridCol w:w="1385"/>
      </w:tblGrid>
      <w:tr>
        <w:tc>
          <w:tcPr>
            <w:tcW w:w="6913" w:type="dxa"/>
            <w:gridSpan w:val="7"/>
            <w:tcBorders>
              <w:bottom w:val="nil"/>
            </w:tcBorders>
            <w:noWrap/>
            <w:vAlign w:val="center"/>
          </w:tcPr>
          <w:p>
            <w:pPr>
              <w:pStyle w:val="yMiscellaneousHeading"/>
              <w:ind w:right="-1"/>
            </w:pPr>
            <w:r>
              <w:rPr>
                <w:i/>
                <w:iCs/>
              </w:rPr>
              <w:t>Western Australian Marine Act 1982</w:t>
            </w:r>
          </w:p>
          <w:p>
            <w:pPr>
              <w:pStyle w:val="yMiscellaneousHeading"/>
              <w:spacing w:before="120"/>
              <w:rPr>
                <w:b/>
                <w:bCs/>
              </w:rPr>
            </w:pPr>
            <w:r>
              <w:rPr>
                <w:b/>
                <w:bCs/>
              </w:rPr>
              <w:t>Entry warrant</w:t>
            </w:r>
          </w:p>
        </w:tc>
      </w:tr>
      <w:tr>
        <w:tc>
          <w:tcPr>
            <w:tcW w:w="1701" w:type="dxa"/>
            <w:noWrap/>
          </w:tcPr>
          <w:p>
            <w:pPr>
              <w:pStyle w:val="yTableNAm"/>
              <w:rPr>
                <w:b/>
                <w:bCs/>
              </w:rPr>
            </w:pPr>
            <w:r>
              <w:rPr>
                <w:b/>
                <w:bCs/>
              </w:rPr>
              <w:t>To</w:t>
            </w:r>
          </w:p>
        </w:tc>
        <w:tc>
          <w:tcPr>
            <w:tcW w:w="5212" w:type="dxa"/>
            <w:gridSpan w:val="6"/>
            <w:shd w:val="clear" w:color="auto" w:fill="auto"/>
            <w:noWrap/>
          </w:tcPr>
          <w:p>
            <w:pPr>
              <w:pStyle w:val="yTableNAm"/>
            </w:pPr>
            <w:r>
              <w:t>The applicant.</w:t>
            </w:r>
          </w:p>
        </w:tc>
      </w:tr>
      <w:tr>
        <w:tc>
          <w:tcPr>
            <w:tcW w:w="1701" w:type="dxa"/>
            <w:tcBorders>
              <w:bottom w:val="single" w:sz="4" w:space="0" w:color="auto"/>
            </w:tcBorders>
            <w:noWrap/>
          </w:tcPr>
          <w:p>
            <w:pPr>
              <w:pStyle w:val="yTableNAm"/>
              <w:rPr>
                <w:b/>
                <w:bCs/>
              </w:rPr>
            </w:pPr>
            <w:r>
              <w:rPr>
                <w:b/>
                <w:bCs/>
              </w:rPr>
              <w:t>Application</w:t>
            </w:r>
          </w:p>
        </w:tc>
        <w:tc>
          <w:tcPr>
            <w:tcW w:w="5212" w:type="dxa"/>
            <w:gridSpan w:val="6"/>
            <w:tcBorders>
              <w:bottom w:val="single" w:sz="4" w:space="0" w:color="auto"/>
            </w:tcBorders>
            <w:noWrap/>
          </w:tcPr>
          <w:p>
            <w:pPr>
              <w:pStyle w:val="yTableNAm"/>
            </w:pPr>
            <w:r>
              <w:t xml:space="preserve">The applicant has applied under the </w:t>
            </w:r>
            <w:r>
              <w:rPr>
                <w:i/>
                <w:iCs/>
              </w:rPr>
              <w:t>Western Australian Marine Act 1982</w:t>
            </w:r>
            <w:r>
              <w:t xml:space="preserve"> s. 26 to me, a magistrate, for an entry warrant.</w:t>
            </w:r>
          </w:p>
        </w:tc>
      </w:tr>
      <w:tr>
        <w:trPr>
          <w:trHeight w:val="467"/>
        </w:trPr>
        <w:tc>
          <w:tcPr>
            <w:tcW w:w="1701" w:type="dxa"/>
            <w:tcBorders>
              <w:bottom w:val="single" w:sz="4" w:space="0" w:color="auto"/>
            </w:tcBorders>
            <w:noWrap/>
          </w:tcPr>
          <w:p>
            <w:pPr>
              <w:pStyle w:val="yTableNAm"/>
              <w:rPr>
                <w:b/>
                <w:bCs/>
              </w:rPr>
            </w:pPr>
            <w:r>
              <w:rPr>
                <w:b/>
                <w:bCs/>
              </w:rPr>
              <w:t>Official details of applicant</w:t>
            </w:r>
          </w:p>
        </w:tc>
        <w:tc>
          <w:tcPr>
            <w:tcW w:w="1276" w:type="dxa"/>
            <w:gridSpan w:val="3"/>
            <w:tcBorders>
              <w:bottom w:val="single" w:sz="4" w:space="0" w:color="auto"/>
              <w:right w:val="nil"/>
            </w:tcBorders>
            <w:noWrap/>
          </w:tcPr>
          <w:p>
            <w:pPr>
              <w:pStyle w:val="yTableNAm"/>
            </w:pPr>
          </w:p>
        </w:tc>
        <w:tc>
          <w:tcPr>
            <w:tcW w:w="3936" w:type="dxa"/>
            <w:gridSpan w:val="3"/>
            <w:tcBorders>
              <w:left w:val="nil"/>
              <w:bottom w:val="single" w:sz="4" w:space="0" w:color="auto"/>
            </w:tcBorders>
            <w:noWrap/>
          </w:tcPr>
          <w:p>
            <w:pPr>
              <w:pStyle w:val="yTableNAm"/>
            </w:pPr>
          </w:p>
        </w:tc>
      </w:tr>
      <w:tr>
        <w:trPr>
          <w:trHeight w:val="221"/>
        </w:trPr>
        <w:tc>
          <w:tcPr>
            <w:tcW w:w="1701" w:type="dxa"/>
            <w:noWrap/>
          </w:tcPr>
          <w:p>
            <w:pPr>
              <w:pStyle w:val="yTableNAm"/>
              <w:rPr>
                <w:b/>
                <w:bCs/>
              </w:rPr>
            </w:pPr>
            <w:r>
              <w:rPr>
                <w:b/>
                <w:bCs/>
              </w:rPr>
              <w:t>Suspected contravention(s)</w:t>
            </w:r>
          </w:p>
        </w:tc>
        <w:tc>
          <w:tcPr>
            <w:tcW w:w="1276" w:type="dxa"/>
            <w:gridSpan w:val="3"/>
            <w:noWrap/>
          </w:tcPr>
          <w:p>
            <w:pPr>
              <w:pStyle w:val="yTableNAm"/>
            </w:pPr>
            <w:r>
              <w:t>Provision(s)</w:t>
            </w:r>
          </w:p>
        </w:tc>
        <w:tc>
          <w:tcPr>
            <w:tcW w:w="3936" w:type="dxa"/>
            <w:gridSpan w:val="3"/>
            <w:noWrap/>
          </w:tcPr>
          <w:p>
            <w:pPr>
              <w:pStyle w:val="yTableNAm"/>
            </w:pPr>
          </w:p>
        </w:tc>
      </w:tr>
      <w:tr>
        <w:tc>
          <w:tcPr>
            <w:tcW w:w="1701" w:type="dxa"/>
            <w:noWrap/>
          </w:tcPr>
          <w:p>
            <w:pPr>
              <w:pStyle w:val="yTableNAm"/>
              <w:rPr>
                <w:b/>
                <w:bCs/>
              </w:rPr>
            </w:pPr>
            <w:r>
              <w:rPr>
                <w:b/>
                <w:bCs/>
              </w:rPr>
              <w:t>Warrant</w:t>
            </w:r>
          </w:p>
        </w:tc>
        <w:tc>
          <w:tcPr>
            <w:tcW w:w="5212" w:type="dxa"/>
            <w:gridSpan w:val="6"/>
            <w:noWrap/>
          </w:tcPr>
          <w:p>
            <w:pPr>
              <w:pStyle w:val="yTableNAm"/>
            </w:pPr>
            <w:r>
              <w:t xml:space="preserve">This warrant, issued under the </w:t>
            </w:r>
            <w:r>
              <w:rPr>
                <w:i/>
                <w:iCs/>
              </w:rPr>
              <w:t>Western Australian Marine Act 1982</w:t>
            </w:r>
            <w:r>
              <w:t xml:space="preserve"> section 26, authorises you to enter the premises described below for the purposes of Part 2 of that Act and exercise the powers in Part 2 of that Act in relation to the premises.</w:t>
            </w:r>
          </w:p>
          <w:p>
            <w:pPr>
              <w:pStyle w:val="yTableNAm"/>
            </w:pPr>
            <w:r>
              <w:t xml:space="preserve">The kind of evidential material that may be searched for under this warrant is — </w:t>
            </w:r>
          </w:p>
          <w:p>
            <w:pPr>
              <w:pStyle w:val="yTableNAm"/>
            </w:pPr>
          </w:p>
          <w:p>
            <w:pPr>
              <w:pStyle w:val="yTableNAm"/>
            </w:pPr>
            <w:r>
              <w:t xml:space="preserve">Entry is authorised under this warrant during the following hours — </w:t>
            </w:r>
          </w:p>
          <w:p>
            <w:pPr>
              <w:pStyle w:val="yTableNAm"/>
            </w:pPr>
          </w:p>
        </w:tc>
      </w:tr>
      <w:tr>
        <w:trPr>
          <w:trHeight w:val="530"/>
        </w:trPr>
        <w:tc>
          <w:tcPr>
            <w:tcW w:w="1701" w:type="dxa"/>
            <w:noWrap/>
          </w:tcPr>
          <w:p>
            <w:pPr>
              <w:pStyle w:val="yTableNAm"/>
              <w:rPr>
                <w:b/>
                <w:bCs/>
              </w:rPr>
            </w:pPr>
            <w:r>
              <w:rPr>
                <w:b/>
                <w:bCs/>
              </w:rPr>
              <w:t>Premises to be entered</w:t>
            </w:r>
          </w:p>
        </w:tc>
        <w:tc>
          <w:tcPr>
            <w:tcW w:w="5212" w:type="dxa"/>
            <w:gridSpan w:val="6"/>
            <w:noWrap/>
          </w:tcPr>
          <w:p>
            <w:pPr>
              <w:pStyle w:val="yTableNAm"/>
            </w:pPr>
          </w:p>
        </w:tc>
      </w:tr>
      <w:tr>
        <w:tc>
          <w:tcPr>
            <w:tcW w:w="1701" w:type="dxa"/>
            <w:tcBorders>
              <w:bottom w:val="single" w:sz="4" w:space="0" w:color="auto"/>
            </w:tcBorders>
            <w:noWrap/>
          </w:tcPr>
          <w:p>
            <w:pPr>
              <w:pStyle w:val="yTableNAm"/>
              <w:rPr>
                <w:b/>
                <w:bCs/>
              </w:rPr>
            </w:pPr>
            <w:r>
              <w:rPr>
                <w:b/>
                <w:bCs/>
              </w:rPr>
              <w:lastRenderedPageBreak/>
              <w:t>When warrant ceases to be in force</w:t>
            </w:r>
          </w:p>
        </w:tc>
        <w:tc>
          <w:tcPr>
            <w:tcW w:w="5212" w:type="dxa"/>
            <w:gridSpan w:val="6"/>
            <w:tcBorders>
              <w:bottom w:val="single" w:sz="4" w:space="0" w:color="auto"/>
            </w:tcBorders>
            <w:noWrap/>
          </w:tcPr>
          <w:p>
            <w:pPr>
              <w:pStyle w:val="yTableNAm"/>
            </w:pPr>
            <w:r>
              <w:t xml:space="preserve">This warrant ceases to be in force on the following day — </w:t>
            </w:r>
          </w:p>
        </w:tc>
      </w:tr>
      <w:tr>
        <w:trPr>
          <w:trHeight w:val="222"/>
        </w:trPr>
        <w:tc>
          <w:tcPr>
            <w:tcW w:w="1701" w:type="dxa"/>
            <w:vMerge w:val="restart"/>
            <w:tcBorders>
              <w:bottom w:val="single" w:sz="4" w:space="0" w:color="auto"/>
            </w:tcBorders>
            <w:noWrap/>
          </w:tcPr>
          <w:p>
            <w:pPr>
              <w:pStyle w:val="yTableNAm"/>
              <w:rPr>
                <w:b/>
                <w:bCs/>
              </w:rPr>
            </w:pPr>
            <w:r>
              <w:rPr>
                <w:b/>
                <w:bCs/>
              </w:rPr>
              <w:t>Issuing details</w:t>
            </w:r>
          </w:p>
        </w:tc>
        <w:tc>
          <w:tcPr>
            <w:tcW w:w="1276" w:type="dxa"/>
            <w:gridSpan w:val="3"/>
            <w:tcBorders>
              <w:bottom w:val="single" w:sz="4" w:space="0" w:color="auto"/>
            </w:tcBorders>
            <w:noWrap/>
          </w:tcPr>
          <w:p>
            <w:pPr>
              <w:pStyle w:val="yTableNAm"/>
            </w:pPr>
            <w:r>
              <w:t>Name of magistrate</w:t>
            </w:r>
          </w:p>
        </w:tc>
        <w:tc>
          <w:tcPr>
            <w:tcW w:w="3936" w:type="dxa"/>
            <w:gridSpan w:val="3"/>
            <w:tcBorders>
              <w:bottom w:val="single" w:sz="4" w:space="0" w:color="auto"/>
            </w:tcBorders>
            <w:noWrap/>
          </w:tcPr>
          <w:p>
            <w:pPr>
              <w:pStyle w:val="yTableNAm"/>
            </w:pPr>
          </w:p>
        </w:tc>
      </w:tr>
      <w:tr>
        <w:trPr>
          <w:trHeight w:val="221"/>
        </w:trPr>
        <w:tc>
          <w:tcPr>
            <w:tcW w:w="1701" w:type="dxa"/>
            <w:vMerge/>
            <w:tcBorders>
              <w:bottom w:val="single" w:sz="4" w:space="0" w:color="auto"/>
            </w:tcBorders>
            <w:noWrap/>
          </w:tcPr>
          <w:p/>
        </w:tc>
        <w:tc>
          <w:tcPr>
            <w:tcW w:w="1276" w:type="dxa"/>
            <w:gridSpan w:val="3"/>
            <w:tcBorders>
              <w:bottom w:val="single" w:sz="4" w:space="0" w:color="auto"/>
            </w:tcBorders>
            <w:noWrap/>
          </w:tcPr>
          <w:p>
            <w:pPr>
              <w:pStyle w:val="yTableNAm"/>
            </w:pPr>
            <w:r>
              <w:t>Date</w:t>
            </w:r>
          </w:p>
        </w:tc>
        <w:tc>
          <w:tcPr>
            <w:tcW w:w="1843" w:type="dxa"/>
            <w:tcBorders>
              <w:bottom w:val="single" w:sz="4" w:space="0" w:color="auto"/>
            </w:tcBorders>
            <w:noWrap/>
          </w:tcPr>
          <w:p>
            <w:pPr>
              <w:pStyle w:val="yTableNAm"/>
            </w:pPr>
          </w:p>
        </w:tc>
        <w:tc>
          <w:tcPr>
            <w:tcW w:w="708" w:type="dxa"/>
            <w:tcBorders>
              <w:bottom w:val="single" w:sz="4" w:space="0" w:color="auto"/>
            </w:tcBorders>
            <w:noWrap/>
          </w:tcPr>
          <w:p>
            <w:pPr>
              <w:pStyle w:val="yTableNAm"/>
            </w:pPr>
            <w:r>
              <w:t>Time</w:t>
            </w:r>
          </w:p>
        </w:tc>
        <w:tc>
          <w:tcPr>
            <w:tcW w:w="1385" w:type="dxa"/>
            <w:tcBorders>
              <w:bottom w:val="single" w:sz="4" w:space="0" w:color="auto"/>
            </w:tcBorders>
            <w:noWrap/>
          </w:tcPr>
          <w:p>
            <w:pPr>
              <w:pStyle w:val="yTableNAm"/>
            </w:pPr>
          </w:p>
        </w:tc>
      </w:tr>
      <w:tr>
        <w:tc>
          <w:tcPr>
            <w:tcW w:w="1701" w:type="dxa"/>
            <w:tcBorders>
              <w:top w:val="single" w:sz="4" w:space="0" w:color="auto"/>
              <w:bottom w:val="single" w:sz="12" w:space="0" w:color="auto"/>
            </w:tcBorders>
            <w:noWrap/>
          </w:tcPr>
          <w:p>
            <w:pPr>
              <w:pStyle w:val="yTableNAm"/>
              <w:rPr>
                <w:b/>
                <w:bCs/>
              </w:rPr>
            </w:pPr>
            <w:r>
              <w:rPr>
                <w:b/>
                <w:bCs/>
              </w:rPr>
              <w:t>Magistrate’s signature</w:t>
            </w:r>
          </w:p>
        </w:tc>
        <w:tc>
          <w:tcPr>
            <w:tcW w:w="5212" w:type="dxa"/>
            <w:gridSpan w:val="6"/>
            <w:tcBorders>
              <w:top w:val="single" w:sz="4" w:space="0" w:color="auto"/>
              <w:bottom w:val="single" w:sz="12" w:space="0" w:color="auto"/>
            </w:tcBorders>
            <w:noWrap/>
          </w:tcPr>
          <w:p>
            <w:pPr>
              <w:pStyle w:val="yTableNAm"/>
            </w:pPr>
            <w:r>
              <w:t>Issued by me on the above date and at the above time.</w:t>
            </w:r>
          </w:p>
          <w:p>
            <w:pPr>
              <w:pStyle w:val="yTableNAm"/>
            </w:pPr>
          </w:p>
          <w:p>
            <w:pPr>
              <w:pStyle w:val="yTableNAm"/>
            </w:pPr>
            <w:r>
              <w:t>Magistrate</w:t>
            </w:r>
          </w:p>
        </w:tc>
      </w:tr>
      <w:tr>
        <w:trPr>
          <w:trHeight w:val="292"/>
        </w:trPr>
        <w:tc>
          <w:tcPr>
            <w:tcW w:w="1701" w:type="dxa"/>
            <w:vMerge w:val="restart"/>
            <w:noWrap/>
          </w:tcPr>
          <w:p>
            <w:pPr>
              <w:pStyle w:val="yTableNAm"/>
              <w:rPr>
                <w:b/>
                <w:bCs/>
              </w:rPr>
            </w:pPr>
            <w:r>
              <w:rPr>
                <w:b/>
                <w:bCs/>
              </w:rPr>
              <w:t>Execution details</w:t>
            </w:r>
          </w:p>
        </w:tc>
        <w:tc>
          <w:tcPr>
            <w:tcW w:w="790" w:type="dxa"/>
            <w:tcBorders>
              <w:bottom w:val="single" w:sz="4" w:space="0" w:color="auto"/>
            </w:tcBorders>
            <w:noWrap/>
          </w:tcPr>
          <w:p>
            <w:pPr>
              <w:pStyle w:val="yTableNAm"/>
            </w:pPr>
            <w:r>
              <w:t>Start</w:t>
            </w:r>
          </w:p>
        </w:tc>
        <w:tc>
          <w:tcPr>
            <w:tcW w:w="4422" w:type="dxa"/>
            <w:gridSpan w:val="5"/>
            <w:tcBorders>
              <w:bottom w:val="single" w:sz="4" w:space="0" w:color="auto"/>
            </w:tcBorders>
            <w:noWrap/>
          </w:tcPr>
          <w:p>
            <w:pPr>
              <w:pStyle w:val="yTableNAm"/>
              <w:tabs>
                <w:tab w:val="clear" w:pos="567"/>
                <w:tab w:val="left" w:pos="2351"/>
              </w:tabs>
            </w:pPr>
            <w:r>
              <w:t>Date:</w:t>
            </w:r>
            <w:r>
              <w:tab/>
              <w:t>Time:</w:t>
            </w:r>
          </w:p>
        </w:tc>
      </w:tr>
      <w:tr>
        <w:trPr>
          <w:trHeight w:val="210"/>
        </w:trPr>
        <w:tc>
          <w:tcPr>
            <w:tcW w:w="1701" w:type="dxa"/>
            <w:vMerge/>
            <w:noWrap/>
          </w:tcPr>
          <w:p/>
        </w:tc>
        <w:tc>
          <w:tcPr>
            <w:tcW w:w="790" w:type="dxa"/>
            <w:tcBorders>
              <w:bottom w:val="single" w:sz="4" w:space="0" w:color="auto"/>
            </w:tcBorders>
            <w:noWrap/>
          </w:tcPr>
          <w:p>
            <w:pPr>
              <w:pStyle w:val="yTableNAm"/>
            </w:pPr>
            <w:r>
              <w:t>End</w:t>
            </w:r>
          </w:p>
        </w:tc>
        <w:tc>
          <w:tcPr>
            <w:tcW w:w="4422" w:type="dxa"/>
            <w:gridSpan w:val="5"/>
            <w:tcBorders>
              <w:bottom w:val="single" w:sz="4" w:space="0" w:color="auto"/>
            </w:tcBorders>
          </w:tcPr>
          <w:p>
            <w:pPr>
              <w:pStyle w:val="yTableNAm"/>
              <w:tabs>
                <w:tab w:val="clear" w:pos="567"/>
                <w:tab w:val="left" w:pos="2351"/>
              </w:tabs>
            </w:pPr>
            <w:r>
              <w:t>Date:</w:t>
            </w:r>
            <w:r>
              <w:tab/>
              <w:t>Time:</w:t>
            </w:r>
          </w:p>
        </w:tc>
      </w:tr>
      <w:tr>
        <w:trPr>
          <w:trHeight w:val="210"/>
        </w:trPr>
        <w:tc>
          <w:tcPr>
            <w:tcW w:w="1701" w:type="dxa"/>
            <w:vMerge/>
            <w:tcBorders>
              <w:bottom w:val="single" w:sz="4" w:space="0" w:color="auto"/>
            </w:tcBorders>
            <w:noWrap/>
          </w:tcPr>
          <w:p/>
        </w:tc>
        <w:tc>
          <w:tcPr>
            <w:tcW w:w="5212" w:type="dxa"/>
            <w:gridSpan w:val="6"/>
            <w:tcBorders>
              <w:bottom w:val="single" w:sz="4" w:space="0" w:color="auto"/>
            </w:tcBorders>
            <w:noWrap/>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bCs/>
              </w:rPr>
            </w:pPr>
            <w:r>
              <w:rPr>
                <w:b/>
                <w:bCs/>
              </w:rPr>
              <w:t>Official details of inspector who executed this warrant</w:t>
            </w:r>
          </w:p>
        </w:tc>
        <w:tc>
          <w:tcPr>
            <w:tcW w:w="992" w:type="dxa"/>
            <w:gridSpan w:val="2"/>
            <w:tcBorders>
              <w:bottom w:val="single" w:sz="4" w:space="0" w:color="auto"/>
              <w:right w:val="nil"/>
            </w:tcBorders>
            <w:noWrap/>
          </w:tcPr>
          <w:p>
            <w:pPr>
              <w:pStyle w:val="yTableNAm"/>
            </w:pPr>
          </w:p>
        </w:tc>
        <w:tc>
          <w:tcPr>
            <w:tcW w:w="4220" w:type="dxa"/>
            <w:gridSpan w:val="4"/>
            <w:tcBorders>
              <w:left w:val="nil"/>
              <w:bottom w:val="single" w:sz="4" w:space="0" w:color="auto"/>
            </w:tcBorders>
            <w:noWrap/>
          </w:tcPr>
          <w:p>
            <w:pPr>
              <w:pStyle w:val="yTableNAm"/>
            </w:pPr>
          </w:p>
        </w:tc>
      </w:tr>
    </w:tbl>
    <w:p>
      <w:pPr>
        <w:pStyle w:val="yFootnotesection"/>
      </w:pPr>
      <w:r>
        <w:tab/>
        <w:t>[Form 4 inserted: SL 2023/204 r. 6.]</w:t>
      </w:r>
    </w:p>
    <w:p>
      <w:pPr>
        <w:pStyle w:val="yMiscellaneousHeading"/>
        <w:pageBreakBefore/>
        <w:spacing w:before="240" w:after="160"/>
      </w:pPr>
      <w:r>
        <w:rPr>
          <w:rStyle w:val="CharSClsNo"/>
          <w:b/>
        </w:rPr>
        <w:lastRenderedPageBreak/>
        <w:t>Form 5</w:t>
      </w:r>
    </w:p>
    <w:p>
      <w:pPr>
        <w:pStyle w:val="yMiscellaneousHeading"/>
        <w:rPr>
          <w:b/>
          <w:bCs/>
        </w:rPr>
      </w:pPr>
      <w:r>
        <w:rPr>
          <w:b/>
          <w:bCs/>
        </w:rPr>
        <w:t>ORDER TO PRODUCE</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215"/>
        <w:gridCol w:w="61"/>
        <w:gridCol w:w="1330"/>
        <w:gridCol w:w="513"/>
        <w:gridCol w:w="708"/>
        <w:gridCol w:w="1385"/>
      </w:tblGrid>
      <w:tr>
        <w:tc>
          <w:tcPr>
            <w:tcW w:w="6913" w:type="dxa"/>
            <w:gridSpan w:val="7"/>
            <w:tcBorders>
              <w:bottom w:val="nil"/>
            </w:tcBorders>
            <w:noWrap/>
            <w:vAlign w:val="center"/>
          </w:tcPr>
          <w:p>
            <w:pPr>
              <w:pStyle w:val="yTableNAm"/>
              <w:jc w:val="center"/>
              <w:rPr>
                <w:i/>
                <w:iCs/>
              </w:rPr>
            </w:pPr>
            <w:r>
              <w:rPr>
                <w:i/>
                <w:iCs/>
              </w:rPr>
              <w:t>Western Australian Marine Act 1982</w:t>
            </w:r>
          </w:p>
          <w:p>
            <w:pPr>
              <w:pStyle w:val="yTableNAm"/>
              <w:jc w:val="center"/>
              <w:rPr>
                <w:b/>
                <w:szCs w:val="22"/>
              </w:rPr>
            </w:pPr>
            <w:r>
              <w:rPr>
                <w:b/>
                <w:szCs w:val="22"/>
              </w:rPr>
              <w:t>Order to produce business record</w:t>
            </w:r>
          </w:p>
        </w:tc>
      </w:tr>
      <w:tr>
        <w:tc>
          <w:tcPr>
            <w:tcW w:w="1701" w:type="dxa"/>
            <w:noWrap/>
          </w:tcPr>
          <w:p>
            <w:pPr>
              <w:pStyle w:val="yTableNAm"/>
            </w:pPr>
            <w:r>
              <w:rPr>
                <w:b/>
                <w:bCs/>
              </w:rPr>
              <w:t>To</w:t>
            </w:r>
          </w:p>
        </w:tc>
        <w:tc>
          <w:tcPr>
            <w:tcW w:w="5212" w:type="dxa"/>
            <w:gridSpan w:val="6"/>
            <w:shd w:val="clear" w:color="auto" w:fill="auto"/>
            <w:noWrap/>
            <w:vAlign w:val="center"/>
          </w:tcPr>
          <w:p>
            <w:pPr>
              <w:pStyle w:val="yTableNAm"/>
            </w:pPr>
          </w:p>
        </w:tc>
      </w:tr>
      <w:tr>
        <w:tc>
          <w:tcPr>
            <w:tcW w:w="1701" w:type="dxa"/>
            <w:tcBorders>
              <w:bottom w:val="single" w:sz="4" w:space="0" w:color="auto"/>
            </w:tcBorders>
            <w:noWrap/>
          </w:tcPr>
          <w:p>
            <w:pPr>
              <w:pStyle w:val="yTableNAm"/>
              <w:rPr>
                <w:b/>
                <w:bCs/>
              </w:rPr>
            </w:pPr>
            <w:r>
              <w:rPr>
                <w:b/>
                <w:bCs/>
              </w:rPr>
              <w:t>Application</w:t>
            </w:r>
          </w:p>
        </w:tc>
        <w:tc>
          <w:tcPr>
            <w:tcW w:w="5212" w:type="dxa"/>
            <w:gridSpan w:val="6"/>
            <w:tcBorders>
              <w:bottom w:val="single" w:sz="4" w:space="0" w:color="auto"/>
            </w:tcBorders>
            <w:noWrap/>
            <w:vAlign w:val="center"/>
          </w:tcPr>
          <w:p>
            <w:pPr>
              <w:pStyle w:val="yTableNAm"/>
            </w:pPr>
            <w:r>
              <w:t xml:space="preserve">The applicant has applied under the </w:t>
            </w:r>
            <w:r>
              <w:rPr>
                <w:i/>
              </w:rPr>
              <w:t>Western Australian Marine Act 1982</w:t>
            </w:r>
            <w:r>
              <w:t xml:space="preserve"> s. 18C to me, a Justice of the Peace, for an order to produce a business record.</w:t>
            </w:r>
          </w:p>
        </w:tc>
      </w:tr>
      <w:tr>
        <w:trPr>
          <w:trHeight w:val="467"/>
        </w:trPr>
        <w:tc>
          <w:tcPr>
            <w:tcW w:w="1701" w:type="dxa"/>
            <w:tcBorders>
              <w:bottom w:val="single" w:sz="4" w:space="0" w:color="auto"/>
            </w:tcBorders>
            <w:noWrap/>
          </w:tcPr>
          <w:p>
            <w:pPr>
              <w:pStyle w:val="yTableNAm"/>
              <w:rPr>
                <w:b/>
                <w:bCs/>
              </w:rPr>
            </w:pPr>
            <w:r>
              <w:rPr>
                <w:b/>
                <w:bCs/>
              </w:rPr>
              <w:t>Official details of applicant</w:t>
            </w:r>
          </w:p>
        </w:tc>
        <w:tc>
          <w:tcPr>
            <w:tcW w:w="5212" w:type="dxa"/>
            <w:gridSpan w:val="6"/>
            <w:tcBorders>
              <w:bottom w:val="single" w:sz="4" w:space="0" w:color="auto"/>
            </w:tcBorders>
            <w:noWrap/>
            <w:vAlign w:val="center"/>
          </w:tcPr>
          <w:p>
            <w:pPr>
              <w:pStyle w:val="yTableNAm"/>
            </w:pPr>
          </w:p>
        </w:tc>
      </w:tr>
      <w:tr>
        <w:trPr>
          <w:trHeight w:val="221"/>
        </w:trPr>
        <w:tc>
          <w:tcPr>
            <w:tcW w:w="1701" w:type="dxa"/>
            <w:vMerge w:val="restart"/>
            <w:noWrap/>
          </w:tcPr>
          <w:p>
            <w:pPr>
              <w:pStyle w:val="yTableNAm"/>
              <w:rPr>
                <w:b/>
                <w:bCs/>
              </w:rPr>
            </w:pPr>
            <w:r>
              <w:rPr>
                <w:b/>
                <w:bCs/>
              </w:rPr>
              <w:t>Business records to be produced</w:t>
            </w:r>
          </w:p>
        </w:tc>
        <w:tc>
          <w:tcPr>
            <w:tcW w:w="2606" w:type="dxa"/>
            <w:gridSpan w:val="3"/>
            <w:noWrap/>
            <w:vAlign w:val="center"/>
          </w:tcPr>
          <w:p>
            <w:pPr>
              <w:pStyle w:val="yTableNAm"/>
            </w:pPr>
            <w:r>
              <w:t>Description of records</w:t>
            </w:r>
          </w:p>
        </w:tc>
        <w:tc>
          <w:tcPr>
            <w:tcW w:w="2606" w:type="dxa"/>
            <w:gridSpan w:val="3"/>
            <w:vAlign w:val="center"/>
          </w:tcPr>
          <w:p>
            <w:pPr>
              <w:pStyle w:val="yTableNAm"/>
            </w:pPr>
            <w:r>
              <w:t>Version to be produced</w:t>
            </w:r>
          </w:p>
        </w:tc>
      </w:tr>
      <w:tr>
        <w:trPr>
          <w:trHeight w:val="221"/>
        </w:trPr>
        <w:tc>
          <w:tcPr>
            <w:tcW w:w="1701" w:type="dxa"/>
            <w:vMerge/>
            <w:noWrap/>
          </w:tcPr>
          <w:p/>
        </w:tc>
        <w:tc>
          <w:tcPr>
            <w:tcW w:w="2606" w:type="dxa"/>
            <w:gridSpan w:val="3"/>
            <w:noWrap/>
            <w:vAlign w:val="center"/>
          </w:tcPr>
          <w:p>
            <w:pPr>
              <w:pStyle w:val="yTableNAm"/>
            </w:pPr>
          </w:p>
        </w:tc>
        <w:tc>
          <w:tcPr>
            <w:tcW w:w="2606" w:type="dxa"/>
            <w:gridSpan w:val="3"/>
            <w:vAlign w:val="center"/>
          </w:tcPr>
          <w:p>
            <w:pPr>
              <w:pStyle w:val="yTableNAm"/>
            </w:pPr>
          </w:p>
        </w:tc>
      </w:tr>
      <w:tr>
        <w:trPr>
          <w:trHeight w:val="221"/>
        </w:trPr>
        <w:tc>
          <w:tcPr>
            <w:tcW w:w="1701" w:type="dxa"/>
            <w:vMerge/>
            <w:noWrap/>
          </w:tcPr>
          <w:p/>
        </w:tc>
        <w:tc>
          <w:tcPr>
            <w:tcW w:w="2606" w:type="dxa"/>
            <w:gridSpan w:val="3"/>
            <w:noWrap/>
            <w:vAlign w:val="center"/>
          </w:tcPr>
          <w:p>
            <w:pPr>
              <w:pStyle w:val="yTableNAm"/>
            </w:pPr>
          </w:p>
        </w:tc>
        <w:tc>
          <w:tcPr>
            <w:tcW w:w="2606" w:type="dxa"/>
            <w:gridSpan w:val="3"/>
            <w:vAlign w:val="center"/>
          </w:tcPr>
          <w:p>
            <w:pPr>
              <w:pStyle w:val="yTableNAm"/>
            </w:pPr>
          </w:p>
        </w:tc>
      </w:tr>
      <w:tr>
        <w:tc>
          <w:tcPr>
            <w:tcW w:w="1701" w:type="dxa"/>
            <w:noWrap/>
          </w:tcPr>
          <w:p>
            <w:pPr>
              <w:pStyle w:val="yTableNAm"/>
              <w:rPr>
                <w:b/>
                <w:bCs/>
              </w:rPr>
            </w:pPr>
            <w:r>
              <w:rPr>
                <w:b/>
                <w:bCs/>
              </w:rPr>
              <w:t>Order</w:t>
            </w:r>
          </w:p>
        </w:tc>
        <w:tc>
          <w:tcPr>
            <w:tcW w:w="5212" w:type="dxa"/>
            <w:gridSpan w:val="6"/>
            <w:noWrap/>
            <w:vAlign w:val="center"/>
          </w:tcPr>
          <w:p>
            <w:pPr>
              <w:pStyle w:val="yTableNAm"/>
            </w:pPr>
            <w:r>
              <w:t>You are ordered to produce the version of the record or records described above at the place described below on or before [</w:t>
            </w:r>
            <w:r>
              <w:rPr>
                <w:i/>
                <w:iCs/>
              </w:rPr>
              <w:t>date</w:t>
            </w:r>
            <w:r>
              <w:t>].</w:t>
            </w:r>
          </w:p>
          <w:p>
            <w:pPr>
              <w:pStyle w:val="yTableNAm"/>
            </w:pPr>
          </w:p>
        </w:tc>
      </w:tr>
      <w:tr>
        <w:trPr>
          <w:trHeight w:val="530"/>
        </w:trPr>
        <w:tc>
          <w:tcPr>
            <w:tcW w:w="1701" w:type="dxa"/>
            <w:noWrap/>
          </w:tcPr>
          <w:p>
            <w:pPr>
              <w:pStyle w:val="yTableNAm"/>
              <w:rPr>
                <w:b/>
                <w:bCs/>
              </w:rPr>
            </w:pPr>
            <w:r>
              <w:rPr>
                <w:b/>
                <w:bCs/>
              </w:rPr>
              <w:t>Warning</w:t>
            </w:r>
          </w:p>
        </w:tc>
        <w:tc>
          <w:tcPr>
            <w:tcW w:w="5212" w:type="dxa"/>
            <w:gridSpan w:val="6"/>
            <w:noWrap/>
            <w:vAlign w:val="center"/>
          </w:tcPr>
          <w:p>
            <w:pPr>
              <w:pStyle w:val="yTableNAm"/>
              <w:rPr>
                <w:b/>
                <w:bCs/>
              </w:rPr>
            </w:pPr>
            <w:r>
              <w:rPr>
                <w:b/>
                <w:bCs/>
              </w:rPr>
              <w:t>It is an offence not to obey this order without a reasonable excuse.</w:t>
            </w:r>
          </w:p>
        </w:tc>
      </w:tr>
      <w:tr>
        <w:tc>
          <w:tcPr>
            <w:tcW w:w="1701" w:type="dxa"/>
            <w:tcBorders>
              <w:bottom w:val="single" w:sz="4" w:space="0" w:color="auto"/>
            </w:tcBorders>
            <w:noWrap/>
          </w:tcPr>
          <w:p>
            <w:pPr>
              <w:pStyle w:val="yTableNAm"/>
              <w:rPr>
                <w:b/>
                <w:bCs/>
              </w:rPr>
            </w:pPr>
            <w:r>
              <w:rPr>
                <w:b/>
                <w:bCs/>
              </w:rPr>
              <w:t>Where records to be produced</w:t>
            </w:r>
          </w:p>
          <w:p/>
        </w:tc>
        <w:tc>
          <w:tcPr>
            <w:tcW w:w="5212" w:type="dxa"/>
            <w:gridSpan w:val="6"/>
            <w:tcBorders>
              <w:bottom w:val="single" w:sz="4" w:space="0" w:color="auto"/>
            </w:tcBorders>
            <w:noWrap/>
            <w:vAlign w:val="center"/>
          </w:tcPr>
          <w:p>
            <w:pPr>
              <w:pStyle w:val="yTableNAm"/>
            </w:pPr>
          </w:p>
        </w:tc>
      </w:tr>
      <w:tr>
        <w:trPr>
          <w:trHeight w:val="222"/>
        </w:trPr>
        <w:tc>
          <w:tcPr>
            <w:tcW w:w="1701" w:type="dxa"/>
            <w:vMerge w:val="restart"/>
            <w:tcBorders>
              <w:bottom w:val="single" w:sz="4" w:space="0" w:color="auto"/>
            </w:tcBorders>
            <w:noWrap/>
          </w:tcPr>
          <w:p>
            <w:pPr>
              <w:pStyle w:val="yTableNAm"/>
              <w:rPr>
                <w:b/>
                <w:bCs/>
              </w:rPr>
            </w:pPr>
            <w:r>
              <w:rPr>
                <w:b/>
                <w:bCs/>
              </w:rPr>
              <w:t>Issuing details</w:t>
            </w:r>
          </w:p>
        </w:tc>
        <w:tc>
          <w:tcPr>
            <w:tcW w:w="1276" w:type="dxa"/>
            <w:gridSpan w:val="2"/>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tc>
        <w:tc>
          <w:tcPr>
            <w:tcW w:w="1276" w:type="dxa"/>
            <w:gridSpan w:val="2"/>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4" w:space="0" w:color="auto"/>
            </w:tcBorders>
            <w:noWrap/>
          </w:tcPr>
          <w:p>
            <w:pPr>
              <w:pStyle w:val="yTableNAm"/>
              <w:keepNext/>
              <w:rPr>
                <w:b/>
                <w:bCs/>
              </w:rPr>
            </w:pPr>
            <w:r>
              <w:rPr>
                <w:b/>
                <w:bCs/>
              </w:rPr>
              <w:t>JP’s signature</w:t>
            </w:r>
          </w:p>
        </w:tc>
        <w:tc>
          <w:tcPr>
            <w:tcW w:w="5212" w:type="dxa"/>
            <w:gridSpan w:val="6"/>
            <w:tcBorders>
              <w:top w:val="single" w:sz="4" w:space="0" w:color="auto"/>
              <w:bottom w:val="single" w:sz="4" w:space="0" w:color="auto"/>
            </w:tcBorders>
            <w:noWrap/>
            <w:vAlign w:val="center"/>
          </w:tcPr>
          <w:p>
            <w:pPr>
              <w:pStyle w:val="yTableNAm"/>
              <w:keepNext/>
            </w:pPr>
            <w:r>
              <w:t>Issued by me on the above date and at the above time.</w:t>
            </w:r>
          </w:p>
          <w:p>
            <w:pPr>
              <w:pStyle w:val="yTableNAm"/>
              <w:keepNext/>
            </w:pPr>
          </w:p>
          <w:p>
            <w:pPr>
              <w:pStyle w:val="yTableNAm"/>
              <w:keepNext/>
            </w:pPr>
            <w:r>
              <w:t>Justice of the Peace</w:t>
            </w:r>
          </w:p>
        </w:tc>
      </w:tr>
      <w:tr>
        <w:trPr>
          <w:trHeight w:val="421"/>
        </w:trPr>
        <w:tc>
          <w:tcPr>
            <w:tcW w:w="1701" w:type="dxa"/>
            <w:tcBorders>
              <w:top w:val="single" w:sz="4" w:space="0" w:color="auto"/>
              <w:bottom w:val="single" w:sz="4" w:space="0" w:color="auto"/>
            </w:tcBorders>
            <w:noWrap/>
          </w:tcPr>
          <w:p>
            <w:pPr>
              <w:pStyle w:val="yTableNAm"/>
              <w:rPr>
                <w:b/>
                <w:bCs/>
              </w:rPr>
            </w:pPr>
            <w:r>
              <w:rPr>
                <w:b/>
                <w:bCs/>
              </w:rPr>
              <w:t>Service details</w:t>
            </w:r>
          </w:p>
        </w:tc>
        <w:tc>
          <w:tcPr>
            <w:tcW w:w="5212" w:type="dxa"/>
            <w:gridSpan w:val="6"/>
            <w:tcBorders>
              <w:top w:val="single" w:sz="4" w:space="0" w:color="auto"/>
              <w:bottom w:val="single" w:sz="4" w:space="0" w:color="auto"/>
            </w:tcBorders>
            <w:noWrap/>
            <w:vAlign w:val="center"/>
          </w:tcPr>
          <w:p>
            <w:pPr>
              <w:pStyle w:val="yTableNAm"/>
            </w:pPr>
            <w:r>
              <w:t>On [</w:t>
            </w:r>
            <w:r>
              <w:rPr>
                <w:i/>
                <w:iCs/>
              </w:rPr>
              <w:t>date</w:t>
            </w:r>
            <w:r>
              <w:t>] I served a copy of this order on the person to whom it is addressed by:</w:t>
            </w:r>
          </w:p>
          <w:p>
            <w:pPr>
              <w:pStyle w:val="yTableNAm"/>
            </w:pPr>
          </w:p>
          <w:p>
            <w:pPr>
              <w:pStyle w:val="yTableNAm"/>
            </w:pPr>
          </w:p>
          <w:p>
            <w:pPr>
              <w:pStyle w:val="yTableNAm"/>
            </w:pPr>
          </w:p>
          <w:p>
            <w:pPr>
              <w:pStyle w:val="yTableNAm"/>
            </w:pPr>
            <w:r>
              <w:t>Signature of server</w:t>
            </w:r>
          </w:p>
        </w:tc>
      </w:tr>
      <w:tr>
        <w:trPr>
          <w:trHeight w:val="421"/>
        </w:trPr>
        <w:tc>
          <w:tcPr>
            <w:tcW w:w="1701" w:type="dxa"/>
            <w:vMerge w:val="restart"/>
            <w:tcBorders>
              <w:top w:val="single" w:sz="4" w:space="0" w:color="auto"/>
              <w:left w:val="single" w:sz="4" w:space="0" w:color="auto"/>
              <w:bottom w:val="single" w:sz="4" w:space="0" w:color="auto"/>
              <w:right w:val="single" w:sz="4" w:space="0" w:color="auto"/>
            </w:tcBorders>
            <w:noWrap/>
          </w:tcPr>
          <w:p>
            <w:pPr>
              <w:pStyle w:val="yTableNAm"/>
              <w:rPr>
                <w:b/>
                <w:bCs/>
              </w:rPr>
            </w:pPr>
            <w:r>
              <w:rPr>
                <w:b/>
                <w:bCs/>
              </w:rPr>
              <w:lastRenderedPageBreak/>
              <w:t>Server’s details</w:t>
            </w:r>
          </w:p>
        </w:tc>
        <w:tc>
          <w:tcPr>
            <w:tcW w:w="1215" w:type="dxa"/>
            <w:tcBorders>
              <w:top w:val="single" w:sz="4" w:space="0" w:color="auto"/>
              <w:left w:val="single" w:sz="4" w:space="0" w:color="auto"/>
              <w:bottom w:val="single" w:sz="4" w:space="0" w:color="auto"/>
              <w:right w:val="single" w:sz="4" w:space="0" w:color="auto"/>
            </w:tcBorders>
            <w:noWrap/>
            <w:vAlign w:val="center"/>
          </w:tcPr>
          <w:p>
            <w:pPr>
              <w:pStyle w:val="yTableNAm"/>
            </w:pPr>
            <w:r>
              <w:t>Name</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pPr>
              <w:pStyle w:val="yTableNAm"/>
            </w:pPr>
          </w:p>
        </w:tc>
      </w:tr>
      <w:tr>
        <w:trPr>
          <w:trHeight w:val="421"/>
        </w:trPr>
        <w:tc>
          <w:tcPr>
            <w:tcW w:w="1701" w:type="dxa"/>
            <w:vMerge/>
            <w:tcBorders>
              <w:top w:val="single" w:sz="12" w:space="0" w:color="auto"/>
              <w:left w:val="single" w:sz="4" w:space="0" w:color="auto"/>
              <w:bottom w:val="single" w:sz="4" w:space="0" w:color="auto"/>
              <w:right w:val="single" w:sz="4" w:space="0" w:color="auto"/>
            </w:tcBorders>
            <w:noWrap/>
          </w:tcPr>
          <w:p/>
        </w:tc>
        <w:tc>
          <w:tcPr>
            <w:tcW w:w="1215" w:type="dxa"/>
            <w:tcBorders>
              <w:top w:val="single" w:sz="4" w:space="0" w:color="auto"/>
              <w:left w:val="single" w:sz="4" w:space="0" w:color="auto"/>
              <w:bottom w:val="single" w:sz="4" w:space="0" w:color="auto"/>
              <w:right w:val="single" w:sz="4" w:space="0" w:color="auto"/>
            </w:tcBorders>
            <w:noWrap/>
            <w:vAlign w:val="center"/>
          </w:tcPr>
          <w:p>
            <w:pPr>
              <w:pStyle w:val="yTableNAm"/>
            </w:pPr>
            <w:r>
              <w:t>Contact details</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pPr>
              <w:pStyle w:val="yTableNAm"/>
            </w:pPr>
          </w:p>
        </w:tc>
      </w:tr>
    </w:tbl>
    <w:p>
      <w:pPr>
        <w:pStyle w:val="yFootnotesection"/>
      </w:pPr>
      <w:r>
        <w:tab/>
        <w:t>[Form 5 inserted: SL 2024/62 r. 8.]</w:t>
      </w:r>
    </w:p>
    <w:p>
      <w:pPr>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80" w:name="_Toc196395538"/>
      <w:bookmarkStart w:id="181" w:name="_Toc196396691"/>
      <w:bookmarkStart w:id="182" w:name="_Toc196399907"/>
      <w:r>
        <w:rPr>
          <w:rStyle w:val="CharSchNo"/>
        </w:rPr>
        <w:lastRenderedPageBreak/>
        <w:t>Schedule 2</w:t>
      </w:r>
      <w:r>
        <w:t> — </w:t>
      </w:r>
      <w:r>
        <w:rPr>
          <w:rStyle w:val="CharSchText"/>
        </w:rPr>
        <w:t>Classes of things that are and are not vessels</w:t>
      </w:r>
      <w:bookmarkEnd w:id="180"/>
      <w:bookmarkEnd w:id="181"/>
      <w:bookmarkEnd w:id="182"/>
    </w:p>
    <w:p>
      <w:pPr>
        <w:pStyle w:val="yShoulderClause"/>
      </w:pPr>
      <w:r>
        <w:t>[r. 2(2)]</w:t>
      </w:r>
    </w:p>
    <w:p>
      <w:pPr>
        <w:pStyle w:val="yFootnoteheading"/>
      </w:pPr>
      <w:r>
        <w:tab/>
        <w:t>[Heading inserted: SL 2024/191 r. 40.]</w:t>
      </w:r>
    </w:p>
    <w:p>
      <w:pPr>
        <w:pStyle w:val="yHeading3"/>
      </w:pPr>
      <w:bookmarkStart w:id="183" w:name="_Toc196395539"/>
      <w:bookmarkStart w:id="184" w:name="_Toc196396692"/>
      <w:bookmarkStart w:id="185" w:name="_Toc196399908"/>
      <w:r>
        <w:rPr>
          <w:rStyle w:val="CharSDivNo"/>
        </w:rPr>
        <w:t>Division 1</w:t>
      </w:r>
      <w:r>
        <w:t> — </w:t>
      </w:r>
      <w:r>
        <w:rPr>
          <w:rStyle w:val="CharSDivText"/>
        </w:rPr>
        <w:t>Classes of things that are vessels</w:t>
      </w:r>
      <w:bookmarkEnd w:id="183"/>
      <w:bookmarkEnd w:id="184"/>
      <w:bookmarkEnd w:id="185"/>
    </w:p>
    <w:p>
      <w:pPr>
        <w:pStyle w:val="yFootnoteheading"/>
        <w:spacing w:after="60"/>
      </w:pPr>
      <w:r>
        <w:tab/>
        <w:t>[Heading inserted: SL 2024/191 r. 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5641"/>
      </w:tblGrid>
      <w:tr>
        <w:trPr>
          <w:tblHeader/>
        </w:trPr>
        <w:tc>
          <w:tcPr>
            <w:tcW w:w="1163" w:type="dxa"/>
          </w:tcPr>
          <w:p>
            <w:pPr>
              <w:pStyle w:val="yTableNAm"/>
              <w:jc w:val="center"/>
              <w:rPr>
                <w:b/>
                <w:bCs/>
              </w:rPr>
            </w:pPr>
            <w:r>
              <w:rPr>
                <w:b/>
                <w:bCs/>
              </w:rPr>
              <w:t>Item</w:t>
            </w:r>
          </w:p>
        </w:tc>
        <w:tc>
          <w:tcPr>
            <w:tcW w:w="5641" w:type="dxa"/>
          </w:tcPr>
          <w:p>
            <w:pPr>
              <w:pStyle w:val="yTableNAm"/>
              <w:jc w:val="center"/>
              <w:rPr>
                <w:b/>
                <w:bCs/>
              </w:rPr>
            </w:pPr>
            <w:r>
              <w:rPr>
                <w:b/>
                <w:bCs/>
              </w:rPr>
              <w:t>Classes of things that are vessels</w:t>
            </w:r>
          </w:p>
        </w:tc>
      </w:tr>
      <w:tr>
        <w:tc>
          <w:tcPr>
            <w:tcW w:w="1163" w:type="dxa"/>
          </w:tcPr>
          <w:p>
            <w:pPr>
              <w:pStyle w:val="yTableNAm"/>
            </w:pPr>
            <w:r>
              <w:t>1.</w:t>
            </w:r>
          </w:p>
        </w:tc>
        <w:tc>
          <w:tcPr>
            <w:tcW w:w="5641" w:type="dxa"/>
          </w:tcPr>
          <w:p>
            <w:pPr>
              <w:pStyle w:val="yTableNAm"/>
            </w:pPr>
            <w:r>
              <w:t xml:space="preserve">Boats, including the following — </w:t>
            </w:r>
          </w:p>
          <w:p>
            <w:pPr>
              <w:pStyle w:val="yTableNAm"/>
              <w:tabs>
                <w:tab w:val="clear" w:pos="567"/>
                <w:tab w:val="left" w:pos="364"/>
              </w:tabs>
            </w:pPr>
            <w:r>
              <w:t>(a)</w:t>
            </w:r>
            <w:r>
              <w:tab/>
              <w:t>dinghies;</w:t>
            </w:r>
          </w:p>
          <w:p>
            <w:pPr>
              <w:pStyle w:val="yTableNAm"/>
              <w:tabs>
                <w:tab w:val="clear" w:pos="567"/>
                <w:tab w:val="left" w:pos="364"/>
              </w:tabs>
            </w:pPr>
            <w:r>
              <w:t>(b)</w:t>
            </w:r>
            <w:r>
              <w:tab/>
              <w:t>aluminium boats (tinnies);</w:t>
            </w:r>
          </w:p>
          <w:p>
            <w:pPr>
              <w:pStyle w:val="yTableNAm"/>
              <w:tabs>
                <w:tab w:val="clear" w:pos="567"/>
                <w:tab w:val="left" w:pos="364"/>
              </w:tabs>
            </w:pPr>
            <w:r>
              <w:t>(c)</w:t>
            </w:r>
            <w:r>
              <w:tab/>
              <w:t>inflatable boats;</w:t>
            </w:r>
          </w:p>
          <w:p>
            <w:pPr>
              <w:pStyle w:val="yTableNAm"/>
              <w:tabs>
                <w:tab w:val="clear" w:pos="567"/>
                <w:tab w:val="left" w:pos="364"/>
              </w:tabs>
            </w:pPr>
            <w:r>
              <w:t>(d)</w:t>
            </w:r>
            <w:r>
              <w:tab/>
              <w:t>hydrofoil boats;</w:t>
            </w:r>
          </w:p>
          <w:p>
            <w:pPr>
              <w:pStyle w:val="yTableNAm"/>
              <w:tabs>
                <w:tab w:val="clear" w:pos="567"/>
                <w:tab w:val="left" w:pos="364"/>
              </w:tabs>
            </w:pPr>
            <w:r>
              <w:t>(e)</w:t>
            </w:r>
            <w:r>
              <w:tab/>
              <w:t>jet boats;</w:t>
            </w:r>
          </w:p>
          <w:p>
            <w:pPr>
              <w:pStyle w:val="yTableNAm"/>
              <w:tabs>
                <w:tab w:val="clear" w:pos="567"/>
                <w:tab w:val="left" w:pos="364"/>
              </w:tabs>
            </w:pPr>
            <w:r>
              <w:t>(f)</w:t>
            </w:r>
            <w:r>
              <w:tab/>
              <w:t>mini jet boats.</w:t>
            </w:r>
          </w:p>
        </w:tc>
      </w:tr>
      <w:tr>
        <w:tc>
          <w:tcPr>
            <w:tcW w:w="1163" w:type="dxa"/>
          </w:tcPr>
          <w:p>
            <w:pPr>
              <w:pStyle w:val="yTableNAm"/>
            </w:pPr>
            <w:r>
              <w:t>2.</w:t>
            </w:r>
          </w:p>
        </w:tc>
        <w:tc>
          <w:tcPr>
            <w:tcW w:w="5641" w:type="dxa"/>
          </w:tcPr>
          <w:p>
            <w:pPr>
              <w:pStyle w:val="yTableNAm"/>
            </w:pPr>
            <w:r>
              <w:t xml:space="preserve">Personal watercraft, including the following — </w:t>
            </w:r>
          </w:p>
          <w:p>
            <w:pPr>
              <w:pStyle w:val="yTableNAm"/>
              <w:tabs>
                <w:tab w:val="clear" w:pos="567"/>
                <w:tab w:val="left" w:pos="364"/>
              </w:tabs>
              <w:ind w:left="363" w:hanging="363"/>
            </w:pPr>
            <w:r>
              <w:t>(a)</w:t>
            </w:r>
            <w:r>
              <w:tab/>
              <w:t>personal watercraft with an aerial device attached;</w:t>
            </w:r>
          </w:p>
          <w:p>
            <w:pPr>
              <w:pStyle w:val="yTableNAm"/>
              <w:tabs>
                <w:tab w:val="clear" w:pos="567"/>
                <w:tab w:val="left" w:pos="364"/>
              </w:tabs>
            </w:pPr>
            <w:r>
              <w:t>(b)</w:t>
            </w:r>
            <w:r>
              <w:tab/>
              <w:t>personal watercraft with a docking hull attached;</w:t>
            </w:r>
          </w:p>
          <w:p>
            <w:pPr>
              <w:pStyle w:val="yTableNAm"/>
              <w:tabs>
                <w:tab w:val="clear" w:pos="567"/>
                <w:tab w:val="left" w:pos="364"/>
              </w:tabs>
              <w:ind w:left="363" w:hanging="363"/>
              <w:rPr>
                <w:rStyle w:val="DraftersNotes"/>
                <w:b w:val="0"/>
                <w:i w:val="0"/>
              </w:rPr>
            </w:pPr>
            <w:r>
              <w:t>(c)</w:t>
            </w:r>
            <w:r>
              <w:tab/>
              <w:t>personal watercraft that have been modified, such as jet karts.</w:t>
            </w:r>
          </w:p>
        </w:tc>
      </w:tr>
      <w:tr>
        <w:tc>
          <w:tcPr>
            <w:tcW w:w="1163" w:type="dxa"/>
          </w:tcPr>
          <w:p>
            <w:pPr>
              <w:pStyle w:val="yTableNAm"/>
            </w:pPr>
            <w:r>
              <w:t>3.</w:t>
            </w:r>
          </w:p>
        </w:tc>
        <w:tc>
          <w:tcPr>
            <w:tcW w:w="5641" w:type="dxa"/>
          </w:tcPr>
          <w:p>
            <w:pPr>
              <w:pStyle w:val="yTableNAm"/>
            </w:pPr>
            <w:r>
              <w:t>Docking hulls that are not attached to a personal watercraft</w:t>
            </w:r>
          </w:p>
        </w:tc>
      </w:tr>
      <w:tr>
        <w:tc>
          <w:tcPr>
            <w:tcW w:w="1163" w:type="dxa"/>
          </w:tcPr>
          <w:p>
            <w:pPr>
              <w:pStyle w:val="yTableNAm"/>
            </w:pPr>
            <w:r>
              <w:t>4.</w:t>
            </w:r>
          </w:p>
        </w:tc>
        <w:tc>
          <w:tcPr>
            <w:tcW w:w="5641" w:type="dxa"/>
          </w:tcPr>
          <w:p>
            <w:pPr>
              <w:pStyle w:val="yTableNAm"/>
            </w:pPr>
            <w:r>
              <w:t xml:space="preserve">Paddle craft, including the following — </w:t>
            </w:r>
          </w:p>
          <w:p>
            <w:pPr>
              <w:pStyle w:val="yTableNAm"/>
              <w:tabs>
                <w:tab w:val="clear" w:pos="567"/>
                <w:tab w:val="left" w:pos="364"/>
              </w:tabs>
            </w:pPr>
            <w:r>
              <w:t>(a)</w:t>
            </w:r>
            <w:r>
              <w:tab/>
              <w:t>canoes;</w:t>
            </w:r>
          </w:p>
          <w:p>
            <w:pPr>
              <w:pStyle w:val="yTableNAm"/>
              <w:tabs>
                <w:tab w:val="clear" w:pos="567"/>
                <w:tab w:val="left" w:pos="364"/>
              </w:tabs>
            </w:pPr>
            <w:r>
              <w:t>(b)</w:t>
            </w:r>
            <w:r>
              <w:tab/>
              <w:t>dragon boats;</w:t>
            </w:r>
          </w:p>
          <w:p>
            <w:pPr>
              <w:pStyle w:val="yTableNAm"/>
              <w:tabs>
                <w:tab w:val="clear" w:pos="567"/>
                <w:tab w:val="left" w:pos="364"/>
              </w:tabs>
            </w:pPr>
            <w:r>
              <w:t>(c)</w:t>
            </w:r>
            <w:r>
              <w:tab/>
              <w:t>kayaks (sit</w:t>
            </w:r>
            <w:r>
              <w:noBreakHyphen/>
              <w:t>in or sit</w:t>
            </w:r>
            <w:r>
              <w:noBreakHyphen/>
              <w:t>on</w:t>
            </w:r>
            <w:r>
              <w:noBreakHyphen/>
              <w:t>top);</w:t>
            </w:r>
          </w:p>
          <w:p>
            <w:pPr>
              <w:pStyle w:val="yTableNAm"/>
              <w:tabs>
                <w:tab w:val="clear" w:pos="567"/>
                <w:tab w:val="left" w:pos="364"/>
              </w:tabs>
            </w:pPr>
            <w:r>
              <w:t>(d)</w:t>
            </w:r>
            <w:r>
              <w:tab/>
              <w:t>surfskis.</w:t>
            </w:r>
          </w:p>
        </w:tc>
      </w:tr>
      <w:tr>
        <w:tc>
          <w:tcPr>
            <w:tcW w:w="1163" w:type="dxa"/>
          </w:tcPr>
          <w:p>
            <w:pPr>
              <w:pStyle w:val="yTableNAm"/>
            </w:pPr>
            <w:r>
              <w:t>5.</w:t>
            </w:r>
          </w:p>
        </w:tc>
        <w:tc>
          <w:tcPr>
            <w:tcW w:w="5641" w:type="dxa"/>
          </w:tcPr>
          <w:p>
            <w:pPr>
              <w:pStyle w:val="yTableNAm"/>
            </w:pPr>
            <w:r>
              <w:t>Sailboards</w:t>
            </w:r>
          </w:p>
        </w:tc>
      </w:tr>
      <w:tr>
        <w:tc>
          <w:tcPr>
            <w:tcW w:w="1163" w:type="dxa"/>
          </w:tcPr>
          <w:p>
            <w:pPr>
              <w:pStyle w:val="yTableNAm"/>
            </w:pPr>
            <w:r>
              <w:lastRenderedPageBreak/>
              <w:t>6.</w:t>
            </w:r>
          </w:p>
        </w:tc>
        <w:tc>
          <w:tcPr>
            <w:tcW w:w="5641" w:type="dxa"/>
          </w:tcPr>
          <w:p>
            <w:pPr>
              <w:pStyle w:val="yTableNAm"/>
            </w:pPr>
            <w:r>
              <w:t>Electric hydrofoil boards with a motor that has a power output of more than 4.5 kW</w:t>
            </w:r>
          </w:p>
        </w:tc>
      </w:tr>
      <w:tr>
        <w:tc>
          <w:tcPr>
            <w:tcW w:w="1163" w:type="dxa"/>
          </w:tcPr>
          <w:p>
            <w:pPr>
              <w:pStyle w:val="yTableNAm"/>
            </w:pPr>
            <w:r>
              <w:t>7.</w:t>
            </w:r>
          </w:p>
        </w:tc>
        <w:tc>
          <w:tcPr>
            <w:tcW w:w="5641" w:type="dxa"/>
          </w:tcPr>
          <w:p>
            <w:pPr>
              <w:pStyle w:val="yTableNAm"/>
              <w:tabs>
                <w:tab w:val="clear" w:pos="567"/>
                <w:tab w:val="left" w:pos="364"/>
              </w:tabs>
            </w:pPr>
            <w:r>
              <w:t>Personal towing devices</w:t>
            </w:r>
          </w:p>
        </w:tc>
      </w:tr>
      <w:tr>
        <w:tc>
          <w:tcPr>
            <w:tcW w:w="1163" w:type="dxa"/>
          </w:tcPr>
          <w:p>
            <w:pPr>
              <w:pStyle w:val="yTableNAm"/>
            </w:pPr>
            <w:r>
              <w:t>8.</w:t>
            </w:r>
          </w:p>
        </w:tc>
        <w:tc>
          <w:tcPr>
            <w:tcW w:w="5641" w:type="dxa"/>
          </w:tcPr>
          <w:p>
            <w:pPr>
              <w:pStyle w:val="yTableNAm"/>
              <w:rPr>
                <w:rStyle w:val="DraftersNotes"/>
              </w:rPr>
            </w:pPr>
            <w:r>
              <w:t>A class of thing in Division 2 items 1 to 3 that is fitted with a motor that has a power output of more than 4.5 kW</w:t>
            </w:r>
          </w:p>
        </w:tc>
      </w:tr>
    </w:tbl>
    <w:p>
      <w:pPr>
        <w:pStyle w:val="yFootnotesection"/>
      </w:pPr>
      <w:r>
        <w:tab/>
        <w:t>[Division 1 inserted: SL 2024/191 r. 40.]</w:t>
      </w:r>
    </w:p>
    <w:p>
      <w:pPr>
        <w:pStyle w:val="yHeading3"/>
      </w:pPr>
      <w:bookmarkStart w:id="186" w:name="_Toc196395540"/>
      <w:bookmarkStart w:id="187" w:name="_Toc196396693"/>
      <w:bookmarkStart w:id="188" w:name="_Toc196399909"/>
      <w:r>
        <w:rPr>
          <w:rStyle w:val="CharSDivNo"/>
        </w:rPr>
        <w:t>Division 2</w:t>
      </w:r>
      <w:r>
        <w:t> — </w:t>
      </w:r>
      <w:r>
        <w:rPr>
          <w:rStyle w:val="CharSDivText"/>
        </w:rPr>
        <w:t>Classes of things that are not vessels</w:t>
      </w:r>
      <w:bookmarkEnd w:id="186"/>
      <w:bookmarkEnd w:id="187"/>
      <w:bookmarkEnd w:id="188"/>
    </w:p>
    <w:p>
      <w:pPr>
        <w:pStyle w:val="yFootnoteheading"/>
        <w:spacing w:after="60"/>
      </w:pPr>
      <w:r>
        <w:tab/>
        <w:t>[Heading inserted: SL 2024/191 r. 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5641"/>
      </w:tblGrid>
      <w:tr>
        <w:trPr>
          <w:tblHeader/>
        </w:trPr>
        <w:tc>
          <w:tcPr>
            <w:tcW w:w="1163" w:type="dxa"/>
          </w:tcPr>
          <w:p>
            <w:pPr>
              <w:pStyle w:val="yTableNAm"/>
              <w:jc w:val="center"/>
              <w:rPr>
                <w:b/>
                <w:bCs/>
              </w:rPr>
            </w:pPr>
            <w:r>
              <w:rPr>
                <w:b/>
                <w:bCs/>
              </w:rPr>
              <w:t>Item</w:t>
            </w:r>
          </w:p>
        </w:tc>
        <w:tc>
          <w:tcPr>
            <w:tcW w:w="5641" w:type="dxa"/>
          </w:tcPr>
          <w:p>
            <w:pPr>
              <w:pStyle w:val="yTableNAm"/>
              <w:jc w:val="center"/>
              <w:rPr>
                <w:b/>
                <w:bCs/>
              </w:rPr>
            </w:pPr>
            <w:r>
              <w:rPr>
                <w:b/>
                <w:bCs/>
              </w:rPr>
              <w:t>Classes of things that are not vessels</w:t>
            </w:r>
          </w:p>
        </w:tc>
      </w:tr>
      <w:tr>
        <w:tc>
          <w:tcPr>
            <w:tcW w:w="1163" w:type="dxa"/>
          </w:tcPr>
          <w:p>
            <w:pPr>
              <w:pStyle w:val="yTableNAm"/>
            </w:pPr>
            <w:r>
              <w:t>1.</w:t>
            </w:r>
          </w:p>
        </w:tc>
        <w:tc>
          <w:tcPr>
            <w:tcW w:w="5641" w:type="dxa"/>
          </w:tcPr>
          <w:p>
            <w:pPr>
              <w:pStyle w:val="yTableNAm"/>
            </w:pPr>
            <w:r>
              <w:t>Stand</w:t>
            </w:r>
            <w:r>
              <w:noBreakHyphen/>
              <w:t>up paddle boards</w:t>
            </w:r>
          </w:p>
        </w:tc>
      </w:tr>
      <w:tr>
        <w:tc>
          <w:tcPr>
            <w:tcW w:w="1163" w:type="dxa"/>
          </w:tcPr>
          <w:p>
            <w:pPr>
              <w:pStyle w:val="yTableNAm"/>
            </w:pPr>
            <w:r>
              <w:t>2.</w:t>
            </w:r>
          </w:p>
        </w:tc>
        <w:tc>
          <w:tcPr>
            <w:tcW w:w="5641" w:type="dxa"/>
          </w:tcPr>
          <w:p>
            <w:pPr>
              <w:pStyle w:val="yTableNAm"/>
              <w:rPr>
                <w:b/>
                <w:bCs/>
                <w:i/>
                <w:iCs/>
              </w:rPr>
            </w:pPr>
            <w:r>
              <w:t>Surfboards</w:t>
            </w:r>
          </w:p>
        </w:tc>
      </w:tr>
      <w:tr>
        <w:tc>
          <w:tcPr>
            <w:tcW w:w="1163" w:type="dxa"/>
          </w:tcPr>
          <w:p>
            <w:pPr>
              <w:pStyle w:val="yTableNAm"/>
            </w:pPr>
            <w:r>
              <w:t>3.</w:t>
            </w:r>
          </w:p>
        </w:tc>
        <w:tc>
          <w:tcPr>
            <w:tcW w:w="5641" w:type="dxa"/>
          </w:tcPr>
          <w:p>
            <w:pPr>
              <w:pStyle w:val="yTableNAm"/>
            </w:pPr>
            <w:r>
              <w:t>Body boards</w:t>
            </w:r>
          </w:p>
        </w:tc>
      </w:tr>
      <w:tr>
        <w:tc>
          <w:tcPr>
            <w:tcW w:w="1163" w:type="dxa"/>
          </w:tcPr>
          <w:p>
            <w:pPr>
              <w:pStyle w:val="yTableNAm"/>
            </w:pPr>
            <w:r>
              <w:t>4.</w:t>
            </w:r>
          </w:p>
        </w:tc>
        <w:tc>
          <w:tcPr>
            <w:tcW w:w="5641" w:type="dxa"/>
          </w:tcPr>
          <w:p>
            <w:pPr>
              <w:pStyle w:val="yTableNAm"/>
            </w:pPr>
            <w:r>
              <w:t>Paddle boats</w:t>
            </w:r>
          </w:p>
        </w:tc>
      </w:tr>
      <w:tr>
        <w:tc>
          <w:tcPr>
            <w:tcW w:w="1163" w:type="dxa"/>
          </w:tcPr>
          <w:p>
            <w:pPr>
              <w:pStyle w:val="yTableNAm"/>
            </w:pPr>
            <w:r>
              <w:t>5.</w:t>
            </w:r>
          </w:p>
        </w:tc>
        <w:tc>
          <w:tcPr>
            <w:tcW w:w="5641" w:type="dxa"/>
          </w:tcPr>
          <w:p>
            <w:pPr>
              <w:pStyle w:val="yTableNAm"/>
              <w:rPr>
                <w:rFonts w:ascii="Calibri" w:hAnsi="Calibri"/>
              </w:rPr>
            </w:pPr>
            <w:r>
              <w:t>Underwater propulsion devices</w:t>
            </w:r>
          </w:p>
        </w:tc>
      </w:tr>
      <w:tr>
        <w:tc>
          <w:tcPr>
            <w:tcW w:w="1163" w:type="dxa"/>
          </w:tcPr>
          <w:p>
            <w:pPr>
              <w:pStyle w:val="yTableNAm"/>
            </w:pPr>
            <w:r>
              <w:t>6.</w:t>
            </w:r>
          </w:p>
        </w:tc>
        <w:tc>
          <w:tcPr>
            <w:tcW w:w="5641" w:type="dxa"/>
          </w:tcPr>
          <w:p>
            <w:pPr>
              <w:pStyle w:val="yTableNAm"/>
            </w:pPr>
            <w:r>
              <w:t xml:space="preserve">Towed recreational equipment or aquatic toys, including any of the following — </w:t>
            </w:r>
          </w:p>
          <w:p>
            <w:pPr>
              <w:pStyle w:val="yTableNAm"/>
              <w:tabs>
                <w:tab w:val="clear" w:pos="567"/>
                <w:tab w:val="left" w:pos="364"/>
              </w:tabs>
            </w:pPr>
            <w:r>
              <w:t>(a)</w:t>
            </w:r>
            <w:r>
              <w:tab/>
              <w:t>inner tubes;</w:t>
            </w:r>
          </w:p>
          <w:p>
            <w:pPr>
              <w:pStyle w:val="yTableNAm"/>
              <w:tabs>
                <w:tab w:val="clear" w:pos="567"/>
                <w:tab w:val="left" w:pos="364"/>
              </w:tabs>
            </w:pPr>
            <w:r>
              <w:t>(b)</w:t>
            </w:r>
            <w:r>
              <w:tab/>
              <w:t>aquaplanes;</w:t>
            </w:r>
          </w:p>
          <w:p>
            <w:pPr>
              <w:pStyle w:val="yTableNAm"/>
              <w:tabs>
                <w:tab w:val="clear" w:pos="567"/>
                <w:tab w:val="left" w:pos="364"/>
              </w:tabs>
            </w:pPr>
            <w:r>
              <w:t>(c)</w:t>
            </w:r>
            <w:r>
              <w:tab/>
              <w:t>waterskis.</w:t>
            </w:r>
          </w:p>
        </w:tc>
      </w:tr>
    </w:tbl>
    <w:p>
      <w:pPr>
        <w:pStyle w:val="yFootnotesection"/>
      </w:pPr>
      <w:r>
        <w:tab/>
        <w:t>[Division 2 inserted: SL 2024/191 r. 40.]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90" w:name="_Toc196395541"/>
      <w:bookmarkStart w:id="191" w:name="_Toc196396694"/>
      <w:bookmarkStart w:id="192" w:name="_Toc196399910"/>
      <w:r>
        <w:lastRenderedPageBreak/>
        <w:t>Notes</w:t>
      </w:r>
      <w:bookmarkEnd w:id="190"/>
      <w:bookmarkEnd w:id="191"/>
      <w:bookmarkEnd w:id="192"/>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3" w:name="_Toc196399911"/>
      <w:r>
        <w:t>Compilation table</w:t>
      </w:r>
      <w:bookmarkEnd w:id="19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2022/56 20 May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single" w:sz="4" w:space="0" w:color="auto"/>
            </w:tcBorders>
            <w:shd w:val="clear" w:color="auto" w:fill="auto"/>
          </w:tcPr>
          <w:p>
            <w:pPr>
              <w:pStyle w:val="nTable"/>
              <w:spacing w:after="40"/>
            </w:pPr>
            <w:r>
              <w:rPr>
                <w:i/>
              </w:rPr>
              <w:t>Navigable Waters Amendment Regulations 2022</w:t>
            </w:r>
          </w:p>
        </w:tc>
        <w:tc>
          <w:tcPr>
            <w:tcW w:w="1276" w:type="dxa"/>
            <w:tcBorders>
              <w:top w:val="nil"/>
              <w:bottom w:val="single" w:sz="4" w:space="0" w:color="auto"/>
            </w:tcBorders>
            <w:shd w:val="clear" w:color="auto" w:fill="auto"/>
          </w:tcPr>
          <w:p>
            <w:pPr>
              <w:pStyle w:val="nTable"/>
              <w:spacing w:after="40"/>
            </w:pPr>
            <w:r>
              <w:t>SL 2022/137 29 Jul 2022</w:t>
            </w:r>
          </w:p>
        </w:tc>
        <w:tc>
          <w:tcPr>
            <w:tcW w:w="2693" w:type="dxa"/>
            <w:tcBorders>
              <w:top w:val="nil"/>
              <w:bottom w:val="single" w:sz="4" w:space="0" w:color="auto"/>
            </w:tcBorders>
            <w:shd w:val="clear" w:color="auto" w:fill="auto"/>
          </w:tcPr>
          <w:p>
            <w:pPr>
              <w:pStyle w:val="nTable"/>
              <w:spacing w:after="40"/>
            </w:pPr>
            <w:r>
              <w:t>r. 1 and 2: 29 Jul 2022 (see r. 2(a));</w:t>
            </w:r>
            <w:r>
              <w:br/>
              <w:t>Regulations other than r. 1 and 2: 30 Jul 2022 (see r. 2(b))</w:t>
            </w:r>
          </w:p>
        </w:tc>
      </w:tr>
      <w:tr>
        <w:tblPrEx>
          <w:tblBorders>
            <w:top w:val="none" w:sz="0" w:space="0" w:color="auto"/>
            <w:bottom w:val="none" w:sz="0" w:space="0" w:color="auto"/>
            <w:insideH w:val="none" w:sz="0" w:space="0" w:color="auto"/>
          </w:tblBorders>
        </w:tblPrEx>
        <w:trPr>
          <w:cantSplit/>
        </w:trPr>
        <w:tc>
          <w:tcPr>
            <w:tcW w:w="3118" w:type="dxa"/>
            <w:tcBorders>
              <w:top w:val="single" w:sz="4" w:space="0" w:color="auto"/>
            </w:tcBorders>
            <w:shd w:val="clear" w:color="auto" w:fill="auto"/>
          </w:tcPr>
          <w:p>
            <w:pPr>
              <w:pStyle w:val="nTable"/>
              <w:spacing w:after="40"/>
              <w:rPr>
                <w:i/>
              </w:rPr>
            </w:pPr>
            <w:r>
              <w:rPr>
                <w:i/>
              </w:rPr>
              <w:lastRenderedPageBreak/>
              <w:t>Transport Regulations Amendment (Fees and Charges) Regulations 2023</w:t>
            </w:r>
            <w:r>
              <w:t xml:space="preserve"> Pt. 4</w:t>
            </w:r>
          </w:p>
        </w:tc>
        <w:tc>
          <w:tcPr>
            <w:tcW w:w="1276" w:type="dxa"/>
            <w:tcBorders>
              <w:top w:val="single" w:sz="4" w:space="0" w:color="auto"/>
            </w:tcBorders>
            <w:shd w:val="clear" w:color="auto" w:fill="auto"/>
          </w:tcPr>
          <w:p>
            <w:pPr>
              <w:pStyle w:val="nTable"/>
              <w:spacing w:after="40"/>
            </w:pPr>
            <w:r>
              <w:t>SL 2023/45 19 May 2023</w:t>
            </w:r>
          </w:p>
        </w:tc>
        <w:tc>
          <w:tcPr>
            <w:tcW w:w="2693" w:type="dxa"/>
            <w:tcBorders>
              <w:top w:val="single" w:sz="4" w:space="0" w:color="auto"/>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(Marine Safety Equipment) Regulations 2023</w:t>
            </w:r>
            <w:r>
              <w:t xml:space="preserve"> Pt. 2</w:t>
            </w:r>
          </w:p>
        </w:tc>
        <w:tc>
          <w:tcPr>
            <w:tcW w:w="1276" w:type="dxa"/>
            <w:tcBorders>
              <w:top w:val="nil"/>
              <w:bottom w:val="nil"/>
            </w:tcBorders>
            <w:shd w:val="clear" w:color="auto" w:fill="auto"/>
          </w:tcPr>
          <w:p>
            <w:pPr>
              <w:pStyle w:val="nTable"/>
              <w:spacing w:after="40"/>
            </w:pPr>
            <w:r>
              <w:t>SL 2023/135 9 Aug 2023</w:t>
            </w:r>
          </w:p>
        </w:tc>
        <w:tc>
          <w:tcPr>
            <w:tcW w:w="2693" w:type="dxa"/>
            <w:tcBorders>
              <w:top w:val="nil"/>
              <w:bottom w:val="nil"/>
            </w:tcBorders>
            <w:shd w:val="clear" w:color="auto" w:fill="auto"/>
          </w:tcPr>
          <w:p>
            <w:pPr>
              <w:pStyle w:val="nTable"/>
              <w:spacing w:after="40"/>
            </w:pPr>
            <w:r>
              <w:t>1 Sep 2023 (see r. 2(b))</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2023</w:t>
            </w:r>
          </w:p>
        </w:tc>
        <w:tc>
          <w:tcPr>
            <w:tcW w:w="1276" w:type="dxa"/>
            <w:tcBorders>
              <w:top w:val="nil"/>
              <w:bottom w:val="nil"/>
            </w:tcBorders>
            <w:shd w:val="clear" w:color="auto" w:fill="auto"/>
          </w:tcPr>
          <w:p>
            <w:pPr>
              <w:pStyle w:val="nTable"/>
              <w:spacing w:after="40"/>
            </w:pPr>
            <w:r>
              <w:t>SL 2023/204 20 Dec 2023</w:t>
            </w:r>
          </w:p>
        </w:tc>
        <w:tc>
          <w:tcPr>
            <w:tcW w:w="2693" w:type="dxa"/>
            <w:tcBorders>
              <w:top w:val="nil"/>
              <w:bottom w:val="nil"/>
            </w:tcBorders>
            <w:shd w:val="clear" w:color="auto" w:fill="auto"/>
          </w:tcPr>
          <w:p>
            <w:pPr>
              <w:pStyle w:val="nTable"/>
              <w:spacing w:after="40"/>
            </w:pPr>
            <w:r>
              <w:t>r. 1 and 2: 20 Dec 2023 (see r. 2(a));</w:t>
            </w:r>
            <w:r>
              <w:br/>
              <w:t>Regulations other than r. 1 and 2: 21 Dec 2023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(No. 2) 2024</w:t>
            </w:r>
            <w:r>
              <w:rPr>
                <w:iCs/>
              </w:rPr>
              <w:t xml:space="preserve"> Pt. 4</w:t>
            </w:r>
          </w:p>
        </w:tc>
        <w:tc>
          <w:tcPr>
            <w:tcW w:w="1276" w:type="dxa"/>
            <w:tcBorders>
              <w:top w:val="nil"/>
              <w:bottom w:val="nil"/>
            </w:tcBorders>
            <w:shd w:val="clear" w:color="auto" w:fill="auto"/>
          </w:tcPr>
          <w:p>
            <w:pPr>
              <w:pStyle w:val="nTable"/>
              <w:spacing w:after="40"/>
            </w:pPr>
            <w:r>
              <w:t>SL 2024/57 1 May 2024</w:t>
            </w:r>
          </w:p>
        </w:tc>
        <w:tc>
          <w:tcPr>
            <w:tcW w:w="2693" w:type="dxa"/>
            <w:tcBorders>
              <w:top w:val="nil"/>
              <w:bottom w:val="nil"/>
            </w:tcBorders>
            <w:shd w:val="clear" w:color="auto" w:fill="auto"/>
          </w:tcPr>
          <w:p>
            <w:pPr>
              <w:pStyle w:val="nTable"/>
              <w:spacing w:after="40"/>
            </w:pPr>
            <w:r>
              <w:t>1 Jul 2024 (see r. 2(b))</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2024</w:t>
            </w:r>
          </w:p>
        </w:tc>
        <w:tc>
          <w:tcPr>
            <w:tcW w:w="1276" w:type="dxa"/>
            <w:tcBorders>
              <w:top w:val="nil"/>
              <w:bottom w:val="nil"/>
            </w:tcBorders>
            <w:shd w:val="clear" w:color="auto" w:fill="auto"/>
          </w:tcPr>
          <w:p>
            <w:pPr>
              <w:pStyle w:val="nTable"/>
              <w:spacing w:after="40"/>
            </w:pPr>
            <w:r>
              <w:t>SL 2024/62 1 May 2024</w:t>
            </w:r>
          </w:p>
        </w:tc>
        <w:tc>
          <w:tcPr>
            <w:tcW w:w="2693" w:type="dxa"/>
            <w:tcBorders>
              <w:top w:val="nil"/>
              <w:bottom w:val="nil"/>
            </w:tcBorders>
            <w:shd w:val="clear" w:color="auto" w:fill="auto"/>
          </w:tcPr>
          <w:p>
            <w:pPr>
              <w:pStyle w:val="nTable"/>
              <w:spacing w:after="40"/>
            </w:pPr>
            <w:r>
              <w:t>2 May 2024 (see r. 2)</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(Marine Safety Equipment) Regulations 2024 </w:t>
            </w:r>
            <w:r>
              <w:rPr>
                <w:iCs/>
              </w:rPr>
              <w:t>Pt. 2</w:t>
            </w:r>
          </w:p>
        </w:tc>
        <w:tc>
          <w:tcPr>
            <w:tcW w:w="1276" w:type="dxa"/>
            <w:tcBorders>
              <w:top w:val="nil"/>
              <w:bottom w:val="nil"/>
            </w:tcBorders>
            <w:shd w:val="clear" w:color="auto" w:fill="auto"/>
          </w:tcPr>
          <w:p>
            <w:pPr>
              <w:pStyle w:val="nTable"/>
              <w:spacing w:after="40"/>
            </w:pPr>
            <w:r>
              <w:t>SL 2024/191 18 Sep 2024</w:t>
            </w:r>
          </w:p>
        </w:tc>
        <w:tc>
          <w:tcPr>
            <w:tcW w:w="2693" w:type="dxa"/>
            <w:tcBorders>
              <w:top w:val="nil"/>
              <w:bottom w:val="nil"/>
            </w:tcBorders>
            <w:shd w:val="clear" w:color="auto" w:fill="auto"/>
          </w:tcPr>
          <w:p>
            <w:pPr>
              <w:pStyle w:val="nTable"/>
              <w:spacing w:after="40"/>
            </w:pPr>
            <w:r>
              <w:t>30 Sep 2024 (see r. 2(b))</w:t>
            </w:r>
          </w:p>
        </w:tc>
      </w:tr>
      <w:tr>
        <w:trPr>
          <w:cantSplit/>
        </w:trPr>
        <w:tc>
          <w:tcPr>
            <w:tcW w:w="3118" w:type="dxa"/>
            <w:tcBorders>
              <w:top w:val="nil"/>
              <w:bottom w:val="single" w:sz="4" w:space="0" w:color="auto"/>
            </w:tcBorders>
            <w:shd w:val="clear" w:color="auto" w:fill="auto"/>
          </w:tcPr>
          <w:p>
            <w:pPr>
              <w:pStyle w:val="nTable"/>
              <w:spacing w:after="40"/>
              <w:rPr>
                <w:iCs/>
              </w:rPr>
            </w:pPr>
            <w:r>
              <w:rPr>
                <w:i/>
              </w:rPr>
              <w:t>Transport Regulations Amendment (Prevention of Collisions in State Waters) Regulations 2025</w:t>
            </w:r>
            <w:r>
              <w:rPr>
                <w:iCs/>
              </w:rPr>
              <w:t xml:space="preserve"> Pt. 2</w:t>
            </w:r>
          </w:p>
        </w:tc>
        <w:tc>
          <w:tcPr>
            <w:tcW w:w="1276" w:type="dxa"/>
            <w:tcBorders>
              <w:top w:val="nil"/>
              <w:bottom w:val="single" w:sz="4" w:space="0" w:color="auto"/>
            </w:tcBorders>
            <w:shd w:val="clear" w:color="auto" w:fill="auto"/>
          </w:tcPr>
          <w:p>
            <w:pPr>
              <w:pStyle w:val="nTable"/>
              <w:spacing w:after="40"/>
            </w:pPr>
            <w:r>
              <w:t>SL 2025/68 30 Apr 2025</w:t>
            </w:r>
          </w:p>
        </w:tc>
        <w:tc>
          <w:tcPr>
            <w:tcW w:w="2693" w:type="dxa"/>
            <w:tcBorders>
              <w:top w:val="nil"/>
              <w:bottom w:val="single" w:sz="4" w:space="0" w:color="auto"/>
            </w:tcBorders>
            <w:shd w:val="clear" w:color="auto" w:fill="auto"/>
          </w:tcPr>
          <w:p>
            <w:pPr>
              <w:pStyle w:val="nTable"/>
              <w:spacing w:after="40"/>
            </w:pPr>
            <w:r>
              <w:t>1 May 2025 (see r. 2(b))</w:t>
            </w:r>
          </w:p>
        </w:tc>
      </w:tr>
    </w:tbl>
    <w:p>
      <w:pPr>
        <w:pStyle w:val="nHeading3"/>
      </w:pPr>
      <w:bookmarkStart w:id="194" w:name="_Toc196399912"/>
      <w:r>
        <w:t>Uncommenced provisions table</w:t>
      </w:r>
      <w:bookmarkEnd w:id="19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 xml:space="preserve">Transport Regulations Amendment (Fees and Charges) Regulations (No. 2) 2025 </w:t>
            </w:r>
            <w:r>
              <w:rPr>
                <w:iCs/>
              </w:rPr>
              <w:t>Pt. 5</w:t>
            </w:r>
          </w:p>
        </w:tc>
        <w:tc>
          <w:tcPr>
            <w:tcW w:w="1276" w:type="dxa"/>
          </w:tcPr>
          <w:p>
            <w:pPr>
              <w:pStyle w:val="nTable"/>
              <w:spacing w:after="40"/>
            </w:pPr>
            <w:r>
              <w:t xml:space="preserve">SL 2025/64 30 Apr 2025 </w:t>
            </w:r>
          </w:p>
        </w:tc>
        <w:tc>
          <w:tcPr>
            <w:tcW w:w="2693" w:type="dxa"/>
          </w:tcPr>
          <w:p>
            <w:pPr>
              <w:pStyle w:val="nTable"/>
              <w:spacing w:after="40"/>
            </w:pPr>
            <w:r>
              <w:t>1 Jul 2025 (see r. 2(b))</w:t>
            </w:r>
          </w:p>
        </w:tc>
      </w:tr>
    </w:tbl>
    <w:p>
      <w:pPr>
        <w:pStyle w:val="nHeading3"/>
      </w:pPr>
      <w:bookmarkStart w:id="195" w:name="_Toc196399913"/>
      <w:r>
        <w:t>Other notes</w:t>
      </w:r>
      <w:bookmarkEnd w:id="195"/>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197" w:name="_Toc196395544"/>
      <w:bookmarkStart w:id="198" w:name="_Toc196396698"/>
      <w:bookmarkStart w:id="199" w:name="_Toc196399914"/>
      <w:r>
        <w:rPr>
          <w:sz w:val="28"/>
        </w:rPr>
        <w:lastRenderedPageBreak/>
        <w:t>Defined terms</w:t>
      </w:r>
      <w:bookmarkEnd w:id="197"/>
      <w:bookmarkEnd w:id="198"/>
      <w:bookmarkEnd w:id="1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72(2)</w:t>
      </w:r>
    </w:p>
    <w:p>
      <w:pPr>
        <w:pStyle w:val="DefinedTerms"/>
      </w:pPr>
      <w:r>
        <w:t>ABP standard</w:t>
      </w:r>
      <w:r>
        <w:tab/>
        <w:t>45A(2)</w:t>
      </w:r>
    </w:p>
    <w:p>
      <w:pPr>
        <w:pStyle w:val="DefinedTerms"/>
      </w:pPr>
      <w:r>
        <w:t>Acts</w:t>
      </w:r>
      <w:r>
        <w:tab/>
        <w:t>2(1)</w:t>
      </w:r>
    </w:p>
    <w:p>
      <w:pPr>
        <w:pStyle w:val="DefinedTerms"/>
      </w:pPr>
      <w:r>
        <w:t>appropriate lifejacket</w:t>
      </w:r>
      <w:r>
        <w:tab/>
        <w:t>46(2)</w:t>
      </w:r>
    </w:p>
    <w:p>
      <w:pPr>
        <w:pStyle w:val="DefinedTerms"/>
      </w:pPr>
      <w:r>
        <w:t>appropriate signal</w:t>
      </w:r>
      <w:r>
        <w:tab/>
        <w:t>19E(4)</w:t>
      </w:r>
    </w:p>
    <w:p>
      <w:pPr>
        <w:pStyle w:val="DefinedTerms"/>
      </w:pPr>
      <w:r>
        <w:t>approved electronic visual distress signal</w:t>
      </w:r>
      <w:r>
        <w:tab/>
        <w:t>46(2)</w:t>
      </w:r>
    </w:p>
    <w:p>
      <w:pPr>
        <w:pStyle w:val="DefinedTerms"/>
      </w:pPr>
      <w:r>
        <w:t>APS employee</w:t>
      </w:r>
      <w:r>
        <w:tab/>
        <w:t>72(1)</w:t>
      </w:r>
    </w:p>
    <w:p>
      <w:pPr>
        <w:pStyle w:val="DefinedTerms"/>
      </w:pPr>
      <w:r>
        <w:t>AS</w:t>
      </w:r>
      <w:r>
        <w:tab/>
        <w:t>46(2)</w:t>
      </w:r>
    </w:p>
    <w:p>
      <w:pPr>
        <w:pStyle w:val="DefinedTerms"/>
      </w:pPr>
      <w:r>
        <w:t>AS/NZS</w:t>
      </w:r>
      <w:r>
        <w:tab/>
        <w:t>46(2)</w:t>
      </w:r>
    </w:p>
    <w:p>
      <w:pPr>
        <w:pStyle w:val="DefinedTerms"/>
      </w:pPr>
      <w:r>
        <w:t>Australian Communications and Media Authority</w:t>
      </w:r>
      <w:r>
        <w:tab/>
        <w:t>46(2)</w:t>
      </w:r>
    </w:p>
    <w:p>
      <w:pPr>
        <w:pStyle w:val="DefinedTerms"/>
      </w:pPr>
      <w:r>
        <w:t>CEO</w:t>
      </w:r>
      <w:r>
        <w:tab/>
        <w:t>47(1), 72(1)</w:t>
      </w:r>
    </w:p>
    <w:p>
      <w:pPr>
        <w:pStyle w:val="DefinedTerms"/>
      </w:pPr>
      <w:r>
        <w:t>Chief of Defence</w:t>
      </w:r>
      <w:r>
        <w:tab/>
        <w:t>72(2)</w:t>
      </w:r>
    </w:p>
    <w:p>
      <w:pPr>
        <w:pStyle w:val="DefinedTerms"/>
      </w:pPr>
      <w:r>
        <w:t>commencement day</w:t>
      </w:r>
      <w:r>
        <w:tab/>
        <w:t>45AD(1)</w:t>
      </w:r>
    </w:p>
    <w:p>
      <w:pPr>
        <w:pStyle w:val="DefinedTerms"/>
      </w:pPr>
      <w:r>
        <w:t>criminal intelligence information</w:t>
      </w:r>
      <w:r>
        <w:tab/>
        <w:t>71(1)</w:t>
      </w:r>
    </w:p>
    <w:p>
      <w:pPr>
        <w:pStyle w:val="DefinedTerms"/>
      </w:pPr>
      <w:r>
        <w:t>diving</w:t>
      </w:r>
      <w:r>
        <w:tab/>
        <w:t>2(1)</w:t>
      </w:r>
    </w:p>
    <w:p>
      <w:pPr>
        <w:pStyle w:val="DefinedTerms"/>
      </w:pPr>
      <w:r>
        <w:t>Emergency Position-Indicating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former Regulations</w:t>
      </w:r>
      <w:r>
        <w:tab/>
        <w:t>45AD(1)</w:t>
      </w:r>
    </w:p>
    <w:p>
      <w:pPr>
        <w:pStyle w:val="DefinedTerms"/>
      </w:pPr>
      <w:r>
        <w:t>freestyle driving</w:t>
      </w:r>
      <w:r>
        <w:tab/>
        <w:t>50A(4)</w:t>
      </w:r>
    </w:p>
    <w:p>
      <w:pPr>
        <w:pStyle w:val="DefinedTerms"/>
      </w:pPr>
      <w:r>
        <w:t>GNSS-equipped</w:t>
      </w:r>
      <w:r>
        <w:tab/>
        <w:t>46(2)</w:t>
      </w:r>
    </w:p>
    <w:p>
      <w:pPr>
        <w:pStyle w:val="DefinedTerms"/>
      </w:pPr>
      <w:r>
        <w:t>GTE CEO</w:t>
      </w:r>
      <w:r>
        <w:tab/>
        <w:t>72(2)</w:t>
      </w:r>
    </w:p>
    <w:p>
      <w:pPr>
        <w:pStyle w:val="DefinedTerms"/>
      </w:pPr>
      <w:r>
        <w:t>higher qualification</w:t>
      </w:r>
      <w:r>
        <w:tab/>
        <w:t>47C(7)</w:t>
      </w:r>
    </w:p>
    <w:p>
      <w:pPr>
        <w:pStyle w:val="DefinedTerms"/>
      </w:pPr>
      <w:r>
        <w:t>hull identification number</w:t>
      </w:r>
      <w:r>
        <w:tab/>
        <w:t>45A(2)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length</w:t>
      </w:r>
      <w:r>
        <w:tab/>
        <w:t>2(1)</w:t>
      </w:r>
    </w:p>
    <w:p>
      <w:pPr>
        <w:pStyle w:val="DefinedTerms"/>
      </w:pPr>
      <w:r>
        <w:t>Level 100 lifejacket</w:t>
      </w:r>
      <w:r>
        <w:tab/>
        <w:t>46(2)</w:t>
      </w:r>
    </w:p>
    <w:p>
      <w:pPr>
        <w:pStyle w:val="DefinedTerms"/>
      </w:pPr>
      <w:r>
        <w:t>Level 150 lifejacket</w:t>
      </w:r>
      <w:r>
        <w:tab/>
        <w:t>46(2)</w:t>
      </w:r>
    </w:p>
    <w:p>
      <w:pPr>
        <w:pStyle w:val="DefinedTerms"/>
      </w:pPr>
      <w:r>
        <w:t>Level 275 lifejacket</w:t>
      </w:r>
      <w:r>
        <w:tab/>
        <w:t>46(2)</w:t>
      </w:r>
    </w:p>
    <w:p>
      <w:pPr>
        <w:pStyle w:val="DefinedTerms"/>
      </w:pPr>
      <w:r>
        <w:t>Level 50 lifejacket</w:t>
      </w:r>
      <w:r>
        <w:tab/>
        <w:t>46(2)</w:t>
      </w:r>
    </w:p>
    <w:p>
      <w:pPr>
        <w:pStyle w:val="DefinedTerms"/>
      </w:pPr>
      <w:r>
        <w:t>Level 50S lifejacket</w:t>
      </w:r>
      <w:r>
        <w:tab/>
        <w:t>46(2)</w:t>
      </w:r>
    </w:p>
    <w:p>
      <w:pPr>
        <w:pStyle w:val="DefinedTerms"/>
      </w:pPr>
      <w:r>
        <w:t>LG CEO</w:t>
      </w:r>
      <w:r>
        <w:tab/>
        <w:t>72(2)</w:t>
      </w:r>
    </w:p>
    <w:p>
      <w:pPr>
        <w:pStyle w:val="DefinedTerms"/>
      </w:pPr>
      <w:r>
        <w:t>marine transceiver</w:t>
      </w:r>
      <w:r>
        <w:tab/>
        <w:t>46(2)</w:t>
      </w:r>
    </w:p>
    <w:p>
      <w:pPr>
        <w:pStyle w:val="DefinedTerms"/>
      </w:pPr>
      <w:r>
        <w:t>motor boat</w:t>
      </w:r>
      <w:r>
        <w:tab/>
        <w:t>2(1)</w:t>
      </w:r>
    </w:p>
    <w:p>
      <w:pPr>
        <w:pStyle w:val="DefinedTerms"/>
      </w:pPr>
      <w:r>
        <w:t>navigable waters</w:t>
      </w:r>
      <w:r>
        <w:tab/>
        <w:t>2(1)</w:t>
      </w:r>
    </w:p>
    <w:p>
      <w:pPr>
        <w:pStyle w:val="DefinedTerms"/>
      </w:pPr>
      <w:r>
        <w:t>non-registrable vessel</w:t>
      </w:r>
      <w:r>
        <w:tab/>
        <w:t>46(2)</w:t>
      </w:r>
    </w:p>
    <w:p>
      <w:pPr>
        <w:pStyle w:val="DefinedTerms"/>
      </w:pPr>
      <w:r>
        <w:lastRenderedPageBreak/>
        <w:t>open area</w:t>
      </w:r>
      <w:r>
        <w:tab/>
        <w:t>50B(1)</w:t>
      </w:r>
    </w:p>
    <w:p>
      <w:pPr>
        <w:pStyle w:val="DefinedTerms"/>
      </w:pPr>
      <w:r>
        <w:t>owner</w:t>
      </w:r>
      <w:r>
        <w:tab/>
        <w:t>45A(2)</w:t>
      </w:r>
    </w:p>
    <w:p>
      <w:pPr>
        <w:pStyle w:val="DefinedTerms"/>
      </w:pPr>
      <w:r>
        <w:t>paddle craft</w:t>
      </w:r>
      <w:r>
        <w:tab/>
        <w:t>46(2)</w:t>
      </w:r>
    </w:p>
    <w:p>
      <w:pPr>
        <w:pStyle w:val="DefinedTerms"/>
      </w:pPr>
      <w:r>
        <w:t>para-sailing</w:t>
      </w:r>
      <w:r>
        <w:tab/>
        <w:t>46(2)</w:t>
      </w:r>
    </w:p>
    <w:p>
      <w:pPr>
        <w:pStyle w:val="DefinedTerms"/>
      </w:pPr>
      <w:r>
        <w:t>personal locator beacon</w:t>
      </w:r>
      <w:r>
        <w:tab/>
        <w:t>46(2)</w:t>
      </w:r>
    </w:p>
    <w:p>
      <w:pPr>
        <w:pStyle w:val="DefinedTerms"/>
      </w:pPr>
      <w:r>
        <w:t>prescribed offence</w:t>
      </w:r>
      <w:r>
        <w:tab/>
        <w:t>47GA(1)</w:t>
      </w:r>
    </w:p>
    <w:p>
      <w:pPr>
        <w:pStyle w:val="DefinedTerms"/>
      </w:pPr>
      <w:r>
        <w:t>present offence</w:t>
      </w:r>
      <w:r>
        <w:tab/>
        <w:t>47GA(2)</w:t>
      </w:r>
    </w:p>
    <w:p>
      <w:pPr>
        <w:pStyle w:val="DefinedTerms"/>
      </w:pPr>
      <w:r>
        <w:t>proposed departure date</w:t>
      </w:r>
      <w:r>
        <w:tab/>
        <w:t>45BAA(1)</w:t>
      </w:r>
    </w:p>
    <w:p>
      <w:pPr>
        <w:pStyle w:val="DefinedTerms"/>
      </w:pPr>
      <w:r>
        <w:t>protected waters</w:t>
      </w:r>
      <w:r>
        <w:tab/>
        <w:t>2(1)</w:t>
      </w:r>
    </w:p>
    <w:p>
      <w:pPr>
        <w:pStyle w:val="DefinedTerms"/>
      </w:pPr>
      <w:r>
        <w:t>public jetty</w:t>
      </w:r>
      <w:r>
        <w:tab/>
        <w:t>2(1)</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2(1)</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section</w:t>
      </w:r>
      <w:r>
        <w:tab/>
        <w:t>47GA(1)</w:t>
      </w:r>
    </w:p>
    <w:p>
      <w:pPr>
        <w:pStyle w:val="DefinedTerms"/>
      </w:pPr>
      <w:r>
        <w:t xml:space="preserve">SOLAS lifejacket </w:t>
      </w:r>
      <w:r>
        <w:tab/>
        <w:t>46(2)</w:t>
      </w:r>
    </w:p>
    <w:p>
      <w:pPr>
        <w:pStyle w:val="DefinedTerms"/>
      </w:pPr>
      <w:r>
        <w:t>speed boat</w:t>
      </w:r>
      <w:r>
        <w:tab/>
        <w:t>2(1)</w:t>
      </w:r>
    </w:p>
    <w:p>
      <w:pPr>
        <w:pStyle w:val="DefinedTerms"/>
      </w:pPr>
      <w:r>
        <w:t>surfing</w:t>
      </w:r>
      <w:r>
        <w:tab/>
        <w:t>50A(4)</w:t>
      </w:r>
    </w:p>
    <w:p>
      <w:pPr>
        <w:pStyle w:val="DefinedTerms"/>
      </w:pPr>
      <w:r>
        <w:t>tender</w:t>
      </w:r>
      <w:r>
        <w:tab/>
        <w:t>2(1)</w:t>
      </w:r>
    </w:p>
    <w:p>
      <w:pPr>
        <w:pStyle w:val="DefinedTerms"/>
      </w:pPr>
      <w:r>
        <w:t>trick water ski-ing</w:t>
      </w:r>
      <w:r>
        <w:tab/>
        <w:t>46(2)</w:t>
      </w:r>
    </w:p>
    <w:p>
      <w:pPr>
        <w:pStyle w:val="DefinedTerms"/>
      </w:pPr>
      <w:r>
        <w:t>vessel</w:t>
      </w:r>
      <w:r>
        <w:tab/>
        <w:t>21</w:t>
      </w:r>
    </w:p>
    <w:p>
      <w:pPr>
        <w:pStyle w:val="DefinedTerms"/>
      </w:pPr>
      <w:r>
        <w:t>water skier</w:t>
      </w:r>
      <w:r>
        <w:tab/>
        <w:t>46(2)</w:t>
      </w:r>
    </w:p>
    <w:p>
      <w:pPr>
        <w:pStyle w:val="DefinedTerms"/>
      </w:pPr>
      <w:r>
        <w:t>water ski-ing</w:t>
      </w:r>
      <w:r>
        <w:tab/>
        <w:t>46(2)</w:t>
      </w:r>
    </w:p>
    <w:p>
      <w:pPr>
        <w:pStyle w:val="DefinedTerms"/>
      </w:pPr>
      <w:r>
        <w:t>wave jumping</w:t>
      </w:r>
      <w:r>
        <w:tab/>
        <w:t>50A(4)</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F731A5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DAF847F" w14:textId="0365AF17" w:rsidR="001A7696" w:rsidRDefault="00412CB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B1BB8">
                        <w:rPr>
                          <w:sz w:val="16"/>
                        </w:rPr>
                        <w:t>2025</w:t>
                      </w:r>
                      <w:r>
                        <w:rPr>
                          <w:sz w:val="16"/>
                        </w:rPr>
                        <w:fldChar w:fldCharType="end"/>
                      </w:r>
                      <w:r>
                        <w:rPr>
                          <w:sz w:val="16"/>
                        </w:rPr>
                        <w:t>.</w:t>
                      </w:r>
                    </w:p>
                    <w:p w14:paraId="017AEAF6" w14:textId="77777777" w:rsidR="001A7696" w:rsidRDefault="00412CB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394855B" w14:textId="731F2A45" w:rsidR="001A7696" w:rsidRDefault="00412CB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B1BB8">
                        <w:rPr>
                          <w:sz w:val="16"/>
                        </w:rPr>
                        <w:t>2025</w:t>
                      </w:r>
                      <w:r>
                        <w:rPr>
                          <w:sz w:val="16"/>
                        </w:rPr>
                        <w:fldChar w:fldCharType="end"/>
                      </w:r>
                      <w:r>
                        <w:rPr>
                          <w:sz w:val="16"/>
                        </w:rPr>
                        <w:t>.</w:t>
                      </w:r>
                    </w:p>
                    <w:p w14:paraId="53CCD16B" w14:textId="77777777" w:rsidR="001A7696" w:rsidRDefault="00412CB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16-ag0-00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16-ag0-00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4</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4</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4</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89" w:name="Schedule"/>
    <w:bookmarkEnd w:id="1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00" w:name="DefinedTerms"/>
    <w:bookmarkEnd w:id="20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1" w:name="Coversheet"/>
    <w:bookmarkEnd w:id="2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57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35444"/>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 w:name="WAFER_2023080715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52651_GUID" w:val="f3cf226e-4f8c-4ce8-9c83-8af43200605e"/>
    <w:docVar w:name="WAFER_20231215100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00457_GUID" w:val="fda11f50-5a42-4dfd-b628-8b6588c161f1"/>
    <w:docVar w:name="WAFER_2023121510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00542_GUID" w:val="ba1ba931-845d-4799-88ce-d400801d6115"/>
    <w:docVar w:name="WAFER_20240429131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31730_GUID" w:val="50266e48-7f24-48de-802f-032873ccfd9a"/>
    <w:docVar w:name="WAFER_2024062511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42_GUID" w:val="29fdc2c1-b275-439b-92e7-aeff642c8741"/>
    <w:docVar w:name="WAFER_20240912151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1609_GUID" w:val="a4b0099d-1060-42d7-a82a-90b05cf63328"/>
    <w:docVar w:name="WAFER_20240924095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5552_GUID" w:val="faeee175-e292-4a6d-bd52-79dd0fb3e234"/>
    <w:docVar w:name="WAFER_20250424135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35444_GUID" w:val="5b937bfc-7aa0-409b-954d-2817973eec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61"/>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539E-48BF-4B4C-9F9B-86E88AA4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27032</Words>
  <Characters>127325</Characters>
  <Application>Microsoft Office Word</Application>
  <DocSecurity>0</DocSecurity>
  <Lines>3978</Lines>
  <Paragraphs>2338</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152019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1958 - 16-ag0-00</dc:title>
  <dc:subject/>
  <dc:creator/>
  <cp:keywords/>
  <dc:description/>
  <cp:lastModifiedBy>Master Repository Process</cp:lastModifiedBy>
  <cp:revision>4</cp:revision>
  <cp:lastPrinted>2018-12-03T07:06:00Z</cp:lastPrinted>
  <dcterms:created xsi:type="dcterms:W3CDTF">2025-06-23T06:35:00Z</dcterms:created>
  <dcterms:modified xsi:type="dcterms:W3CDTF">2025-06-23T06:35:00Z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AsAtDate">
    <vt:lpwstr>01 May 2025</vt:lpwstr>
  </property>
  <property fmtid="{D5CDD505-2E9C-101B-9397-08002B2CF9AE}" pid="8" name="Suffix">
    <vt:lpwstr>16-ag0-00</vt:lpwstr>
  </property>
  <property fmtid="{D5CDD505-2E9C-101B-9397-08002B2CF9AE}" pid="9" name="Official">
    <vt:lpwstr/>
  </property>
  <property fmtid="{D5CDD505-2E9C-101B-9397-08002B2CF9AE}" pid="10" name="CommencementDate">
    <vt:lpwstr>20250501</vt:lpwstr>
  </property>
  <property fmtid="{D5CDD505-2E9C-101B-9397-08002B2CF9AE}" pid="11" name="CommencementAsAt">
    <vt:filetime>2025-04-30T16:00:00Z</vt:filetime>
  </property>
  <property fmtid="{D5CDD505-2E9C-101B-9397-08002B2CF9AE}" pid="12" name="CommencementYear">
    <vt:lpwstr>2025</vt:lpwstr>
  </property>
</Properties>
</file>