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Plumbers Licensing Act 1995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Plumbers Licensing and Plumbing Standards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Plumbers Licensing and Plumbing Standards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_Toc197596593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_Toc197596594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_Toc197596595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_Toc197596596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_Toc197596597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9A inserted</w:t>
      </w:r>
      <w:r>
        <w:tab/>
      </w:r>
      <w:r>
        <w:fldChar w:fldCharType="begin"/>
      </w:r>
      <w:r>
        <w:instrText xml:space="preserve"> PAGEREF _Toc197596598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9A.</w:t>
      </w:r>
      <w:r>
        <w:rPr>
          <w:noProof/>
        </w:rPr>
        <w:tab/>
        <w:t>Licence or permit not required for certain work carried out on behalf of sewerage service licensees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_Toc197596599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_Toc197596600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13D amended</w:t>
      </w:r>
      <w:r>
        <w:tab/>
      </w:r>
      <w:r>
        <w:fldChar w:fldCharType="begin"/>
      </w:r>
      <w:r>
        <w:instrText xml:space="preserve"> PAGEREF _Toc197596601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13E amended</w:t>
      </w:r>
      <w:r>
        <w:tab/>
      </w:r>
      <w:r>
        <w:fldChar w:fldCharType="begin"/>
      </w:r>
      <w:r>
        <w:instrText xml:space="preserve"> PAGEREF _Toc197596602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45E amended</w:t>
      </w:r>
      <w:r>
        <w:tab/>
      </w:r>
      <w:r>
        <w:fldChar w:fldCharType="begin"/>
      </w:r>
      <w:r>
        <w:instrText xml:space="preserve"> PAGEREF _Toc197596603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48 amended</w:t>
      </w:r>
      <w:r>
        <w:tab/>
      </w:r>
      <w:r>
        <w:fldChar w:fldCharType="begin"/>
      </w:r>
      <w:r>
        <w:instrText xml:space="preserve"> PAGEREF _Toc197596604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50 amended</w:t>
      </w:r>
      <w:r>
        <w:tab/>
      </w:r>
      <w:r>
        <w:fldChar w:fldCharType="begin"/>
      </w:r>
      <w:r>
        <w:instrText xml:space="preserve"> PAGEREF _Toc197596605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Part 6A heading amended</w:t>
      </w:r>
      <w:r>
        <w:tab/>
      </w:r>
      <w:r>
        <w:fldChar w:fldCharType="begin"/>
      </w:r>
      <w:r>
        <w:instrText xml:space="preserve"> PAGEREF _Toc197596606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 56 amended</w:t>
      </w:r>
      <w:r>
        <w:tab/>
      </w:r>
      <w:r>
        <w:fldChar w:fldCharType="begin"/>
      </w:r>
      <w:r>
        <w:instrText xml:space="preserve"> PAGEREF _Toc197596607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 57 amended</w:t>
      </w:r>
      <w:r>
        <w:tab/>
      </w:r>
      <w:r>
        <w:fldChar w:fldCharType="begin"/>
      </w:r>
      <w:r>
        <w:instrText xml:space="preserve"> PAGEREF _Toc197596608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Regulation 58 amended</w:t>
      </w:r>
      <w:r>
        <w:tab/>
      </w:r>
      <w:r>
        <w:fldChar w:fldCharType="begin"/>
      </w:r>
      <w:r>
        <w:instrText xml:space="preserve"> PAGEREF _Toc197596609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 59 amended</w:t>
      </w:r>
      <w:r>
        <w:tab/>
      </w:r>
      <w:r>
        <w:fldChar w:fldCharType="begin"/>
      </w:r>
      <w:r>
        <w:instrText xml:space="preserve"> PAGEREF _Toc197596610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Regulation 71 amended</w:t>
      </w:r>
      <w:r>
        <w:tab/>
      </w:r>
      <w:r>
        <w:fldChar w:fldCharType="begin"/>
      </w:r>
      <w:r>
        <w:instrText xml:space="preserve"> PAGEREF _Toc197596611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Schedule 3 amended</w:t>
      </w:r>
      <w:r>
        <w:tab/>
      </w:r>
      <w:r>
        <w:fldChar w:fldCharType="begin"/>
      </w:r>
      <w:r>
        <w:instrText xml:space="preserve"> PAGEREF _Toc197596612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Plumbers Licensing Act 1995</w:t>
      </w:r>
    </w:p>
    <w:p>
      <w:pPr>
        <w:pStyle w:val="NameofActReg"/>
      </w:pPr>
      <w:r>
        <w:t>Plumbers Licensing and Plumbing Standards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7596450"/>
      <w:bookmarkStart w:id="3" w:name="_Toc19759659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Plumbers Licensing and Plumbing Standards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7596451"/>
      <w:bookmarkStart w:id="6" w:name="_Toc19759659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7596452"/>
      <w:bookmarkStart w:id="8" w:name="_Toc19759659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Plumbers Licensing and Plumbing Standards Regulations 2000</w:t>
      </w:r>
      <w:r>
        <w:t>.</w:t>
      </w:r>
    </w:p>
    <w:p>
      <w:pPr>
        <w:pStyle w:val="Heading5"/>
      </w:pPr>
      <w:bookmarkStart w:id="9" w:name="_Toc197596453"/>
      <w:bookmarkStart w:id="10" w:name="_Toc197596596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  <w:rPr>
          <w:bCs/>
          <w:iCs/>
        </w:rPr>
      </w:pPr>
      <w:r>
        <w:tab/>
        <w:t>(1)</w:t>
      </w:r>
      <w:r>
        <w:tab/>
        <w:t xml:space="preserve">In regulation 3(1) delete the definition of </w:t>
      </w:r>
      <w:r>
        <w:rPr>
          <w:b/>
          <w:bCs/>
          <w:i/>
          <w:iCs/>
        </w:rPr>
        <w:t>dwelling</w:t>
      </w:r>
      <w:r>
        <w:t>.</w:t>
      </w:r>
    </w:p>
    <w:p>
      <w:pPr>
        <w:pStyle w:val="Subsection"/>
      </w:pPr>
      <w:r>
        <w:tab/>
        <w:t>(2)</w:t>
      </w:r>
      <w:r>
        <w:tab/>
        <w:t>In regulation 3(1)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dwelling</w:t>
      </w:r>
      <w:r>
        <w:t xml:space="preserve"> — </w:t>
      </w:r>
    </w:p>
    <w:p>
      <w:pPr>
        <w:pStyle w:val="zDefpara"/>
      </w:pPr>
      <w:r>
        <w:tab/>
        <w:t>(a)</w:t>
      </w:r>
      <w:r>
        <w:tab/>
        <w:t xml:space="preserve">means the following — </w:t>
      </w:r>
    </w:p>
    <w:p>
      <w:pPr>
        <w:pStyle w:val="zDefsubpara"/>
      </w:pPr>
      <w:r>
        <w:tab/>
        <w:t>(i)</w:t>
      </w:r>
      <w:r>
        <w:tab/>
        <w:t>a Class 1a or 4 building;</w:t>
      </w:r>
    </w:p>
    <w:p>
      <w:pPr>
        <w:pStyle w:val="zDefsubpara"/>
      </w:pPr>
      <w:r>
        <w:lastRenderedPageBreak/>
        <w:tab/>
        <w:t>(ii)</w:t>
      </w:r>
      <w:r>
        <w:tab/>
        <w:t>a sole</w:t>
      </w:r>
      <w:r>
        <w:noBreakHyphen/>
        <w:t>occupancy unit (as defined in the Plumbing Code Schedule 1) in a Class 2 building;</w:t>
      </w:r>
    </w:p>
    <w:p>
      <w:pPr>
        <w:pStyle w:val="zDefsubpara"/>
      </w:pPr>
      <w:r>
        <w:tab/>
        <w:t>(iii)</w:t>
      </w:r>
      <w:r>
        <w:tab/>
        <w:t>a Class 10a building that is for the use of a resident of a Class 1a building;</w:t>
      </w:r>
    </w:p>
    <w:p>
      <w:pPr>
        <w:pStyle w:val="zDefpara"/>
      </w:pPr>
      <w:r>
        <w:tab/>
      </w:r>
      <w:r>
        <w:tab/>
        <w:t>but</w:t>
      </w:r>
    </w:p>
    <w:p>
      <w:pPr>
        <w:pStyle w:val="zDefpara"/>
      </w:pPr>
      <w:r>
        <w:tab/>
        <w:t>(b)</w:t>
      </w:r>
      <w:r>
        <w:tab/>
        <w:t>does not include a building under construction;</w:t>
      </w:r>
    </w:p>
    <w:p>
      <w:pPr>
        <w:pStyle w:val="zDefstart"/>
      </w:pPr>
      <w:r>
        <w:tab/>
      </w:r>
      <w:r>
        <w:rPr>
          <w:rStyle w:val="CharDefText"/>
        </w:rPr>
        <w:t>plumbing work</w:t>
      </w:r>
      <w:r>
        <w:t xml:space="preserve"> has the meaning given in section 59I of the Act;</w:t>
      </w:r>
    </w:p>
    <w:p>
      <w:pPr>
        <w:pStyle w:val="zDefstart"/>
      </w:pPr>
      <w:r>
        <w:tab/>
      </w:r>
      <w:r>
        <w:rPr>
          <w:rStyle w:val="CharDefText"/>
        </w:rPr>
        <w:t>sewerage service licensee</w:t>
      </w:r>
      <w:r>
        <w:t xml:space="preserve"> means a licensee for the provision of a sewerage service as those terms are defined in the </w:t>
      </w:r>
      <w:r>
        <w:rPr>
          <w:i/>
        </w:rPr>
        <w:t>Water Services Act 2012</w:t>
      </w:r>
      <w:r>
        <w:t xml:space="preserve"> section 3(1);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 xml:space="preserve">In regulation 3(1) in the definitions of </w:t>
      </w:r>
      <w:r>
        <w:rPr>
          <w:b/>
          <w:bCs/>
          <w:i/>
          <w:iCs/>
        </w:rPr>
        <w:t>restricted plumbing permit (rainwater storage)</w:t>
      </w:r>
      <w:r>
        <w:t xml:space="preserve"> and </w:t>
      </w:r>
      <w:r>
        <w:rPr>
          <w:b/>
          <w:bCs/>
          <w:i/>
          <w:iCs/>
        </w:rPr>
        <w:t>restricted plumbing permit (water heater)</w:t>
      </w:r>
      <w:r>
        <w:t xml:space="preserve"> delete “the permit” and insert: 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 restricted plumbing permit of the kind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 xml:space="preserve">In regulation 3(1) in the definition of </w:t>
      </w:r>
      <w:r>
        <w:rPr>
          <w:b/>
          <w:bCs/>
          <w:i/>
          <w:iCs/>
        </w:rPr>
        <w:t>sewer</w:t>
      </w:r>
      <w:r>
        <w:t xml:space="preserve"> delete “3(1);” and insert: 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71(1);</w:t>
      </w:r>
    </w:p>
    <w:p>
      <w:pPr>
        <w:pStyle w:val="BlankClose"/>
      </w:pPr>
    </w:p>
    <w:p>
      <w:pPr>
        <w:pStyle w:val="Heading5"/>
      </w:pPr>
      <w:bookmarkStart w:id="11" w:name="_Toc197596454"/>
      <w:bookmarkStart w:id="12" w:name="_Toc197596597"/>
      <w:r>
        <w:rPr>
          <w:rStyle w:val="CharSectno"/>
        </w:rPr>
        <w:t>5</w:t>
      </w:r>
      <w:r>
        <w:t>.</w:t>
      </w:r>
      <w:r>
        <w:tab/>
        <w:t>Regulation 5 amended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In regulation 5(2)(d) delete “Western Australian Drainage Association” and insert: </w:t>
      </w:r>
    </w:p>
    <w:p>
      <w:pPr>
        <w:pStyle w:val="BlankOpen"/>
      </w:pPr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Assoc of Hydraulic Services Consultants Aust WA Chapter Inc</w:t>
      </w:r>
    </w:p>
    <w:p>
      <w:pPr>
        <w:pStyle w:val="BlankClose"/>
      </w:pPr>
    </w:p>
    <w:p>
      <w:pPr>
        <w:pStyle w:val="Heading5"/>
      </w:pPr>
      <w:bookmarkStart w:id="13" w:name="_Toc197596455"/>
      <w:bookmarkStart w:id="14" w:name="_Toc197596598"/>
      <w:r>
        <w:rPr>
          <w:rStyle w:val="CharSectno"/>
        </w:rPr>
        <w:lastRenderedPageBreak/>
        <w:t>6</w:t>
      </w:r>
      <w:r>
        <w:t>.</w:t>
      </w:r>
      <w:r>
        <w:tab/>
        <w:t>Regulation 9A inserted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After regulation 9 insert: </w:t>
      </w:r>
    </w:p>
    <w:p>
      <w:pPr>
        <w:pStyle w:val="BlankOpen"/>
      </w:pPr>
    </w:p>
    <w:p>
      <w:pPr>
        <w:pStyle w:val="zHeading5"/>
      </w:pPr>
      <w:bookmarkStart w:id="15" w:name="_Toc197596456"/>
      <w:bookmarkStart w:id="16" w:name="_Toc197596599"/>
      <w:r>
        <w:t>9A.</w:t>
      </w:r>
      <w:r>
        <w:tab/>
        <w:t>Licence or permit not required for certain work carried out on behalf of sewerage service licensees</w:t>
      </w:r>
      <w:bookmarkEnd w:id="15"/>
      <w:bookmarkEnd w:id="16"/>
    </w:p>
    <w:p>
      <w:pPr>
        <w:pStyle w:val="zSubsection"/>
      </w:pPr>
      <w:r>
        <w:t>(1)</w:t>
      </w:r>
      <w:r>
        <w:tab/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property sewer connection</w:t>
      </w:r>
      <w:r>
        <w:t xml:space="preserve"> has the meaning given in the </w:t>
      </w:r>
      <w:r>
        <w:rPr>
          <w:i/>
        </w:rPr>
        <w:t>Water Services Act 2012</w:t>
      </w:r>
      <w:r>
        <w:t xml:space="preserve"> section 71(1);</w:t>
      </w:r>
    </w:p>
    <w:p>
      <w:pPr>
        <w:pStyle w:val="zDefstart"/>
      </w:pPr>
      <w:r>
        <w:tab/>
      </w:r>
      <w:r>
        <w:rPr>
          <w:rStyle w:val="CharDefText"/>
        </w:rPr>
        <w:t>relevant drainage plumbing work</w:t>
      </w:r>
      <w:r>
        <w:t xml:space="preserve"> means drainage plumbing work carried out in relation to the following — </w:t>
      </w:r>
    </w:p>
    <w:p>
      <w:pPr>
        <w:pStyle w:val="zDefpara"/>
      </w:pPr>
      <w:r>
        <w:tab/>
        <w:t>(a)</w:t>
      </w:r>
      <w:r>
        <w:tab/>
        <w:t>the maintenance, testing, repair or replacement of an existing property sewer connection;</w:t>
      </w:r>
    </w:p>
    <w:p>
      <w:pPr>
        <w:pStyle w:val="zDefpara"/>
      </w:pPr>
      <w:r>
        <w:tab/>
        <w:t>(b)</w:t>
      </w:r>
      <w:r>
        <w:tab/>
        <w:t>the installation of a property sewer connection in connection with the installation of a new sewer.</w:t>
      </w:r>
    </w:p>
    <w:p>
      <w:pPr>
        <w:pStyle w:val="zSubsection"/>
      </w:pPr>
      <w:r>
        <w:t>(2)</w:t>
      </w:r>
      <w:r>
        <w:tab/>
      </w:r>
      <w:r>
        <w:tab/>
        <w:t xml:space="preserve">Regulation 9(1) does not apply to a person who carries out relevant drainage plumbing work while engaged by, or under the direction and control of, a sewerage service licensee (the </w:t>
      </w:r>
      <w:r>
        <w:rPr>
          <w:rStyle w:val="CharDefText"/>
        </w:rPr>
        <w:t>relevant licensee</w:t>
      </w:r>
      <w:r>
        <w:t>).</w:t>
      </w:r>
    </w:p>
    <w:p>
      <w:pPr>
        <w:pStyle w:val="zSubsection"/>
      </w:pPr>
      <w:r>
        <w:t>(3)</w:t>
      </w:r>
      <w:r>
        <w:tab/>
      </w:r>
      <w:r>
        <w:tab/>
        <w:t xml:space="preserve">Regulation 44A applies to a relevant licensee as if a reference in that regulation — </w:t>
      </w:r>
    </w:p>
    <w:p>
      <w:pPr>
        <w:pStyle w:val="zIndenta"/>
      </w:pPr>
      <w:r>
        <w:tab/>
        <w:t>(a)</w:t>
      </w:r>
      <w:r>
        <w:tab/>
        <w:t>to a licensed plumbing contractor were a reference to the relevant licensee; and</w:t>
      </w:r>
    </w:p>
    <w:p>
      <w:pPr>
        <w:pStyle w:val="zIndenta"/>
      </w:pPr>
      <w:r>
        <w:tab/>
        <w:t>(b)</w:t>
      </w:r>
      <w:r>
        <w:tab/>
        <w:t>to minor plumbing work were a reference to relevant drainage plumbing work.</w:t>
      </w:r>
    </w:p>
    <w:p>
      <w:pPr>
        <w:pStyle w:val="zSubsection"/>
      </w:pPr>
      <w:r>
        <w:t>(4)</w:t>
      </w:r>
      <w:r>
        <w:tab/>
      </w:r>
      <w:r>
        <w:tab/>
        <w:t xml:space="preserve">Part 7 Division 2 (other than regulation 70) applies to relevant drainage plumbing work as if the relevant licensee — </w:t>
      </w:r>
    </w:p>
    <w:p>
      <w:pPr>
        <w:pStyle w:val="zIndenta"/>
      </w:pPr>
      <w:r>
        <w:tab/>
        <w:t>(a)</w:t>
      </w:r>
      <w:r>
        <w:tab/>
        <w:t>had carried out, and was responsible for, the work; and</w:t>
      </w:r>
    </w:p>
    <w:p>
      <w:pPr>
        <w:pStyle w:val="zIndenta"/>
      </w:pPr>
      <w:r>
        <w:lastRenderedPageBreak/>
        <w:tab/>
        <w:t>(b)</w:t>
      </w:r>
      <w:r>
        <w:tab/>
        <w:t>was a licensed plumbing contractor.</w:t>
      </w:r>
    </w:p>
    <w:p>
      <w:pPr>
        <w:pStyle w:val="BlankClose"/>
      </w:pPr>
    </w:p>
    <w:p>
      <w:pPr>
        <w:pStyle w:val="Heading5"/>
      </w:pPr>
      <w:bookmarkStart w:id="17" w:name="_Toc197596457"/>
      <w:bookmarkStart w:id="18" w:name="_Toc197596600"/>
      <w:r>
        <w:rPr>
          <w:rStyle w:val="CharSectno"/>
        </w:rPr>
        <w:t>7</w:t>
      </w:r>
      <w:r>
        <w:t>.</w:t>
      </w:r>
      <w:r>
        <w:tab/>
        <w:t>Regulation 11 amended</w:t>
      </w:r>
      <w:bookmarkEnd w:id="17"/>
      <w:bookmarkEnd w:id="18"/>
    </w:p>
    <w:p>
      <w:pPr>
        <w:pStyle w:val="Subsection"/>
      </w:pPr>
      <w:r>
        <w:tab/>
      </w:r>
      <w:r>
        <w:tab/>
        <w:t>In regulation 11:</w:t>
      </w:r>
    </w:p>
    <w:p>
      <w:pPr>
        <w:pStyle w:val="Indenta"/>
      </w:pPr>
      <w:r>
        <w:tab/>
        <w:t>(a)</w:t>
      </w:r>
      <w:r>
        <w:tab/>
        <w:t>in paragraph (d) delete “permit (water heater); and”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permit.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paragraph (e).</w:t>
      </w:r>
    </w:p>
    <w:p>
      <w:pPr>
        <w:pStyle w:val="Heading5"/>
      </w:pPr>
      <w:bookmarkStart w:id="19" w:name="_Toc197596458"/>
      <w:bookmarkStart w:id="20" w:name="_Toc197596601"/>
      <w:r>
        <w:rPr>
          <w:rStyle w:val="CharSectno"/>
        </w:rPr>
        <w:t>8</w:t>
      </w:r>
      <w:r>
        <w:t>.</w:t>
      </w:r>
      <w:r>
        <w:tab/>
        <w:t>Regulation 13D amended</w:t>
      </w:r>
      <w:bookmarkEnd w:id="19"/>
      <w:bookmarkEnd w:id="20"/>
    </w:p>
    <w:p>
      <w:pPr>
        <w:pStyle w:val="Subsection"/>
      </w:pPr>
      <w:r>
        <w:tab/>
      </w:r>
      <w:r>
        <w:tab/>
        <w:t>In regulation 13D(3)(c) delete “overflow pipe”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drain line</w:t>
      </w:r>
    </w:p>
    <w:p>
      <w:pPr>
        <w:pStyle w:val="BlankClose"/>
      </w:pPr>
    </w:p>
    <w:p>
      <w:pPr>
        <w:pStyle w:val="Heading5"/>
      </w:pPr>
      <w:bookmarkStart w:id="21" w:name="_Toc197596459"/>
      <w:bookmarkStart w:id="22" w:name="_Toc197596602"/>
      <w:r>
        <w:rPr>
          <w:rStyle w:val="CharSectno"/>
        </w:rPr>
        <w:t>9</w:t>
      </w:r>
      <w:r>
        <w:t>.</w:t>
      </w:r>
      <w:r>
        <w:tab/>
        <w:t>Regulation 13E amended</w:t>
      </w:r>
      <w:bookmarkEnd w:id="21"/>
      <w:bookmarkEnd w:id="22"/>
    </w:p>
    <w:p>
      <w:pPr>
        <w:pStyle w:val="Subsection"/>
      </w:pPr>
      <w:r>
        <w:tab/>
      </w:r>
      <w:r>
        <w:tab/>
        <w:t>In regulation 13E in the note delete “</w:t>
      </w:r>
      <w:r>
        <w:rPr>
          <w:sz w:val="18"/>
        </w:rPr>
        <w:t xml:space="preserve">within 12 months of the day on which the </w:t>
      </w:r>
      <w:r>
        <w:rPr>
          <w:i/>
          <w:sz w:val="18"/>
        </w:rPr>
        <w:t>Commerce Regulations Amendment (Plumbing) Regulations 2024</w:t>
      </w:r>
      <w:r>
        <w:rPr>
          <w:sz w:val="18"/>
        </w:rPr>
        <w:t xml:space="preserve"> regulation 62 comes into operation: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18"/>
        </w:rPr>
      </w:pPr>
      <w:r>
        <w:tab/>
      </w:r>
      <w:r>
        <w:tab/>
      </w:r>
      <w:r>
        <w:rPr>
          <w:sz w:val="18"/>
        </w:rPr>
        <w:t>before 10 February 2026:</w:t>
      </w:r>
    </w:p>
    <w:p>
      <w:pPr>
        <w:pStyle w:val="BlankClose"/>
      </w:pPr>
    </w:p>
    <w:p>
      <w:pPr>
        <w:pStyle w:val="Heading5"/>
      </w:pPr>
      <w:bookmarkStart w:id="23" w:name="_Toc197596460"/>
      <w:bookmarkStart w:id="24" w:name="_Toc197596603"/>
      <w:r>
        <w:rPr>
          <w:rStyle w:val="CharSectno"/>
        </w:rPr>
        <w:t>10</w:t>
      </w:r>
      <w:r>
        <w:t>.</w:t>
      </w:r>
      <w:r>
        <w:tab/>
        <w:t>Regulation 45E amended</w:t>
      </w:r>
      <w:bookmarkEnd w:id="23"/>
      <w:bookmarkEnd w:id="24"/>
    </w:p>
    <w:p>
      <w:pPr>
        <w:pStyle w:val="Subsection"/>
      </w:pPr>
      <w:r>
        <w:tab/>
        <w:t>(1)</w:t>
      </w:r>
      <w:r>
        <w:tab/>
        <w:t>In regulation 45E(4)(b) delete “1 July 2022 at p. 4039</w:t>
      </w:r>
      <w:r>
        <w:noBreakHyphen/>
        <w:t>40.”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19 January 2024.</w:t>
      </w:r>
    </w:p>
    <w:p>
      <w:pPr>
        <w:pStyle w:val="BlankClose"/>
      </w:pPr>
    </w:p>
    <w:p>
      <w:pPr>
        <w:pStyle w:val="Subsection"/>
      </w:pPr>
      <w:r>
        <w:lastRenderedPageBreak/>
        <w:tab/>
        <w:t>(2)</w:t>
      </w:r>
      <w:r>
        <w:tab/>
        <w:t>Delete regulation 45E(5).</w:t>
      </w:r>
    </w:p>
    <w:p>
      <w:pPr>
        <w:pStyle w:val="Heading5"/>
      </w:pPr>
      <w:bookmarkStart w:id="25" w:name="_Toc197596461"/>
      <w:bookmarkStart w:id="26" w:name="_Toc197596604"/>
      <w:r>
        <w:rPr>
          <w:rStyle w:val="CharSectno"/>
        </w:rPr>
        <w:t>11</w:t>
      </w:r>
      <w:r>
        <w:t>.</w:t>
      </w:r>
      <w:r>
        <w:tab/>
        <w:t>Regulation 48 amended</w:t>
      </w:r>
      <w:bookmarkEnd w:id="25"/>
      <w:bookmarkEnd w:id="26"/>
    </w:p>
    <w:p>
      <w:pPr>
        <w:pStyle w:val="Subsection"/>
      </w:pPr>
      <w:r>
        <w:tab/>
      </w:r>
      <w:r>
        <w:tab/>
        <w:t>In regulation 48(1):</w:t>
      </w:r>
    </w:p>
    <w:p>
      <w:pPr>
        <w:pStyle w:val="Indenta"/>
      </w:pPr>
      <w:r>
        <w:tab/>
        <w:t>(a)</w:t>
      </w:r>
      <w:r>
        <w:tab/>
        <w:t>delete “to plumbing and”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to, and in connection with, the carrying out of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“plumbing and”.</w:t>
      </w:r>
    </w:p>
    <w:p>
      <w:pPr>
        <w:pStyle w:val="Heading5"/>
      </w:pPr>
      <w:bookmarkStart w:id="27" w:name="_Toc197596462"/>
      <w:bookmarkStart w:id="28" w:name="_Toc197596605"/>
      <w:r>
        <w:rPr>
          <w:rStyle w:val="CharSectno"/>
        </w:rPr>
        <w:t>12</w:t>
      </w:r>
      <w:r>
        <w:t>.</w:t>
      </w:r>
      <w:r>
        <w:tab/>
        <w:t>Regulation 50 amended</w:t>
      </w:r>
      <w:bookmarkEnd w:id="27"/>
      <w:bookmarkEnd w:id="28"/>
    </w:p>
    <w:p>
      <w:pPr>
        <w:pStyle w:val="Subsection"/>
      </w:pPr>
      <w:r>
        <w:tab/>
      </w:r>
      <w:r>
        <w:tab/>
        <w:t>In regulation 50(b) delete “in a tradesman like manner.”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with reasonable care and skill.</w:t>
      </w:r>
    </w:p>
    <w:p>
      <w:pPr>
        <w:pStyle w:val="BlankClose"/>
      </w:pPr>
    </w:p>
    <w:p>
      <w:pPr>
        <w:pStyle w:val="Heading5"/>
      </w:pPr>
      <w:bookmarkStart w:id="29" w:name="_Toc197596463"/>
      <w:bookmarkStart w:id="30" w:name="_Toc197596606"/>
      <w:r>
        <w:rPr>
          <w:rStyle w:val="CharSectno"/>
        </w:rPr>
        <w:t>13</w:t>
      </w:r>
      <w:r>
        <w:t>.</w:t>
      </w:r>
      <w:r>
        <w:tab/>
        <w:t>Part 6A heading amended</w:t>
      </w:r>
      <w:bookmarkEnd w:id="29"/>
      <w:bookmarkEnd w:id="30"/>
    </w:p>
    <w:p>
      <w:pPr>
        <w:pStyle w:val="Subsection"/>
      </w:pPr>
      <w:r>
        <w:tab/>
      </w:r>
      <w:r>
        <w:tab/>
        <w:t>In the heading to Part 6A delete “</w:t>
      </w:r>
      <w:r>
        <w:rPr>
          <w:b/>
          <w:sz w:val="30"/>
        </w:rPr>
        <w:t>plumbing and</w:t>
      </w:r>
      <w:r>
        <w:t>”.</w:t>
      </w:r>
    </w:p>
    <w:p>
      <w:pPr>
        <w:pStyle w:val="Heading5"/>
      </w:pPr>
      <w:bookmarkStart w:id="31" w:name="_Toc197596464"/>
      <w:bookmarkStart w:id="32" w:name="_Toc197596607"/>
      <w:r>
        <w:rPr>
          <w:rStyle w:val="CharSectno"/>
        </w:rPr>
        <w:t>14</w:t>
      </w:r>
      <w:r>
        <w:t>.</w:t>
      </w:r>
      <w:r>
        <w:tab/>
        <w:t>Regulation 56 amended</w:t>
      </w:r>
      <w:bookmarkEnd w:id="31"/>
      <w:bookmarkEnd w:id="32"/>
    </w:p>
    <w:p>
      <w:pPr>
        <w:pStyle w:val="Subsection"/>
      </w:pPr>
      <w:r>
        <w:tab/>
      </w:r>
      <w:r>
        <w:tab/>
        <w:t>In regulation 56(1) delete “plumbing and”.</w:t>
      </w:r>
    </w:p>
    <w:p>
      <w:pPr>
        <w:pStyle w:val="Heading5"/>
      </w:pPr>
      <w:bookmarkStart w:id="33" w:name="_Toc197596465"/>
      <w:bookmarkStart w:id="34" w:name="_Toc197596608"/>
      <w:r>
        <w:rPr>
          <w:rStyle w:val="CharSectno"/>
        </w:rPr>
        <w:t>15</w:t>
      </w:r>
      <w:r>
        <w:t>.</w:t>
      </w:r>
      <w:r>
        <w:tab/>
        <w:t>Regulation 57 amended</w:t>
      </w:r>
      <w:bookmarkEnd w:id="33"/>
      <w:bookmarkEnd w:id="34"/>
    </w:p>
    <w:p>
      <w:pPr>
        <w:pStyle w:val="Subsection"/>
      </w:pPr>
      <w:r>
        <w:tab/>
      </w:r>
      <w:r>
        <w:tab/>
        <w:t>In regulation 57(2) delete “plumbing and”.</w:t>
      </w:r>
    </w:p>
    <w:p>
      <w:pPr>
        <w:pStyle w:val="Heading5"/>
      </w:pPr>
      <w:bookmarkStart w:id="35" w:name="_Toc197596466"/>
      <w:bookmarkStart w:id="36" w:name="_Toc197596609"/>
      <w:r>
        <w:rPr>
          <w:rStyle w:val="CharSectno"/>
        </w:rPr>
        <w:t>16</w:t>
      </w:r>
      <w:r>
        <w:t>.</w:t>
      </w:r>
      <w:r>
        <w:tab/>
        <w:t>Regulation 58 amended</w:t>
      </w:r>
      <w:bookmarkEnd w:id="35"/>
      <w:bookmarkEnd w:id="36"/>
    </w:p>
    <w:p>
      <w:pPr>
        <w:pStyle w:val="Subsection"/>
      </w:pPr>
      <w:r>
        <w:tab/>
      </w:r>
      <w:r>
        <w:tab/>
        <w:t>In regulation 58(1) delete “plumbing and”.</w:t>
      </w:r>
    </w:p>
    <w:p>
      <w:pPr>
        <w:pStyle w:val="Heading5"/>
      </w:pPr>
      <w:bookmarkStart w:id="37" w:name="_Toc197596467"/>
      <w:bookmarkStart w:id="38" w:name="_Toc197596610"/>
      <w:r>
        <w:rPr>
          <w:rStyle w:val="CharSectno"/>
        </w:rPr>
        <w:t>17</w:t>
      </w:r>
      <w:r>
        <w:t>.</w:t>
      </w:r>
      <w:r>
        <w:tab/>
        <w:t>Regulation 59 amended</w:t>
      </w:r>
      <w:bookmarkEnd w:id="37"/>
      <w:bookmarkEnd w:id="38"/>
    </w:p>
    <w:p>
      <w:pPr>
        <w:pStyle w:val="Subsection"/>
      </w:pPr>
      <w:r>
        <w:tab/>
      </w:r>
      <w:r>
        <w:tab/>
        <w:t>In regulation 59(1) delete “plumbing and”.</w:t>
      </w:r>
    </w:p>
    <w:p>
      <w:pPr>
        <w:pStyle w:val="Heading5"/>
      </w:pPr>
      <w:bookmarkStart w:id="39" w:name="_Toc197596468"/>
      <w:bookmarkStart w:id="40" w:name="_Toc197596611"/>
      <w:r>
        <w:rPr>
          <w:rStyle w:val="CharSectno"/>
        </w:rPr>
        <w:lastRenderedPageBreak/>
        <w:t>18</w:t>
      </w:r>
      <w:r>
        <w:t>.</w:t>
      </w:r>
      <w:r>
        <w:tab/>
        <w:t>Regulation 71 amended</w:t>
      </w:r>
      <w:bookmarkEnd w:id="39"/>
      <w:bookmarkEnd w:id="40"/>
    </w:p>
    <w:p>
      <w:pPr>
        <w:pStyle w:val="Subsection"/>
      </w:pPr>
      <w:r>
        <w:tab/>
      </w:r>
      <w:r>
        <w:tab/>
        <w:t>In regulation 71(1)(d) delete “in a tradesman like manner.”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with reasonable care and skill.</w:t>
      </w:r>
    </w:p>
    <w:p>
      <w:pPr>
        <w:pStyle w:val="BlankClose"/>
      </w:pPr>
    </w:p>
    <w:p>
      <w:pPr>
        <w:pStyle w:val="Heading5"/>
      </w:pPr>
      <w:bookmarkStart w:id="41" w:name="_Toc197596469"/>
      <w:bookmarkStart w:id="42" w:name="_Toc197596612"/>
      <w:r>
        <w:rPr>
          <w:rStyle w:val="CharSectno"/>
        </w:rPr>
        <w:t>19</w:t>
      </w:r>
      <w:r>
        <w:t>.</w:t>
      </w:r>
      <w:r>
        <w:tab/>
        <w:t>Schedule 3 amended</w:t>
      </w:r>
      <w:bookmarkEnd w:id="41"/>
      <w:bookmarkEnd w:id="42"/>
    </w:p>
    <w:p>
      <w:pPr>
        <w:pStyle w:val="Subsection"/>
      </w:pPr>
      <w:r>
        <w:tab/>
        <w:t>(1)</w:t>
      </w:r>
      <w:r>
        <w:tab/>
        <w:t>In Schedule 3 delete clause 8(1).</w:t>
      </w:r>
    </w:p>
    <w:p>
      <w:pPr>
        <w:pStyle w:val="Subsection"/>
      </w:pPr>
      <w:r>
        <w:tab/>
        <w:t>(2)</w:t>
      </w:r>
      <w:r>
        <w:tab/>
        <w:t>In Schedule 3 clause 8(2)(a) delete “</w:t>
      </w:r>
      <w:r>
        <w:rPr>
          <w:sz w:val="22"/>
          <w:szCs w:val="18"/>
        </w:rPr>
        <w:t>the end of the 12</w:t>
      </w:r>
      <w:r>
        <w:rPr>
          <w:sz w:val="22"/>
          <w:szCs w:val="18"/>
        </w:rPr>
        <w:noBreakHyphen/>
        <w:t>month period beginning on commencement day; and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18"/>
        </w:rPr>
        <w:t>10 February 2026; and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Schedule 3 clause 8(2)(c) delete “</w:t>
      </w:r>
      <w:r>
        <w:rPr>
          <w:sz w:val="22"/>
          <w:szCs w:val="18"/>
        </w:rPr>
        <w:t>ending on commencement day,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18"/>
        </w:rPr>
        <w:t>immediately before 10 February 2025,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72350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072D6BDC" w14:textId="12D014EC" w:rsidR="00357AB5" w:rsidRDefault="00357A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48F91BD" w14:textId="77777777" w:rsidR="00357AB5" w:rsidRDefault="00357A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D6F00E" w14:textId="53CB8ACD" w:rsidR="00357AB5" w:rsidRDefault="00357A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AC40E3F" w14:textId="77777777" w:rsidR="00357AB5" w:rsidRDefault="00357AB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Plumbers Licensing and Plumbing Standards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Plumbers Licensing and Plumbing Standards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115"/>
      <w:gridCol w:w="600"/>
    </w:tblGrid>
    <w:tr>
      <w:trPr>
        <w:gridAfter w:val="1"/>
        <w:wAfter w:w="600" w:type="dxa"/>
        <w:cantSplit/>
        <w:jc w:val="center"/>
      </w:trPr>
      <w:tc>
        <w:tcPr>
          <w:tcW w:w="66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Plumbers Licensing and Plumbing Standards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426"/>
      <w:gridCol w:w="5289"/>
      <w:gridCol w:w="1548"/>
    </w:tblGrid>
    <w:tr>
      <w:trPr>
        <w:gridBefore w:val="1"/>
        <w:wBefore w:w="426" w:type="dxa"/>
        <w:cantSplit/>
        <w:jc w:val="center"/>
      </w:trPr>
      <w:tc>
        <w:tcPr>
          <w:tcW w:w="6837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Plumbers Licensing and Plumbing Standards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3" w:name="Coversheet"/>
    <w:bookmarkEnd w:id="4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RuleResults&gt;&lt;/RuleResults&gt;"/>
    <w:docVar w:name="WAFER" w:val="2025050811333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291447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29144719_GUID" w:val="f18285b7-f25d-445c-8c4f-04710a46598e"/>
    <w:docVar w:name="WAFER_202503190909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19090933_GUID" w:val="b4abb56c-f162-41f5-a317-fe8d614d8004"/>
    <w:docVar w:name="WAFER_202505081133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508113332_GUID" w:val="b4814145-c7ec-4b80-a433-a61730db3dd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5:docId w15:val="{2154D80E-BCC9-4E8B-83E2-A5E61704D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1073</Words>
  <Characters>5659</Characters>
  <Application>Microsoft Office Word</Application>
  <DocSecurity>0</DocSecurity>
  <Lines>235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Plumbers Licensing and Plumbing Standards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2025-07-04T03:36:00Z</dcterms:created>
  <dcterms:modified xsi:type="dcterms:W3CDTF">2025-07-04T03:36:00Z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55216</vt:lpwstr>
  </property>
  <property fmtid="{D5CDD505-2E9C-101B-9397-08002B2CF9AE}" pid="3" name="DocumentType">
    <vt:lpwstr>Reg</vt:lpwstr>
  </property>
  <property fmtid="{D5CDD505-2E9C-101B-9397-08002B2CF9AE}" pid="4" name="AsAtDate">
    <vt:lpwstr>14 May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2025/70</vt:lpwstr>
  </property>
  <property fmtid="{D5CDD505-2E9C-101B-9397-08002B2CF9AE}" pid="8" name="PublishDate">
    <vt:lpwstr>14 May 2025</vt:lpwstr>
  </property>
  <property fmtid="{D5CDD505-2E9C-101B-9397-08002B2CF9AE}" pid="9" name="CommencementDate">
    <vt:lpwstr>20250514</vt:lpwstr>
  </property>
  <property fmtid="{D5CDD505-2E9C-101B-9397-08002B2CF9AE}" pid="10" name="CommencementAsAt">
    <vt:filetime>2025-05-13T16:00:00Z</vt:filetime>
  </property>
  <property fmtid="{D5CDD505-2E9C-101B-9397-08002B2CF9AE}" pid="11" name="CommencementYear">
    <vt:lpwstr>2025</vt:lpwstr>
  </property>
</Properties>
</file>