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Family Court Act 1997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Family Court (Sex or Gender Changes) Rules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Family Court (Sex or Gender Changes) Rules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_Toc198032242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_Toc198032243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_Toc198032244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Application of rules</w:t>
      </w:r>
      <w:r>
        <w:tab/>
      </w:r>
      <w:r>
        <w:fldChar w:fldCharType="begin"/>
      </w:r>
      <w:r>
        <w:instrText xml:space="preserve"> PAGEREF _Toc198032245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Sex or gender application</w:t>
      </w:r>
      <w:r>
        <w:tab/>
      </w:r>
      <w:r>
        <w:fldChar w:fldCharType="begin"/>
      </w:r>
      <w:r>
        <w:instrText xml:space="preserve"> PAGEREF _Toc198032246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 xml:space="preserve">Application under </w:t>
      </w:r>
      <w:r>
        <w:rPr>
          <w:i/>
          <w:iCs/>
        </w:rPr>
        <w:t>Children and Community Services Act 2004</w:t>
      </w:r>
      <w:r>
        <w:t xml:space="preserve"> s. 63(3A)</w:t>
      </w:r>
      <w:r>
        <w:tab/>
      </w:r>
      <w:r>
        <w:fldChar w:fldCharType="begin"/>
      </w:r>
      <w:r>
        <w:instrText xml:space="preserve"> PAGEREF _Toc198032247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Ancillary application</w:t>
      </w:r>
      <w:r>
        <w:tab/>
      </w:r>
      <w:r>
        <w:fldChar w:fldCharType="begin"/>
      </w:r>
      <w:r>
        <w:instrText xml:space="preserve"> PAGEREF _Toc198032248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Fixing of directions hearing date</w:t>
      </w:r>
      <w:r>
        <w:tab/>
      </w:r>
      <w:r>
        <w:fldChar w:fldCharType="begin"/>
      </w:r>
      <w:r>
        <w:instrText xml:space="preserve"> PAGEREF _Toc198032249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Response to application</w:t>
      </w:r>
      <w:r>
        <w:tab/>
      </w:r>
      <w:r>
        <w:fldChar w:fldCharType="begin"/>
      </w:r>
      <w:r>
        <w:instrText xml:space="preserve"> PAGEREF _Toc198032250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Non</w:t>
      </w:r>
      <w:r>
        <w:noBreakHyphen/>
        <w:t>contentious sex or gender application</w:t>
      </w:r>
      <w:r>
        <w:tab/>
      </w:r>
      <w:r>
        <w:fldChar w:fldCharType="begin"/>
      </w:r>
      <w:r>
        <w:instrText xml:space="preserve"> PAGEREF _Toc198032251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Service of application or response</w:t>
      </w:r>
      <w:r>
        <w:tab/>
      </w:r>
      <w:r>
        <w:fldChar w:fldCharType="begin"/>
      </w:r>
      <w:r>
        <w:instrText xml:space="preserve"> PAGEREF _Toc198032252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Family Court Act 1997</w:t>
      </w:r>
    </w:p>
    <w:p>
      <w:pPr>
        <w:pStyle w:val="NameofActReg"/>
      </w:pPr>
      <w:r>
        <w:t>Family Court (Sex or Gender Changes) Rules 2025</w:t>
      </w:r>
    </w:p>
    <w:p>
      <w:pPr>
        <w:pStyle w:val="MadeBy"/>
      </w:pPr>
      <w:r>
        <w:t>Made by the judges of the Family Court of Western Australia.</w:t>
      </w:r>
    </w:p>
    <w:p>
      <w:pPr>
        <w:pStyle w:val="Heading5"/>
      </w:pPr>
      <w:bookmarkStart w:id="2" w:name="_Toc198028986"/>
      <w:bookmarkStart w:id="3" w:name="_Toc198032242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rules</w:t>
      </w:r>
      <w:r>
        <w:t xml:space="preserve"> are the </w:t>
      </w:r>
      <w:r>
        <w:rPr>
          <w:i/>
        </w:rPr>
        <w:t>Family Court (Sex or Gender Changes) Rules 2025</w:t>
      </w:r>
      <w:r>
        <w:t>.</w:t>
      </w:r>
    </w:p>
    <w:p>
      <w:pPr>
        <w:pStyle w:val="Heading5"/>
        <w:rPr>
          <w:spacing w:val="-2"/>
        </w:rPr>
      </w:pPr>
      <w:bookmarkStart w:id="5" w:name="_Toc198028987"/>
      <w:bookmarkStart w:id="6" w:name="_Toc19803224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rules come</w:t>
      </w:r>
      <w:r>
        <w:t xml:space="preserve"> into operation on — </w:t>
      </w:r>
    </w:p>
    <w:p>
      <w:pPr>
        <w:pStyle w:val="Indenta"/>
      </w:pPr>
      <w:r>
        <w:tab/>
        <w:t>(a)</w:t>
      </w:r>
      <w:r>
        <w:tab/>
        <w:t>the day after the day on which these rules are published on the WA legislation website; or</w:t>
      </w:r>
    </w:p>
    <w:p>
      <w:pPr>
        <w:pStyle w:val="Indenta"/>
      </w:pPr>
      <w:r>
        <w:tab/>
        <w:t>(b)</w:t>
      </w:r>
      <w:r>
        <w:tab/>
        <w:t xml:space="preserve">if later, the day on which the </w:t>
      </w:r>
      <w:r>
        <w:rPr>
          <w:i/>
          <w:iCs/>
        </w:rPr>
        <w:t>Births, Deaths and Marriages Registration Amendment (Sex or Gender Changes) Act 2024</w:t>
      </w:r>
      <w:r>
        <w:t xml:space="preserve"> section 40 comes into operation. </w:t>
      </w:r>
    </w:p>
    <w:p>
      <w:pPr>
        <w:pStyle w:val="Heading5"/>
      </w:pPr>
      <w:bookmarkStart w:id="7" w:name="_Toc198028988"/>
      <w:bookmarkStart w:id="8" w:name="_Toc198032244"/>
      <w:r>
        <w:rPr>
          <w:rStyle w:val="CharSectno"/>
        </w:rPr>
        <w:t>3</w:t>
      </w:r>
      <w:r>
        <w:t>.</w:t>
      </w:r>
      <w:r>
        <w:tab/>
        <w:t>Terms used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In these rules — </w:t>
      </w:r>
    </w:p>
    <w:p>
      <w:pPr>
        <w:pStyle w:val="Defstart"/>
      </w:pPr>
      <w:r>
        <w:tab/>
      </w:r>
      <w:r>
        <w:rPr>
          <w:rStyle w:val="CharDefText"/>
        </w:rPr>
        <w:t>affidavit</w:t>
      </w:r>
      <w:r>
        <w:t xml:space="preserve"> has the meaning given in the </w:t>
      </w:r>
      <w:r>
        <w:rPr>
          <w:i/>
        </w:rPr>
        <w:t>Family Court Rules 2021</w:t>
      </w:r>
      <w:r>
        <w:t xml:space="preserve"> rule 4;</w:t>
      </w:r>
    </w:p>
    <w:p>
      <w:pPr>
        <w:pStyle w:val="Defstart"/>
      </w:pPr>
      <w:r>
        <w:tab/>
      </w:r>
      <w:r>
        <w:rPr>
          <w:rStyle w:val="CharDefText"/>
        </w:rPr>
        <w:t>ancillary application</w:t>
      </w:r>
      <w:r>
        <w:t xml:space="preserve"> means an application for an order in relation to a sex or gender application;</w:t>
      </w:r>
    </w:p>
    <w:p>
      <w:pPr>
        <w:pStyle w:val="Defstart"/>
        <w:rPr>
          <w:rStyle w:val="DraftersNotes"/>
          <w:b w:val="0"/>
          <w:i w:val="0"/>
          <w:sz w:val="24"/>
        </w:rPr>
      </w:pPr>
      <w:r>
        <w:rPr>
          <w:bCs/>
        </w:rPr>
        <w:tab/>
      </w:r>
      <w:r>
        <w:rPr>
          <w:rStyle w:val="CharDefText"/>
        </w:rPr>
        <w:t>approved form</w:t>
      </w:r>
      <w:r>
        <w:t xml:space="preserve"> means a form approved by the Chief Judge;</w:t>
      </w:r>
    </w:p>
    <w:p>
      <w:pPr>
        <w:pStyle w:val="Defstart"/>
      </w:pPr>
      <w:r>
        <w:tab/>
      </w:r>
      <w:r>
        <w:rPr>
          <w:rStyle w:val="CharDefText"/>
        </w:rPr>
        <w:t>child</w:t>
      </w:r>
      <w:r>
        <w:t>, in relation to a sex or gender application, means the child in respect of whom the application is made;</w:t>
      </w:r>
    </w:p>
    <w:p>
      <w:pPr>
        <w:pStyle w:val="Defstart"/>
      </w:pPr>
      <w:r>
        <w:tab/>
      </w:r>
      <w:r>
        <w:rPr>
          <w:rStyle w:val="CharDefText"/>
        </w:rPr>
        <w:t>sex or gender application</w:t>
      </w:r>
      <w:r>
        <w:t xml:space="preserve"> means an application under the </w:t>
      </w:r>
      <w:r>
        <w:rPr>
          <w:i/>
        </w:rPr>
        <w:t>Births, Deaths and Marriages Registration Act 1998</w:t>
      </w:r>
      <w:r>
        <w:t xml:space="preserve"> section 36L(1), 36M(2), 36N(1), 36V(1), 36W(2) or 36X(1).</w:t>
      </w:r>
    </w:p>
    <w:p>
      <w:pPr>
        <w:pStyle w:val="Heading5"/>
      </w:pPr>
      <w:bookmarkStart w:id="9" w:name="_Toc198028989"/>
      <w:bookmarkStart w:id="10" w:name="_Toc198032245"/>
      <w:r>
        <w:rPr>
          <w:rStyle w:val="CharSectno"/>
        </w:rPr>
        <w:lastRenderedPageBreak/>
        <w:t>4</w:t>
      </w:r>
      <w:r>
        <w:t>.</w:t>
      </w:r>
      <w:r>
        <w:tab/>
        <w:t>Application of rules</w:t>
      </w:r>
      <w:bookmarkEnd w:id="9"/>
      <w:bookmarkEnd w:id="10"/>
    </w:p>
    <w:p>
      <w:pPr>
        <w:pStyle w:val="Subsection"/>
      </w:pPr>
      <w:r>
        <w:tab/>
      </w:r>
      <w:r>
        <w:tab/>
        <w:t>These rules apply for the purposes of the exercise by the Court of its jurisdiction under the</w:t>
      </w:r>
      <w:r>
        <w:rPr>
          <w:i/>
          <w:iCs/>
        </w:rPr>
        <w:t xml:space="preserve"> Births, Deaths and Marriages Registration Act 1998 </w:t>
      </w:r>
      <w:r>
        <w:t>Part 5A.</w:t>
      </w:r>
    </w:p>
    <w:p>
      <w:pPr>
        <w:pStyle w:val="Heading5"/>
        <w:tabs>
          <w:tab w:val="left" w:pos="5760"/>
        </w:tabs>
      </w:pPr>
      <w:bookmarkStart w:id="11" w:name="_Toc198028990"/>
      <w:bookmarkStart w:id="12" w:name="_Toc198032246"/>
      <w:r>
        <w:rPr>
          <w:rStyle w:val="CharSectno"/>
        </w:rPr>
        <w:t>5</w:t>
      </w:r>
      <w:r>
        <w:t>.</w:t>
      </w:r>
      <w:r>
        <w:tab/>
        <w:t>Sex or gender application</w:t>
      </w:r>
      <w:bookmarkEnd w:id="11"/>
      <w:bookmarkEnd w:id="12"/>
    </w:p>
    <w:p>
      <w:pPr>
        <w:pStyle w:val="Subsection"/>
        <w:rPr>
          <w:snapToGrid w:val="0"/>
        </w:rPr>
      </w:pPr>
      <w:r>
        <w:tab/>
        <w:t>(1)</w:t>
      </w:r>
      <w:r>
        <w:tab/>
      </w:r>
      <w:r>
        <w:rPr>
          <w:snapToGrid w:val="0"/>
        </w:rPr>
        <w:t xml:space="preserve">A sex or gender application must </w:t>
      </w:r>
      <w:r>
        <w:t xml:space="preserve">be made </w:t>
      </w:r>
      <w:r>
        <w:rPr>
          <w:snapToGrid w:val="0"/>
        </w:rPr>
        <w:t>in an approved form.</w:t>
      </w:r>
    </w:p>
    <w:p>
      <w:pPr>
        <w:pStyle w:val="Subsection"/>
      </w:pPr>
      <w:r>
        <w:tab/>
        <w:t>(2)</w:t>
      </w:r>
      <w:r>
        <w:tab/>
        <w:t xml:space="preserve">The application must be lodged in the Court together with the following — </w:t>
      </w:r>
    </w:p>
    <w:p>
      <w:pPr>
        <w:pStyle w:val="Indenta"/>
      </w:pPr>
      <w:r>
        <w:tab/>
        <w:t>(a)</w:t>
      </w:r>
      <w:r>
        <w:tab/>
        <w:t xml:space="preserve">an affidavit by each applicant stating the following — </w:t>
      </w:r>
    </w:p>
    <w:p>
      <w:pPr>
        <w:pStyle w:val="Indenti"/>
      </w:pPr>
      <w:r>
        <w:tab/>
        <w:t>(i)</w:t>
      </w:r>
      <w:r>
        <w:tab/>
        <w:t>all of the facts relied on in support of the application;</w:t>
      </w:r>
    </w:p>
    <w:p>
      <w:pPr>
        <w:pStyle w:val="Indenti"/>
      </w:pPr>
      <w:r>
        <w:tab/>
        <w:t>(ii)</w:t>
      </w:r>
      <w:r>
        <w:tab/>
        <w:t xml:space="preserve">if the application is made under the </w:t>
      </w:r>
      <w:r>
        <w:rPr>
          <w:i/>
          <w:iCs/>
        </w:rPr>
        <w:t>Births, Deaths and Marriages Registration Act 1998</w:t>
      </w:r>
      <w:r>
        <w:t xml:space="preserve"> section 36L(1), 36N(1), 36V(1) or 36X(1) — the applicant’s views about the child’s sex or gender and any other view of the applicant relevant to the application;</w:t>
      </w:r>
    </w:p>
    <w:p>
      <w:pPr>
        <w:pStyle w:val="Indenti"/>
      </w:pPr>
      <w:r>
        <w:tab/>
        <w:t>(iii)</w:t>
      </w:r>
      <w:r>
        <w:tab/>
        <w:t xml:space="preserve">if the application is made under the </w:t>
      </w:r>
      <w:r>
        <w:rPr>
          <w:i/>
          <w:iCs/>
        </w:rPr>
        <w:t>Births, Deaths and Marriages Registration Act 1998</w:t>
      </w:r>
      <w:r>
        <w:t xml:space="preserve"> section 36M(2) or 36W(2) — the applicant’s views about their sex or gender and any other view of the applicant relevant to the application;</w:t>
      </w:r>
    </w:p>
    <w:p>
      <w:pPr>
        <w:pStyle w:val="Indenti"/>
      </w:pPr>
      <w:r>
        <w:tab/>
        <w:t>(iv)</w:t>
      </w:r>
      <w:r>
        <w:tab/>
        <w:t xml:space="preserve">if the application is made by a guardian in accordance with the </w:t>
      </w:r>
      <w:r>
        <w:rPr>
          <w:i/>
          <w:iCs/>
        </w:rPr>
        <w:t>Births, Deaths and Marriages Registration Act 1998</w:t>
      </w:r>
      <w:r>
        <w:t xml:space="preserve"> section 36L(3), 36N(3), 36V(3) or 36X(3) — why the parents of the child cannot exercise their parental responsibilities for the child;</w:t>
      </w:r>
    </w:p>
    <w:p>
      <w:pPr>
        <w:pStyle w:val="Indenta"/>
      </w:pPr>
      <w:r>
        <w:tab/>
        <w:t>(b)</w:t>
      </w:r>
      <w:r>
        <w:tab/>
        <w:t>evidence of any appropriate clinical treatment that the child has received in relation to the child’s sex or gender;</w:t>
      </w:r>
    </w:p>
    <w:p>
      <w:pPr>
        <w:pStyle w:val="Indenta"/>
      </w:pPr>
      <w:r>
        <w:tab/>
        <w:t>(c)</w:t>
      </w:r>
      <w:r>
        <w:tab/>
        <w:t>a certified copy of the child’s birth certificate.</w:t>
      </w:r>
    </w:p>
    <w:p>
      <w:pPr>
        <w:pStyle w:val="PermNoteHeading"/>
      </w:pPr>
      <w:r>
        <w:lastRenderedPageBreak/>
        <w:tab/>
        <w:t xml:space="preserve">Note for this rule: </w:t>
      </w:r>
    </w:p>
    <w:p>
      <w:pPr>
        <w:pStyle w:val="PermNoteText"/>
      </w:pPr>
      <w:r>
        <w:tab/>
      </w:r>
      <w:r>
        <w:tab/>
        <w:t xml:space="preserve">Under the </w:t>
      </w:r>
      <w:r>
        <w:rPr>
          <w:i/>
          <w:iCs/>
        </w:rPr>
        <w:t>Births, Deaths and Marriages Registration Act 1998</w:t>
      </w:r>
      <w:r>
        <w:t xml:space="preserve"> sections 36L(2), 36M(3), 36N(2), 36V(2), 36W(3) and 36X(2), a sex or gender application must specify a sex or gender of a kind prescribed in the </w:t>
      </w:r>
      <w:r>
        <w:rPr>
          <w:i/>
        </w:rPr>
        <w:t>Births, Deaths and Marriages Registration Regulations 1999</w:t>
      </w:r>
      <w:r>
        <w:t>.</w:t>
      </w:r>
    </w:p>
    <w:p>
      <w:pPr>
        <w:pStyle w:val="Heading5"/>
      </w:pPr>
      <w:bookmarkStart w:id="13" w:name="_Toc198028991"/>
      <w:bookmarkStart w:id="14" w:name="_Toc198032247"/>
      <w:r>
        <w:rPr>
          <w:rStyle w:val="CharSectno"/>
        </w:rPr>
        <w:t>6</w:t>
      </w:r>
      <w:r>
        <w:t>.</w:t>
      </w:r>
      <w:r>
        <w:tab/>
        <w:t xml:space="preserve">Application under </w:t>
      </w:r>
      <w:r>
        <w:rPr>
          <w:i/>
          <w:iCs/>
        </w:rPr>
        <w:t>Children and Community Services Act 2004</w:t>
      </w:r>
      <w:r>
        <w:t xml:space="preserve"> s. 63(3A)</w:t>
      </w:r>
      <w:bookmarkEnd w:id="13"/>
      <w:bookmarkEnd w:id="14"/>
    </w:p>
    <w:p>
      <w:pPr>
        <w:pStyle w:val="Subsection"/>
      </w:pPr>
      <w:r>
        <w:tab/>
        <w:t>(1)</w:t>
      </w:r>
      <w:r>
        <w:tab/>
        <w:t xml:space="preserve">In this rule — </w:t>
      </w:r>
    </w:p>
    <w:p>
      <w:pPr>
        <w:pStyle w:val="Defstart"/>
      </w:pPr>
      <w:r>
        <w:tab/>
      </w:r>
      <w:r>
        <w:rPr>
          <w:rStyle w:val="CharDefText"/>
        </w:rPr>
        <w:t>accompanying sex or gender application</w:t>
      </w:r>
      <w:r>
        <w:t xml:space="preserve"> means an application made under the </w:t>
      </w:r>
      <w:r>
        <w:rPr>
          <w:i/>
          <w:iCs/>
        </w:rPr>
        <w:t>Births, Deaths and Marriages Registration Act 1998</w:t>
      </w:r>
      <w:r>
        <w:t xml:space="preserve"> section 36L(1) or 36N(1) at the same time as a name application;</w:t>
      </w:r>
    </w:p>
    <w:p>
      <w:pPr>
        <w:pStyle w:val="Defstart"/>
      </w:pPr>
      <w:r>
        <w:tab/>
      </w:r>
      <w:r>
        <w:rPr>
          <w:rStyle w:val="CharDefText"/>
        </w:rPr>
        <w:t>name application</w:t>
      </w:r>
      <w:r>
        <w:t xml:space="preserve"> means an application made under the </w:t>
      </w:r>
      <w:r>
        <w:rPr>
          <w:i/>
          <w:iCs/>
        </w:rPr>
        <w:t>Children and Community Services Act 2004</w:t>
      </w:r>
      <w:r>
        <w:t xml:space="preserve"> section 63(3A) for permission to make a change of name application (as defined in section 63(2) of that Act).</w:t>
      </w:r>
    </w:p>
    <w:p>
      <w:pPr>
        <w:pStyle w:val="Subsection"/>
      </w:pPr>
      <w:r>
        <w:tab/>
        <w:t>(2)</w:t>
      </w:r>
      <w:r>
        <w:tab/>
        <w:t>A name application must be lodged in the Court in an approved form.</w:t>
      </w:r>
    </w:p>
    <w:p>
      <w:pPr>
        <w:pStyle w:val="Subsection"/>
      </w:pPr>
      <w:r>
        <w:tab/>
        <w:t>(3)</w:t>
      </w:r>
      <w:r>
        <w:tab/>
        <w:t>The affidavit lodged with an accompanying sex or gender application must state the applicant’s views about the change of name.</w:t>
      </w:r>
    </w:p>
    <w:p>
      <w:pPr>
        <w:pStyle w:val="Subsection"/>
      </w:pPr>
      <w:r>
        <w:tab/>
        <w:t>(4)</w:t>
      </w:r>
      <w:r>
        <w:tab/>
        <w:t xml:space="preserve">Any rule made under the Act that applies to an accompanying sex or gender application applies, with any necessary modifications, to a name application. </w:t>
      </w:r>
    </w:p>
    <w:p>
      <w:pPr>
        <w:pStyle w:val="Heading5"/>
      </w:pPr>
      <w:bookmarkStart w:id="15" w:name="_Toc198028992"/>
      <w:bookmarkStart w:id="16" w:name="_Toc198032248"/>
      <w:r>
        <w:rPr>
          <w:rStyle w:val="CharSectno"/>
        </w:rPr>
        <w:t>7</w:t>
      </w:r>
      <w:r>
        <w:t>.</w:t>
      </w:r>
      <w:r>
        <w:tab/>
        <w:t>Ancillary application</w:t>
      </w:r>
      <w:bookmarkEnd w:id="15"/>
      <w:bookmarkEnd w:id="16"/>
    </w:p>
    <w:p>
      <w:pPr>
        <w:pStyle w:val="Subsection"/>
      </w:pPr>
      <w:r>
        <w:tab/>
        <w:t>(1)</w:t>
      </w:r>
      <w:r>
        <w:tab/>
        <w:t>An ancillary application in relation to a sex or gender application must be made in an approved form.</w:t>
      </w:r>
    </w:p>
    <w:p>
      <w:pPr>
        <w:pStyle w:val="Subsection"/>
      </w:pPr>
      <w:r>
        <w:tab/>
        <w:t>(2)</w:t>
      </w:r>
      <w:r>
        <w:tab/>
        <w:t>The ancillary application must be lodged in the Court and be accompanied by affidavit evidence of the facts relied on in support of the order sought in the ancillary application.</w:t>
      </w:r>
    </w:p>
    <w:p>
      <w:pPr>
        <w:pStyle w:val="Subsection"/>
      </w:pPr>
      <w:r>
        <w:lastRenderedPageBreak/>
        <w:tab/>
        <w:t>(3)</w:t>
      </w:r>
      <w:r>
        <w:tab/>
        <w:t>The affidavit evidence referred to in subrule (2) must be separate from the affidavit evidence in support of the sex or gender application.</w:t>
      </w:r>
    </w:p>
    <w:p>
      <w:pPr>
        <w:pStyle w:val="Heading5"/>
      </w:pPr>
      <w:bookmarkStart w:id="17" w:name="_Toc198028993"/>
      <w:bookmarkStart w:id="18" w:name="_Toc198032249"/>
      <w:r>
        <w:rPr>
          <w:rStyle w:val="CharSectno"/>
        </w:rPr>
        <w:t>8</w:t>
      </w:r>
      <w:r>
        <w:t>.</w:t>
      </w:r>
      <w:r>
        <w:tab/>
        <w:t>Fixing of directions hearing date</w:t>
      </w:r>
      <w:bookmarkEnd w:id="17"/>
      <w:bookmarkEnd w:id="18"/>
    </w:p>
    <w:p>
      <w:pPr>
        <w:pStyle w:val="Subsection"/>
      </w:pPr>
      <w:r>
        <w:tab/>
        <w:t>(1)</w:t>
      </w:r>
      <w:r>
        <w:tab/>
        <w:t>On the filing of a sex or gender application, the Court must fix a date for a directions hearing in relation to the application.</w:t>
      </w:r>
    </w:p>
    <w:p>
      <w:pPr>
        <w:pStyle w:val="Subsection"/>
      </w:pPr>
      <w:r>
        <w:tab/>
        <w:t>(2)</w:t>
      </w:r>
      <w:r>
        <w:tab/>
        <w:t xml:space="preserve">The date fixed must be as soon as practicable after the end of the period of 42 days beginning on the day on which the application is lodged, unless — </w:t>
      </w:r>
    </w:p>
    <w:p>
      <w:pPr>
        <w:pStyle w:val="Indenta"/>
      </w:pPr>
      <w:r>
        <w:tab/>
        <w:t>(a)</w:t>
      </w:r>
      <w:r>
        <w:tab/>
        <w:t xml:space="preserve">a person entitled to be heard in relation to the application has requested an earlier date in writing; and </w:t>
      </w:r>
    </w:p>
    <w:p>
      <w:pPr>
        <w:pStyle w:val="Indenta"/>
      </w:pPr>
      <w:r>
        <w:tab/>
        <w:t>(b)</w:t>
      </w:r>
      <w:r>
        <w:tab/>
        <w:t>the Court considers an earlier date is necessary.</w:t>
      </w:r>
    </w:p>
    <w:p>
      <w:pPr>
        <w:pStyle w:val="Subsection"/>
      </w:pPr>
      <w:r>
        <w:tab/>
        <w:t>(3)</w:t>
      </w:r>
      <w:r>
        <w:tab/>
        <w:t>The person entitled to be heard must send the request to the Duty Registrar and include in the request reasons why an earlier date is necessary.</w:t>
      </w:r>
    </w:p>
    <w:p>
      <w:pPr>
        <w:pStyle w:val="Heading5"/>
      </w:pPr>
      <w:bookmarkStart w:id="19" w:name="_Toc198028994"/>
      <w:bookmarkStart w:id="20" w:name="_Toc198032250"/>
      <w:r>
        <w:rPr>
          <w:rStyle w:val="CharSectno"/>
        </w:rPr>
        <w:t>9</w:t>
      </w:r>
      <w:r>
        <w:t>.</w:t>
      </w:r>
      <w:r>
        <w:tab/>
        <w:t>Response to application</w:t>
      </w:r>
      <w:bookmarkEnd w:id="19"/>
      <w:bookmarkEnd w:id="20"/>
    </w:p>
    <w:p>
      <w:pPr>
        <w:pStyle w:val="Subsection"/>
      </w:pPr>
      <w:r>
        <w:tab/>
        <w:t>(1)</w:t>
      </w:r>
      <w:r>
        <w:tab/>
        <w:t xml:space="preserve">The following persons may lodge a response to a sex or gender application — </w:t>
      </w:r>
    </w:p>
    <w:p>
      <w:pPr>
        <w:pStyle w:val="Indenta"/>
      </w:pPr>
      <w:r>
        <w:tab/>
        <w:t>(a)</w:t>
      </w:r>
      <w:r>
        <w:tab/>
        <w:t>each parent or guardian of the child;</w:t>
      </w:r>
    </w:p>
    <w:p>
      <w:pPr>
        <w:pStyle w:val="Indenta"/>
      </w:pPr>
      <w:r>
        <w:tab/>
        <w:t>(b)</w:t>
      </w:r>
      <w:r>
        <w:tab/>
        <w:t>any other person concerned with the care, welfare or development of the child.</w:t>
      </w:r>
    </w:p>
    <w:p>
      <w:pPr>
        <w:pStyle w:val="Subsection"/>
      </w:pPr>
      <w:r>
        <w:tab/>
        <w:t>(2)</w:t>
      </w:r>
      <w:r>
        <w:tab/>
        <w:t>Subrule (1) does not apply to the person who made, or a person who supports, the application.</w:t>
      </w:r>
    </w:p>
    <w:p>
      <w:pPr>
        <w:pStyle w:val="Subsection"/>
        <w:keepNext/>
      </w:pPr>
      <w:r>
        <w:tab/>
        <w:t>(3)</w:t>
      </w:r>
      <w:r>
        <w:tab/>
        <w:t xml:space="preserve">The response must be lodged in the Court in an approved form together with an affidavit stating the following — </w:t>
      </w:r>
    </w:p>
    <w:p>
      <w:pPr>
        <w:pStyle w:val="Indenta"/>
      </w:pPr>
      <w:r>
        <w:tab/>
        <w:t>(a)</w:t>
      </w:r>
      <w:r>
        <w:tab/>
        <w:t>if the respondent is lodging the response under subrule (1)(b) — reasons why the person is concerned with the care, welfare or development of the child;</w:t>
      </w:r>
    </w:p>
    <w:p>
      <w:pPr>
        <w:pStyle w:val="Indenta"/>
      </w:pPr>
      <w:r>
        <w:tab/>
        <w:t>(b)</w:t>
      </w:r>
      <w:r>
        <w:tab/>
        <w:t>the respondent’s views about the application;</w:t>
      </w:r>
    </w:p>
    <w:p>
      <w:pPr>
        <w:pStyle w:val="Indenta"/>
      </w:pPr>
      <w:r>
        <w:tab/>
        <w:t>(c)</w:t>
      </w:r>
      <w:r>
        <w:tab/>
        <w:t>all of the facts relied on in support of the response.</w:t>
      </w:r>
    </w:p>
    <w:p>
      <w:pPr>
        <w:pStyle w:val="Heading5"/>
      </w:pPr>
      <w:bookmarkStart w:id="21" w:name="_Toc198028995"/>
      <w:bookmarkStart w:id="22" w:name="_Toc198032251"/>
      <w:r>
        <w:rPr>
          <w:rStyle w:val="CharSectno"/>
        </w:rPr>
        <w:lastRenderedPageBreak/>
        <w:t>10</w:t>
      </w:r>
      <w:r>
        <w:t>.</w:t>
      </w:r>
      <w:r>
        <w:tab/>
        <w:t>Non</w:t>
      </w:r>
      <w:r>
        <w:noBreakHyphen/>
        <w:t>contentious sex or gender application</w:t>
      </w:r>
      <w:bookmarkEnd w:id="21"/>
      <w:bookmarkEnd w:id="22"/>
    </w:p>
    <w:p>
      <w:pPr>
        <w:pStyle w:val="Subsection"/>
        <w:rPr>
          <w:rStyle w:val="DraftersNotes"/>
          <w:b w:val="0"/>
          <w:i w:val="0"/>
          <w:sz w:val="24"/>
        </w:rPr>
      </w:pPr>
      <w:r>
        <w:tab/>
        <w:t>(1)</w:t>
      </w:r>
      <w:r>
        <w:tab/>
        <w:t>If, at or after a directions hearing in relation to a sex or gender application, each person entitled to be heard in relation to the application supports the application, the application may be determined in Chambers.</w:t>
      </w:r>
      <w:r>
        <w:rPr>
          <w:rStyle w:val="DraftersNotes"/>
          <w:b w:val="0"/>
          <w:i w:val="0"/>
          <w:sz w:val="24"/>
        </w:rPr>
        <w:t xml:space="preserve"> </w:t>
      </w:r>
    </w:p>
    <w:p>
      <w:pPr>
        <w:pStyle w:val="Subsection"/>
      </w:pPr>
      <w:r>
        <w:tab/>
        <w:t>(2)</w:t>
      </w:r>
      <w:r>
        <w:tab/>
        <w:t xml:space="preserve">If the Court determines a sex or gender application in Chambers, the Court must record the following in writing — </w:t>
      </w:r>
    </w:p>
    <w:p>
      <w:pPr>
        <w:pStyle w:val="Indenta"/>
      </w:pPr>
      <w:r>
        <w:tab/>
        <w:t>(a)</w:t>
      </w:r>
      <w:r>
        <w:tab/>
        <w:t>the determination made;</w:t>
      </w:r>
    </w:p>
    <w:p>
      <w:pPr>
        <w:pStyle w:val="Indenta"/>
      </w:pPr>
      <w:r>
        <w:tab/>
        <w:t>(b)</w:t>
      </w:r>
      <w:r>
        <w:tab/>
        <w:t>the reasons for making the determination.</w:t>
      </w:r>
    </w:p>
    <w:p>
      <w:pPr>
        <w:pStyle w:val="Heading5"/>
      </w:pPr>
      <w:bookmarkStart w:id="23" w:name="_Toc198028996"/>
      <w:bookmarkStart w:id="24" w:name="_Toc198032252"/>
      <w:r>
        <w:rPr>
          <w:rStyle w:val="CharSectno"/>
        </w:rPr>
        <w:t>11</w:t>
      </w:r>
      <w:r>
        <w:t>.</w:t>
      </w:r>
      <w:r>
        <w:tab/>
        <w:t>Service of application or response</w:t>
      </w:r>
      <w:bookmarkEnd w:id="23"/>
      <w:bookmarkEnd w:id="24"/>
    </w:p>
    <w:p>
      <w:pPr>
        <w:pStyle w:val="Subsection"/>
      </w:pPr>
      <w:r>
        <w:tab/>
      </w:r>
      <w:r>
        <w:tab/>
        <w:t>A sealed copy of a sex or gender application, an ancillary application or a response to a sex or gender application, and any affidavit in support of the application or response, must be served on the persons and in the manner that the Court directs.</w:t>
      </w:r>
    </w:p>
    <w:p>
      <w:pPr>
        <w:pStyle w:val="Certificate"/>
        <w:rPr>
          <w:spacing w:val="-3"/>
          <w:sz w:val="26"/>
        </w:rPr>
      </w:pPr>
    </w:p>
    <w:p>
      <w:pPr>
        <w:pStyle w:val="Certificate"/>
        <w:rPr>
          <w:spacing w:val="-3"/>
          <w:sz w:val="26"/>
        </w:rPr>
      </w:pPr>
    </w:p>
    <w:p>
      <w:pPr>
        <w:pStyle w:val="Certificate"/>
        <w:rPr>
          <w:spacing w:val="-3"/>
          <w:sz w:val="26"/>
        </w:rPr>
      </w:pPr>
    </w:p>
    <w:p>
      <w:pPr>
        <w:pStyle w:val="Certificate"/>
        <w:rPr>
          <w:spacing w:val="-3"/>
          <w:sz w:val="26"/>
        </w:rPr>
      </w:pPr>
    </w:p>
    <w:p>
      <w:pPr>
        <w:pStyle w:val="Certificate"/>
        <w:rPr>
          <w:spacing w:val="-3"/>
          <w:sz w:val="26"/>
        </w:rPr>
      </w:pPr>
      <w:r>
        <w:rPr>
          <w:spacing w:val="-3"/>
          <w:sz w:val="26"/>
        </w:rPr>
        <w:t>Date: 12 May 2025</w:t>
      </w:r>
    </w:p>
    <w:p>
      <w:pPr>
        <w:pStyle w:val="Certificate"/>
        <w:rPr>
          <w:spacing w:val="-3"/>
          <w:sz w:val="26"/>
        </w:rPr>
      </w:pPr>
      <w:r>
        <w:rPr>
          <w:spacing w:val="-3"/>
          <w:sz w:val="26"/>
        </w:rPr>
        <w:t>The Hon Justice Gail Sutherland</w:t>
      </w:r>
      <w:r>
        <w:rPr>
          <w:spacing w:val="-3"/>
          <w:sz w:val="26"/>
        </w:rPr>
        <w:br/>
        <w:t>Chief Judge</w:t>
      </w:r>
      <w:r>
        <w:rPr>
          <w:spacing w:val="-3"/>
          <w:sz w:val="26"/>
        </w:rPr>
        <w:br/>
        <w:t>Family Court of Western Australia</w:t>
      </w:r>
    </w:p>
    <w:p>
      <w:pPr>
        <w:pStyle w:val="ByCommand"/>
        <w:rPr>
          <w:rStyle w:val="DraftersNotes"/>
        </w:r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  <w:rPr>
          <w:sz w:val="28"/>
        </w:rPr>
      </w:pPr>
      <w:bookmarkStart w:id="25" w:name="_Toc198029257"/>
      <w:bookmarkStart w:id="26" w:name="_Toc198029654"/>
      <w:bookmarkStart w:id="27" w:name="_Toc198030943"/>
      <w:bookmarkStart w:id="28" w:name="_Toc198032253"/>
      <w:r>
        <w:rPr>
          <w:sz w:val="28"/>
        </w:rPr>
        <w:lastRenderedPageBreak/>
        <w:t>Defined terms</w:t>
      </w:r>
      <w:bookmarkEnd w:id="25"/>
      <w:bookmarkEnd w:id="26"/>
      <w:bookmarkEnd w:id="27"/>
      <w:bookmarkEnd w:id="28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accompanying sex or gender application</w:t>
      </w:r>
      <w:r>
        <w:tab/>
        <w:t>6(1)</w:t>
      </w:r>
    </w:p>
    <w:p>
      <w:pPr>
        <w:pStyle w:val="DefinedTerms"/>
      </w:pPr>
      <w:r>
        <w:t>affidavit</w:t>
      </w:r>
      <w:r>
        <w:tab/>
        <w:t>3</w:t>
      </w:r>
    </w:p>
    <w:p>
      <w:pPr>
        <w:pStyle w:val="DefinedTerms"/>
      </w:pPr>
      <w:r>
        <w:t>ancillary application</w:t>
      </w:r>
      <w:r>
        <w:tab/>
        <w:t>3</w:t>
      </w:r>
    </w:p>
    <w:p>
      <w:pPr>
        <w:pStyle w:val="DefinedTerms"/>
      </w:pPr>
      <w:r>
        <w:t>approved form</w:t>
      </w:r>
      <w:r>
        <w:tab/>
        <w:t>3</w:t>
      </w:r>
    </w:p>
    <w:p>
      <w:pPr>
        <w:pStyle w:val="DefinedTerms"/>
      </w:pPr>
      <w:r>
        <w:t>child</w:t>
      </w:r>
      <w:r>
        <w:tab/>
        <w:t>3</w:t>
      </w:r>
    </w:p>
    <w:p>
      <w:pPr>
        <w:pStyle w:val="DefinedTerms"/>
      </w:pPr>
      <w:r>
        <w:t>name application</w:t>
      </w:r>
      <w:r>
        <w:tab/>
        <w:t>6(1)</w:t>
      </w:r>
    </w:p>
    <w:p>
      <w:pPr>
        <w:pStyle w:val="DefinedTerms"/>
      </w:pPr>
      <w:r>
        <w:t>sex or gender application</w:t>
      </w:r>
      <w:r>
        <w:tab/>
        <w:t>3</w:t>
      </w:r>
    </w:p>
    <w:p/>
    <w:p>
      <w:pPr>
        <w:sectPr>
          <w:headerReference w:type="even" r:id="rId24"/>
          <w:headerReference w:type="default" r:id="rId25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2A196F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3D8CC8A2" w14:textId="5F517E06" w:rsidR="00B65C2C" w:rsidRDefault="00B65C2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1A7625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CF9B821" w14:textId="77777777" w:rsidR="00B65C2C" w:rsidRDefault="00B65C2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319BC8D" w14:textId="2D68ED02" w:rsidR="00B65C2C" w:rsidRDefault="00B65C2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1A7625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D636303" w14:textId="77777777" w:rsidR="00B65C2C" w:rsidRDefault="00B65C2C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2025/72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14 May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2025/72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14 May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2025/72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14 May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2025/72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14 May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2025/72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v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14 May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2025/72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14 May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Family Court (Sex or Gender Changes) Rules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Family Court (Sex or Gender Changes) Rules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Family Court (Sex or Gender Changes) Rules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Family Court (Sex or Gender Changes) Rules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Family Court (Sex or Gender Changes) Rules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Defined terms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Family Court (Sex or Gender Changes) Rules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Defined terms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29" w:name="DefinedTerms"/>
    <w:bookmarkEnd w:id="29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30" w:name="Coversheet"/>
    <w:bookmarkEnd w:id="3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4"/>
  </w:num>
  <w:num w:numId="3">
    <w:abstractNumId w:val="13"/>
  </w:num>
  <w:num w:numId="4">
    <w:abstractNumId w:val="18"/>
  </w:num>
  <w:num w:numId="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1468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513114210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21314062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213140628_GUID" w:val="5cd998a1-cc01-4f7d-b954-43de1a9e2238"/>
    <w:docVar w:name="WAFER_2025042910591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429105916_GUID" w:val="5ce2e04a-777c-4ca8-8732-5fc5df9bdab2"/>
    <w:docVar w:name="WAFER_2025051311421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513114210_GUID" w:val="7311eee7-1c23-4adc-a0ed-efbc2eff6b6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4689"/>
    <o:shapelayout v:ext="edit">
      <o:idmap v:ext="edit" data="1"/>
    </o:shapelayout>
  </w:shapeDefaults>
  <w:decimalSymbol w:val="."/>
  <w:listSeparator w:val=","/>
  <w15:docId w15:val="{EE5177BE-DC63-4E03-8ABE-1B5D7D2B6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30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footer" Target="footer7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9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4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1332</Words>
  <Characters>6570</Characters>
  <Application>Microsoft Office Word</Application>
  <DocSecurity>0</DocSecurity>
  <Lines>205</Lines>
  <Paragraphs>123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7779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Family Court (Sex or Gender Changes) Rules 2025 - 00-00-00</dc:title>
  <dc:subject/>
  <dc:creator/>
  <cp:keywords/>
  <dc:description/>
  <cp:lastModifiedBy>Master Repository Process</cp:lastModifiedBy>
  <cp:revision>4</cp:revision>
  <cp:lastPrinted>2025-04-24T06:46:00Z</cp:lastPrinted>
  <dcterms:created xsi:type="dcterms:W3CDTF">2025-05-30T06:06:00Z</dcterms:created>
  <dcterms:modified xsi:type="dcterms:W3CDTF">2025-05-30T06:06:00Z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55245</vt:lpwstr>
  </property>
  <property fmtid="{D5CDD505-2E9C-101B-9397-08002B2CF9AE}" pid="3" name="DocumentType">
    <vt:lpwstr>Reg</vt:lpwstr>
  </property>
  <property fmtid="{D5CDD505-2E9C-101B-9397-08002B2CF9AE}" pid="4" name="AsAtDate">
    <vt:lpwstr>14 May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2025/72</vt:lpwstr>
  </property>
  <property fmtid="{D5CDD505-2E9C-101B-9397-08002B2CF9AE}" pid="8" name="PublishDate">
    <vt:lpwstr>14 May 2025</vt:lpwstr>
  </property>
  <property fmtid="{D5CDD505-2E9C-101B-9397-08002B2CF9AE}" pid="9" name="CommencementDate">
    <vt:lpwstr>20250514</vt:lpwstr>
  </property>
  <property fmtid="{D5CDD505-2E9C-101B-9397-08002B2CF9AE}" pid="10" name="CommencementAsAt">
    <vt:filetime>2025-05-13T16:00:00Z</vt:filetime>
  </property>
  <property fmtid="{D5CDD505-2E9C-101B-9397-08002B2CF9AE}" pid="11" name="CommencementYear">
    <vt:lpwstr>2025</vt:lpwstr>
  </property>
</Properties>
</file>