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_Toc197611736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_Toc197611737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_Toc197611738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_Toc197611740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_Toc197611741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_Toc197611742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_Toc197611745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_Toc197611746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_Toc197611747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_Toc197611749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_Toc197611750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_Toc197611751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_Toc197611752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_Toc197611753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_Toc197611754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_Toc197611755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Varying registration</w:t>
      </w:r>
      <w:r>
        <w:tab/>
      </w:r>
      <w:r>
        <w:fldChar w:fldCharType="begin"/>
      </w:r>
      <w:r>
        <w:instrText xml:space="preserve"> PAGEREF _Toc197611756 \h </w:instrText>
      </w:r>
      <w:r>
        <w:fldChar w:fldCharType="separate"/>
      </w:r>
      <w:r>
        <w:t>15</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_Toc197611757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_Toc197611758 \h </w:instrText>
      </w:r>
      <w:r>
        <w:fldChar w:fldCharType="separate"/>
      </w:r>
      <w:r>
        <w:t>17</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_Toc197611759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_Toc197611760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_Toc197611761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_Toc197611762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_Toc197611764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_Toc197611765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_Toc197611766 \h </w:instrText>
      </w:r>
      <w:r>
        <w:fldChar w:fldCharType="separate"/>
      </w:r>
      <w:r>
        <w:t>22</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_Toc197611767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_Toc197611768 \h </w:instrText>
      </w:r>
      <w:r>
        <w:fldChar w:fldCharType="separate"/>
      </w:r>
      <w:r>
        <w:t>25</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_Toc197611769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_Toc197611771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_Toc197611772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_Toc197611773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_Toc197611775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_Toc197611776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_Toc197611777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_Toc197611778 \h </w:instrText>
      </w:r>
      <w:r>
        <w:fldChar w:fldCharType="separate"/>
      </w:r>
      <w:r>
        <w:t>31</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_Toc197611779 \h </w:instrText>
      </w:r>
      <w:r>
        <w:fldChar w:fldCharType="separate"/>
      </w:r>
      <w:r>
        <w:t>31</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_Toc197611780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_Toc197611781 \h </w:instrText>
      </w:r>
      <w:r>
        <w:fldChar w:fldCharType="separate"/>
      </w:r>
      <w:r>
        <w:t>33</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_Toc197611782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_Toc197611785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_Toc197611787 \h </w:instrText>
      </w:r>
      <w:r>
        <w:fldChar w:fldCharType="separate"/>
      </w:r>
      <w:r>
        <w:t>34</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_Toc197611788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_Toc197611790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_Toc197611791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_Toc197611792 \h </w:instrText>
      </w:r>
      <w:r>
        <w:fldChar w:fldCharType="separate"/>
      </w:r>
      <w:r>
        <w:t>37</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_Toc197611793 \h </w:instrText>
      </w:r>
      <w:r>
        <w:fldChar w:fldCharType="separate"/>
      </w:r>
      <w:r>
        <w:t>39</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_Toc197611794 \h </w:instrText>
      </w:r>
      <w:r>
        <w:fldChar w:fldCharType="separate"/>
      </w:r>
      <w:r>
        <w:t>39</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_Toc197611795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_Toc197611796 \h </w:instrText>
      </w:r>
      <w:r>
        <w:fldChar w:fldCharType="separate"/>
      </w:r>
      <w:r>
        <w:t>43</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_Toc197611797 \h </w:instrText>
      </w:r>
      <w:r>
        <w:fldChar w:fldCharType="separate"/>
      </w:r>
      <w:r>
        <w:t>44</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_Toc197611798 \h </w:instrText>
      </w:r>
      <w:r>
        <w:fldChar w:fldCharType="separate"/>
      </w:r>
      <w:r>
        <w:t>44</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_Toc197611799 \h </w:instrText>
      </w:r>
      <w:r>
        <w:fldChar w:fldCharType="separate"/>
      </w:r>
      <w:r>
        <w:t>46</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_Toc197611800 \h </w:instrText>
      </w:r>
      <w:r>
        <w:fldChar w:fldCharType="separate"/>
      </w:r>
      <w:r>
        <w:t>46</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_Toc197611801 \h </w:instrText>
      </w:r>
      <w:r>
        <w:fldChar w:fldCharType="separate"/>
      </w:r>
      <w:r>
        <w:t>47</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_Toc197611802 \h </w:instrText>
      </w:r>
      <w:r>
        <w:fldChar w:fldCharType="separate"/>
      </w:r>
      <w:r>
        <w:t>49</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_Toc197611803 \h </w:instrText>
      </w:r>
      <w:r>
        <w:fldChar w:fldCharType="separate"/>
      </w:r>
      <w:r>
        <w:t>49</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_Toc197611804 \h </w:instrText>
      </w:r>
      <w:r>
        <w:fldChar w:fldCharType="separate"/>
      </w:r>
      <w:r>
        <w:t>49</w:t>
      </w:r>
      <w:r>
        <w:fldChar w:fldCharType="end"/>
      </w:r>
    </w:p>
    <w:p>
      <w:pPr>
        <w:pStyle w:val="TOC8"/>
        <w:rPr>
          <w:rFonts w:asciiTheme="minorHAnsi" w:eastAsiaTheme="minorEastAsia" w:hAnsiTheme="minorHAnsi" w:cstheme="minorBidi"/>
          <w:szCs w:val="22"/>
        </w:rPr>
      </w:pPr>
      <w:r>
        <w:t>52A.</w:t>
      </w:r>
      <w:r>
        <w:tab/>
        <w:t>Resolution of disputes by chief executive</w:t>
      </w:r>
      <w:r>
        <w:tab/>
      </w:r>
      <w:r>
        <w:fldChar w:fldCharType="begin"/>
      </w:r>
      <w:r>
        <w:instrText xml:space="preserve"> PAGEREF _Toc197611805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_Toc197611807 \h </w:instrText>
      </w:r>
      <w:r>
        <w:fldChar w:fldCharType="separate"/>
      </w:r>
      <w:r>
        <w:t>50</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_Toc197611808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_Toc197611810 \h </w:instrText>
      </w:r>
      <w:r>
        <w:fldChar w:fldCharType="separate"/>
      </w:r>
      <w:r>
        <w:t>52</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_Toc197611811 \h </w:instrText>
      </w:r>
      <w:r>
        <w:fldChar w:fldCharType="separate"/>
      </w:r>
      <w:r>
        <w:t>52</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_Toc197611812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59.</w:t>
      </w:r>
      <w:r>
        <w:tab/>
        <w:t>Traineeship contracts</w:t>
      </w:r>
      <w:r>
        <w:tab/>
      </w:r>
      <w:r>
        <w:fldChar w:fldCharType="begin"/>
      </w:r>
      <w:r>
        <w:instrText xml:space="preserve"> PAGEREF _Toc197611813 \h </w:instrText>
      </w:r>
      <w:r>
        <w:fldChar w:fldCharType="separate"/>
      </w:r>
      <w:r>
        <w:t>52</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_Toc197611814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provisions for </w:t>
      </w:r>
      <w:r>
        <w:rPr>
          <w:i/>
        </w:rPr>
        <w:t>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_Toc197611816 \h </w:instrText>
      </w:r>
      <w:r>
        <w:fldChar w:fldCharType="separate"/>
      </w:r>
      <w:r>
        <w:t>54</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_Toc197611817 \h </w:instrText>
      </w:r>
      <w:r>
        <w:fldChar w:fldCharType="separate"/>
      </w:r>
      <w:r>
        <w:t>54</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_Toc197611818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_Toc197611821 \h </w:instrText>
      </w:r>
      <w:r>
        <w:fldChar w:fldCharType="separate"/>
      </w:r>
      <w:r>
        <w:t>78</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_Toc197611822 \h </w:instrText>
      </w:r>
      <w:r>
        <w:fldChar w:fldCharType="separate"/>
      </w:r>
      <w:r>
        <w:t>78</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_Toc197611823 \h </w:instrText>
      </w:r>
      <w:r>
        <w:fldChar w:fldCharType="separate"/>
      </w:r>
      <w:r>
        <w:t>80</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_Toc197611824 \h </w:instrText>
      </w:r>
      <w:r>
        <w:fldChar w:fldCharType="separate"/>
      </w:r>
      <w:r>
        <w:t>80</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_Toc197611825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_Toc197611827 \h </w:instrText>
      </w:r>
      <w:r>
        <w:fldChar w:fldCharType="separate"/>
      </w:r>
      <w:r>
        <w:t>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_Toc197611828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2" w:name="_Toc197604218"/>
      <w:bookmarkStart w:id="3" w:name="_Toc197604912"/>
      <w:bookmarkStart w:id="4" w:name="_Toc197611735"/>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197611736"/>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7" w:name="_Toc197611737"/>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8" w:name="_Toc197611738"/>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lastRenderedPageBreak/>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p>
    <w:p>
      <w:pPr>
        <w:pStyle w:val="Heading2"/>
      </w:pPr>
      <w:bookmarkStart w:id="9" w:name="_Toc197604222"/>
      <w:bookmarkStart w:id="10" w:name="_Toc197604916"/>
      <w:bookmarkStart w:id="11" w:name="_Toc197611739"/>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pPr>
        <w:pStyle w:val="Heading5"/>
      </w:pPr>
      <w:bookmarkStart w:id="12" w:name="_Toc197611740"/>
      <w:r>
        <w:rPr>
          <w:rStyle w:val="CharSectno"/>
        </w:rPr>
        <w:t>4</w:t>
      </w:r>
      <w:r>
        <w:t>.</w:t>
      </w:r>
      <w:r>
        <w:tab/>
        <w:t>Approved VET courses (Act s. 5(1))</w:t>
      </w:r>
      <w:bookmarkEnd w:id="12"/>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13" w:name="_Toc197611741"/>
      <w:r>
        <w:rPr>
          <w:rStyle w:val="CharSectno"/>
        </w:rPr>
        <w:t>5</w:t>
      </w:r>
      <w:r>
        <w:t>.</w:t>
      </w:r>
      <w:r>
        <w:tab/>
        <w:t>Corresponding laws (Act s. 5(1))</w:t>
      </w:r>
      <w:bookmarkEnd w:id="13"/>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lastRenderedPageBreak/>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4" w:name="_Toc197611742"/>
      <w:r>
        <w:rPr>
          <w:rStyle w:val="CharSectno"/>
        </w:rPr>
        <w:t>6</w:t>
      </w:r>
      <w:r>
        <w:t>.</w:t>
      </w:r>
      <w:r>
        <w:tab/>
        <w:t>Prescribed VET qualifications (Act s. 5(1))</w:t>
      </w:r>
      <w:bookmarkEnd w:id="14"/>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Degree.</w:t>
      </w:r>
    </w:p>
    <w:p>
      <w:pPr>
        <w:pStyle w:val="Ednotepara"/>
      </w:pPr>
      <w:r>
        <w:tab/>
        <w:t>[(h)</w:t>
      </w:r>
      <w:r>
        <w:tab/>
        <w:t>deleted]</w:t>
      </w:r>
    </w:p>
    <w:p>
      <w:pPr>
        <w:pStyle w:val="Footnotesection"/>
      </w:pPr>
      <w:bookmarkStart w:id="15" w:name="_Toc197604226"/>
      <w:r>
        <w:tab/>
        <w:t>[Regulation 6 amended: SL 2025/71 r. 4.]</w:t>
      </w:r>
    </w:p>
    <w:p>
      <w:pPr>
        <w:pStyle w:val="Heading2"/>
      </w:pPr>
      <w:bookmarkStart w:id="16" w:name="_Toc197604920"/>
      <w:bookmarkStart w:id="17" w:name="_Toc197611743"/>
      <w:r>
        <w:rPr>
          <w:rStyle w:val="CharPartNo"/>
        </w:rPr>
        <w:lastRenderedPageBreak/>
        <w:t>Part 3</w:t>
      </w:r>
      <w:r>
        <w:t> — </w:t>
      </w:r>
      <w:r>
        <w:rPr>
          <w:rStyle w:val="CharPartText"/>
        </w:rPr>
        <w:t>Regulations for Part 7A of the Act</w:t>
      </w:r>
      <w:bookmarkEnd w:id="15"/>
      <w:bookmarkEnd w:id="16"/>
      <w:bookmarkEnd w:id="17"/>
    </w:p>
    <w:p>
      <w:pPr>
        <w:pStyle w:val="Heading3"/>
      </w:pPr>
      <w:bookmarkStart w:id="18" w:name="_Toc197604227"/>
      <w:bookmarkStart w:id="19" w:name="_Toc197604921"/>
      <w:bookmarkStart w:id="20" w:name="_Toc197611744"/>
      <w:r>
        <w:rPr>
          <w:rStyle w:val="CharDivNo"/>
        </w:rPr>
        <w:t>Division 1</w:t>
      </w:r>
      <w:r>
        <w:t> — </w:t>
      </w:r>
      <w:r>
        <w:rPr>
          <w:rStyle w:val="CharDivText"/>
        </w:rPr>
        <w:t>General matters</w:t>
      </w:r>
      <w:bookmarkEnd w:id="18"/>
      <w:bookmarkEnd w:id="19"/>
      <w:bookmarkEnd w:id="20"/>
    </w:p>
    <w:p>
      <w:pPr>
        <w:pStyle w:val="Heading5"/>
      </w:pPr>
      <w:bookmarkStart w:id="21" w:name="_Toc197611745"/>
      <w:r>
        <w:rPr>
          <w:rStyle w:val="CharSectno"/>
        </w:rPr>
        <w:t>7</w:t>
      </w:r>
      <w:r>
        <w:t>.</w:t>
      </w:r>
      <w:r>
        <w:tab/>
        <w:t>Terms used</w:t>
      </w:r>
      <w:bookmarkEnd w:id="21"/>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rPr>
        <w:t>AQTF2021 Standards for Accredited Courses</w:t>
      </w:r>
      <w:r>
        <w:t xml:space="preserve"> (published on a website maintained by or on behalf of the department of the Public Service principally assisting in the administration of the Act);</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w:t>
      </w:r>
      <w:r>
        <w:rPr>
          <w:i/>
          <w:iCs/>
        </w:rPr>
        <w:t>Standards for Registered Training Organisations (RTOs) 2015</w:t>
      </w:r>
      <w:r>
        <w:t>, made under the Commonwealth Act section 185, as in force on 1 March 2024;</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lastRenderedPageBreak/>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(other than the registration standards)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 SL 2021/156 r. 4; SL 2024/229 r. 4.]</w:t>
      </w:r>
    </w:p>
    <w:p>
      <w:pPr>
        <w:pStyle w:val="Heading5"/>
      </w:pPr>
      <w:bookmarkStart w:id="22" w:name="_Toc197611746"/>
      <w:r>
        <w:rPr>
          <w:rStyle w:val="CharSectno"/>
        </w:rPr>
        <w:t>8</w:t>
      </w:r>
      <w:r>
        <w:t>.</w:t>
      </w:r>
      <w:r>
        <w:tab/>
        <w:t>Council to have regard to, and apply, certain standards</w:t>
      </w:r>
      <w:bookmarkEnd w:id="22"/>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lastRenderedPageBreak/>
        <w:tab/>
        <w:t>(b)</w:t>
      </w:r>
      <w:r>
        <w:tab/>
        <w:t>the accreditation standards.</w:t>
      </w:r>
    </w:p>
    <w:p>
      <w:pPr>
        <w:pStyle w:val="Footnotesection"/>
      </w:pPr>
      <w:r>
        <w:tab/>
        <w:t>[Regulation 8 amended: Gazette 25 Oct 2011 p. 4509; 17 Dec 2013 p. 6220; 10 Mar 2015 p. 828.]</w:t>
      </w:r>
    </w:p>
    <w:p>
      <w:pPr>
        <w:pStyle w:val="Heading5"/>
      </w:pPr>
      <w:bookmarkStart w:id="23" w:name="_Toc197611747"/>
      <w:r>
        <w:rPr>
          <w:rStyle w:val="CharSectno"/>
        </w:rPr>
        <w:t>9</w:t>
      </w:r>
      <w:r>
        <w:t>.</w:t>
      </w:r>
      <w:r>
        <w:tab/>
        <w:t>Register</w:t>
      </w:r>
      <w:bookmarkEnd w:id="23"/>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24" w:name="_Toc197604231"/>
      <w:bookmarkStart w:id="25" w:name="_Toc197604925"/>
      <w:bookmarkStart w:id="26" w:name="_Toc197611748"/>
      <w:r>
        <w:rPr>
          <w:rStyle w:val="CharDivNo"/>
        </w:rPr>
        <w:lastRenderedPageBreak/>
        <w:t>Division 2</w:t>
      </w:r>
      <w:r>
        <w:t> — </w:t>
      </w:r>
      <w:r>
        <w:rPr>
          <w:rStyle w:val="CharDivText"/>
        </w:rPr>
        <w:t>Registration of training providers</w:t>
      </w:r>
      <w:bookmarkEnd w:id="24"/>
      <w:bookmarkEnd w:id="25"/>
      <w:bookmarkEnd w:id="26"/>
    </w:p>
    <w:p>
      <w:pPr>
        <w:pStyle w:val="Heading5"/>
      </w:pPr>
      <w:bookmarkStart w:id="27" w:name="_Toc197611749"/>
      <w:r>
        <w:rPr>
          <w:rStyle w:val="CharSectno"/>
        </w:rPr>
        <w:t>10</w:t>
      </w:r>
      <w:r>
        <w:t>.</w:t>
      </w:r>
      <w:r>
        <w:tab/>
        <w:t>Applying to be registered training provider</w:t>
      </w:r>
      <w:bookmarkEnd w:id="27"/>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keepNext/>
      </w:pPr>
      <w:r>
        <w:lastRenderedPageBreak/>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Pr>
      <w:bookmarkStart w:id="28" w:name="_Toc197611750"/>
      <w:r>
        <w:rPr>
          <w:rStyle w:val="CharSectno"/>
        </w:rPr>
        <w:t>11</w:t>
      </w:r>
      <w:r>
        <w:t>.</w:t>
      </w:r>
      <w:r>
        <w:tab/>
        <w:t>Dealing with applications</w:t>
      </w:r>
      <w:bookmarkEnd w:id="28"/>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29" w:name="_Toc197611751"/>
      <w:r>
        <w:rPr>
          <w:rStyle w:val="CharSectno"/>
        </w:rPr>
        <w:t>12</w:t>
      </w:r>
      <w:r>
        <w:t>.</w:t>
      </w:r>
      <w:r>
        <w:tab/>
        <w:t>Registering training providers</w:t>
      </w:r>
      <w:bookmarkEnd w:id="29"/>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keepNext/>
      </w:pPr>
      <w:r>
        <w:lastRenderedPageBreak/>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lastRenderedPageBreak/>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30" w:name="_Toc197611752"/>
      <w:r>
        <w:rPr>
          <w:rStyle w:val="CharSectno"/>
        </w:rPr>
        <w:t>13</w:t>
      </w:r>
      <w:r>
        <w:t>.</w:t>
      </w:r>
      <w:r>
        <w:tab/>
        <w:t>Conditions of registration</w:t>
      </w:r>
      <w:bookmarkEnd w:id="30"/>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lastRenderedPageBreak/>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lastRenderedPageBreak/>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31" w:name="_Toc197611753"/>
      <w:r>
        <w:rPr>
          <w:rStyle w:val="CharSectno"/>
        </w:rPr>
        <w:t>14</w:t>
      </w:r>
      <w:r>
        <w:t>.</w:t>
      </w:r>
      <w:r>
        <w:tab/>
        <w:t>Period of registration</w:t>
      </w:r>
      <w:bookmarkEnd w:id="31"/>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32" w:name="_Toc197611754"/>
      <w:r>
        <w:rPr>
          <w:rStyle w:val="CharSectno"/>
        </w:rPr>
        <w:t>15</w:t>
      </w:r>
      <w:r>
        <w:t>.</w:t>
      </w:r>
      <w:r>
        <w:tab/>
        <w:t>Annual fees payable by registered training providers</w:t>
      </w:r>
      <w:bookmarkEnd w:id="32"/>
    </w:p>
    <w:p>
      <w:pPr>
        <w:pStyle w:val="Subsection"/>
      </w:pPr>
      <w:r>
        <w:tab/>
      </w:r>
      <w:r>
        <w:tab/>
        <w:t>A WA registered provider must pay an annual fee set under regulation 23 on or before each anniversary of the provider’s registration or its renewal.</w:t>
      </w:r>
    </w:p>
    <w:p>
      <w:pPr>
        <w:pStyle w:val="Heading5"/>
      </w:pPr>
      <w:bookmarkStart w:id="33" w:name="_Toc197611755"/>
      <w:r>
        <w:rPr>
          <w:rStyle w:val="CharSectno"/>
        </w:rPr>
        <w:lastRenderedPageBreak/>
        <w:t>16</w:t>
      </w:r>
      <w:r>
        <w:t>.</w:t>
      </w:r>
      <w:r>
        <w:tab/>
        <w:t>Renewal of registration</w:t>
      </w:r>
      <w:bookmarkEnd w:id="33"/>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lastRenderedPageBreak/>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Pr>
      <w:bookmarkStart w:id="34" w:name="_Toc197611756"/>
      <w:r>
        <w:rPr>
          <w:rStyle w:val="CharSectno"/>
        </w:rPr>
        <w:t>17</w:t>
      </w:r>
      <w:r>
        <w:t>.</w:t>
      </w:r>
      <w:r>
        <w:tab/>
        <w:t>Varying registration</w:t>
      </w:r>
      <w:bookmarkEnd w:id="34"/>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 xml:space="preserve">The Council must not vary a WA registered provider’s registration to change the provider’s scope of registration unless </w:t>
      </w:r>
      <w:r>
        <w:lastRenderedPageBreak/>
        <w:t>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35" w:name="_Toc197611757"/>
      <w:r>
        <w:rPr>
          <w:rStyle w:val="CharSectno"/>
        </w:rPr>
        <w:t>18</w:t>
      </w:r>
      <w:r>
        <w:t>.</w:t>
      </w:r>
      <w:r>
        <w:tab/>
        <w:t>Cancelling registration if provider’s operations change</w:t>
      </w:r>
      <w:bookmarkEnd w:id="35"/>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36" w:name="_Toc197611758"/>
      <w:r>
        <w:rPr>
          <w:rStyle w:val="CharSectno"/>
        </w:rPr>
        <w:lastRenderedPageBreak/>
        <w:t>19</w:t>
      </w:r>
      <w:r>
        <w:t>.</w:t>
      </w:r>
      <w:r>
        <w:tab/>
        <w:t>Suspending or cancelling registration</w:t>
      </w:r>
      <w:bookmarkEnd w:id="36"/>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lastRenderedPageBreak/>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37" w:name="_Toc197611759"/>
      <w:r>
        <w:rPr>
          <w:rStyle w:val="CharSectno"/>
        </w:rPr>
        <w:t>20</w:t>
      </w:r>
      <w:r>
        <w:t>.</w:t>
      </w:r>
      <w:r>
        <w:tab/>
        <w:t>Suspension of WA registered provider may be on terms</w:t>
      </w:r>
      <w:bookmarkEnd w:id="37"/>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lastRenderedPageBreak/>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38" w:name="_Toc197611760"/>
      <w:r>
        <w:rPr>
          <w:rStyle w:val="CharSectno"/>
        </w:rPr>
        <w:t>21</w:t>
      </w:r>
      <w:r>
        <w:t>.</w:t>
      </w:r>
      <w:r>
        <w:tab/>
        <w:t>Effect of suspension of WA registered provider</w:t>
      </w:r>
      <w:bookmarkEnd w:id="38"/>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39" w:name="_Toc197611761"/>
      <w:r>
        <w:rPr>
          <w:rStyle w:val="CharSectno"/>
        </w:rPr>
        <w:t>22</w:t>
      </w:r>
      <w:r>
        <w:t>.</w:t>
      </w:r>
      <w:r>
        <w:tab/>
        <w:t>Requests for reassessment of decision to suspend WA registered provider</w:t>
      </w:r>
      <w:bookmarkEnd w:id="39"/>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lastRenderedPageBreak/>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40" w:name="_Toc197611762"/>
      <w:r>
        <w:rPr>
          <w:rStyle w:val="CharSectno"/>
        </w:rPr>
        <w:t>23</w:t>
      </w:r>
      <w:r>
        <w:t>.</w:t>
      </w:r>
      <w:r>
        <w:tab/>
        <w:t>Fees</w:t>
      </w:r>
      <w:bookmarkEnd w:id="40"/>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41" w:name="_Toc197604246"/>
      <w:bookmarkStart w:id="42" w:name="_Toc197604940"/>
      <w:bookmarkStart w:id="43" w:name="_Toc197611763"/>
      <w:r>
        <w:rPr>
          <w:rStyle w:val="CharDivNo"/>
        </w:rPr>
        <w:t>Division 3</w:t>
      </w:r>
      <w:r>
        <w:t> — </w:t>
      </w:r>
      <w:r>
        <w:rPr>
          <w:rStyle w:val="CharDivText"/>
        </w:rPr>
        <w:t>Audits of, and investigations into, training providers</w:t>
      </w:r>
      <w:bookmarkEnd w:id="41"/>
      <w:bookmarkEnd w:id="42"/>
      <w:bookmarkEnd w:id="43"/>
    </w:p>
    <w:p>
      <w:pPr>
        <w:pStyle w:val="Footnoteheading"/>
      </w:pPr>
      <w:r>
        <w:tab/>
        <w:t>[Heading amended: Gazette 17 Dec 2013 p. 6224.]</w:t>
      </w:r>
    </w:p>
    <w:p>
      <w:pPr>
        <w:pStyle w:val="Heading5"/>
      </w:pPr>
      <w:bookmarkStart w:id="44" w:name="_Toc197611764"/>
      <w:r>
        <w:rPr>
          <w:rStyle w:val="CharSectno"/>
        </w:rPr>
        <w:t>24</w:t>
      </w:r>
      <w:r>
        <w:t>.</w:t>
      </w:r>
      <w:r>
        <w:tab/>
        <w:t>Terms used</w:t>
      </w:r>
      <w:bookmarkEnd w:id="44"/>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lastRenderedPageBreak/>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45" w:name="_Toc197611765"/>
      <w:r>
        <w:rPr>
          <w:rStyle w:val="CharSectno"/>
        </w:rPr>
        <w:t>25</w:t>
      </w:r>
      <w:r>
        <w:t>.</w:t>
      </w:r>
      <w:r>
        <w:tab/>
        <w:t>Audits</w:t>
      </w:r>
      <w:bookmarkEnd w:id="45"/>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keepNext/>
      </w:pPr>
      <w:r>
        <w:lastRenderedPageBreak/>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46" w:name="_Toc197611766"/>
      <w:r>
        <w:rPr>
          <w:rStyle w:val="CharSectno"/>
        </w:rPr>
        <w:t>26A</w:t>
      </w:r>
      <w:r>
        <w:t>.</w:t>
      </w:r>
      <w:r>
        <w:tab/>
        <w:t>Compliance audits</w:t>
      </w:r>
      <w:bookmarkEnd w:id="46"/>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keepNext/>
      </w:pPr>
      <w:r>
        <w:lastRenderedPageBreak/>
        <w:tab/>
        <w:t>(3)</w:t>
      </w:r>
      <w:r>
        <w:tab/>
        <w:t xml:space="preserve">If the Council conducts a compliance audit on a WA registered provider, a charge is payable for — </w:t>
      </w:r>
    </w:p>
    <w:p>
      <w:pPr>
        <w:pStyle w:val="Indenta"/>
        <w:keepNext/>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47" w:name="_Toc197611767"/>
      <w:r>
        <w:rPr>
          <w:rStyle w:val="CharSectno"/>
        </w:rPr>
        <w:t>26B</w:t>
      </w:r>
      <w:r>
        <w:t>.</w:t>
      </w:r>
      <w:r>
        <w:tab/>
        <w:t>Investigations of complaints</w:t>
      </w:r>
      <w:bookmarkEnd w:id="47"/>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lastRenderedPageBreak/>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48" w:name="_Toc197611768"/>
      <w:r>
        <w:rPr>
          <w:rStyle w:val="CharSectno"/>
        </w:rPr>
        <w:lastRenderedPageBreak/>
        <w:t>26C</w:t>
      </w:r>
      <w:r>
        <w:t>.</w:t>
      </w:r>
      <w:r>
        <w:tab/>
        <w:t>Circumstances in which a charge may be waived in whole or in part</w:t>
      </w:r>
      <w:bookmarkEnd w:id="48"/>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Pr>
      <w:bookmarkStart w:id="49" w:name="_Toc197611769"/>
      <w:r>
        <w:rPr>
          <w:rStyle w:val="CharSectno"/>
        </w:rPr>
        <w:t>26D</w:t>
      </w:r>
      <w:r>
        <w:t>.</w:t>
      </w:r>
      <w:r>
        <w:tab/>
        <w:t>Rounding</w:t>
      </w:r>
      <w:bookmarkEnd w:id="49"/>
    </w:p>
    <w:p>
      <w:pPr>
        <w:pStyle w:val="Subsection"/>
        <w:keepNext/>
      </w:pPr>
      <w:r>
        <w:tab/>
      </w:r>
      <w:r>
        <w:tab/>
        <w:t xml:space="preserve">When determining under regulations 26A(3)(a)(ii) and 26B(4)(a)(i) the amount of the charge payable for a compliance audit or investigation where the hourly rate is $250 </w:t>
      </w:r>
      <w:r>
        <w:lastRenderedPageBreak/>
        <w:t xml:space="preserve">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50" w:name="_Toc197604253"/>
      <w:bookmarkStart w:id="51" w:name="_Toc197604947"/>
      <w:bookmarkStart w:id="52" w:name="_Toc197611770"/>
      <w:r>
        <w:rPr>
          <w:rStyle w:val="CharDivNo"/>
        </w:rPr>
        <w:t>Division 4</w:t>
      </w:r>
      <w:r>
        <w:t> — </w:t>
      </w:r>
      <w:r>
        <w:rPr>
          <w:rStyle w:val="CharDivText"/>
        </w:rPr>
        <w:t>Obligations of registered training providers and of the Council</w:t>
      </w:r>
      <w:bookmarkEnd w:id="50"/>
      <w:bookmarkEnd w:id="51"/>
      <w:bookmarkEnd w:id="52"/>
    </w:p>
    <w:p>
      <w:pPr>
        <w:pStyle w:val="Footnoteheading"/>
      </w:pPr>
      <w:r>
        <w:tab/>
        <w:t>[Heading amended: Gazette 17 Dec 2013 p. 6228.]</w:t>
      </w:r>
    </w:p>
    <w:p>
      <w:pPr>
        <w:pStyle w:val="Heading5"/>
      </w:pPr>
      <w:bookmarkStart w:id="53" w:name="_Toc197611771"/>
      <w:r>
        <w:rPr>
          <w:rStyle w:val="CharSectno"/>
        </w:rPr>
        <w:t>26</w:t>
      </w:r>
      <w:r>
        <w:t>.</w:t>
      </w:r>
      <w:r>
        <w:tab/>
        <w:t>Reporting to Council</w:t>
      </w:r>
      <w:bookmarkEnd w:id="53"/>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keepNext/>
        <w:spacing w:before="180"/>
      </w:pPr>
      <w:r>
        <w:lastRenderedPageBreak/>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54" w:name="_Toc197611772"/>
      <w:r>
        <w:rPr>
          <w:rStyle w:val="CharSectno"/>
        </w:rPr>
        <w:t>27</w:t>
      </w:r>
      <w:r>
        <w:t>.</w:t>
      </w:r>
      <w:r>
        <w:tab/>
        <w:t>Giving Council information on ceasing operations</w:t>
      </w:r>
      <w:bookmarkEnd w:id="54"/>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keepNext/>
      </w:pPr>
      <w:r>
        <w:lastRenderedPageBreak/>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55" w:name="_Toc197611773"/>
      <w:r>
        <w:rPr>
          <w:rStyle w:val="CharSectno"/>
        </w:rPr>
        <w:t>28A</w:t>
      </w:r>
      <w:r>
        <w:t>.</w:t>
      </w:r>
      <w:r>
        <w:tab/>
        <w:t>Person may obtain from Council certified copies of information</w:t>
      </w:r>
      <w:bookmarkEnd w:id="55"/>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lastRenderedPageBreak/>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56" w:name="_Toc197604257"/>
      <w:bookmarkStart w:id="57" w:name="_Toc197604951"/>
      <w:bookmarkStart w:id="58" w:name="_Toc197611774"/>
      <w:r>
        <w:rPr>
          <w:rStyle w:val="CharDivNo"/>
        </w:rPr>
        <w:t>Division 5</w:t>
      </w:r>
      <w:r>
        <w:t> — </w:t>
      </w:r>
      <w:r>
        <w:rPr>
          <w:rStyle w:val="CharDivText"/>
        </w:rPr>
        <w:t>Accreditation of VET courses</w:t>
      </w:r>
      <w:bookmarkEnd w:id="56"/>
      <w:bookmarkEnd w:id="57"/>
      <w:bookmarkEnd w:id="58"/>
    </w:p>
    <w:p>
      <w:pPr>
        <w:pStyle w:val="Heading5"/>
      </w:pPr>
      <w:bookmarkStart w:id="59" w:name="_Toc197611775"/>
      <w:r>
        <w:rPr>
          <w:rStyle w:val="CharSectno"/>
        </w:rPr>
        <w:t>28</w:t>
      </w:r>
      <w:r>
        <w:t>.</w:t>
      </w:r>
      <w:r>
        <w:tab/>
        <w:t>Applying to have VET course accredited</w:t>
      </w:r>
      <w:bookmarkEnd w:id="59"/>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60" w:name="_Toc197611776"/>
      <w:r>
        <w:rPr>
          <w:rStyle w:val="CharSectno"/>
        </w:rPr>
        <w:t>29</w:t>
      </w:r>
      <w:r>
        <w:t>.</w:t>
      </w:r>
      <w:r>
        <w:tab/>
        <w:t>Dealing with applications</w:t>
      </w:r>
      <w:bookmarkEnd w:id="60"/>
    </w:p>
    <w:p>
      <w:pPr>
        <w:pStyle w:val="Subsection"/>
      </w:pPr>
      <w:r>
        <w:tab/>
        <w:t>(1)</w:t>
      </w:r>
      <w:r>
        <w:tab/>
        <w:t>This regulation and regulation 30 do not limit the grounds on which the Council may decide not to grant an accreditation application.</w:t>
      </w:r>
    </w:p>
    <w:p>
      <w:pPr>
        <w:pStyle w:val="Subsection"/>
      </w:pPr>
      <w:r>
        <w:lastRenderedPageBreak/>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61" w:name="_Toc197611777"/>
      <w:r>
        <w:rPr>
          <w:rStyle w:val="CharSectno"/>
        </w:rPr>
        <w:t>30</w:t>
      </w:r>
      <w:r>
        <w:t>.</w:t>
      </w:r>
      <w:r>
        <w:tab/>
        <w:t>Accrediting VET courses</w:t>
      </w:r>
      <w:bookmarkEnd w:id="61"/>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62" w:name="_Toc197611778"/>
      <w:r>
        <w:rPr>
          <w:rStyle w:val="CharSectno"/>
        </w:rPr>
        <w:lastRenderedPageBreak/>
        <w:t>31</w:t>
      </w:r>
      <w:r>
        <w:t>.</w:t>
      </w:r>
      <w:r>
        <w:tab/>
        <w:t>Period of accreditation</w:t>
      </w:r>
      <w:bookmarkEnd w:id="62"/>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63" w:name="_Toc197611779"/>
      <w:r>
        <w:rPr>
          <w:rStyle w:val="CharSectno"/>
        </w:rPr>
        <w:t>32</w:t>
      </w:r>
      <w:r>
        <w:t>.</w:t>
      </w:r>
      <w:r>
        <w:tab/>
        <w:t>Renewing accreditation</w:t>
      </w:r>
      <w:bookmarkEnd w:id="63"/>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64" w:name="_Toc197611780"/>
      <w:r>
        <w:rPr>
          <w:rStyle w:val="CharSectno"/>
        </w:rPr>
        <w:t>33A</w:t>
      </w:r>
      <w:r>
        <w:t>.</w:t>
      </w:r>
      <w:r>
        <w:tab/>
        <w:t>Varying accreditation</w:t>
      </w:r>
      <w:bookmarkEnd w:id="64"/>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lastRenderedPageBreak/>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lastRenderedPageBreak/>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65" w:name="_Toc197611781"/>
      <w:r>
        <w:rPr>
          <w:rStyle w:val="CharSectno"/>
        </w:rPr>
        <w:t>33</w:t>
      </w:r>
      <w:r>
        <w:t>.</w:t>
      </w:r>
      <w:r>
        <w:tab/>
        <w:t>Cancelling accreditation</w:t>
      </w:r>
      <w:bookmarkEnd w:id="65"/>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66" w:name="_Toc197611782"/>
      <w:r>
        <w:rPr>
          <w:rStyle w:val="CharSectno"/>
        </w:rPr>
        <w:t>34A</w:t>
      </w:r>
      <w:r>
        <w:t>.</w:t>
      </w:r>
      <w:r>
        <w:tab/>
        <w:t>Validity of decisions unaffected</w:t>
      </w:r>
      <w:bookmarkEnd w:id="66"/>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67" w:name="_Toc197604266"/>
      <w:bookmarkStart w:id="68" w:name="_Toc197604960"/>
      <w:bookmarkStart w:id="69" w:name="_Toc197611783"/>
      <w:r>
        <w:rPr>
          <w:rStyle w:val="CharPartNo"/>
        </w:rPr>
        <w:lastRenderedPageBreak/>
        <w:t>Part 4</w:t>
      </w:r>
      <w:r>
        <w:t> — </w:t>
      </w:r>
      <w:r>
        <w:rPr>
          <w:rStyle w:val="CharPartText"/>
        </w:rPr>
        <w:t>Regulations for Part 7 of the Act</w:t>
      </w:r>
      <w:bookmarkEnd w:id="67"/>
      <w:bookmarkEnd w:id="68"/>
      <w:bookmarkEnd w:id="69"/>
    </w:p>
    <w:p>
      <w:pPr>
        <w:pStyle w:val="Heading3"/>
      </w:pPr>
      <w:bookmarkStart w:id="70" w:name="_Toc197604267"/>
      <w:bookmarkStart w:id="71" w:name="_Toc197604961"/>
      <w:bookmarkStart w:id="72" w:name="_Toc197611784"/>
      <w:r>
        <w:rPr>
          <w:rStyle w:val="CharDivNo"/>
        </w:rPr>
        <w:t>Division 1</w:t>
      </w:r>
      <w:r>
        <w:t> — </w:t>
      </w:r>
      <w:r>
        <w:rPr>
          <w:rStyle w:val="CharDivText"/>
        </w:rPr>
        <w:t>General matters</w:t>
      </w:r>
      <w:bookmarkEnd w:id="70"/>
      <w:bookmarkEnd w:id="71"/>
      <w:bookmarkEnd w:id="72"/>
    </w:p>
    <w:p>
      <w:pPr>
        <w:pStyle w:val="Heading5"/>
      </w:pPr>
      <w:bookmarkStart w:id="73" w:name="_Toc197611785"/>
      <w:r>
        <w:rPr>
          <w:rStyle w:val="CharSectno"/>
        </w:rPr>
        <w:t>34</w:t>
      </w:r>
      <w:r>
        <w:t>.</w:t>
      </w:r>
      <w:r>
        <w:tab/>
        <w:t>Term used: nominated training provider</w:t>
      </w:r>
      <w:bookmarkEnd w:id="73"/>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Ednotesection"/>
      </w:pPr>
      <w:r>
        <w:t>[</w:t>
      </w:r>
      <w:r>
        <w:rPr>
          <w:b/>
          <w:bCs/>
        </w:rPr>
        <w:t>35.</w:t>
      </w:r>
      <w:r>
        <w:tab/>
        <w:t xml:space="preserve">Deleted: SL 2024/147 r. 4.] </w:t>
      </w:r>
    </w:p>
    <w:p>
      <w:pPr>
        <w:pStyle w:val="Heading3"/>
      </w:pPr>
      <w:bookmarkStart w:id="74" w:name="_Toc197604269"/>
      <w:bookmarkStart w:id="75" w:name="_Toc197604963"/>
      <w:bookmarkStart w:id="76" w:name="_Toc197611786"/>
      <w:r>
        <w:rPr>
          <w:rStyle w:val="CharDivNo"/>
        </w:rPr>
        <w:t>Division 2</w:t>
      </w:r>
      <w:r>
        <w:t> — </w:t>
      </w:r>
      <w:r>
        <w:rPr>
          <w:rStyle w:val="CharDivText"/>
        </w:rPr>
        <w:t>Classifying prescribed VET qualifications</w:t>
      </w:r>
      <w:bookmarkEnd w:id="74"/>
      <w:bookmarkEnd w:id="75"/>
      <w:bookmarkEnd w:id="76"/>
    </w:p>
    <w:p>
      <w:pPr>
        <w:pStyle w:val="Heading5"/>
      </w:pPr>
      <w:bookmarkStart w:id="77" w:name="_Toc197611787"/>
      <w:r>
        <w:rPr>
          <w:rStyle w:val="CharSectno"/>
        </w:rPr>
        <w:t>36</w:t>
      </w:r>
      <w:r>
        <w:t>.</w:t>
      </w:r>
      <w:r>
        <w:tab/>
        <w:t>Who Board must consult (Act s. 60C)</w:t>
      </w:r>
      <w:bookmarkEnd w:id="77"/>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keepNext/>
      </w:pPr>
      <w:r>
        <w:lastRenderedPageBreak/>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78" w:name="_Toc197611788"/>
      <w:r>
        <w:rPr>
          <w:rStyle w:val="CharSectno"/>
        </w:rPr>
        <w:t>37</w:t>
      </w:r>
      <w:r>
        <w:t>.</w:t>
      </w:r>
      <w:r>
        <w:tab/>
        <w:t>Board’s advice and recommendations to Minister (Act s. 60C)</w:t>
      </w:r>
      <w:bookmarkEnd w:id="78"/>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lastRenderedPageBreak/>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79" w:name="_Toc197604272"/>
      <w:bookmarkStart w:id="80" w:name="_Toc197604966"/>
      <w:bookmarkStart w:id="81" w:name="_Toc197611789"/>
      <w:r>
        <w:rPr>
          <w:rStyle w:val="CharDivNo"/>
        </w:rPr>
        <w:t>Division 3</w:t>
      </w:r>
      <w:r>
        <w:t> — </w:t>
      </w:r>
      <w:r>
        <w:rPr>
          <w:rStyle w:val="CharDivText"/>
        </w:rPr>
        <w:t>Training contracts</w:t>
      </w:r>
      <w:bookmarkEnd w:id="79"/>
      <w:bookmarkEnd w:id="80"/>
      <w:bookmarkEnd w:id="81"/>
    </w:p>
    <w:p>
      <w:pPr>
        <w:pStyle w:val="Heading5"/>
      </w:pPr>
      <w:bookmarkStart w:id="82" w:name="_Toc197611790"/>
      <w:r>
        <w:rPr>
          <w:rStyle w:val="CharSectno"/>
        </w:rPr>
        <w:t>38</w:t>
      </w:r>
      <w:r>
        <w:t>.</w:t>
      </w:r>
      <w:r>
        <w:tab/>
        <w:t>Form and content of training contracts</w:t>
      </w:r>
      <w:bookmarkEnd w:id="82"/>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lastRenderedPageBreak/>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83" w:name="_Toc197611791"/>
      <w:r>
        <w:rPr>
          <w:rStyle w:val="CharSectno"/>
        </w:rPr>
        <w:t>39</w:t>
      </w:r>
      <w:r>
        <w:t>.</w:t>
      </w:r>
      <w:r>
        <w:tab/>
        <w:t>Probation periods of training contracts</w:t>
      </w:r>
      <w:bookmarkEnd w:id="83"/>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84" w:name="_Toc197611792"/>
      <w:r>
        <w:rPr>
          <w:rStyle w:val="CharSectno"/>
        </w:rPr>
        <w:t>40</w:t>
      </w:r>
      <w:r>
        <w:t>.</w:t>
      </w:r>
      <w:r>
        <w:tab/>
        <w:t>Children’s capacity to enter into training contracts</w:t>
      </w:r>
      <w:bookmarkEnd w:id="8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lastRenderedPageBreak/>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lastRenderedPageBreak/>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85" w:name="_Toc197611793"/>
      <w:r>
        <w:rPr>
          <w:rStyle w:val="CharSectno"/>
        </w:rPr>
        <w:t>41</w:t>
      </w:r>
      <w:r>
        <w:t>.</w:t>
      </w:r>
      <w:r>
        <w:tab/>
        <w:t>Lodging training contracts for registration (Act s. 60F)</w:t>
      </w:r>
      <w:bookmarkEnd w:id="85"/>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86" w:name="_Toc197611794"/>
      <w:r>
        <w:rPr>
          <w:rStyle w:val="CharSectno"/>
        </w:rPr>
        <w:t>42</w:t>
      </w:r>
      <w:r>
        <w:t>.</w:t>
      </w:r>
      <w:r>
        <w:tab/>
        <w:t>Registering training contracts (Act s. 60F)</w:t>
      </w:r>
      <w:bookmarkEnd w:id="86"/>
    </w:p>
    <w:p>
      <w:pPr>
        <w:pStyle w:val="Subsection"/>
      </w:pPr>
      <w:r>
        <w:tab/>
        <w:t>(1)</w:t>
      </w:r>
      <w:r>
        <w:tab/>
        <w:t>As soon as practicable after a training contract is lodged for registration, the chief executive must register or refuse to register it.</w:t>
      </w:r>
    </w:p>
    <w:p>
      <w:pPr>
        <w:pStyle w:val="Subsection"/>
      </w:pPr>
      <w:r>
        <w:lastRenderedPageBreak/>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keepNext/>
      </w:pPr>
      <w:r>
        <w:lastRenderedPageBreak/>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87" w:name="_Toc197611795"/>
      <w:r>
        <w:rPr>
          <w:rStyle w:val="CharSectno"/>
        </w:rPr>
        <w:t>43</w:t>
      </w:r>
      <w:r>
        <w:t>.</w:t>
      </w:r>
      <w:r>
        <w:tab/>
        <w:t>Training plans for training contracts</w:t>
      </w:r>
      <w:bookmarkEnd w:id="87"/>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lastRenderedPageBreak/>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 xml:space="preserve">Within 30 days after the date on which a complying training plan is signed under this regulation by the employer, apprentice and the nominated training provider, the training provider must </w:t>
      </w:r>
      <w:r>
        <w:lastRenderedPageBreak/>
        <w:t>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88" w:name="_Toc197611796"/>
      <w:r>
        <w:rPr>
          <w:rStyle w:val="CharSectno"/>
        </w:rPr>
        <w:t>44</w:t>
      </w:r>
      <w:r>
        <w:t>.</w:t>
      </w:r>
      <w:r>
        <w:tab/>
        <w:t>Cancellation of registration by chief executive (Act s. 60F)</w:t>
      </w:r>
      <w:bookmarkEnd w:id="88"/>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lastRenderedPageBreak/>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89" w:name="_Toc197611797"/>
      <w:r>
        <w:rPr>
          <w:rStyle w:val="CharSectno"/>
        </w:rPr>
        <w:t>45</w:t>
      </w:r>
      <w:r>
        <w:t>.</w:t>
      </w:r>
      <w:r>
        <w:tab/>
        <w:t>Chief executive may require persons involved in training contracts to provide information</w:t>
      </w:r>
      <w:bookmarkEnd w:id="8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90" w:name="_Toc197611798"/>
      <w:r>
        <w:rPr>
          <w:rStyle w:val="CharSectno"/>
        </w:rPr>
        <w:t>46</w:t>
      </w:r>
      <w:r>
        <w:t>.</w:t>
      </w:r>
      <w:r>
        <w:tab/>
        <w:t>Variation of training contract by parties (Act s. 60E)</w:t>
      </w:r>
      <w:bookmarkEnd w:id="90"/>
    </w:p>
    <w:p>
      <w:pPr>
        <w:pStyle w:val="Subsection"/>
      </w:pPr>
      <w:r>
        <w:tab/>
        <w:t>(1)</w:t>
      </w:r>
      <w:r>
        <w:tab/>
        <w:t>This regulation operates for the purposes of section 60E(4)(a) of the Act.</w:t>
      </w:r>
    </w:p>
    <w:p>
      <w:pPr>
        <w:pStyle w:val="Subsection"/>
      </w:pPr>
      <w:r>
        <w:lastRenderedPageBreak/>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91" w:name="_Toc197611799"/>
      <w:r>
        <w:rPr>
          <w:rStyle w:val="CharSectno"/>
        </w:rPr>
        <w:lastRenderedPageBreak/>
        <w:t>47</w:t>
      </w:r>
      <w:r>
        <w:t>.</w:t>
      </w:r>
      <w:r>
        <w:tab/>
        <w:t>Assignment of training contract to another employer (Act s. 60E)</w:t>
      </w:r>
      <w:bookmarkEnd w:id="91"/>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92" w:name="_Toc197611800"/>
      <w:r>
        <w:rPr>
          <w:rStyle w:val="CharSectno"/>
        </w:rPr>
        <w:t>48</w:t>
      </w:r>
      <w:r>
        <w:t>.</w:t>
      </w:r>
      <w:r>
        <w:tab/>
        <w:t>Suspension of training contract by parties (Act s. 60E)</w:t>
      </w:r>
      <w:bookmarkEnd w:id="92"/>
    </w:p>
    <w:p>
      <w:pPr>
        <w:pStyle w:val="Subsection"/>
      </w:pPr>
      <w:r>
        <w:tab/>
        <w:t>(1)</w:t>
      </w:r>
      <w:r>
        <w:tab/>
        <w:t>This regulation operates for the purposes of section 60E(4)(b) of the Act.</w:t>
      </w:r>
    </w:p>
    <w:p>
      <w:pPr>
        <w:pStyle w:val="Subsection"/>
      </w:pPr>
      <w:r>
        <w:lastRenderedPageBreak/>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93" w:name="_Toc197611801"/>
      <w:r>
        <w:rPr>
          <w:rStyle w:val="CharSectno"/>
        </w:rPr>
        <w:t>49</w:t>
      </w:r>
      <w:r>
        <w:t>.</w:t>
      </w:r>
      <w:r>
        <w:tab/>
        <w:t>Suspension by employer (Act s. 60E)</w:t>
      </w:r>
      <w:bookmarkEnd w:id="93"/>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lastRenderedPageBreak/>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94" w:name="_Toc197611802"/>
      <w:r>
        <w:rPr>
          <w:rStyle w:val="CharSectno"/>
        </w:rPr>
        <w:lastRenderedPageBreak/>
        <w:t>50</w:t>
      </w:r>
      <w:r>
        <w:t>.</w:t>
      </w:r>
      <w:r>
        <w:tab/>
        <w:t>Termination of training contract by parties (Act s. 60G)</w:t>
      </w:r>
      <w:bookmarkEnd w:id="94"/>
    </w:p>
    <w:p>
      <w:pPr>
        <w:pStyle w:val="Subsection"/>
      </w:pPr>
      <w:r>
        <w:tab/>
      </w:r>
      <w:r>
        <w:tab/>
        <w:t>A party to a training contract may terminate the contract during the contract’s probation period without the approval of the chief executive.</w:t>
      </w:r>
    </w:p>
    <w:p>
      <w:pPr>
        <w:pStyle w:val="Heading5"/>
      </w:pPr>
      <w:bookmarkStart w:id="95" w:name="_Toc197611803"/>
      <w:r>
        <w:rPr>
          <w:rStyle w:val="CharSectno"/>
        </w:rPr>
        <w:t>51</w:t>
      </w:r>
      <w:r>
        <w:t>.</w:t>
      </w:r>
      <w:r>
        <w:tab/>
        <w:t>Approval of termination of training contract by chief executive (Act s. 60G)</w:t>
      </w:r>
      <w:bookmarkEnd w:id="95"/>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96" w:name="_Toc197611804"/>
      <w:r>
        <w:rPr>
          <w:rStyle w:val="CharSectno"/>
        </w:rPr>
        <w:t>52</w:t>
      </w:r>
      <w:r>
        <w:t>.</w:t>
      </w:r>
      <w:r>
        <w:tab/>
        <w:t>Completion of training contract</w:t>
      </w:r>
      <w:bookmarkEnd w:id="9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97" w:name="_Toc197611805"/>
      <w:r>
        <w:rPr>
          <w:rStyle w:val="CharSectno"/>
        </w:rPr>
        <w:lastRenderedPageBreak/>
        <w:t>52A</w:t>
      </w:r>
      <w:r>
        <w:t>.</w:t>
      </w:r>
      <w:r>
        <w:tab/>
        <w:t>Resolution of disputes by chief executive</w:t>
      </w:r>
      <w:bookmarkEnd w:id="97"/>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Pr>
      <w:bookmarkStart w:id="98" w:name="_Toc197604289"/>
      <w:bookmarkStart w:id="99" w:name="_Toc197604983"/>
      <w:bookmarkStart w:id="100" w:name="_Toc197611806"/>
      <w:r>
        <w:rPr>
          <w:rStyle w:val="CharDivNo"/>
        </w:rPr>
        <w:t>Division 4</w:t>
      </w:r>
      <w:r>
        <w:t> — </w:t>
      </w:r>
      <w:r>
        <w:rPr>
          <w:rStyle w:val="CharDivText"/>
        </w:rPr>
        <w:t>Procedure and appeals</w:t>
      </w:r>
      <w:bookmarkEnd w:id="98"/>
      <w:bookmarkEnd w:id="99"/>
      <w:bookmarkEnd w:id="100"/>
    </w:p>
    <w:p>
      <w:pPr>
        <w:pStyle w:val="Heading5"/>
      </w:pPr>
      <w:bookmarkStart w:id="101" w:name="_Toc197611807"/>
      <w:r>
        <w:rPr>
          <w:rStyle w:val="CharSectno"/>
        </w:rPr>
        <w:t>53</w:t>
      </w:r>
      <w:r>
        <w:t>.</w:t>
      </w:r>
      <w:r>
        <w:tab/>
        <w:t>Procedure on applications</w:t>
      </w:r>
      <w:bookmarkEnd w:id="101"/>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lastRenderedPageBreak/>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Pr>
      <w:bookmarkStart w:id="102" w:name="_Toc197611808"/>
      <w:r>
        <w:rPr>
          <w:rStyle w:val="CharSectno"/>
        </w:rPr>
        <w:t>54</w:t>
      </w:r>
      <w:r>
        <w:t>.</w:t>
      </w:r>
      <w:r>
        <w:tab/>
        <w:t>Appeals</w:t>
      </w:r>
      <w:bookmarkEnd w:id="102"/>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103" w:name="_Toc197604292"/>
      <w:bookmarkStart w:id="104" w:name="_Toc197604986"/>
      <w:bookmarkStart w:id="105" w:name="_Toc197611809"/>
      <w:r>
        <w:rPr>
          <w:rStyle w:val="CharPartNo"/>
        </w:rPr>
        <w:lastRenderedPageBreak/>
        <w:t>Part 5</w:t>
      </w:r>
      <w:r>
        <w:rPr>
          <w:rStyle w:val="CharDivNo"/>
        </w:rPr>
        <w:t> </w:t>
      </w:r>
      <w:r>
        <w:t>—</w:t>
      </w:r>
      <w:r>
        <w:rPr>
          <w:rStyle w:val="CharDivText"/>
        </w:rPr>
        <w:t> </w:t>
      </w:r>
      <w:r>
        <w:rPr>
          <w:rStyle w:val="CharPartText"/>
        </w:rPr>
        <w:t>Repeals and transitional matters</w:t>
      </w:r>
      <w:bookmarkEnd w:id="103"/>
      <w:bookmarkEnd w:id="104"/>
      <w:bookmarkEnd w:id="105"/>
    </w:p>
    <w:p>
      <w:pPr>
        <w:pStyle w:val="Heading5"/>
      </w:pPr>
      <w:bookmarkStart w:id="106" w:name="_Toc197611810"/>
      <w:r>
        <w:rPr>
          <w:rStyle w:val="CharSectno"/>
        </w:rPr>
        <w:t>55</w:t>
      </w:r>
      <w:r>
        <w:t>.</w:t>
      </w:r>
      <w:r>
        <w:tab/>
        <w:t>Term used: commencement</w:t>
      </w:r>
      <w:bookmarkEnd w:id="106"/>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07" w:name="_Toc197611811"/>
      <w:r>
        <w:rPr>
          <w:rStyle w:val="CharSectno"/>
        </w:rPr>
        <w:t>57</w:t>
      </w:r>
      <w:r>
        <w:t>.</w:t>
      </w:r>
      <w:r>
        <w:tab/>
        <w:t>Registered training providers</w:t>
      </w:r>
      <w:bookmarkEnd w:id="107"/>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08" w:name="_Toc197611812"/>
      <w:r>
        <w:rPr>
          <w:rStyle w:val="CharSectno"/>
        </w:rPr>
        <w:t>58</w:t>
      </w:r>
      <w:r>
        <w:t>.</w:t>
      </w:r>
      <w:r>
        <w:tab/>
        <w:t>Accredited courses</w:t>
      </w:r>
      <w:bookmarkEnd w:id="108"/>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09" w:name="_Toc197611813"/>
      <w:r>
        <w:rPr>
          <w:rStyle w:val="CharSectno"/>
        </w:rPr>
        <w:t>59</w:t>
      </w:r>
      <w:r>
        <w:t>.</w:t>
      </w:r>
      <w:r>
        <w:tab/>
        <w:t>Traineeship contracts</w:t>
      </w:r>
      <w:bookmarkEnd w:id="109"/>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lastRenderedPageBreak/>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10" w:name="_Toc197611814"/>
      <w:r>
        <w:rPr>
          <w:rStyle w:val="CharSectno"/>
        </w:rPr>
        <w:t>60</w:t>
      </w:r>
      <w:r>
        <w:t>.</w:t>
      </w:r>
      <w:r>
        <w:tab/>
        <w:t>Apprentices learning trades, transitional provisions for</w:t>
      </w:r>
      <w:bookmarkEnd w:id="110"/>
    </w:p>
    <w:p>
      <w:pPr>
        <w:pStyle w:val="Subsection"/>
      </w:pPr>
      <w:r>
        <w:tab/>
      </w:r>
      <w:r>
        <w:tab/>
        <w:t>Schedule 2 sets out transitional provisions.</w:t>
      </w:r>
    </w:p>
    <w:p>
      <w:pPr>
        <w:pStyle w:val="Heading2"/>
        <w:rPr>
          <w:i/>
        </w:rPr>
      </w:pPr>
      <w:bookmarkStart w:id="111" w:name="_Toc197604298"/>
      <w:bookmarkStart w:id="112" w:name="_Toc197604992"/>
      <w:bookmarkStart w:id="113" w:name="_Toc197611815"/>
      <w:r>
        <w:rPr>
          <w:rStyle w:val="CharPartNo"/>
        </w:rPr>
        <w:lastRenderedPageBreak/>
        <w:t>Part 6</w:t>
      </w:r>
      <w:r>
        <w:t> — </w:t>
      </w:r>
      <w:r>
        <w:rPr>
          <w:rStyle w:val="CharPartText"/>
        </w:rPr>
        <w:t xml:space="preserve">Transitional provisions for </w:t>
      </w:r>
      <w:r>
        <w:rPr>
          <w:rStyle w:val="CharPartText"/>
          <w:i/>
        </w:rPr>
        <w:t>Vocational Education and Training (General) Amendment Regulations 2015</w:t>
      </w:r>
      <w:bookmarkEnd w:id="111"/>
      <w:bookmarkEnd w:id="112"/>
      <w:bookmarkEnd w:id="113"/>
    </w:p>
    <w:p>
      <w:pPr>
        <w:pStyle w:val="Footnoteheading"/>
      </w:pPr>
      <w:r>
        <w:tab/>
        <w:t>[Heading inserted: Gazette 10 Mar 2015 p. 835.]</w:t>
      </w:r>
    </w:p>
    <w:p>
      <w:pPr>
        <w:pStyle w:val="Heading5"/>
      </w:pPr>
      <w:bookmarkStart w:id="114" w:name="_Toc197611816"/>
      <w:r>
        <w:rPr>
          <w:rStyle w:val="CharSectno"/>
        </w:rPr>
        <w:t>61</w:t>
      </w:r>
      <w:r>
        <w:t>.</w:t>
      </w:r>
      <w:r>
        <w:tab/>
        <w:t>Terms used</w:t>
      </w:r>
      <w:bookmarkEnd w:id="114"/>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115" w:name="_Toc197611817"/>
      <w:r>
        <w:rPr>
          <w:rStyle w:val="CharSectno"/>
        </w:rPr>
        <w:t>62</w:t>
      </w:r>
      <w:r>
        <w:t>.</w:t>
      </w:r>
      <w:r>
        <w:tab/>
        <w:t>Mandatory conditions applicable to WA registered providers during transitional period</w:t>
      </w:r>
      <w:bookmarkEnd w:id="115"/>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116" w:name="_Toc197611818"/>
      <w:r>
        <w:rPr>
          <w:rStyle w:val="CharSectno"/>
        </w:rPr>
        <w:lastRenderedPageBreak/>
        <w:t>63</w:t>
      </w:r>
      <w:r>
        <w:t>.</w:t>
      </w:r>
      <w:r>
        <w:tab/>
        <w:t>Applications before commencement day</w:t>
      </w:r>
      <w:bookmarkEnd w:id="116"/>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7" w:name="_Toc197604302"/>
      <w:bookmarkStart w:id="118" w:name="_Toc197604996"/>
      <w:bookmarkStart w:id="119" w:name="_Toc197611819"/>
      <w:r>
        <w:rPr>
          <w:rStyle w:val="CharSchNo"/>
        </w:rPr>
        <w:lastRenderedPageBreak/>
        <w:t>Schedule 1</w:t>
      </w:r>
      <w:r>
        <w:t> — </w:t>
      </w:r>
      <w:r>
        <w:rPr>
          <w:rStyle w:val="CharSchText"/>
        </w:rPr>
        <w:t>Training contract</w:t>
      </w:r>
      <w:bookmarkEnd w:id="117"/>
      <w:bookmarkEnd w:id="118"/>
      <w:bookmarkEnd w:id="119"/>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lastRenderedPageBreak/>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lastRenderedPageBreak/>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lastRenderedPageBreak/>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lastRenderedPageBreak/>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lastRenderedPageBreak/>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lastRenderedPageBreak/>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lastRenderedPageBreak/>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lastRenderedPageBreak/>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lastRenderedPageBreak/>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lastRenderedPageBreak/>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lastRenderedPageBreak/>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lastRenderedPageBreak/>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lastRenderedPageBreak/>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 xml:space="preserve">This code explains the rights and responsibilities of the people who sign this contract. </w:t>
      </w:r>
      <w:r>
        <w:rPr>
          <w:rFonts w:ascii="Arial" w:hAnsi="Arial" w:cs="Arial"/>
          <w:sz w:val="18"/>
          <w:szCs w:val="22"/>
        </w:rPr>
        <w:lastRenderedPageBreak/>
        <w:t>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lastRenderedPageBreak/>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lastRenderedPageBreak/>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lastRenderedPageBreak/>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lastRenderedPageBreak/>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ageBreakBefore w:val="0"/>
      </w:pPr>
      <w:bookmarkStart w:id="121" w:name="_Toc197604303"/>
      <w:bookmarkStart w:id="122" w:name="_Toc197604997"/>
      <w:bookmarkStart w:id="123" w:name="_Toc197611820"/>
      <w:r>
        <w:rPr>
          <w:rStyle w:val="CharSchNo"/>
        </w:rPr>
        <w:lastRenderedPageBreak/>
        <w:t>Schedule 2</w:t>
      </w:r>
      <w:r>
        <w:rPr>
          <w:rStyle w:val="CharSDivNo"/>
        </w:rPr>
        <w:t> </w:t>
      </w:r>
      <w:r>
        <w:t>—</w:t>
      </w:r>
      <w:r>
        <w:rPr>
          <w:rStyle w:val="CharSDivText"/>
        </w:rPr>
        <w:t> </w:t>
      </w:r>
      <w:r>
        <w:rPr>
          <w:rStyle w:val="CharSchText"/>
        </w:rPr>
        <w:t>Provisions about old agreements and old training contracts</w:t>
      </w:r>
      <w:bookmarkEnd w:id="121"/>
      <w:bookmarkEnd w:id="122"/>
      <w:bookmarkEnd w:id="123"/>
    </w:p>
    <w:p>
      <w:pPr>
        <w:pStyle w:val="yShoulderClause"/>
      </w:pPr>
      <w:r>
        <w:t>[r. 60]</w:t>
      </w:r>
    </w:p>
    <w:p>
      <w:pPr>
        <w:pStyle w:val="yHeading5"/>
      </w:pPr>
      <w:bookmarkStart w:id="124" w:name="_Toc197611821"/>
      <w:r>
        <w:rPr>
          <w:rStyle w:val="CharSClsNo"/>
        </w:rPr>
        <w:t>1</w:t>
      </w:r>
      <w:r>
        <w:t>.</w:t>
      </w:r>
      <w:r>
        <w:tab/>
        <w:t>Terms used</w:t>
      </w:r>
      <w:bookmarkEnd w:id="124"/>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125" w:name="_Toc197611822"/>
      <w:r>
        <w:rPr>
          <w:rStyle w:val="CharSClsNo"/>
        </w:rPr>
        <w:t>2</w:t>
      </w:r>
      <w:r>
        <w:t>.</w:t>
      </w:r>
      <w:r>
        <w:tab/>
        <w:t>Old agreements to be read with modifications</w:t>
      </w:r>
      <w:bookmarkEnd w:id="125"/>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lastRenderedPageBreak/>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26" w:name="_Toc197611823"/>
      <w:r>
        <w:rPr>
          <w:rStyle w:val="CharSClsNo"/>
        </w:rPr>
        <w:lastRenderedPageBreak/>
        <w:t>3</w:t>
      </w:r>
      <w:r>
        <w:t>.</w:t>
      </w:r>
      <w:r>
        <w:tab/>
        <w:t>Old agreements and contracts not terminated by sale of business</w:t>
      </w:r>
      <w:bookmarkEnd w:id="126"/>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27" w:name="_Toc197611824"/>
      <w:r>
        <w:rPr>
          <w:rStyle w:val="CharSClsNo"/>
        </w:rPr>
        <w:t>4</w:t>
      </w:r>
      <w:r>
        <w:t>.</w:t>
      </w:r>
      <w:r>
        <w:tab/>
        <w:t>Technical instruction requirements for trade apprentices</w:t>
      </w:r>
      <w:bookmarkEnd w:id="127"/>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28" w:name="_Toc197611825"/>
      <w:r>
        <w:rPr>
          <w:rStyle w:val="CharSClsNo"/>
        </w:rPr>
        <w:t>5</w:t>
      </w:r>
      <w:r>
        <w:t>.</w:t>
      </w:r>
      <w:r>
        <w:tab/>
        <w:t>Final certificates for trade apprentices</w:t>
      </w:r>
      <w:bookmarkEnd w:id="128"/>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129" w:name="_Toc197604309"/>
      <w:bookmarkStart w:id="130" w:name="_Toc197605003"/>
      <w:bookmarkStart w:id="131" w:name="_Toc197611826"/>
      <w:r>
        <w:lastRenderedPageBreak/>
        <w:t>Notes</w:t>
      </w:r>
      <w:bookmarkEnd w:id="129"/>
      <w:bookmarkEnd w:id="130"/>
      <w:bookmarkEnd w:id="131"/>
    </w:p>
    <w:p>
      <w:pPr>
        <w:pStyle w:val="nStatement"/>
      </w:pPr>
      <w:r>
        <w:t xml:space="preserve">This is a compilation of the </w:t>
      </w:r>
      <w:r>
        <w:rPr>
          <w:i/>
          <w:noProof/>
        </w:rPr>
        <w:t>Vocational Education and Training (General) Regulations 2009</w:t>
      </w:r>
      <w:r>
        <w:t xml:space="preserve"> and includes amendments made by other written laws. For provisions that have come into operation, and for information about any reprints, see the compilation table.</w:t>
      </w:r>
    </w:p>
    <w:p>
      <w:pPr>
        <w:pStyle w:val="nHeading3"/>
      </w:pPr>
      <w:bookmarkStart w:id="132" w:name="_Toc197611827"/>
      <w:r>
        <w:t>Compilation table</w:t>
      </w:r>
      <w:bookmarkEnd w:id="1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lastRenderedPageBreak/>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nil"/>
              <w:right w:val="nil"/>
            </w:tcBorders>
            <w:shd w:val="clear" w:color="auto" w:fill="auto"/>
          </w:tcPr>
          <w:p>
            <w:pPr>
              <w:pStyle w:val="nTable"/>
              <w:spacing w:after="40"/>
            </w:pPr>
            <w:r>
              <w:t>SL 2021/156 10 Sep 2021</w:t>
            </w:r>
          </w:p>
        </w:tc>
        <w:tc>
          <w:tcPr>
            <w:tcW w:w="2693" w:type="dxa"/>
            <w:tcBorders>
              <w:top w:val="nil"/>
              <w:left w:val="nil"/>
              <w:bottom w:val="nil"/>
            </w:tcBorders>
            <w:shd w:val="clear" w:color="auto" w:fill="auto"/>
          </w:tcPr>
          <w:p>
            <w:pPr>
              <w:pStyle w:val="nTable"/>
              <w:spacing w:after="40"/>
            </w:pPr>
            <w:r>
              <w:t>r. 1 and 2: 10 Sep 2021 (see r. 2(a));</w:t>
            </w:r>
          </w:p>
          <w:p>
            <w:pPr>
              <w:pStyle w:val="nTable"/>
              <w:spacing w:after="40"/>
            </w:pPr>
            <w:r>
              <w:t>Regulations other than r. 1 and 2: 11 Sep 2021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2024</w:t>
            </w:r>
          </w:p>
        </w:tc>
        <w:tc>
          <w:tcPr>
            <w:tcW w:w="1276" w:type="dxa"/>
            <w:tcBorders>
              <w:top w:val="nil"/>
              <w:left w:val="nil"/>
              <w:bottom w:val="nil"/>
              <w:right w:val="nil"/>
            </w:tcBorders>
            <w:shd w:val="clear" w:color="auto" w:fill="auto"/>
          </w:tcPr>
          <w:p>
            <w:pPr>
              <w:pStyle w:val="nTable"/>
              <w:spacing w:after="40"/>
            </w:pPr>
            <w:r>
              <w:t>SL 2024/147 10 Jul 2024</w:t>
            </w:r>
          </w:p>
        </w:tc>
        <w:tc>
          <w:tcPr>
            <w:tcW w:w="2693" w:type="dxa"/>
            <w:tcBorders>
              <w:top w:val="nil"/>
              <w:left w:val="nil"/>
              <w:bottom w:val="nil"/>
            </w:tcBorders>
            <w:shd w:val="clear" w:color="auto" w:fill="auto"/>
          </w:tcPr>
          <w:p>
            <w:pPr>
              <w:pStyle w:val="nTable"/>
              <w:spacing w:after="40"/>
            </w:pPr>
            <w:r>
              <w:t>r. 1 and 2: 10 Jul 2024 (see r. 2(a));</w:t>
            </w:r>
            <w:r>
              <w:br/>
              <w:t>Regulations other than r. 1 and 2: 11 Jul 2024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2) 2024</w:t>
            </w:r>
          </w:p>
        </w:tc>
        <w:tc>
          <w:tcPr>
            <w:tcW w:w="1276" w:type="dxa"/>
            <w:tcBorders>
              <w:top w:val="nil"/>
              <w:left w:val="nil"/>
              <w:bottom w:val="nil"/>
              <w:right w:val="nil"/>
            </w:tcBorders>
            <w:shd w:val="clear" w:color="auto" w:fill="auto"/>
          </w:tcPr>
          <w:p>
            <w:pPr>
              <w:pStyle w:val="nTable"/>
              <w:spacing w:after="40"/>
            </w:pPr>
            <w:r>
              <w:t>SL 2024/229 13 Nov 2024</w:t>
            </w:r>
          </w:p>
        </w:tc>
        <w:tc>
          <w:tcPr>
            <w:tcW w:w="2693" w:type="dxa"/>
            <w:tcBorders>
              <w:top w:val="nil"/>
              <w:left w:val="nil"/>
              <w:bottom w:val="nil"/>
            </w:tcBorders>
            <w:shd w:val="clear" w:color="auto" w:fill="auto"/>
          </w:tcPr>
          <w:p>
            <w:pPr>
              <w:pStyle w:val="nTable"/>
              <w:spacing w:after="40"/>
            </w:pPr>
            <w:r>
              <w:t>r. 1 and 2: 13 Nov 2024 (see r. 2(a));</w:t>
            </w:r>
            <w:r>
              <w:br/>
              <w:t>Regulations other than r. 1 and 2: 14 Nov 2024 (see r. 2(b))</w:t>
            </w:r>
          </w:p>
        </w:tc>
      </w:tr>
      <w:tr>
        <w:tc>
          <w:tcPr>
            <w:tcW w:w="3118" w:type="dxa"/>
            <w:tcBorders>
              <w:top w:val="nil"/>
              <w:bottom w:val="single" w:sz="4" w:space="0" w:color="auto"/>
              <w:right w:val="nil"/>
            </w:tcBorders>
            <w:shd w:val="clear" w:color="auto" w:fill="auto"/>
          </w:tcPr>
          <w:p>
            <w:pPr>
              <w:pStyle w:val="nTable"/>
              <w:spacing w:after="40"/>
              <w:rPr>
                <w:i/>
              </w:rPr>
            </w:pPr>
            <w:r>
              <w:rPr>
                <w:i/>
              </w:rPr>
              <w:lastRenderedPageBreak/>
              <w:t>Vocational Education and Training (General) Amendment Regulations 2025</w:t>
            </w:r>
          </w:p>
        </w:tc>
        <w:tc>
          <w:tcPr>
            <w:tcW w:w="1276" w:type="dxa"/>
            <w:tcBorders>
              <w:top w:val="nil"/>
              <w:left w:val="nil"/>
              <w:bottom w:val="single" w:sz="4" w:space="0" w:color="auto"/>
              <w:right w:val="nil"/>
            </w:tcBorders>
            <w:shd w:val="clear" w:color="auto" w:fill="auto"/>
          </w:tcPr>
          <w:p>
            <w:pPr>
              <w:pStyle w:val="nTable"/>
              <w:spacing w:after="40"/>
            </w:pPr>
            <w:r>
              <w:t>SL 2025/71 14 May 2025</w:t>
            </w:r>
          </w:p>
        </w:tc>
        <w:tc>
          <w:tcPr>
            <w:tcW w:w="2693" w:type="dxa"/>
            <w:tcBorders>
              <w:top w:val="nil"/>
              <w:left w:val="nil"/>
              <w:bottom w:val="single" w:sz="4" w:space="0" w:color="auto"/>
            </w:tcBorders>
            <w:shd w:val="clear" w:color="auto" w:fill="auto"/>
          </w:tcPr>
          <w:p>
            <w:pPr>
              <w:pStyle w:val="nTable"/>
              <w:spacing w:after="40"/>
            </w:pPr>
            <w:r>
              <w:t>r. 1 and 2: 14 May 2025 (see r. 2(a));</w:t>
            </w:r>
            <w:r>
              <w:br/>
              <w:t>Regulations other than r. 1 and 2: 15 May 2025 (see r. 2(b))</w:t>
            </w:r>
          </w:p>
        </w:tc>
      </w:tr>
    </w:tbl>
    <w:p>
      <w:pPr>
        <w:pStyle w:val="nHeading3"/>
      </w:pPr>
      <w:bookmarkStart w:id="133" w:name="_Toc197611828"/>
      <w:r>
        <w:t>Other notes</w:t>
      </w:r>
      <w:bookmarkEnd w:id="133"/>
    </w:p>
    <w:p>
      <w:pPr>
        <w:pStyle w:val="nNote"/>
      </w:pPr>
      <w:r>
        <w:rPr>
          <w:vertAlign w:val="superscript"/>
        </w:rPr>
        <w:t>1</w:t>
      </w:r>
      <w:r>
        <w:tab/>
        <w:t xml:space="preserve">Repealed by </w:t>
      </w:r>
      <w:r>
        <w:rPr>
          <w:color w:val="000000"/>
          <w:shd w:val="clear" w:color="auto" w:fill="FFFFFF"/>
        </w:rPr>
        <w:t xml:space="preserve">the </w:t>
      </w:r>
      <w:r>
        <w:rPr>
          <w:i/>
          <w:iCs/>
        </w:rPr>
        <w:t>Vocational Education and Training (Commonwealth Powers) Act 2010</w:t>
      </w:r>
      <w:r>
        <w:t xml:space="preserve">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35" w:name="_Toc197604312"/>
      <w:bookmarkStart w:id="136" w:name="_Toc197605006"/>
      <w:bookmarkStart w:id="137" w:name="_Toc197611829"/>
      <w:r>
        <w:rPr>
          <w:sz w:val="28"/>
        </w:rPr>
        <w:lastRenderedPageBreak/>
        <w:t>Defined terms</w:t>
      </w:r>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amendment regulations</w:t>
      </w:r>
      <w:r>
        <w:tab/>
        <w:t>61</w:t>
      </w:r>
    </w:p>
    <w:p>
      <w:pPr>
        <w:pStyle w:val="DefinedTerms"/>
      </w:pPr>
      <w:r>
        <w:t>application</w:t>
      </w:r>
      <w:r>
        <w:tab/>
        <w:t>11(1)</w:t>
      </w:r>
    </w:p>
    <w:p>
      <w:pPr>
        <w:pStyle w:val="DefinedTerms"/>
      </w:pPr>
      <w:r>
        <w:t>AQF</w:t>
      </w:r>
      <w:r>
        <w:tab/>
        <w:t>3</w:t>
      </w:r>
    </w:p>
    <w:p>
      <w:pPr>
        <w:pStyle w:val="DefinedTerms"/>
      </w:pPr>
      <w:r>
        <w:t>AQTF</w:t>
      </w:r>
      <w:r>
        <w:tab/>
        <w:t>61</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commencement day</w:t>
      </w:r>
      <w:r>
        <w:tab/>
        <w:t>61</w:t>
      </w:r>
    </w:p>
    <w:p>
      <w:pPr>
        <w:pStyle w:val="DefinedTerms"/>
      </w:pPr>
      <w:r>
        <w:t>Commonwealth Act</w:t>
      </w:r>
      <w:r>
        <w:tab/>
        <w:t>3</w:t>
      </w:r>
    </w:p>
    <w:p>
      <w:pPr>
        <w:pStyle w:val="DefinedTerms"/>
      </w:pPr>
      <w:r>
        <w:t>compliance audit</w:t>
      </w:r>
      <w:r>
        <w:tab/>
        <w:t>7(1), 24</w:t>
      </w:r>
    </w:p>
    <w:p>
      <w:pPr>
        <w:pStyle w:val="DefinedTerms"/>
      </w:pPr>
      <w:r>
        <w:t>complying training plan</w:t>
      </w:r>
      <w:r>
        <w:tab/>
        <w:t>3, 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school-based apprenticeship</w:t>
      </w:r>
      <w:r>
        <w:tab/>
        <w:t>3, 43(1)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lastRenderedPageBreak/>
        <w:t>trade apprentice</w:t>
      </w:r>
      <w:r>
        <w:tab/>
        <w:t>Sch. 2 cl. 1</w:t>
      </w:r>
    </w:p>
    <w:p>
      <w:pPr>
        <w:pStyle w:val="DefinedTerms"/>
      </w:pPr>
      <w:r>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8" w:name="DefinedTerms"/>
    <w:bookmarkEnd w:id="13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0813414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 w:name="WAFER_2024070512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25835_GUID" w:val="7c8afd1c-0bd5-41d8-b653-9cdfd1ebe10d"/>
    <w:docVar w:name="WAFER_20241108101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1806_GUID" w:val="c0f30f40-2492-47b8-a15d-57577e82d9bf"/>
    <w:docVar w:name="WAFER_20250508134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34149_GUID" w:val="0325ed7e-cc35-41ad-9e6d-710e374384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32C-75CB-4743-BBE9-17370675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19817</Words>
  <Characters>104437</Characters>
  <Application>Microsoft Office Word</Application>
  <DocSecurity>0</DocSecurity>
  <Lines>2901</Lines>
  <Paragraphs>1750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2009 - 02-e0-00</dc:title>
  <dc:subject/>
  <dc:creator/>
  <cp:keywords/>
  <dc:description/>
  <cp:lastModifiedBy>Master Repository Process</cp:lastModifiedBy>
  <cp:revision>4</cp:revision>
  <cp:lastPrinted>2018-05-28T07:24:00Z</cp:lastPrinted>
  <dcterms:created xsi:type="dcterms:W3CDTF">2025-07-21T03:12:00Z</dcterms:created>
  <dcterms:modified xsi:type="dcterms:W3CDTF">2025-07-21T03:12:00Z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AsAtDate">
    <vt:lpwstr>15 May 2025</vt:lpwstr>
  </property>
  <property fmtid="{D5CDD505-2E9C-101B-9397-08002B2CF9AE}" pid="8" name="Suffix">
    <vt:lpwstr>02-e0-00</vt:lpwstr>
  </property>
  <property fmtid="{D5CDD505-2E9C-101B-9397-08002B2CF9AE}" pid="9" name="Official">
    <vt:lpwstr/>
  </property>
  <property fmtid="{D5CDD505-2E9C-101B-9397-08002B2CF9AE}" pid="10" name="CommencementDate">
    <vt:lpwstr>20250515</vt:lpwstr>
  </property>
  <property fmtid="{D5CDD505-2E9C-101B-9397-08002B2CF9AE}" pid="11" name="CommencementAsAt">
    <vt:filetime>2025-05-14T16:00:00Z</vt:filetime>
  </property>
  <property fmtid="{D5CDD505-2E9C-101B-9397-08002B2CF9AE}" pid="12" name="CommencementYear">
    <vt:lpwstr>2025</vt:lpwstr>
  </property>
</Properties>
</file>