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Supreme Court (Court of Appeal) Amendment Rules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Amendment Rules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_Toc198719650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_Toc198719651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_Toc198719652 \h </w:instrText>
      </w:r>
      <w:r>
        <w:fldChar w:fldCharType="separate"/>
      </w:r>
      <w:r>
        <w:t>1</w:t>
      </w:r>
      <w:r>
        <w:fldChar w:fldCharType="end"/>
      </w:r>
    </w:p>
    <w:p>
      <w:pPr>
        <w:pStyle w:val="TOC8"/>
        <w:rPr>
          <w:rFonts w:asciiTheme="minorHAnsi" w:eastAsiaTheme="minorEastAsia" w:hAnsiTheme="minorHAnsi" w:cstheme="minorBidi"/>
          <w:szCs w:val="22"/>
        </w:rPr>
      </w:pPr>
      <w:r>
        <w:t>4.</w:t>
      </w:r>
      <w:r>
        <w:tab/>
        <w:t>Rule 3 amended</w:t>
      </w:r>
      <w:r>
        <w:tab/>
      </w:r>
      <w:r>
        <w:fldChar w:fldCharType="begin"/>
      </w:r>
      <w:r>
        <w:instrText xml:space="preserve"> PAGEREF _Toc198719653 \h </w:instrText>
      </w:r>
      <w:r>
        <w:fldChar w:fldCharType="separate"/>
      </w:r>
      <w:r>
        <w:t>1</w:t>
      </w:r>
      <w:r>
        <w:fldChar w:fldCharType="end"/>
      </w:r>
    </w:p>
    <w:p>
      <w:pPr>
        <w:pStyle w:val="TOC8"/>
        <w:rPr>
          <w:rFonts w:asciiTheme="minorHAnsi" w:eastAsiaTheme="minorEastAsia" w:hAnsiTheme="minorHAnsi" w:cstheme="minorBidi"/>
          <w:szCs w:val="22"/>
        </w:rPr>
      </w:pPr>
      <w:r>
        <w:t>5.</w:t>
      </w:r>
      <w:r>
        <w:tab/>
        <w:t>Rule 5A amended</w:t>
      </w:r>
      <w:r>
        <w:tab/>
      </w:r>
      <w:r>
        <w:fldChar w:fldCharType="begin"/>
      </w:r>
      <w:r>
        <w:instrText xml:space="preserve"> PAGEREF _Toc198719654 \h </w:instrText>
      </w:r>
      <w:r>
        <w:fldChar w:fldCharType="separate"/>
      </w:r>
      <w:r>
        <w:t>2</w:t>
      </w:r>
      <w:r>
        <w:fldChar w:fldCharType="end"/>
      </w:r>
    </w:p>
    <w:p>
      <w:pPr>
        <w:pStyle w:val="TOC8"/>
        <w:rPr>
          <w:rFonts w:asciiTheme="minorHAnsi" w:eastAsiaTheme="minorEastAsia" w:hAnsiTheme="minorHAnsi" w:cstheme="minorBidi"/>
          <w:szCs w:val="22"/>
        </w:rPr>
      </w:pPr>
      <w:r>
        <w:t>6.</w:t>
      </w:r>
      <w:r>
        <w:tab/>
        <w:t>Rule 7 amended</w:t>
      </w:r>
      <w:r>
        <w:tab/>
      </w:r>
      <w:r>
        <w:fldChar w:fldCharType="begin"/>
      </w:r>
      <w:r>
        <w:instrText xml:space="preserve"> PAGEREF _Toc198719655 \h </w:instrText>
      </w:r>
      <w:r>
        <w:fldChar w:fldCharType="separate"/>
      </w:r>
      <w:r>
        <w:t>2</w:t>
      </w:r>
      <w:r>
        <w:fldChar w:fldCharType="end"/>
      </w:r>
    </w:p>
    <w:p>
      <w:pPr>
        <w:pStyle w:val="TOC8"/>
        <w:rPr>
          <w:rFonts w:asciiTheme="minorHAnsi" w:eastAsiaTheme="minorEastAsia" w:hAnsiTheme="minorHAnsi" w:cstheme="minorBidi"/>
          <w:szCs w:val="22"/>
        </w:rPr>
      </w:pPr>
      <w:r>
        <w:t>7.</w:t>
      </w:r>
      <w:r>
        <w:tab/>
        <w:t>Rule 10 amended</w:t>
      </w:r>
      <w:r>
        <w:tab/>
      </w:r>
      <w:r>
        <w:fldChar w:fldCharType="begin"/>
      </w:r>
      <w:r>
        <w:instrText xml:space="preserve"> PAGEREF _Toc198719656 \h </w:instrText>
      </w:r>
      <w:r>
        <w:fldChar w:fldCharType="separate"/>
      </w:r>
      <w:r>
        <w:t>3</w:t>
      </w:r>
      <w:r>
        <w:fldChar w:fldCharType="end"/>
      </w:r>
    </w:p>
    <w:p>
      <w:pPr>
        <w:pStyle w:val="TOC8"/>
        <w:rPr>
          <w:rFonts w:asciiTheme="minorHAnsi" w:eastAsiaTheme="minorEastAsia" w:hAnsiTheme="minorHAnsi" w:cstheme="minorBidi"/>
          <w:szCs w:val="22"/>
        </w:rPr>
      </w:pPr>
      <w:r>
        <w:t>8.</w:t>
      </w:r>
      <w:r>
        <w:tab/>
        <w:t>Rule 10A inserted</w:t>
      </w:r>
      <w:r>
        <w:tab/>
      </w:r>
      <w:r>
        <w:fldChar w:fldCharType="begin"/>
      </w:r>
      <w:r>
        <w:instrText xml:space="preserve"> PAGEREF _Toc198719657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10A.</w:t>
      </w:r>
      <w:r>
        <w:rPr>
          <w:noProof/>
        </w:rPr>
        <w:tab/>
        <w:t>Document that is abuse of process, frivolous or vexatious must not be accepted for filing without leave</w:t>
      </w:r>
      <w:r>
        <w:rPr>
          <w:noProof/>
        </w:rPr>
        <w:tab/>
      </w:r>
      <w:r>
        <w:rPr>
          <w:noProof/>
        </w:rPr>
        <w:fldChar w:fldCharType="begin"/>
      </w:r>
      <w:r>
        <w:rPr>
          <w:noProof/>
        </w:rPr>
        <w:instrText xml:space="preserve"> PAGEREF _Toc198719658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9.</w:t>
      </w:r>
      <w:r>
        <w:tab/>
        <w:t>Rule 19 deleted</w:t>
      </w:r>
      <w:r>
        <w:tab/>
      </w:r>
      <w:r>
        <w:fldChar w:fldCharType="begin"/>
      </w:r>
      <w:r>
        <w:instrText xml:space="preserve"> PAGEREF _Toc198719659 \h </w:instrText>
      </w:r>
      <w:r>
        <w:fldChar w:fldCharType="separate"/>
      </w:r>
      <w:r>
        <w:t>4</w:t>
      </w:r>
      <w:r>
        <w:fldChar w:fldCharType="end"/>
      </w:r>
    </w:p>
    <w:p>
      <w:pPr>
        <w:pStyle w:val="TOC8"/>
        <w:rPr>
          <w:rFonts w:asciiTheme="minorHAnsi" w:eastAsiaTheme="minorEastAsia" w:hAnsiTheme="minorHAnsi" w:cstheme="minorBidi"/>
          <w:szCs w:val="22"/>
        </w:rPr>
      </w:pPr>
      <w:r>
        <w:t>10.</w:t>
      </w:r>
      <w:r>
        <w:tab/>
        <w:t>Rule 33 amended</w:t>
      </w:r>
      <w:r>
        <w:tab/>
      </w:r>
      <w:r>
        <w:fldChar w:fldCharType="begin"/>
      </w:r>
      <w:r>
        <w:instrText xml:space="preserve"> PAGEREF _Toc198719660 \h </w:instrText>
      </w:r>
      <w:r>
        <w:fldChar w:fldCharType="separate"/>
      </w:r>
      <w:r>
        <w:t>4</w:t>
      </w:r>
      <w:r>
        <w:fldChar w:fldCharType="end"/>
      </w:r>
    </w:p>
    <w:p>
      <w:pPr>
        <w:pStyle w:val="TOC8"/>
        <w:rPr>
          <w:rFonts w:asciiTheme="minorHAnsi" w:eastAsiaTheme="minorEastAsia" w:hAnsiTheme="minorHAnsi" w:cstheme="minorBidi"/>
          <w:szCs w:val="22"/>
        </w:rPr>
      </w:pPr>
      <w:r>
        <w:t>11.</w:t>
      </w:r>
      <w:r>
        <w:tab/>
        <w:t>Rule 39 amended</w:t>
      </w:r>
      <w:r>
        <w:tab/>
      </w:r>
      <w:r>
        <w:fldChar w:fldCharType="begin"/>
      </w:r>
      <w:r>
        <w:instrText xml:space="preserve"> PAGEREF _Toc198719661 \h </w:instrText>
      </w:r>
      <w:r>
        <w:fldChar w:fldCharType="separate"/>
      </w:r>
      <w:r>
        <w:t>4</w:t>
      </w:r>
      <w:r>
        <w:fldChar w:fldCharType="end"/>
      </w:r>
    </w:p>
    <w:p>
      <w:pPr>
        <w:pStyle w:val="TOC8"/>
        <w:rPr>
          <w:rFonts w:asciiTheme="minorHAnsi" w:eastAsiaTheme="minorEastAsia" w:hAnsiTheme="minorHAnsi" w:cstheme="minorBidi"/>
          <w:szCs w:val="22"/>
        </w:rPr>
      </w:pPr>
      <w:r>
        <w:t>12.</w:t>
      </w:r>
      <w:r>
        <w:tab/>
        <w:t>Part 5 Division 4 heading replaced</w:t>
      </w:r>
      <w:r>
        <w:tab/>
      </w:r>
      <w:r>
        <w:fldChar w:fldCharType="begin"/>
      </w:r>
      <w:r>
        <w:instrText xml:space="preserve"> PAGEREF _Toc198719662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4 — Matters relevant to any appeal</w:t>
      </w:r>
    </w:p>
    <w:p>
      <w:pPr>
        <w:pStyle w:val="TOC8"/>
        <w:rPr>
          <w:rFonts w:asciiTheme="minorHAnsi" w:eastAsiaTheme="minorEastAsia" w:hAnsiTheme="minorHAnsi" w:cstheme="minorBidi"/>
          <w:szCs w:val="22"/>
        </w:rPr>
      </w:pPr>
      <w:r>
        <w:t>13.</w:t>
      </w:r>
      <w:r>
        <w:tab/>
        <w:t>Rule 43 amended</w:t>
      </w:r>
      <w:r>
        <w:tab/>
      </w:r>
      <w:r>
        <w:fldChar w:fldCharType="begin"/>
      </w:r>
      <w:r>
        <w:instrText xml:space="preserve"> PAGEREF _Toc198719664 \h </w:instrText>
      </w:r>
      <w:r>
        <w:fldChar w:fldCharType="separate"/>
      </w:r>
      <w:r>
        <w:t>4</w:t>
      </w:r>
      <w:r>
        <w:fldChar w:fldCharType="end"/>
      </w:r>
    </w:p>
    <w:p>
      <w:pPr>
        <w:pStyle w:val="TOC8"/>
        <w:rPr>
          <w:rFonts w:asciiTheme="minorHAnsi" w:eastAsiaTheme="minorEastAsia" w:hAnsiTheme="minorHAnsi" w:cstheme="minorBidi"/>
          <w:szCs w:val="22"/>
        </w:rPr>
      </w:pPr>
      <w:r>
        <w:t>14.</w:t>
      </w:r>
      <w:r>
        <w:tab/>
        <w:t>Rule 48 amended</w:t>
      </w:r>
      <w:r>
        <w:tab/>
      </w:r>
      <w:r>
        <w:fldChar w:fldCharType="begin"/>
      </w:r>
      <w:r>
        <w:instrText xml:space="preserve"> PAGEREF _Toc198719665 \h </w:instrText>
      </w:r>
      <w:r>
        <w:fldChar w:fldCharType="separate"/>
      </w:r>
      <w:r>
        <w:t>6</w:t>
      </w:r>
      <w:r>
        <w:fldChar w:fldCharType="end"/>
      </w:r>
    </w:p>
    <w:p>
      <w:pPr>
        <w:pStyle w:val="TOC8"/>
        <w:rPr>
          <w:rFonts w:asciiTheme="minorHAnsi" w:eastAsiaTheme="minorEastAsia" w:hAnsiTheme="minorHAnsi" w:cstheme="minorBidi"/>
          <w:szCs w:val="22"/>
        </w:rPr>
      </w:pPr>
      <w:r>
        <w:t>15.</w:t>
      </w:r>
      <w:r>
        <w:tab/>
        <w:t>Part 5 Division 5 heading replaced</w:t>
      </w:r>
      <w:r>
        <w:tab/>
      </w:r>
      <w:r>
        <w:fldChar w:fldCharType="begin"/>
      </w:r>
      <w:r>
        <w:instrText xml:space="preserve"> PAGEREF _Toc198719666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5 — Matters relevant to a criminal appeal</w:t>
      </w:r>
    </w:p>
    <w:p>
      <w:pPr>
        <w:pStyle w:val="TOC8"/>
        <w:rPr>
          <w:rFonts w:asciiTheme="minorHAnsi" w:eastAsiaTheme="minorEastAsia" w:hAnsiTheme="minorHAnsi" w:cstheme="minorBidi"/>
          <w:szCs w:val="22"/>
        </w:rPr>
      </w:pPr>
      <w:r>
        <w:t>16.</w:t>
      </w:r>
      <w:r>
        <w:tab/>
        <w:t>Rule 58 amended</w:t>
      </w:r>
      <w:r>
        <w:tab/>
      </w:r>
      <w:r>
        <w:fldChar w:fldCharType="begin"/>
      </w:r>
      <w:r>
        <w:instrText xml:space="preserve"> PAGEREF _Toc198719668 \h </w:instrText>
      </w:r>
      <w:r>
        <w:fldChar w:fldCharType="separate"/>
      </w:r>
      <w:r>
        <w:t>7</w:t>
      </w:r>
      <w:r>
        <w:fldChar w:fldCharType="end"/>
      </w:r>
    </w:p>
    <w:p>
      <w:pPr>
        <w:pStyle w:val="TOC8"/>
        <w:rPr>
          <w:rFonts w:asciiTheme="minorHAnsi" w:eastAsiaTheme="minorEastAsia" w:hAnsiTheme="minorHAnsi" w:cstheme="minorBidi"/>
          <w:szCs w:val="22"/>
        </w:rPr>
      </w:pPr>
      <w:r>
        <w:t>17.</w:t>
      </w:r>
      <w:r>
        <w:tab/>
        <w:t>Rule 64 amended</w:t>
      </w:r>
      <w:r>
        <w:tab/>
      </w:r>
      <w:r>
        <w:fldChar w:fldCharType="begin"/>
      </w:r>
      <w:r>
        <w:instrText xml:space="preserve"> PAGEREF _Toc198719669 \h </w:instrText>
      </w:r>
      <w:r>
        <w:fldChar w:fldCharType="separate"/>
      </w:r>
      <w:r>
        <w:t>7</w:t>
      </w:r>
      <w:r>
        <w:fldChar w:fldCharType="end"/>
      </w:r>
    </w:p>
    <w:p>
      <w:pPr>
        <w:pStyle w:val="TOC8"/>
        <w:rPr>
          <w:rFonts w:asciiTheme="minorHAnsi" w:eastAsiaTheme="minorEastAsia" w:hAnsiTheme="minorHAnsi" w:cstheme="minorBidi"/>
          <w:szCs w:val="22"/>
        </w:rPr>
      </w:pPr>
      <w:r>
        <w:t>18.</w:t>
      </w:r>
      <w:r>
        <w:tab/>
        <w:t>Rules 70 to 73 inserted</w:t>
      </w:r>
      <w:r>
        <w:tab/>
      </w:r>
      <w:r>
        <w:fldChar w:fldCharType="begin"/>
      </w:r>
      <w:r>
        <w:instrText xml:space="preserve"> PAGEREF _Toc198719670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70.</w:t>
      </w:r>
      <w:r>
        <w:rPr>
          <w:noProof/>
        </w:rPr>
        <w:tab/>
        <w:t>Non</w:t>
      </w:r>
      <w:r>
        <w:rPr>
          <w:noProof/>
        </w:rPr>
        <w:noBreakHyphen/>
        <w:t>parties may apply for transcripts or other records in criminal appeals</w:t>
      </w:r>
      <w:r>
        <w:rPr>
          <w:noProof/>
        </w:rPr>
        <w:tab/>
      </w:r>
      <w:r>
        <w:rPr>
          <w:noProof/>
        </w:rPr>
        <w:fldChar w:fldCharType="begin"/>
      </w:r>
      <w:r>
        <w:rPr>
          <w:noProof/>
        </w:rPr>
        <w:instrText xml:space="preserve"> PAGEREF _Toc198719671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Dealing with written application under r. 70(3)(b)</w:t>
      </w:r>
      <w:r>
        <w:rPr>
          <w:noProof/>
        </w:rPr>
        <w:tab/>
      </w:r>
      <w:r>
        <w:rPr>
          <w:noProof/>
        </w:rPr>
        <w:fldChar w:fldCharType="begin"/>
      </w:r>
      <w:r>
        <w:rPr>
          <w:noProof/>
        </w:rPr>
        <w:instrText xml:space="preserve"> PAGEREF _Toc198719672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lastRenderedPageBreak/>
        <w:t>72.</w:t>
      </w:r>
      <w:r>
        <w:rPr>
          <w:noProof/>
        </w:rPr>
        <w:tab/>
        <w:t>Cost of supplying copy of transcript or other record</w:t>
      </w:r>
      <w:r>
        <w:rPr>
          <w:noProof/>
        </w:rPr>
        <w:tab/>
      </w:r>
      <w:r>
        <w:rPr>
          <w:noProof/>
        </w:rPr>
        <w:fldChar w:fldCharType="begin"/>
      </w:r>
      <w:r>
        <w:rPr>
          <w:noProof/>
        </w:rPr>
        <w:instrText xml:space="preserve"> PAGEREF _Toc198719673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73.</w:t>
      </w:r>
      <w:r>
        <w:rPr>
          <w:noProof/>
        </w:rPr>
        <w:tab/>
        <w:t>Court of Appeal not prevented from publishing proceedings</w:t>
      </w:r>
      <w:r>
        <w:rPr>
          <w:noProof/>
        </w:rPr>
        <w:tab/>
      </w:r>
      <w:r>
        <w:rPr>
          <w:noProof/>
        </w:rPr>
        <w:fldChar w:fldCharType="begin"/>
      </w:r>
      <w:r>
        <w:rPr>
          <w:noProof/>
        </w:rPr>
        <w:instrText xml:space="preserve"> PAGEREF _Toc198719674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19.</w:t>
      </w:r>
      <w:r>
        <w:tab/>
        <w:t>Schedule 1 Form 12 deleted</w:t>
      </w:r>
      <w:r>
        <w:tab/>
      </w:r>
      <w:r>
        <w:fldChar w:fldCharType="begin"/>
      </w:r>
      <w:r>
        <w:instrText xml:space="preserve"> PAGEREF _Toc198719675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Amendment Rules 2025</w:t>
      </w:r>
    </w:p>
    <w:p>
      <w:pPr>
        <w:pStyle w:val="MadeBy"/>
      </w:pPr>
      <w:r>
        <w:t>Made by the judges of the Supreme Court.</w:t>
      </w:r>
    </w:p>
    <w:p>
      <w:pPr>
        <w:pStyle w:val="Heading5"/>
      </w:pPr>
      <w:bookmarkStart w:id="2" w:name="_Toc198712094"/>
      <w:bookmarkStart w:id="3" w:name="_Toc19871965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rules</w:t>
      </w:r>
      <w:r>
        <w:t xml:space="preserve"> are the </w:t>
      </w:r>
      <w:r>
        <w:rPr>
          <w:i/>
        </w:rPr>
        <w:t>Supreme Court (Court of Appeal) Amendment Rules 2025</w:t>
      </w:r>
      <w:r>
        <w:t>.</w:t>
      </w:r>
    </w:p>
    <w:p>
      <w:pPr>
        <w:pStyle w:val="Heading5"/>
        <w:rPr>
          <w:spacing w:val="-2"/>
        </w:rPr>
      </w:pPr>
      <w:bookmarkStart w:id="5" w:name="_Toc198712095"/>
      <w:bookmarkStart w:id="6" w:name="_Toc19871965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the day after that day.</w:t>
      </w:r>
    </w:p>
    <w:p>
      <w:pPr>
        <w:pStyle w:val="Heading5"/>
        <w:rPr>
          <w:snapToGrid w:val="0"/>
        </w:rPr>
      </w:pPr>
      <w:bookmarkStart w:id="7" w:name="_Toc198712096"/>
      <w:bookmarkStart w:id="8" w:name="_Toc198719652"/>
      <w:r>
        <w:rPr>
          <w:rStyle w:val="CharSectno"/>
        </w:rPr>
        <w:t>3</w:t>
      </w:r>
      <w:r>
        <w:rPr>
          <w:snapToGrid w:val="0"/>
        </w:rPr>
        <w:t>.</w:t>
      </w:r>
      <w:r>
        <w:rPr>
          <w:snapToGrid w:val="0"/>
        </w:rPr>
        <w:tab/>
        <w:t>Rules amended</w:t>
      </w:r>
      <w:bookmarkEnd w:id="7"/>
      <w:bookmarkEnd w:id="8"/>
    </w:p>
    <w:p>
      <w:pPr>
        <w:pStyle w:val="Subsection"/>
      </w:pPr>
      <w:r>
        <w:tab/>
      </w:r>
      <w:r>
        <w:tab/>
        <w:t xml:space="preserve">These </w:t>
      </w:r>
      <w:r>
        <w:rPr>
          <w:spacing w:val="-2"/>
        </w:rPr>
        <w:t>rules amend</w:t>
      </w:r>
      <w:r>
        <w:t xml:space="preserve"> the </w:t>
      </w:r>
      <w:r>
        <w:rPr>
          <w:i/>
        </w:rPr>
        <w:t>Supreme Court (Court of Appeal) Rules 2005</w:t>
      </w:r>
      <w:r>
        <w:t>.</w:t>
      </w:r>
    </w:p>
    <w:p>
      <w:pPr>
        <w:pStyle w:val="Heading5"/>
      </w:pPr>
      <w:bookmarkStart w:id="9" w:name="_Toc198712097"/>
      <w:bookmarkStart w:id="10" w:name="_Toc198719653"/>
      <w:r>
        <w:rPr>
          <w:rStyle w:val="CharSectno"/>
        </w:rPr>
        <w:t>4</w:t>
      </w:r>
      <w:r>
        <w:t>.</w:t>
      </w:r>
      <w:r>
        <w:tab/>
        <w:t>Rule 3 amended</w:t>
      </w:r>
      <w:bookmarkEnd w:id="9"/>
      <w:bookmarkEnd w:id="10"/>
    </w:p>
    <w:p>
      <w:pPr>
        <w:pStyle w:val="Subsection"/>
      </w:pPr>
      <w:r>
        <w:tab/>
        <w:t>(1)</w:t>
      </w:r>
      <w:r>
        <w:tab/>
        <w:t>In rule 3(1) delete the definitions of:</w:t>
      </w:r>
    </w:p>
    <w:p>
      <w:pPr>
        <w:pStyle w:val="DeleteListSub"/>
        <w:rPr>
          <w:b/>
          <w:i/>
        </w:rPr>
      </w:pPr>
      <w:r>
        <w:rPr>
          <w:b/>
          <w:i/>
        </w:rPr>
        <w:t>audio link</w:t>
      </w:r>
    </w:p>
    <w:p>
      <w:pPr>
        <w:pStyle w:val="DeleteListSub"/>
        <w:rPr>
          <w:b/>
          <w:i/>
        </w:rPr>
      </w:pPr>
      <w:r>
        <w:rPr>
          <w:b/>
          <w:i/>
        </w:rPr>
        <w:t>video link</w:t>
      </w:r>
    </w:p>
    <w:p>
      <w:pPr>
        <w:pStyle w:val="Subsection"/>
        <w:keepNext/>
      </w:pPr>
      <w:r>
        <w:tab/>
        <w:t>(2)</w:t>
      </w:r>
      <w:r>
        <w:tab/>
        <w:t>In rule 3(1) insert in alphabetical order:</w:t>
      </w:r>
    </w:p>
    <w:p>
      <w:pPr>
        <w:pStyle w:val="BlankOpen"/>
      </w:pPr>
    </w:p>
    <w:p>
      <w:pPr>
        <w:pStyle w:val="zDefstart"/>
      </w:pPr>
      <w:r>
        <w:tab/>
      </w:r>
      <w:r>
        <w:rPr>
          <w:rStyle w:val="CharDefText"/>
        </w:rPr>
        <w:t>audio link</w:t>
      </w:r>
      <w:r>
        <w:t xml:space="preserve"> means facilities (for example, telephone facilities) that enable audio communication between persons in different places;</w:t>
      </w:r>
    </w:p>
    <w:p>
      <w:pPr>
        <w:pStyle w:val="zDefstart"/>
      </w:pPr>
      <w:r>
        <w:lastRenderedPageBreak/>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BlankClose"/>
      </w:pPr>
    </w:p>
    <w:p>
      <w:pPr>
        <w:pStyle w:val="Heading5"/>
      </w:pPr>
      <w:bookmarkStart w:id="11" w:name="_Toc198712098"/>
      <w:bookmarkStart w:id="12" w:name="_Toc198719654"/>
      <w:r>
        <w:rPr>
          <w:rStyle w:val="CharSectno"/>
        </w:rPr>
        <w:t>5</w:t>
      </w:r>
      <w:r>
        <w:t>.</w:t>
      </w:r>
      <w:r>
        <w:tab/>
        <w:t>Rule 5A amended</w:t>
      </w:r>
      <w:bookmarkEnd w:id="11"/>
      <w:bookmarkEnd w:id="12"/>
    </w:p>
    <w:p>
      <w:pPr>
        <w:pStyle w:val="Subsection"/>
      </w:pPr>
      <w:r>
        <w:tab/>
        <w:t>(1)</w:t>
      </w:r>
      <w:r>
        <w:tab/>
        <w:t>In rule 5A delete “A delegation” and insert:</w:t>
      </w:r>
    </w:p>
    <w:p>
      <w:pPr>
        <w:pStyle w:val="BlankOpen"/>
      </w:pPr>
    </w:p>
    <w:p>
      <w:pPr>
        <w:pStyle w:val="zSubsection"/>
      </w:pPr>
      <w:r>
        <w:tab/>
        <w:t>(1)</w:t>
      </w:r>
      <w:r>
        <w:tab/>
        <w:t>A delegation</w:t>
      </w:r>
    </w:p>
    <w:p>
      <w:pPr>
        <w:pStyle w:val="BlankClose"/>
      </w:pPr>
    </w:p>
    <w:p>
      <w:pPr>
        <w:pStyle w:val="Subsection"/>
      </w:pPr>
      <w:r>
        <w:tab/>
        <w:t>(2)</w:t>
      </w:r>
      <w:r>
        <w:tab/>
        <w:t>In rule 5A delete the note.</w:t>
      </w:r>
    </w:p>
    <w:p>
      <w:pPr>
        <w:pStyle w:val="Subsection"/>
      </w:pPr>
      <w:r>
        <w:tab/>
        <w:t>(3)</w:t>
      </w:r>
      <w:r>
        <w:tab/>
        <w:t>At the end of rule 5A insert:</w:t>
      </w:r>
    </w:p>
    <w:p>
      <w:pPr>
        <w:pStyle w:val="BlankOpen"/>
      </w:pPr>
    </w:p>
    <w:p>
      <w:pPr>
        <w:pStyle w:val="zSubsection"/>
      </w:pPr>
      <w:r>
        <w:tab/>
        <w:t>(2)</w:t>
      </w:r>
      <w:r>
        <w:tab/>
        <w:t>Anything that a single judge or a registrar may do under these rules may be done by the Court of Appeal in the same manner as a single judge or a registrar unless otherwise provided for by these rules.</w:t>
      </w:r>
    </w:p>
    <w:p>
      <w:pPr>
        <w:pStyle w:val="BlankClose"/>
      </w:pPr>
    </w:p>
    <w:p>
      <w:pPr>
        <w:pStyle w:val="Heading5"/>
      </w:pPr>
      <w:bookmarkStart w:id="13" w:name="_Toc198712099"/>
      <w:bookmarkStart w:id="14" w:name="_Toc198719655"/>
      <w:r>
        <w:rPr>
          <w:rStyle w:val="CharSectno"/>
        </w:rPr>
        <w:t>6</w:t>
      </w:r>
      <w:r>
        <w:t>.</w:t>
      </w:r>
      <w:r>
        <w:tab/>
        <w:t>Rule 7 amended</w:t>
      </w:r>
      <w:bookmarkEnd w:id="13"/>
      <w:bookmarkEnd w:id="14"/>
    </w:p>
    <w:p>
      <w:pPr>
        <w:pStyle w:val="Subsection"/>
      </w:pPr>
      <w:r>
        <w:tab/>
        <w:t>(1)</w:t>
      </w:r>
      <w:r>
        <w:tab/>
        <w:t>Delete rule 7(1)(b) and (c) and insert:</w:t>
      </w:r>
    </w:p>
    <w:p>
      <w:pPr>
        <w:pStyle w:val="BlankOpen"/>
      </w:pPr>
    </w:p>
    <w:p>
      <w:pPr>
        <w:pStyle w:val="zIndenta"/>
      </w:pPr>
      <w:r>
        <w:tab/>
        <w:t>(b)</w:t>
      </w:r>
      <w:r>
        <w:tab/>
        <w:t>to make a decision on an application on the basis of the documents filed and without listing the matter for hearing;</w:t>
      </w:r>
    </w:p>
    <w:p>
      <w:pPr>
        <w:pStyle w:val="zIndenta"/>
      </w:pPr>
      <w:r>
        <w:tab/>
        <w:t>(c)</w:t>
      </w:r>
      <w:r>
        <w:tab/>
        <w:t>to make a decision, otherwise than pursuant to an application, on the basis of the documents filed and without listing the matter for hearing, if notice has been given to the parties;</w:t>
      </w:r>
    </w:p>
    <w:p>
      <w:pPr>
        <w:pStyle w:val="BlankClose"/>
      </w:pPr>
    </w:p>
    <w:p>
      <w:pPr>
        <w:pStyle w:val="Subsection"/>
      </w:pPr>
      <w:r>
        <w:tab/>
        <w:t>(2)</w:t>
      </w:r>
      <w:r>
        <w:tab/>
        <w:t>Delete rule 7(2).</w:t>
      </w:r>
    </w:p>
    <w:p>
      <w:pPr>
        <w:pStyle w:val="Heading5"/>
      </w:pPr>
      <w:bookmarkStart w:id="15" w:name="_Toc198712100"/>
      <w:bookmarkStart w:id="16" w:name="_Toc198719656"/>
      <w:r>
        <w:rPr>
          <w:rStyle w:val="CharSectno"/>
        </w:rPr>
        <w:lastRenderedPageBreak/>
        <w:t>7</w:t>
      </w:r>
      <w:r>
        <w:t>.</w:t>
      </w:r>
      <w:r>
        <w:tab/>
        <w:t>Rule 10 amended</w:t>
      </w:r>
      <w:bookmarkEnd w:id="15"/>
      <w:bookmarkEnd w:id="16"/>
    </w:p>
    <w:p>
      <w:pPr>
        <w:pStyle w:val="Subsection"/>
      </w:pPr>
      <w:r>
        <w:tab/>
      </w:r>
      <w:r>
        <w:tab/>
        <w:t>In rule 10(2):</w:t>
      </w:r>
    </w:p>
    <w:p>
      <w:pPr>
        <w:pStyle w:val="Indenta"/>
      </w:pPr>
      <w:r>
        <w:tab/>
        <w:t>(a)</w:t>
      </w:r>
      <w:r>
        <w:tab/>
        <w:t>in paragraph (c) delete “adjourn” and insert:</w:t>
      </w:r>
    </w:p>
    <w:p>
      <w:pPr>
        <w:pStyle w:val="BlankOpen"/>
      </w:pPr>
    </w:p>
    <w:p>
      <w:pPr>
        <w:pStyle w:val="Indenta"/>
      </w:pPr>
      <w:r>
        <w:tab/>
      </w:r>
      <w:r>
        <w:tab/>
        <w:t>refer</w:t>
      </w:r>
    </w:p>
    <w:p>
      <w:pPr>
        <w:pStyle w:val="BlankClose"/>
      </w:pPr>
    </w:p>
    <w:p>
      <w:pPr>
        <w:pStyle w:val="Indenta"/>
        <w:keepNext/>
      </w:pPr>
      <w:r>
        <w:tab/>
        <w:t>(b)</w:t>
      </w:r>
      <w:r>
        <w:tab/>
        <w:t>in paragraph (h) delete “49(2) or 64(5).” and insert:</w:t>
      </w:r>
    </w:p>
    <w:p>
      <w:pPr>
        <w:pStyle w:val="BlankOpen"/>
      </w:pPr>
    </w:p>
    <w:p>
      <w:pPr>
        <w:pStyle w:val="Indenta"/>
      </w:pPr>
      <w:r>
        <w:tab/>
      </w:r>
      <w:r>
        <w:tab/>
        <w:t>43(2)(f), (fa)(i), (fb) or (g) or (2B), 49(2) or 64(5);</w:t>
      </w:r>
    </w:p>
    <w:p>
      <w:pPr>
        <w:pStyle w:val="BlankClose"/>
      </w:pPr>
    </w:p>
    <w:p>
      <w:pPr>
        <w:pStyle w:val="Indenta"/>
      </w:pPr>
      <w:r>
        <w:tab/>
        <w:t>(c)</w:t>
      </w:r>
      <w:r>
        <w:tab/>
        <w:t>after paragraph (h) insert:</w:t>
      </w:r>
    </w:p>
    <w:p>
      <w:pPr>
        <w:pStyle w:val="BlankOpen"/>
      </w:pPr>
    </w:p>
    <w:p>
      <w:pPr>
        <w:pStyle w:val="zIndenta"/>
      </w:pPr>
      <w:r>
        <w:tab/>
        <w:t>(i)</w:t>
      </w:r>
      <w:r>
        <w:tab/>
        <w:t>to grant leave for the filing of a document under rule 10A(1).</w:t>
      </w:r>
    </w:p>
    <w:p>
      <w:pPr>
        <w:pStyle w:val="BlankClose"/>
      </w:pPr>
    </w:p>
    <w:p>
      <w:pPr>
        <w:pStyle w:val="Heading5"/>
      </w:pPr>
      <w:bookmarkStart w:id="17" w:name="_Toc198712101"/>
      <w:bookmarkStart w:id="18" w:name="_Toc198719657"/>
      <w:r>
        <w:rPr>
          <w:rStyle w:val="CharSectno"/>
        </w:rPr>
        <w:t>8</w:t>
      </w:r>
      <w:r>
        <w:t>.</w:t>
      </w:r>
      <w:r>
        <w:tab/>
        <w:t>Rule 10A inserted</w:t>
      </w:r>
      <w:bookmarkEnd w:id="17"/>
      <w:bookmarkEnd w:id="18"/>
    </w:p>
    <w:p>
      <w:pPr>
        <w:pStyle w:val="Subsection"/>
      </w:pPr>
      <w:r>
        <w:tab/>
      </w:r>
      <w:r>
        <w:tab/>
        <w:t>After rule 10 insert:</w:t>
      </w:r>
    </w:p>
    <w:p>
      <w:pPr>
        <w:pStyle w:val="BlankOpen"/>
      </w:pPr>
    </w:p>
    <w:p>
      <w:pPr>
        <w:pStyle w:val="zHeading5"/>
      </w:pPr>
      <w:bookmarkStart w:id="19" w:name="_Toc198712102"/>
      <w:bookmarkStart w:id="20" w:name="_Toc198719658"/>
      <w:r>
        <w:t>10A.</w:t>
      </w:r>
      <w:r>
        <w:tab/>
        <w:t>Document that is abuse of process, frivolous or vexatious must not be accepted for filing without leave</w:t>
      </w:r>
      <w:bookmarkEnd w:id="19"/>
      <w:bookmarkEnd w:id="20"/>
    </w:p>
    <w:p>
      <w:pPr>
        <w:pStyle w:val="zSubsection"/>
      </w:pPr>
      <w:r>
        <w:tab/>
        <w:t>(1)</w:t>
      </w:r>
      <w:r>
        <w:tab/>
        <w:t>A registrar must not accept for filing any document that appears to the registrar to be an abuse of process, or frivolous or vexatious, unless the party seeking to file the document first obtains the leave of a single judge.</w:t>
      </w:r>
    </w:p>
    <w:p>
      <w:pPr>
        <w:pStyle w:val="zSubsection"/>
      </w:pPr>
      <w:r>
        <w:tab/>
        <w:t>(2)</w:t>
      </w:r>
      <w:r>
        <w:tab/>
        <w:t>An application for leave under subrule (1) must be supported by an affidavit.</w:t>
      </w:r>
    </w:p>
    <w:p>
      <w:pPr>
        <w:pStyle w:val="zSubsection"/>
      </w:pPr>
      <w:r>
        <w:tab/>
        <w:t>(3)</w:t>
      </w:r>
      <w:r>
        <w:tab/>
        <w:t>The applicant is not required to serve the application on, or give notice of the application to, any party.</w:t>
      </w:r>
    </w:p>
    <w:p>
      <w:pPr>
        <w:pStyle w:val="BlankClose"/>
      </w:pPr>
    </w:p>
    <w:p>
      <w:pPr>
        <w:pStyle w:val="Heading5"/>
      </w:pPr>
      <w:bookmarkStart w:id="21" w:name="_Toc198712103"/>
      <w:bookmarkStart w:id="22" w:name="_Toc198719659"/>
      <w:r>
        <w:rPr>
          <w:rStyle w:val="CharSectno"/>
        </w:rPr>
        <w:lastRenderedPageBreak/>
        <w:t>9</w:t>
      </w:r>
      <w:r>
        <w:t>.</w:t>
      </w:r>
      <w:r>
        <w:tab/>
        <w:t>Rule 19 deleted</w:t>
      </w:r>
      <w:bookmarkEnd w:id="21"/>
      <w:bookmarkEnd w:id="22"/>
    </w:p>
    <w:p>
      <w:pPr>
        <w:pStyle w:val="Subsection"/>
      </w:pPr>
      <w:r>
        <w:tab/>
      </w:r>
      <w:r>
        <w:tab/>
        <w:t>Delete rule 19.</w:t>
      </w:r>
    </w:p>
    <w:p>
      <w:pPr>
        <w:pStyle w:val="Heading5"/>
      </w:pPr>
      <w:bookmarkStart w:id="23" w:name="_Toc198712104"/>
      <w:bookmarkStart w:id="24" w:name="_Toc198719660"/>
      <w:r>
        <w:rPr>
          <w:rStyle w:val="CharSectno"/>
        </w:rPr>
        <w:t>10</w:t>
      </w:r>
      <w:r>
        <w:t>.</w:t>
      </w:r>
      <w:r>
        <w:tab/>
        <w:t>Rule 33 amended</w:t>
      </w:r>
      <w:bookmarkEnd w:id="23"/>
      <w:bookmarkEnd w:id="24"/>
    </w:p>
    <w:p>
      <w:pPr>
        <w:pStyle w:val="Subsection"/>
        <w:keepNext/>
      </w:pPr>
      <w:r>
        <w:tab/>
      </w:r>
      <w:r>
        <w:tab/>
        <w:t>In rule 33(3)(b) delete “21” and insert:</w:t>
      </w:r>
    </w:p>
    <w:p>
      <w:pPr>
        <w:pStyle w:val="BlankOpen"/>
      </w:pPr>
    </w:p>
    <w:p>
      <w:pPr>
        <w:pStyle w:val="Subsection"/>
      </w:pPr>
      <w:r>
        <w:tab/>
      </w:r>
      <w:r>
        <w:tab/>
        <w:t>28</w:t>
      </w:r>
    </w:p>
    <w:p>
      <w:pPr>
        <w:pStyle w:val="BlankClose"/>
      </w:pPr>
    </w:p>
    <w:p>
      <w:pPr>
        <w:pStyle w:val="Heading5"/>
      </w:pPr>
      <w:bookmarkStart w:id="25" w:name="_Toc198712105"/>
      <w:bookmarkStart w:id="26" w:name="_Toc198719661"/>
      <w:r>
        <w:rPr>
          <w:rStyle w:val="CharSectno"/>
        </w:rPr>
        <w:t>11</w:t>
      </w:r>
      <w:r>
        <w:t>.</w:t>
      </w:r>
      <w:r>
        <w:tab/>
        <w:t>Rule 39 amended</w:t>
      </w:r>
      <w:bookmarkEnd w:id="25"/>
      <w:bookmarkEnd w:id="26"/>
    </w:p>
    <w:p>
      <w:pPr>
        <w:pStyle w:val="Subsection"/>
        <w:rPr>
          <w:rStyle w:val="DraftersNotes"/>
          <w:b w:val="0"/>
          <w:i w:val="0"/>
          <w:sz w:val="24"/>
        </w:rPr>
      </w:pPr>
      <w:r>
        <w:tab/>
      </w:r>
      <w:r>
        <w:tab/>
        <w:t>In rule 39(4)(d) delete “more than” (1</w:t>
      </w:r>
      <w:r>
        <w:rPr>
          <w:vertAlign w:val="superscript"/>
        </w:rPr>
        <w:t>st</w:t>
      </w:r>
      <w:r>
        <w:t xml:space="preserve"> occurrence).</w:t>
      </w:r>
    </w:p>
    <w:p>
      <w:pPr>
        <w:pStyle w:val="Heading5"/>
      </w:pPr>
      <w:bookmarkStart w:id="27" w:name="_Toc198712106"/>
      <w:bookmarkStart w:id="28" w:name="_Toc198719662"/>
      <w:r>
        <w:rPr>
          <w:rStyle w:val="CharSectno"/>
        </w:rPr>
        <w:t>12</w:t>
      </w:r>
      <w:r>
        <w:t>.</w:t>
      </w:r>
      <w:r>
        <w:tab/>
        <w:t>Part 5 Division 4 heading replaced</w:t>
      </w:r>
      <w:bookmarkEnd w:id="27"/>
      <w:bookmarkEnd w:id="28"/>
    </w:p>
    <w:p>
      <w:pPr>
        <w:pStyle w:val="Subsection"/>
      </w:pPr>
      <w:r>
        <w:tab/>
      </w:r>
      <w:r>
        <w:tab/>
        <w:t>Delete the heading to Part 5 Division 4 and insert:</w:t>
      </w:r>
    </w:p>
    <w:p>
      <w:pPr>
        <w:pStyle w:val="BlankOpen"/>
      </w:pPr>
    </w:p>
    <w:p>
      <w:pPr>
        <w:pStyle w:val="zHeading3"/>
      </w:pPr>
      <w:bookmarkStart w:id="29" w:name="_Toc198712107"/>
      <w:bookmarkStart w:id="30" w:name="_Toc198712234"/>
      <w:bookmarkStart w:id="31" w:name="_Toc198712310"/>
      <w:bookmarkStart w:id="32" w:name="_Toc198712412"/>
      <w:bookmarkStart w:id="33" w:name="_Toc198713061"/>
      <w:bookmarkStart w:id="34" w:name="_Toc198718390"/>
      <w:bookmarkStart w:id="35" w:name="_Toc198718416"/>
      <w:bookmarkStart w:id="36" w:name="_Toc198718456"/>
      <w:bookmarkStart w:id="37" w:name="_Toc198719564"/>
      <w:bookmarkStart w:id="38" w:name="_Toc198719663"/>
      <w:r>
        <w:t>Division 4 — Matters relevant to any appeal</w:t>
      </w:r>
      <w:bookmarkEnd w:id="29"/>
      <w:bookmarkEnd w:id="30"/>
      <w:bookmarkEnd w:id="31"/>
      <w:bookmarkEnd w:id="32"/>
      <w:bookmarkEnd w:id="33"/>
      <w:bookmarkEnd w:id="34"/>
      <w:bookmarkEnd w:id="35"/>
      <w:bookmarkEnd w:id="36"/>
      <w:bookmarkEnd w:id="37"/>
      <w:bookmarkEnd w:id="38"/>
    </w:p>
    <w:p>
      <w:pPr>
        <w:pStyle w:val="BlankClose"/>
      </w:pPr>
    </w:p>
    <w:p>
      <w:pPr>
        <w:pStyle w:val="Heading5"/>
      </w:pPr>
      <w:bookmarkStart w:id="39" w:name="_Toc198712108"/>
      <w:bookmarkStart w:id="40" w:name="_Toc198719664"/>
      <w:r>
        <w:rPr>
          <w:rStyle w:val="CharSectno"/>
        </w:rPr>
        <w:t>13</w:t>
      </w:r>
      <w:r>
        <w:t>.</w:t>
      </w:r>
      <w:r>
        <w:tab/>
        <w:t>Rule 43 amended</w:t>
      </w:r>
      <w:bookmarkEnd w:id="39"/>
      <w:bookmarkEnd w:id="40"/>
    </w:p>
    <w:p>
      <w:pPr>
        <w:pStyle w:val="Subsection"/>
      </w:pPr>
      <w:r>
        <w:tab/>
        <w:t>(1)</w:t>
      </w:r>
      <w:r>
        <w:tab/>
        <w:t>In rule 43(2):</w:t>
      </w:r>
    </w:p>
    <w:p>
      <w:pPr>
        <w:pStyle w:val="Indenta"/>
      </w:pPr>
      <w:r>
        <w:tab/>
        <w:t>(a)</w:t>
      </w:r>
      <w:r>
        <w:tab/>
        <w:t>delete paragraph (f) and insert:</w:t>
      </w:r>
    </w:p>
    <w:p>
      <w:pPr>
        <w:pStyle w:val="BlankOpen"/>
      </w:pPr>
    </w:p>
    <w:p>
      <w:pPr>
        <w:pStyle w:val="zIndenta"/>
      </w:pPr>
      <w:r>
        <w:tab/>
        <w:t>(f)</w:t>
      </w:r>
      <w:r>
        <w:tab/>
        <w:t xml:space="preserve">to strike out any ground of appeal that — </w:t>
      </w:r>
    </w:p>
    <w:p>
      <w:pPr>
        <w:pStyle w:val="zIndenti"/>
      </w:pPr>
      <w:r>
        <w:tab/>
        <w:t>(i)</w:t>
      </w:r>
      <w:r>
        <w:tab/>
        <w:t>does not have a reasonable prospect of succeeding; or</w:t>
      </w:r>
    </w:p>
    <w:p>
      <w:pPr>
        <w:pStyle w:val="zIndenti"/>
      </w:pPr>
      <w:r>
        <w:tab/>
        <w:t>(ii)</w:t>
      </w:r>
      <w:r>
        <w:tab/>
        <w:t>does not comply with these rules or any order made under them; or</w:t>
      </w:r>
    </w:p>
    <w:p>
      <w:pPr>
        <w:pStyle w:val="zIndenti"/>
      </w:pPr>
      <w:r>
        <w:tab/>
        <w:t>(iii)</w:t>
      </w:r>
      <w:r>
        <w:tab/>
        <w:t>is an abuse of process;</w:t>
      </w:r>
    </w:p>
    <w:p>
      <w:pPr>
        <w:pStyle w:val="BlankClose"/>
      </w:pPr>
    </w:p>
    <w:p>
      <w:pPr>
        <w:pStyle w:val="Indenta"/>
        <w:keepNext/>
      </w:pPr>
      <w:r>
        <w:lastRenderedPageBreak/>
        <w:tab/>
        <w:t>(b)</w:t>
      </w:r>
      <w:r>
        <w:tab/>
        <w:t>after paragraph (fa) insert:</w:t>
      </w:r>
    </w:p>
    <w:p>
      <w:pPr>
        <w:pStyle w:val="BlankOpen"/>
      </w:pPr>
    </w:p>
    <w:p>
      <w:pPr>
        <w:pStyle w:val="zIndenta"/>
        <w:keepNext/>
      </w:pPr>
      <w:r>
        <w:tab/>
        <w:t>(fb)</w:t>
      </w:r>
      <w:r>
        <w:tab/>
        <w:t xml:space="preserve">to dismiss an application for an interim order if the application — </w:t>
      </w:r>
    </w:p>
    <w:p>
      <w:pPr>
        <w:pStyle w:val="zIndenti"/>
      </w:pPr>
      <w:r>
        <w:tab/>
        <w:t>(i)</w:t>
      </w:r>
      <w:r>
        <w:tab/>
        <w:t>does not have a reasonable prospect of succeeding; or</w:t>
      </w:r>
    </w:p>
    <w:p>
      <w:pPr>
        <w:pStyle w:val="zIndenti"/>
      </w:pPr>
      <w:r>
        <w:tab/>
        <w:t>(ii)</w:t>
      </w:r>
      <w:r>
        <w:tab/>
        <w:t>does not comply with these rules or any order made under them; or</w:t>
      </w:r>
    </w:p>
    <w:p>
      <w:pPr>
        <w:pStyle w:val="zIndenti"/>
      </w:pPr>
      <w:r>
        <w:tab/>
        <w:t>(iii)</w:t>
      </w:r>
      <w:r>
        <w:tab/>
        <w:t>is an abuse of process;</w:t>
      </w:r>
    </w:p>
    <w:p>
      <w:pPr>
        <w:pStyle w:val="BlankClose"/>
      </w:pPr>
    </w:p>
    <w:p>
      <w:pPr>
        <w:pStyle w:val="Indenta"/>
      </w:pPr>
      <w:r>
        <w:tab/>
        <w:t>(c)</w:t>
      </w:r>
      <w:r>
        <w:tab/>
        <w:t>in paragraph (g)(ii) delete “them;” and insert:</w:t>
      </w:r>
    </w:p>
    <w:p>
      <w:pPr>
        <w:pStyle w:val="BlankOpen"/>
      </w:pPr>
    </w:p>
    <w:p>
      <w:pPr>
        <w:pStyle w:val="Indenta"/>
      </w:pPr>
      <w:r>
        <w:tab/>
      </w:r>
      <w:r>
        <w:tab/>
        <w:t>them; or</w:t>
      </w:r>
    </w:p>
    <w:p>
      <w:pPr>
        <w:pStyle w:val="BlankClose"/>
      </w:pPr>
    </w:p>
    <w:p>
      <w:pPr>
        <w:pStyle w:val="Indenta"/>
      </w:pPr>
      <w:r>
        <w:tab/>
        <w:t>(d)</w:t>
      </w:r>
      <w:r>
        <w:tab/>
        <w:t>after paragraph (g)(ii) insert:</w:t>
      </w:r>
    </w:p>
    <w:p>
      <w:pPr>
        <w:pStyle w:val="BlankOpen"/>
      </w:pPr>
    </w:p>
    <w:p>
      <w:pPr>
        <w:pStyle w:val="zIndenti"/>
      </w:pPr>
      <w:r>
        <w:tab/>
        <w:t>(iii)</w:t>
      </w:r>
      <w:r>
        <w:tab/>
        <w:t>the appeal is an abuse of process;</w:t>
      </w:r>
    </w:p>
    <w:p>
      <w:pPr>
        <w:pStyle w:val="BlankClose"/>
      </w:pPr>
    </w:p>
    <w:p>
      <w:pPr>
        <w:pStyle w:val="Subsection"/>
      </w:pPr>
      <w:r>
        <w:tab/>
        <w:t>(2)</w:t>
      </w:r>
      <w:r>
        <w:tab/>
        <w:t>In rule 43(2A) delete “subrules (2)(a) to (ka).” and insert:</w:t>
      </w:r>
    </w:p>
    <w:p>
      <w:pPr>
        <w:pStyle w:val="BlankOpen"/>
      </w:pPr>
    </w:p>
    <w:p>
      <w:pPr>
        <w:pStyle w:val="Subsection"/>
      </w:pPr>
      <w:r>
        <w:tab/>
      </w:r>
      <w:r>
        <w:tab/>
        <w:t>subrule (2)(a) to (ka) or (2B).</w:t>
      </w:r>
    </w:p>
    <w:p>
      <w:pPr>
        <w:pStyle w:val="BlankClose"/>
      </w:pPr>
    </w:p>
    <w:p>
      <w:pPr>
        <w:pStyle w:val="Subsection"/>
      </w:pPr>
      <w:r>
        <w:tab/>
        <w:t>(3)</w:t>
      </w:r>
      <w:r>
        <w:tab/>
        <w:t>After rule 43(2A) insert:</w:t>
      </w:r>
    </w:p>
    <w:p>
      <w:pPr>
        <w:pStyle w:val="BlankOpen"/>
      </w:pPr>
    </w:p>
    <w:p>
      <w:pPr>
        <w:pStyle w:val="zSubsection"/>
      </w:pPr>
      <w:r>
        <w:tab/>
        <w:t>(2B)</w:t>
      </w:r>
      <w:r>
        <w:tab/>
        <w:t xml:space="preserve">A single judge has jurisdiction to make an order — </w:t>
      </w:r>
    </w:p>
    <w:p>
      <w:pPr>
        <w:pStyle w:val="zIndenta"/>
      </w:pPr>
      <w:r>
        <w:tab/>
        <w:t>(a)</w:t>
      </w:r>
      <w:r>
        <w:tab/>
        <w:t xml:space="preserve">specifying the manner in which a person must communicate in relation to an appeal with any or all of the following — </w:t>
      </w:r>
    </w:p>
    <w:p>
      <w:pPr>
        <w:pStyle w:val="zIndenti"/>
      </w:pPr>
      <w:r>
        <w:tab/>
        <w:t>(i)</w:t>
      </w:r>
      <w:r>
        <w:tab/>
        <w:t>the Court of Appeal;</w:t>
      </w:r>
    </w:p>
    <w:p>
      <w:pPr>
        <w:pStyle w:val="zIndenti"/>
      </w:pPr>
      <w:r>
        <w:tab/>
        <w:t>(ii)</w:t>
      </w:r>
      <w:r>
        <w:tab/>
        <w:t>a judge of appeal;</w:t>
      </w:r>
    </w:p>
    <w:p>
      <w:pPr>
        <w:pStyle w:val="zIndenti"/>
      </w:pPr>
      <w:r>
        <w:tab/>
        <w:t>(iii)</w:t>
      </w:r>
      <w:r>
        <w:tab/>
        <w:t>a registrar;</w:t>
      </w:r>
    </w:p>
    <w:p>
      <w:pPr>
        <w:pStyle w:val="zIndenti"/>
      </w:pPr>
      <w:r>
        <w:lastRenderedPageBreak/>
        <w:tab/>
        <w:t>(iv)</w:t>
      </w:r>
      <w:r>
        <w:tab/>
        <w:t>a member of staff in the Court of Appeal Office;</w:t>
      </w:r>
    </w:p>
    <w:p>
      <w:pPr>
        <w:pStyle w:val="zIndenti"/>
      </w:pPr>
      <w:r>
        <w:tab/>
        <w:t>(v)</w:t>
      </w:r>
      <w:r>
        <w:tab/>
        <w:t>a member of the personal staff of a judge of appeal or registrar;</w:t>
      </w:r>
    </w:p>
    <w:p>
      <w:pPr>
        <w:pStyle w:val="zIndenti"/>
      </w:pPr>
      <w:r>
        <w:tab/>
        <w:t>(vi)</w:t>
      </w:r>
      <w:r>
        <w:tab/>
        <w:t>a party to the appeal or their legal practitioner;</w:t>
      </w:r>
    </w:p>
    <w:p>
      <w:pPr>
        <w:pStyle w:val="zIndenta"/>
      </w:pPr>
      <w:r>
        <w:tab/>
      </w:r>
      <w:r>
        <w:tab/>
        <w:t>and</w:t>
      </w:r>
    </w:p>
    <w:p>
      <w:pPr>
        <w:pStyle w:val="zIndenta"/>
      </w:pPr>
      <w:r>
        <w:tab/>
        <w:t>(b)</w:t>
      </w:r>
      <w:r>
        <w:tab/>
        <w:t>requiring the person to so communicate in the manner specified in the order, or as otherwise permitted by law, and not otherwise.</w:t>
      </w:r>
    </w:p>
    <w:p>
      <w:pPr>
        <w:pStyle w:val="BlankClose"/>
      </w:pPr>
    </w:p>
    <w:p>
      <w:pPr>
        <w:pStyle w:val="Subsection"/>
      </w:pPr>
      <w:r>
        <w:tab/>
        <w:t>(4)</w:t>
      </w:r>
      <w:r>
        <w:tab/>
        <w:t>In rule 43(3) delete “(2),” and insert:</w:t>
      </w:r>
    </w:p>
    <w:p>
      <w:pPr>
        <w:pStyle w:val="BlankOpen"/>
      </w:pPr>
    </w:p>
    <w:p>
      <w:pPr>
        <w:pStyle w:val="Subsection"/>
      </w:pPr>
      <w:r>
        <w:tab/>
      </w:r>
      <w:r>
        <w:tab/>
        <w:t>(2) or (2B),</w:t>
      </w:r>
    </w:p>
    <w:p>
      <w:pPr>
        <w:pStyle w:val="BlankClose"/>
      </w:pPr>
    </w:p>
    <w:p>
      <w:pPr>
        <w:pStyle w:val="Heading5"/>
      </w:pPr>
      <w:bookmarkStart w:id="41" w:name="_Toc198712109"/>
      <w:bookmarkStart w:id="42" w:name="_Toc198719665"/>
      <w:r>
        <w:rPr>
          <w:rStyle w:val="CharSectno"/>
        </w:rPr>
        <w:t>14</w:t>
      </w:r>
      <w:r>
        <w:t>.</w:t>
      </w:r>
      <w:r>
        <w:tab/>
        <w:t>Rule 48 amended</w:t>
      </w:r>
      <w:bookmarkEnd w:id="41"/>
      <w:bookmarkEnd w:id="42"/>
    </w:p>
    <w:p>
      <w:pPr>
        <w:pStyle w:val="Subsection"/>
      </w:pPr>
      <w:r>
        <w:tab/>
      </w:r>
      <w:r>
        <w:tab/>
        <w:t>In rule 48 after “immediately” insert:</w:t>
      </w:r>
    </w:p>
    <w:p>
      <w:pPr>
        <w:pStyle w:val="BlankOpen"/>
      </w:pPr>
    </w:p>
    <w:p>
      <w:pPr>
        <w:pStyle w:val="Subsection"/>
      </w:pPr>
      <w:r>
        <w:tab/>
      </w:r>
      <w:r>
        <w:tab/>
        <w:t>after</w:t>
      </w:r>
    </w:p>
    <w:p>
      <w:pPr>
        <w:pStyle w:val="BlankClose"/>
        <w:rPr>
          <w:rStyle w:val="DraftersNotes"/>
          <w:b w:val="0"/>
          <w:i w:val="0"/>
          <w:sz w:val="24"/>
        </w:rPr>
      </w:pPr>
    </w:p>
    <w:p>
      <w:pPr>
        <w:pStyle w:val="Heading5"/>
      </w:pPr>
      <w:bookmarkStart w:id="43" w:name="_Toc198712110"/>
      <w:bookmarkStart w:id="44" w:name="_Toc198719666"/>
      <w:r>
        <w:rPr>
          <w:rStyle w:val="CharSectno"/>
        </w:rPr>
        <w:t>15</w:t>
      </w:r>
      <w:r>
        <w:t>.</w:t>
      </w:r>
      <w:r>
        <w:tab/>
        <w:t>Part 5 Division 5 heading replaced</w:t>
      </w:r>
      <w:bookmarkEnd w:id="43"/>
      <w:bookmarkEnd w:id="44"/>
    </w:p>
    <w:p>
      <w:pPr>
        <w:pStyle w:val="Subsection"/>
      </w:pPr>
      <w:r>
        <w:tab/>
      </w:r>
      <w:r>
        <w:tab/>
        <w:t>Delete the heading to Part 5 Division 5 and insert:</w:t>
      </w:r>
    </w:p>
    <w:p>
      <w:pPr>
        <w:pStyle w:val="BlankOpen"/>
      </w:pPr>
    </w:p>
    <w:p>
      <w:pPr>
        <w:pStyle w:val="zHeading3"/>
      </w:pPr>
      <w:bookmarkStart w:id="45" w:name="_Toc198712111"/>
      <w:bookmarkStart w:id="46" w:name="_Toc198712238"/>
      <w:bookmarkStart w:id="47" w:name="_Toc198712314"/>
      <w:bookmarkStart w:id="48" w:name="_Toc198712416"/>
      <w:bookmarkStart w:id="49" w:name="_Toc198713065"/>
      <w:bookmarkStart w:id="50" w:name="_Toc198718394"/>
      <w:bookmarkStart w:id="51" w:name="_Toc198718420"/>
      <w:bookmarkStart w:id="52" w:name="_Toc198718460"/>
      <w:bookmarkStart w:id="53" w:name="_Toc198719568"/>
      <w:bookmarkStart w:id="54" w:name="_Toc198719667"/>
      <w:r>
        <w:t>Division 5 — Matters relevant to a criminal appeal</w:t>
      </w:r>
      <w:bookmarkEnd w:id="45"/>
      <w:bookmarkEnd w:id="46"/>
      <w:bookmarkEnd w:id="47"/>
      <w:bookmarkEnd w:id="48"/>
      <w:bookmarkEnd w:id="49"/>
      <w:bookmarkEnd w:id="50"/>
      <w:bookmarkEnd w:id="51"/>
      <w:bookmarkEnd w:id="52"/>
      <w:bookmarkEnd w:id="53"/>
      <w:bookmarkEnd w:id="54"/>
    </w:p>
    <w:p>
      <w:pPr>
        <w:pStyle w:val="BlankClose"/>
      </w:pPr>
    </w:p>
    <w:p>
      <w:pPr>
        <w:pStyle w:val="Heading5"/>
      </w:pPr>
      <w:bookmarkStart w:id="55" w:name="_Toc198712112"/>
      <w:bookmarkStart w:id="56" w:name="_Toc198719668"/>
      <w:r>
        <w:rPr>
          <w:rStyle w:val="CharSectno"/>
        </w:rPr>
        <w:lastRenderedPageBreak/>
        <w:t>16</w:t>
      </w:r>
      <w:r>
        <w:t>.</w:t>
      </w:r>
      <w:r>
        <w:tab/>
        <w:t>Rule 58 amended</w:t>
      </w:r>
      <w:bookmarkEnd w:id="55"/>
      <w:bookmarkEnd w:id="56"/>
    </w:p>
    <w:p>
      <w:pPr>
        <w:pStyle w:val="Subsection"/>
        <w:keepNext/>
      </w:pPr>
      <w:r>
        <w:tab/>
      </w:r>
      <w:r>
        <w:tab/>
        <w:t>After rule 58(1) insert:</w:t>
      </w:r>
    </w:p>
    <w:p>
      <w:pPr>
        <w:pStyle w:val="BlankOpen"/>
      </w:pPr>
    </w:p>
    <w:p>
      <w:pPr>
        <w:pStyle w:val="zSubsection"/>
      </w:pPr>
      <w:r>
        <w:tab/>
        <w:t>(1A)</w:t>
      </w:r>
      <w:r>
        <w:tab/>
        <w:t>Without limiting subrule (1), a hearing in a CA matter may be conducted at which any judge of appeal, registrar, party or other person is present by audio link or video link.</w:t>
      </w:r>
    </w:p>
    <w:p>
      <w:pPr>
        <w:pStyle w:val="BlankClose"/>
      </w:pPr>
    </w:p>
    <w:p>
      <w:pPr>
        <w:pStyle w:val="Heading5"/>
      </w:pPr>
      <w:bookmarkStart w:id="57" w:name="_Toc198712113"/>
      <w:bookmarkStart w:id="58" w:name="_Toc198719669"/>
      <w:r>
        <w:rPr>
          <w:rStyle w:val="CharSectno"/>
        </w:rPr>
        <w:t>17</w:t>
      </w:r>
      <w:r>
        <w:t>.</w:t>
      </w:r>
      <w:r>
        <w:tab/>
        <w:t>Rule 64 amended</w:t>
      </w:r>
      <w:bookmarkEnd w:id="57"/>
      <w:bookmarkEnd w:id="58"/>
    </w:p>
    <w:p>
      <w:pPr>
        <w:pStyle w:val="Subsection"/>
      </w:pPr>
      <w:r>
        <w:tab/>
        <w:t>(1)</w:t>
      </w:r>
      <w:r>
        <w:tab/>
        <w:t>In rule 64(1)(c) delete “from the court” and insert:</w:t>
      </w:r>
    </w:p>
    <w:p>
      <w:pPr>
        <w:pStyle w:val="BlankOpen"/>
      </w:pPr>
    </w:p>
    <w:p>
      <w:pPr>
        <w:pStyle w:val="Subsection"/>
      </w:pPr>
      <w:r>
        <w:tab/>
      </w:r>
      <w:r>
        <w:tab/>
        <w:t>from the court.</w:t>
      </w:r>
    </w:p>
    <w:p>
      <w:pPr>
        <w:pStyle w:val="BlankClose"/>
      </w:pPr>
    </w:p>
    <w:p>
      <w:pPr>
        <w:pStyle w:val="Subsection"/>
      </w:pPr>
      <w:r>
        <w:tab/>
        <w:t>(2)</w:t>
      </w:r>
      <w:r>
        <w:tab/>
        <w:t>In rule 64(4) delete “care” and insert:</w:t>
      </w:r>
    </w:p>
    <w:p>
      <w:pPr>
        <w:pStyle w:val="BlankOpen"/>
      </w:pPr>
    </w:p>
    <w:p>
      <w:pPr>
        <w:pStyle w:val="Subsection"/>
      </w:pPr>
      <w:r>
        <w:tab/>
      </w:r>
      <w:r>
        <w:tab/>
        <w:t>care,</w:t>
      </w:r>
    </w:p>
    <w:p>
      <w:pPr>
        <w:pStyle w:val="BlankClose"/>
      </w:pPr>
    </w:p>
    <w:p>
      <w:pPr>
        <w:pStyle w:val="Heading5"/>
      </w:pPr>
      <w:bookmarkStart w:id="59" w:name="_Toc198712114"/>
      <w:bookmarkStart w:id="60" w:name="_Toc198719670"/>
      <w:r>
        <w:rPr>
          <w:rStyle w:val="CharSectno"/>
        </w:rPr>
        <w:t>18</w:t>
      </w:r>
      <w:r>
        <w:t>.</w:t>
      </w:r>
      <w:r>
        <w:tab/>
        <w:t>Rules 70 to 73 inserted</w:t>
      </w:r>
      <w:bookmarkEnd w:id="59"/>
      <w:bookmarkEnd w:id="60"/>
    </w:p>
    <w:p>
      <w:pPr>
        <w:pStyle w:val="Subsection"/>
      </w:pPr>
      <w:r>
        <w:tab/>
      </w:r>
      <w:r>
        <w:tab/>
        <w:t>At the end of Part 7 insert:</w:t>
      </w:r>
    </w:p>
    <w:p>
      <w:pPr>
        <w:pStyle w:val="BlankOpen"/>
      </w:pPr>
    </w:p>
    <w:p>
      <w:pPr>
        <w:pStyle w:val="zHeading5"/>
      </w:pPr>
      <w:bookmarkStart w:id="61" w:name="_Toc198712115"/>
      <w:bookmarkStart w:id="62" w:name="_Toc198719671"/>
      <w:r>
        <w:t>70.</w:t>
      </w:r>
      <w:r>
        <w:tab/>
        <w:t>Non</w:t>
      </w:r>
      <w:r>
        <w:noBreakHyphen/>
        <w:t>parties may apply for transcripts or other records in criminal appeals</w:t>
      </w:r>
      <w:bookmarkEnd w:id="61"/>
      <w:bookmarkEnd w:id="62"/>
    </w:p>
    <w:p>
      <w:pPr>
        <w:pStyle w:val="zSubsection"/>
      </w:pPr>
      <w:r>
        <w:tab/>
        <w:t>(1)</w:t>
      </w:r>
      <w:r>
        <w:tab/>
        <w:t xml:space="preserve">In this rule — </w:t>
      </w:r>
    </w:p>
    <w:p>
      <w:pPr>
        <w:pStyle w:val="zDefstart"/>
        <w:rPr>
          <w:rStyle w:val="DraftersNotes"/>
          <w:b w:val="0"/>
          <w:i w:val="0"/>
          <w:sz w:val="24"/>
        </w:rPr>
      </w:pPr>
      <w:r>
        <w:tab/>
      </w:r>
      <w:r>
        <w:rPr>
          <w:rStyle w:val="CharDefText"/>
        </w:rPr>
        <w:t>media manager</w:t>
      </w:r>
      <w:r>
        <w:t xml:space="preserve"> means the person who, on behalf of the Supreme Court, manages its relations with media organisations;</w:t>
      </w:r>
    </w:p>
    <w:p>
      <w:pPr>
        <w:pStyle w:val="zDefstart"/>
      </w:pPr>
      <w:r>
        <w:tab/>
      </w:r>
      <w:r>
        <w:rPr>
          <w:rStyle w:val="CharDefText"/>
        </w:rPr>
        <w:t>media organisation</w:t>
      </w:r>
      <w:r>
        <w:t xml:space="preserve"> means an organisation that disseminates news or information to the public through </w:t>
      </w:r>
      <w:r>
        <w:lastRenderedPageBreak/>
        <w:t>the press or by means of radio, television or the internet.</w:t>
      </w:r>
    </w:p>
    <w:p>
      <w:pPr>
        <w:pStyle w:val="zSubsection"/>
      </w:pPr>
      <w:r>
        <w:tab/>
        <w:t>(2)</w:t>
      </w:r>
      <w:r>
        <w:tab/>
        <w:t xml:space="preserve">A person who is not a party to a criminal appeal may apply to the Court of Appeal for leave to inspect or obtain a copy of — </w:t>
      </w:r>
    </w:p>
    <w:p>
      <w:pPr>
        <w:pStyle w:val="zIndenta"/>
      </w:pPr>
      <w:r>
        <w:tab/>
        <w:t>(a)</w:t>
      </w:r>
      <w:r>
        <w:tab/>
        <w:t>the record, or the certified transcript of the record, of any proceedings in the appeal; or</w:t>
      </w:r>
    </w:p>
    <w:p>
      <w:pPr>
        <w:pStyle w:val="zIndenta"/>
      </w:pPr>
      <w:r>
        <w:tab/>
        <w:t>(b)</w:t>
      </w:r>
      <w:r>
        <w:tab/>
        <w:t>any other record in the possession of the Court of Appeal in relation to the appeal, including documents (including those in electronic form) and other things tendered in evidence in the appeal.</w:t>
      </w:r>
    </w:p>
    <w:p>
      <w:pPr>
        <w:pStyle w:val="zSubsection"/>
      </w:pPr>
      <w:r>
        <w:tab/>
        <w:t>(3)</w:t>
      </w:r>
      <w:r>
        <w:tab/>
        <w:t xml:space="preserve">The application — </w:t>
      </w:r>
    </w:p>
    <w:p>
      <w:pPr>
        <w:pStyle w:val="zIndenta"/>
      </w:pPr>
      <w:r>
        <w:tab/>
        <w:t>(a)</w:t>
      </w:r>
      <w:r>
        <w:tab/>
        <w:t xml:space="preserve">may be made orally to the media manager if — </w:t>
      </w:r>
    </w:p>
    <w:p>
      <w:pPr>
        <w:pStyle w:val="zIndenti"/>
      </w:pPr>
      <w:r>
        <w:tab/>
        <w:t>(i)</w:t>
      </w:r>
      <w:r>
        <w:tab/>
        <w:t>it is made by a person employed in a media organisation; and</w:t>
      </w:r>
    </w:p>
    <w:p>
      <w:pPr>
        <w:pStyle w:val="zIndenti"/>
      </w:pPr>
      <w:r>
        <w:tab/>
        <w:t>(ii)</w:t>
      </w:r>
      <w:r>
        <w:tab/>
        <w:t>the Court of Appeal, on a written application made under this rule by another person employed in a media organisation, has already granted leave to that other person to inspect or obtain a copy of the record the subject of the application;</w:t>
      </w:r>
    </w:p>
    <w:p>
      <w:pPr>
        <w:pStyle w:val="zIndenta"/>
      </w:pPr>
      <w:r>
        <w:tab/>
      </w:r>
      <w:r>
        <w:tab/>
        <w:t>but</w:t>
      </w:r>
    </w:p>
    <w:p>
      <w:pPr>
        <w:pStyle w:val="zIndenta"/>
      </w:pPr>
      <w:r>
        <w:tab/>
        <w:t>(b)</w:t>
      </w:r>
      <w:r>
        <w:tab/>
        <w:t>otherwise must be made in writing to the Court of Appeal and must set out the grounds of the application.</w:t>
      </w:r>
    </w:p>
    <w:p>
      <w:pPr>
        <w:pStyle w:val="zSubsection"/>
      </w:pPr>
      <w:r>
        <w:tab/>
        <w:t>(4)</w:t>
      </w:r>
      <w:r>
        <w:tab/>
        <w:t>The applicant need not give notice of the application to any party to the appeal unless an order is made under rule 71(5)(b).</w:t>
      </w:r>
    </w:p>
    <w:p>
      <w:pPr>
        <w:pStyle w:val="zSubsection"/>
        <w:keepNext/>
      </w:pPr>
      <w:r>
        <w:lastRenderedPageBreak/>
        <w:tab/>
        <w:t>(5)</w:t>
      </w:r>
      <w:r>
        <w:tab/>
        <w:t xml:space="preserve">On an oral application made under subrule (3)(a), the media manager — </w:t>
      </w:r>
    </w:p>
    <w:p>
      <w:pPr>
        <w:pStyle w:val="zIndenta"/>
      </w:pPr>
      <w:r>
        <w:tab/>
        <w:t>(a)</w:t>
      </w:r>
      <w:r>
        <w:tab/>
        <w:t>may grant the application if satisfied that the Court of Appeal has already granted leave to another person who is employed by a media organisation to inspect or obtain a copy of the record the subject of the application; but</w:t>
      </w:r>
    </w:p>
    <w:p>
      <w:pPr>
        <w:pStyle w:val="zIndenta"/>
      </w:pPr>
      <w:r>
        <w:tab/>
        <w:t>(b)</w:t>
      </w:r>
      <w:r>
        <w:tab/>
        <w:t>otherwise must refuse the application.</w:t>
      </w:r>
    </w:p>
    <w:p>
      <w:pPr>
        <w:pStyle w:val="zSubsection"/>
      </w:pPr>
      <w:r>
        <w:tab/>
        <w:t>(6)</w:t>
      </w:r>
      <w:r>
        <w:tab/>
        <w:t>If under subrule (5)(a) the media manager grants an oral application, the application must be granted on the same terms and subject to the same conditions (if any) that were imposed by the Court of Appeal when it gave leave to the other person employed by a media organisation.</w:t>
      </w:r>
    </w:p>
    <w:p>
      <w:pPr>
        <w:pStyle w:val="zSubsection"/>
      </w:pPr>
      <w:r>
        <w:tab/>
        <w:t>(7)</w:t>
      </w:r>
      <w:r>
        <w:tab/>
        <w:t>A person whose oral application is refused under subrule (5)(b) may make a written application under subrule (3)(b).</w:t>
      </w:r>
    </w:p>
    <w:p>
      <w:pPr>
        <w:pStyle w:val="zHeading5"/>
      </w:pPr>
      <w:bookmarkStart w:id="63" w:name="_Toc198712116"/>
      <w:bookmarkStart w:id="64" w:name="_Toc198719672"/>
      <w:r>
        <w:t>71.</w:t>
      </w:r>
      <w:r>
        <w:tab/>
        <w:t>Dealing with written application under r. 70(3)(b)</w:t>
      </w:r>
      <w:bookmarkEnd w:id="63"/>
      <w:bookmarkEnd w:id="64"/>
    </w:p>
    <w:p>
      <w:pPr>
        <w:pStyle w:val="zSubsection"/>
      </w:pPr>
      <w:r>
        <w:tab/>
        <w:t>(1)</w:t>
      </w:r>
      <w:r>
        <w:tab/>
        <w:t>This rule applies to a written application under rule 70(3)(b).</w:t>
      </w:r>
    </w:p>
    <w:p>
      <w:pPr>
        <w:pStyle w:val="zSubsection"/>
      </w:pPr>
      <w:r>
        <w:tab/>
        <w:t>(2)</w:t>
      </w:r>
      <w:r>
        <w:tab/>
        <w:t>A single judge or registrar may deal with the application.</w:t>
      </w:r>
    </w:p>
    <w:p>
      <w:pPr>
        <w:pStyle w:val="zSubsection"/>
      </w:pPr>
      <w:r>
        <w:tab/>
        <w:t>(3)</w:t>
      </w:r>
      <w:r>
        <w:tab/>
        <w:t>A single judge may refer the application to a registrar.</w:t>
      </w:r>
    </w:p>
    <w:p>
      <w:pPr>
        <w:pStyle w:val="zSubsection"/>
      </w:pPr>
      <w:r>
        <w:tab/>
        <w:t>(4)</w:t>
      </w:r>
      <w:r>
        <w:tab/>
        <w:t>A registrar may refer the application to a single judge.</w:t>
      </w:r>
    </w:p>
    <w:p>
      <w:pPr>
        <w:pStyle w:val="zSubsection"/>
      </w:pPr>
      <w:r>
        <w:tab/>
        <w:t>(5)</w:t>
      </w:r>
      <w:r>
        <w:tab/>
        <w:t xml:space="preserve">A single judge or registrar dealing with the application — </w:t>
      </w:r>
    </w:p>
    <w:p>
      <w:pPr>
        <w:pStyle w:val="zIndenta"/>
      </w:pPr>
      <w:r>
        <w:tab/>
        <w:t>(a)</w:t>
      </w:r>
      <w:r>
        <w:tab/>
        <w:t>may deal with the application even though no party to the appeal has been served with it; or</w:t>
      </w:r>
    </w:p>
    <w:p>
      <w:pPr>
        <w:pStyle w:val="zIndenta"/>
      </w:pPr>
      <w:r>
        <w:tab/>
        <w:t>(b)</w:t>
      </w:r>
      <w:r>
        <w:tab/>
        <w:t xml:space="preserve">may order the applicant to serve a party to the appeal, specified in the order, with the application and a notice entitling the party to be </w:t>
      </w:r>
      <w:r>
        <w:lastRenderedPageBreak/>
        <w:t>heard on the application, and deal with the application accordingly.</w:t>
      </w:r>
    </w:p>
    <w:p>
      <w:pPr>
        <w:pStyle w:val="zSubsection"/>
      </w:pPr>
      <w:r>
        <w:tab/>
        <w:t>(6)</w:t>
      </w:r>
      <w:r>
        <w:tab/>
        <w:t>A single judge or registrar dealing with the application may grant the application if satisfied that the applicant has sufficient cause to be granted leave, but otherwise must refuse the application.</w:t>
      </w:r>
    </w:p>
    <w:p>
      <w:pPr>
        <w:pStyle w:val="zSubsection"/>
      </w:pPr>
      <w:r>
        <w:tab/>
        <w:t>(7)</w:t>
      </w:r>
      <w:r>
        <w:tab/>
        <w:t xml:space="preserve">Subrule (6) has effect subject to — </w:t>
      </w:r>
    </w:p>
    <w:p>
      <w:pPr>
        <w:pStyle w:val="zIndenta"/>
      </w:pPr>
      <w:r>
        <w:tab/>
        <w:t>(a)</w:t>
      </w:r>
      <w:r>
        <w:tab/>
        <w:t xml:space="preserve">the </w:t>
      </w:r>
      <w:r>
        <w:rPr>
          <w:i/>
          <w:iCs/>
        </w:rPr>
        <w:t>Sentencing Act 1995</w:t>
      </w:r>
      <w:r>
        <w:t xml:space="preserve"> section 22; and</w:t>
      </w:r>
    </w:p>
    <w:p>
      <w:pPr>
        <w:pStyle w:val="zIndenta"/>
      </w:pPr>
      <w:r>
        <w:tab/>
        <w:t>(b)</w:t>
      </w:r>
      <w:r>
        <w:tab/>
        <w:t>any other order or written law that prohibits or restricts the publication or possession of the record to which the application relates.</w:t>
      </w:r>
    </w:p>
    <w:p>
      <w:pPr>
        <w:pStyle w:val="zSubsection"/>
      </w:pPr>
      <w:r>
        <w:tab/>
        <w:t>(8)</w:t>
      </w:r>
      <w:r>
        <w:tab/>
        <w:t xml:space="preserve">A single judge or registrar may grant the application — </w:t>
      </w:r>
    </w:p>
    <w:p>
      <w:pPr>
        <w:pStyle w:val="zIndenta"/>
      </w:pPr>
      <w:r>
        <w:tab/>
        <w:t>(a)</w:t>
      </w:r>
      <w:r>
        <w:tab/>
        <w:t>wholly or in part; and</w:t>
      </w:r>
    </w:p>
    <w:p>
      <w:pPr>
        <w:pStyle w:val="zIndenta"/>
      </w:pPr>
      <w:r>
        <w:tab/>
        <w:t>(b)</w:t>
      </w:r>
      <w:r>
        <w:tab/>
        <w:t>unconditionally or subject to conditions.</w:t>
      </w:r>
    </w:p>
    <w:p>
      <w:pPr>
        <w:pStyle w:val="zHeading5"/>
      </w:pPr>
      <w:bookmarkStart w:id="65" w:name="_Toc198712117"/>
      <w:bookmarkStart w:id="66" w:name="_Toc198719673"/>
      <w:r>
        <w:t>72.</w:t>
      </w:r>
      <w:r>
        <w:tab/>
        <w:t>Cost of supplying copy of transcript or other record</w:t>
      </w:r>
      <w:bookmarkEnd w:id="65"/>
      <w:bookmarkEnd w:id="66"/>
    </w:p>
    <w:p>
      <w:pPr>
        <w:pStyle w:val="zSubsection"/>
      </w:pPr>
      <w:r>
        <w:tab/>
        <w:t>(1)</w:t>
      </w:r>
      <w:r>
        <w:tab/>
        <w:t xml:space="preserve">In this rule — </w:t>
      </w:r>
    </w:p>
    <w:p>
      <w:pPr>
        <w:pStyle w:val="zDefstart"/>
      </w:pPr>
      <w:r>
        <w:tab/>
      </w:r>
      <w:r>
        <w:rPr>
          <w:rStyle w:val="CharDefText"/>
        </w:rPr>
        <w:t>child sexual abuse action</w:t>
      </w:r>
      <w:r>
        <w:t xml:space="preserve"> has the meaning given in the </w:t>
      </w:r>
      <w:r>
        <w:rPr>
          <w:i/>
          <w:iCs/>
        </w:rPr>
        <w:t>Limitation Act 2005</w:t>
      </w:r>
      <w:r>
        <w:t xml:space="preserve"> section 6A(1);</w:t>
      </w:r>
    </w:p>
    <w:p>
      <w:pPr>
        <w:pStyle w:val="zDefstart"/>
      </w:pPr>
      <w:r>
        <w:tab/>
      </w:r>
      <w:r>
        <w:rPr>
          <w:rStyle w:val="CharDefText"/>
        </w:rPr>
        <w:t>National Redress Scheme</w:t>
      </w:r>
      <w:r>
        <w:t xml:space="preserve"> means the National Redress Scheme for Institutional Child Sexual Abuse established under the </w:t>
      </w:r>
      <w:r>
        <w:rPr>
          <w:i/>
          <w:iCs/>
        </w:rPr>
        <w:t>National Redress Scheme for Institutional Child Sexual Abuse Act 2018</w:t>
      </w:r>
      <w:r>
        <w:t xml:space="preserve"> (Commonwealth).</w:t>
      </w:r>
    </w:p>
    <w:p>
      <w:pPr>
        <w:pStyle w:val="zSubsection"/>
        <w:rPr>
          <w:rStyle w:val="DraftersNotes"/>
          <w:b w:val="0"/>
          <w:i w:val="0"/>
          <w:sz w:val="24"/>
        </w:rPr>
      </w:pPr>
      <w:r>
        <w:tab/>
        <w:t>(2)</w:t>
      </w:r>
      <w:r>
        <w:tab/>
        <w:t>If a person, pursuant to leave granted under rule 70 or 71, wants to obtain a copy of a record, the person must pay, or make arrangements to pay, the cost of supplying the copy, unless the Court of Appeal orders otherwise.</w:t>
      </w:r>
    </w:p>
    <w:p>
      <w:pPr>
        <w:pStyle w:val="zSubsection"/>
        <w:keepNext/>
      </w:pPr>
      <w:r>
        <w:lastRenderedPageBreak/>
        <w:tab/>
        <w:t>(3)</w:t>
      </w:r>
      <w:r>
        <w:tab/>
        <w:t xml:space="preserve">Subrule (2) does not apply in relation to an application if the application is for the purposes of an appeal relating to — </w:t>
      </w:r>
    </w:p>
    <w:p>
      <w:pPr>
        <w:pStyle w:val="zIndenta"/>
      </w:pPr>
      <w:r>
        <w:tab/>
        <w:t>(a)</w:t>
      </w:r>
      <w:r>
        <w:tab/>
        <w:t>a child sexual abuse action; or</w:t>
      </w:r>
    </w:p>
    <w:p>
      <w:pPr>
        <w:pStyle w:val="zIndenta"/>
      </w:pPr>
      <w:r>
        <w:tab/>
        <w:t>(b)</w:t>
      </w:r>
      <w:r>
        <w:tab/>
        <w:t>a claim under the National Redress Scheme.</w:t>
      </w:r>
    </w:p>
    <w:p>
      <w:pPr>
        <w:pStyle w:val="zSubsection"/>
      </w:pPr>
      <w:r>
        <w:tab/>
        <w:t>(4)</w:t>
      </w:r>
      <w:r>
        <w:tab/>
        <w:t>A registrar may determine the cost of supplying the copy.</w:t>
      </w:r>
    </w:p>
    <w:p>
      <w:pPr>
        <w:pStyle w:val="zHeading5"/>
      </w:pPr>
      <w:bookmarkStart w:id="67" w:name="_Toc198712118"/>
      <w:bookmarkStart w:id="68" w:name="_Toc198719674"/>
      <w:r>
        <w:t>73.</w:t>
      </w:r>
      <w:r>
        <w:tab/>
        <w:t>Court of Appeal not prevented from publishing proceedings</w:t>
      </w:r>
      <w:bookmarkEnd w:id="67"/>
      <w:bookmarkEnd w:id="68"/>
    </w:p>
    <w:p>
      <w:pPr>
        <w:pStyle w:val="zSubsection"/>
      </w:pPr>
      <w:r>
        <w:tab/>
      </w:r>
      <w:r>
        <w:tab/>
        <w:t>Rules 70 to 72 do not prevent the Court of Appeal from publishing, on its own initiative, all or any part of the proceedings in an appeal to any person, and in any manner, it thinks fit.</w:t>
      </w:r>
    </w:p>
    <w:p>
      <w:pPr>
        <w:pStyle w:val="BlankClose"/>
      </w:pPr>
    </w:p>
    <w:p>
      <w:pPr>
        <w:pStyle w:val="Heading5"/>
      </w:pPr>
      <w:bookmarkStart w:id="69" w:name="_Toc198712119"/>
      <w:bookmarkStart w:id="70" w:name="_Toc198719675"/>
      <w:r>
        <w:rPr>
          <w:rStyle w:val="CharSectno"/>
        </w:rPr>
        <w:t>19</w:t>
      </w:r>
      <w:r>
        <w:t>.</w:t>
      </w:r>
      <w:r>
        <w:tab/>
        <w:t>Schedule 1 Form 12 deleted</w:t>
      </w:r>
      <w:bookmarkEnd w:id="69"/>
      <w:bookmarkEnd w:id="70"/>
    </w:p>
    <w:p>
      <w:pPr>
        <w:pStyle w:val="Subsection"/>
      </w:pPr>
      <w:r>
        <w:tab/>
      </w:r>
      <w:r>
        <w:tab/>
        <w:t>Delete Schedule 1 Form 12.</w:t>
      </w:r>
    </w:p>
    <w:p>
      <w:pPr>
        <w:pStyle w:val="MadeBy"/>
      </w:pPr>
      <w:r>
        <w:t>Date: 21 May 2025</w:t>
      </w:r>
    </w:p>
    <w:p>
      <w:pPr>
        <w:pStyle w:val="MadeBy"/>
        <w:spacing w:before="120"/>
      </w:pPr>
      <w:r>
        <w:t>The Hon. Chief Justice Peter Quinlan</w:t>
      </w:r>
    </w:p>
    <w:p>
      <w:pPr>
        <w:pStyle w:val="MadeBy"/>
        <w:spacing w:before="0"/>
      </w:pPr>
      <w:r>
        <w:t>Chief Justice of Western Australia</w:t>
      </w:r>
    </w:p>
    <w:p>
      <w:pPr>
        <w:pStyle w:val="MadeBy"/>
        <w:spacing w:before="0"/>
      </w:pPr>
      <w:r>
        <w:t>Supreme Court of Western Australia</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204F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DF6A99" w14:textId="0B1B3944" w:rsidR="001F79D6" w:rsidRDefault="001F79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44E80">
                        <w:rPr>
                          <w:sz w:val="16"/>
                        </w:rPr>
                        <w:t>2025</w:t>
                      </w:r>
                      <w:r>
                        <w:rPr>
                          <w:sz w:val="16"/>
                        </w:rPr>
                        <w:fldChar w:fldCharType="end"/>
                      </w:r>
                      <w:r>
                        <w:rPr>
                          <w:sz w:val="16"/>
                        </w:rPr>
                        <w:t>.</w:t>
                      </w:r>
                    </w:p>
                    <w:p w14:paraId="2709454D" w14:textId="77777777" w:rsidR="001F79D6" w:rsidRDefault="001F79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B46D05" w14:textId="6F3A3D31" w:rsidR="001F79D6" w:rsidRDefault="001F79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44E80">
                        <w:rPr>
                          <w:sz w:val="16"/>
                        </w:rPr>
                        <w:t>2025</w:t>
                      </w:r>
                      <w:r>
                        <w:rPr>
                          <w:sz w:val="16"/>
                        </w:rPr>
                        <w:fldChar w:fldCharType="end"/>
                      </w:r>
                      <w:r>
                        <w:rPr>
                          <w:sz w:val="16"/>
                        </w:rPr>
                        <w:t>.</w:t>
                      </w:r>
                    </w:p>
                    <w:p w14:paraId="09C72EB0" w14:textId="77777777" w:rsidR="001F79D6" w:rsidRDefault="001F79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Amendment Rules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Amendment Rules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Amendment Rules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(Court of Appeal) Amendment Rules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2109272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31110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1105902_GUID" w:val="01779526-9155-4fa7-b770-7af0a1676321"/>
    <w:docVar w:name="WAFER_20250417092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7092343_GUID" w:val="c2aa1e9c-b960-497e-b82d-674b3d25e6db"/>
    <w:docVar w:name="WAFER_2025051408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4083825_GUID" w:val="c3214868-6dd0-42d7-a3ba-7af4abd84e58"/>
    <w:docVar w:name="WAFER_2025052109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521092725_GUID" w:val="18787fe4-4c15-4e1f-b570-cf92fba77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3DA5AF16-1E46-4B66-B405-50A9AC18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71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2139</Words>
  <Characters>9947</Characters>
  <Application>Microsoft Office Word</Application>
  <DocSecurity>0</DocSecurity>
  <Lines>397</Lines>
  <Paragraphs>246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Amendment Rules 2025 - 00-00-00</dc:title>
  <dc:subject/>
  <dc:creator/>
  <cp:keywords/>
  <dc:description/>
  <cp:lastModifiedBy>Master Repository Process</cp:lastModifiedBy>
  <cp:revision>4</cp:revision>
  <cp:lastPrinted>2025-04-02T02:04:00Z</cp:lastPrinted>
  <dcterms:created xsi:type="dcterms:W3CDTF">2025-06-23T06:49:00Z</dcterms:created>
  <dcterms:modified xsi:type="dcterms:W3CDTF">2025-06-23T06:50:00Z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55335</vt:lpwstr>
  </property>
  <property fmtid="{D5CDD505-2E9C-101B-9397-08002B2CF9AE}" pid="3" name="DocumentType">
    <vt:lpwstr>Reg</vt:lpwstr>
  </property>
  <property fmtid="{D5CDD505-2E9C-101B-9397-08002B2CF9AE}" pid="4" name="AsAtDate">
    <vt:lpwstr>22 May 2025</vt:lpwstr>
  </property>
  <property fmtid="{D5CDD505-2E9C-101B-9397-08002B2CF9AE}" pid="5" name="Suffix">
    <vt:lpwstr>00-00-00</vt:lpwstr>
  </property>
  <property fmtid="{D5CDD505-2E9C-101B-9397-08002B2CF9AE}" pid="6" name="Official">
    <vt:lpwstr/>
  </property>
  <property fmtid="{D5CDD505-2E9C-101B-9397-08002B2CF9AE}" pid="7" name="SLAPId">
    <vt:lpwstr>2025/76</vt:lpwstr>
  </property>
  <property fmtid="{D5CDD505-2E9C-101B-9397-08002B2CF9AE}" pid="8" name="PublishDate">
    <vt:lpwstr>22 May 2025</vt:lpwstr>
  </property>
  <property fmtid="{D5CDD505-2E9C-101B-9397-08002B2CF9AE}" pid="9" name="CommencementDate">
    <vt:lpwstr>20250522</vt:lpwstr>
  </property>
  <property fmtid="{D5CDD505-2E9C-101B-9397-08002B2CF9AE}" pid="10" name="CommencementAsAt">
    <vt:filetime>2025-05-21T16:00:00Z</vt:filetime>
  </property>
  <property fmtid="{D5CDD505-2E9C-101B-9397-08002B2CF9AE}" pid="11" name="CommencementYear">
    <vt:lpwstr>2025</vt:lpwstr>
  </property>
</Properties>
</file>