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_Toc198818578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_Toc198818579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_Toc198818580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_Toc198818581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Prescribed kinds of sex or gender</w:t>
      </w:r>
      <w:r>
        <w:tab/>
      </w:r>
      <w:r>
        <w:fldChar w:fldCharType="begin"/>
      </w:r>
      <w:r>
        <w:instrText xml:space="preserve"> PAGEREF _Toc198818582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Persons and bodies to whom Registrar may allow access to particulars or issue birth certificate (s. 36Q(4)(b))</w:t>
      </w:r>
      <w:r>
        <w:tab/>
      </w:r>
      <w:r>
        <w:fldChar w:fldCharType="begin"/>
      </w:r>
      <w:r>
        <w:instrText xml:space="preserve"> PAGEREF _Toc198818583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Fee to accompany application for registration of certificate</w:t>
      </w:r>
      <w:r>
        <w:tab/>
      </w:r>
      <w:r>
        <w:fldChar w:fldCharType="begin"/>
      </w:r>
      <w:r>
        <w:instrText xml:space="preserve"> PAGEREF _Toc198818584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_Toc198818586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2" w:name="_Toc198818578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>
      <w:pPr>
        <w:pStyle w:val="Heading5"/>
        <w:rPr>
          <w:spacing w:val="-2"/>
        </w:rPr>
      </w:pPr>
      <w:bookmarkStart w:id="4" w:name="_Toc19881857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5" w:name="_Toc198818580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5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6" w:name="_Toc198818581"/>
      <w:r>
        <w:rPr>
          <w:rStyle w:val="CharSectno"/>
        </w:rPr>
        <w:t>4</w:t>
      </w:r>
      <w:r>
        <w:t>.</w:t>
      </w:r>
      <w:r>
        <w:tab/>
        <w:t>Fees</w:t>
      </w:r>
      <w:bookmarkEnd w:id="6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Bold"/>
            </w:pPr>
            <w: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Bold"/>
              <w:jc w:val="left"/>
            </w:pPr>
            <w: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TableNAmBold"/>
            </w:pPr>
            <w:r>
              <w:t>Fee</w:t>
            </w:r>
          </w:p>
          <w:p>
            <w:pPr>
              <w:pStyle w:val="TableNAmBold"/>
            </w:pPr>
            <w:r>
              <w:t>$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Bold"/>
              <w:jc w:val="left"/>
            </w:pPr>
            <w:r>
              <w:t>Certificates and searches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other than one provided under item 3, 4, 8 or 9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an acknowledgment document (see section 36ZA(1) of the Act)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65.00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36.00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20.00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3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7"/>
              <w:jc w:val="right"/>
            </w:pPr>
            <w:r>
              <w:t>35.00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>Registrations and changes to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keepNext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registration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190.00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an addition to, or correction of, information in respect of a registration (including one 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to change a child’s name, in respect of a birth registration, within 12 months after the child’s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lastRenderedPageBreak/>
              <w:t>10.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under section 36J(1), 36K(1) or 36P(1) of the Act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190.00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Processing the issue of a certificate in priority to other applicants (in addition to the certificate fee)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42.00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10.00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500.00 per year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14.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200.00 per request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15.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Application for a copy of a document given to the Registrar in relation to the registration of a registrable event or the notation of an entry in a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zTableNAmRight"/>
            </w:pPr>
            <w:r>
              <w:t>48.00</w:t>
            </w:r>
          </w:p>
        </w:tc>
      </w:tr>
      <w:t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16.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 xml:space="preserve">Application under section 36T(1), 36U(1) or 36Z(1) 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zTableNAmRight"/>
            </w:pPr>
            <w:r>
              <w:t>190.00</w:t>
            </w:r>
          </w:p>
        </w:tc>
      </w:tr>
    </w:tbl>
    <w:p>
      <w:pPr>
        <w:pStyle w:val="Footnotesection"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4; SL 2022/111 r. 4; SL 2023/120 r. 4; SL 2024/113 r. 4; SL 2025/82 r. 4.]</w:t>
      </w:r>
    </w:p>
    <w:p>
      <w:pPr>
        <w:pStyle w:val="Heading5"/>
      </w:pPr>
      <w:bookmarkStart w:id="7" w:name="_Toc198808643"/>
      <w:bookmarkStart w:id="8" w:name="_Toc198808720"/>
      <w:bookmarkStart w:id="9" w:name="_Toc198818582"/>
      <w:r>
        <w:rPr>
          <w:rStyle w:val="CharSectno"/>
        </w:rPr>
        <w:lastRenderedPageBreak/>
        <w:t>5</w:t>
      </w:r>
      <w:r>
        <w:t>.</w:t>
      </w:r>
      <w:r>
        <w:tab/>
        <w:t>Prescribed kinds of sex or gender</w:t>
      </w:r>
      <w:bookmarkEnd w:id="7"/>
      <w:bookmarkEnd w:id="8"/>
      <w:bookmarkEnd w:id="9"/>
    </w:p>
    <w:p>
      <w:pPr>
        <w:pStyle w:val="Subsection"/>
        <w:keepNext/>
      </w:pPr>
      <w:r>
        <w:tab/>
      </w:r>
      <w:r>
        <w:tab/>
        <w:t>For the purposes of the sections of the Act listed in the Table, the following kinds of sex or gender are prescribed —</w:t>
      </w:r>
    </w:p>
    <w:p>
      <w:pPr>
        <w:pStyle w:val="Indenta"/>
      </w:pPr>
      <w:r>
        <w:tab/>
        <w:t>(a)</w:t>
      </w:r>
      <w:r>
        <w:tab/>
        <w:t>female;</w:t>
      </w:r>
    </w:p>
    <w:p>
      <w:pPr>
        <w:pStyle w:val="Indenta"/>
      </w:pPr>
      <w:r>
        <w:tab/>
        <w:t>(b)</w:t>
      </w:r>
      <w:r>
        <w:tab/>
        <w:t>male;</w:t>
      </w:r>
    </w:p>
    <w:p>
      <w:pPr>
        <w:pStyle w:val="Indenta"/>
      </w:pPr>
      <w:r>
        <w:tab/>
        <w:t>(c)</w:t>
      </w:r>
      <w:r>
        <w:tab/>
        <w:t>non</w:t>
      </w:r>
      <w:r>
        <w:noBreakHyphen/>
        <w:t>binary.</w:t>
      </w:r>
    </w:p>
    <w:p>
      <w:pPr>
        <w:pStyle w:val="THeadingNAm"/>
      </w:pPr>
      <w:r>
        <w:t>Table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033"/>
        <w:gridCol w:w="3034"/>
      </w:tblGrid>
      <w:tr>
        <w:tc>
          <w:tcPr>
            <w:tcW w:w="3033" w:type="dxa"/>
          </w:tcPr>
          <w:p>
            <w:pPr>
              <w:pStyle w:val="TableNAm"/>
            </w:pPr>
            <w:r>
              <w:t>s. 36J(2)(b)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36K(2)(b)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36L(2)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36M(3)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36N(2)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36T(2)(b)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36U(2)(b)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36V(2)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36W(3)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36X(2)</w:t>
            </w:r>
          </w:p>
        </w:tc>
      </w:tr>
    </w:tbl>
    <w:p>
      <w:pPr>
        <w:pStyle w:val="Footnotesection"/>
      </w:pPr>
      <w:bookmarkStart w:id="10" w:name="_Toc198808644"/>
      <w:bookmarkStart w:id="11" w:name="_Toc198808721"/>
      <w:r>
        <w:tab/>
        <w:t>[Regulation 5 inserted: SL 2025/82 r. 5.]</w:t>
      </w:r>
    </w:p>
    <w:p>
      <w:pPr>
        <w:pStyle w:val="Heading5"/>
      </w:pPr>
      <w:bookmarkStart w:id="12" w:name="_Toc198818583"/>
      <w:r>
        <w:rPr>
          <w:rStyle w:val="CharSectno"/>
        </w:rPr>
        <w:t>6</w:t>
      </w:r>
      <w:r>
        <w:t>.</w:t>
      </w:r>
      <w:r>
        <w:tab/>
        <w:t>Persons and bodies to whom Registrar may allow access to particulars or issue birth certificate (s. 36Q(4)(b))</w:t>
      </w:r>
      <w:bookmarkEnd w:id="10"/>
      <w:bookmarkEnd w:id="11"/>
      <w:bookmarkEnd w:id="12"/>
    </w:p>
    <w:p>
      <w:pPr>
        <w:pStyle w:val="Subsection"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tab/>
      </w:r>
      <w:r>
        <w:rPr>
          <w:rStyle w:val="CharDefText"/>
        </w:rPr>
        <w:t>guardian</w:t>
      </w:r>
      <w:r>
        <w:t xml:space="preserve">, except in subregulation (2)(a), has the meaning given in the </w:t>
      </w:r>
      <w:r>
        <w:rPr>
          <w:i/>
          <w:iCs/>
        </w:rPr>
        <w:t>Guardianship and Administration Act 1990</w:t>
      </w:r>
      <w:r>
        <w:t xml:space="preserve"> section 3(1);</w:t>
      </w:r>
    </w:p>
    <w:p>
      <w:pPr>
        <w:pStyle w:val="Defstart"/>
      </w:pPr>
      <w:r>
        <w:tab/>
      </w:r>
      <w:r>
        <w:rPr>
          <w:rStyle w:val="CharDefText"/>
        </w:rPr>
        <w:t>represented person</w:t>
      </w:r>
      <w:r>
        <w:t xml:space="preserve"> has the meaning given in the </w:t>
      </w:r>
      <w:r>
        <w:rPr>
          <w:i/>
          <w:iCs/>
        </w:rPr>
        <w:t>Guardianship and Administration Act 1990</w:t>
      </w:r>
      <w:r>
        <w:t xml:space="preserve"> section 3(1).</w:t>
      </w:r>
    </w:p>
    <w:p>
      <w:pPr>
        <w:pStyle w:val="Subsection"/>
        <w:keepNext/>
      </w:pPr>
      <w:r>
        <w:tab/>
        <w:t>(2)</w:t>
      </w:r>
      <w:r>
        <w:tab/>
        <w:t xml:space="preserve">The Registrar may allow access to the particulars referred to in section 36Q(3)(a) of the Act, or issue a birth certificate for a person showing both the person’s sex or gender before the person’s registration was changed and the person’s sex or gender after the person’s registration was changed, if an </w:t>
      </w:r>
      <w:r>
        <w:lastRenderedPageBreak/>
        <w:t xml:space="preserve">application requesting the access or issue of a certificate is made by any of the following persons or bodies — </w:t>
      </w:r>
    </w:p>
    <w:p>
      <w:pPr>
        <w:pStyle w:val="Indenta"/>
      </w:pPr>
      <w:r>
        <w:tab/>
        <w:t>(a)</w:t>
      </w:r>
      <w:r>
        <w:tab/>
        <w:t>if the person is under the age of 18 years — a parent or guardian of the person;</w:t>
      </w:r>
    </w:p>
    <w:p>
      <w:pPr>
        <w:pStyle w:val="Indenta"/>
      </w:pPr>
      <w:r>
        <w:tab/>
        <w:t>(b)</w:t>
      </w:r>
      <w:r>
        <w:tab/>
        <w:t xml:space="preserve">a guardian of the person, if the person has reached the age of 18 years and is a represented person who has a guardian appointed under the </w:t>
      </w:r>
      <w:r>
        <w:rPr>
          <w:i/>
          <w:iCs/>
        </w:rPr>
        <w:t>Guardianship and Administration Act 1990</w:t>
      </w:r>
      <w:r>
        <w:t>;</w:t>
      </w:r>
    </w:p>
    <w:p>
      <w:pPr>
        <w:pStyle w:val="Indenta"/>
      </w:pPr>
      <w:r>
        <w:tab/>
        <w:t>(c)</w:t>
      </w:r>
      <w:r>
        <w:tab/>
        <w:t>if the person is deceased — the executor or administrator of the estate of the person;</w:t>
      </w:r>
    </w:p>
    <w:p>
      <w:pPr>
        <w:pStyle w:val="Indenta"/>
      </w:pPr>
      <w:r>
        <w:tab/>
        <w:t>(d)</w:t>
      </w:r>
      <w:r>
        <w:tab/>
        <w:t xml:space="preserve">the chief executive officer of the department of the Public Service principally assisting in the administration of the </w:t>
      </w:r>
      <w:r>
        <w:rPr>
          <w:i/>
          <w:iCs/>
        </w:rPr>
        <w:t>Children and Community Services Act 2004</w:t>
      </w:r>
      <w:r>
        <w:t>.</w:t>
      </w:r>
    </w:p>
    <w:p>
      <w:pPr>
        <w:pStyle w:val="Footnotesection"/>
      </w:pPr>
      <w:bookmarkStart w:id="13" w:name="_Toc198808645"/>
      <w:bookmarkStart w:id="14" w:name="_Toc198808722"/>
      <w:r>
        <w:tab/>
        <w:t>[Regulation 6 inserted: SL 2025/82 r. 5.]</w:t>
      </w:r>
    </w:p>
    <w:p>
      <w:pPr>
        <w:pStyle w:val="Heading5"/>
      </w:pPr>
      <w:bookmarkStart w:id="15" w:name="_Toc198818584"/>
      <w:r>
        <w:rPr>
          <w:rStyle w:val="CharSectno"/>
        </w:rPr>
        <w:t>7</w:t>
      </w:r>
      <w:r>
        <w:t>.</w:t>
      </w:r>
      <w:r>
        <w:tab/>
        <w:t>Fee to accompany application for registration of certificate</w:t>
      </w:r>
      <w:bookmarkEnd w:id="13"/>
      <w:bookmarkEnd w:id="14"/>
      <w:bookmarkEnd w:id="15"/>
    </w:p>
    <w:p>
      <w:pPr>
        <w:pStyle w:val="Subsection"/>
      </w:pPr>
      <w:r>
        <w:tab/>
      </w:r>
      <w:r>
        <w:tab/>
        <w:t xml:space="preserve">For the purposes of section 70A(b) of the Act, an application referred to in the </w:t>
      </w:r>
      <w:r>
        <w:rPr>
          <w:i/>
          <w:iCs/>
        </w:rPr>
        <w:t>Gender Reassignment Act 2000</w:t>
      </w:r>
      <w:r>
        <w:t xml:space="preserve"> section 17(3) must be accompanied by a fee of $55.</w:t>
      </w:r>
    </w:p>
    <w:p>
      <w:pPr>
        <w:pStyle w:val="Footnotesection"/>
      </w:pPr>
      <w:r>
        <w:tab/>
        <w:t>[Regulation 7 inserted: SL 2025/82 r. 5.]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6" w:name="_Toc198815384"/>
      <w:bookmarkStart w:id="17" w:name="_Toc198817151"/>
      <w:bookmarkStart w:id="18" w:name="_Toc198818585"/>
      <w:r>
        <w:lastRenderedPageBreak/>
        <w:t>Notes</w:t>
      </w:r>
      <w:bookmarkEnd w:id="16"/>
      <w:bookmarkEnd w:id="17"/>
      <w:bookmarkEnd w:id="18"/>
    </w:p>
    <w:p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19" w:name="_Toc198818586"/>
      <w:r>
        <w:t>Compilation table</w:t>
      </w:r>
      <w:bookmarkEnd w:id="19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2021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2022/111</w:t>
            </w:r>
            <w:r>
              <w:br/>
              <w:t>30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2022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2023/120 2 Aug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3 Aug 2023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</w:rPr>
              <w:t xml:space="preserve">Attorney General Regulations Amendment (Fees and Charges) Regulations 2024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2024/113 26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2024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Attorney General Regulations Amendment (Births, Deaths and Marriages) Regulations 2025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2025/82 28 May 2025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30 May 2025 (see r. 2(b))</w:t>
            </w:r>
          </w:p>
        </w:tc>
      </w:tr>
    </w:tbl>
    <w:p/>
    <w:p>
      <w:pPr>
        <w:sectPr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1" w:name="_Toc198818587"/>
      <w:r>
        <w:rPr>
          <w:sz w:val="28"/>
        </w:rPr>
        <w:lastRenderedPageBreak/>
        <w:t>Defined terms</w:t>
      </w:r>
      <w:bookmarkEnd w:id="21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>
      <w:pPr>
        <w:pStyle w:val="DefinedTerms"/>
      </w:pPr>
      <w:r>
        <w:t>guardian</w:t>
      </w:r>
      <w:r>
        <w:tab/>
        <w:t>6(1)</w:t>
      </w:r>
    </w:p>
    <w:p>
      <w:pPr>
        <w:pStyle w:val="DefinedTerms"/>
      </w:pPr>
      <w:r>
        <w:t>represented person</w:t>
      </w:r>
      <w:r>
        <w:tab/>
        <w:t>6(1)</w:t>
      </w:r>
    </w:p>
    <w:p/>
    <w:p>
      <w:pPr>
        <w:sectPr>
          <w:headerReference w:type="even" r:id="rId26"/>
          <w:headerReference w:type="default" r:id="rId27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1191" w:right="2404" w:bottom="1134" w:left="2404" w:header="1134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May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01-n0-00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May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01-n0-00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May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01-n0-00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May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01-n0-00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May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01-n0-00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30 May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01-n0-00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0" w:name="Compilation"/>
    <w:bookmarkEnd w:id="20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2" w:name="DefinedTerms"/>
    <w:bookmarkEnd w:id="22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3" w:name="Coversheet"/>
    <w:bookmarkEnd w:id="2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0522140748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  <w:docVar w:name="WAFER_202308011614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801161431_GUID" w:val="f96763b4-95cf-496b-b142-c22fe85c109c"/>
    <w:docVar w:name="WAFER_202312271555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7155535_GUID" w:val="74063928-287f-4248-aa36-575f629f9a7f"/>
    <w:docVar w:name="WAFER_202406210904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1090443_GUID" w:val="32a7a8de-3468-4a61-a403-80fb15bffcb9"/>
    <w:docVar w:name="WAFER_202505221407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522140748_GUID" w:val="9bbc4fa6-e059-4b1e-8b3d-e3c28069de1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customStyle="1" w:styleId="TableNAmBold">
    <w:name w:val="TableNAm + Bold"/>
    <w:aliases w:val="Centered"/>
    <w:basedOn w:val="TableNAm"/>
    <w:pPr>
      <w:jc w:val="center"/>
    </w:pPr>
    <w:rPr>
      <w:b/>
      <w:bCs/>
    </w:rPr>
  </w:style>
  <w:style w:type="paragraph" w:customStyle="1" w:styleId="zTableNAmRight">
    <w:name w:val="zTableNAm + Right"/>
    <w:aliases w:val="Right:  0.45 cm"/>
    <w:basedOn w:val="TableNAm"/>
    <w:pPr>
      <w:tabs>
        <w:tab w:val="clear" w:pos="567"/>
      </w:tabs>
      <w:ind w:right="257"/>
      <w:jc w:val="right"/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1534</Words>
  <Characters>7535</Characters>
  <Application>Microsoft Office Word</Application>
  <DocSecurity>0</DocSecurity>
  <Lines>358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1999 - 01-n0-00</dc:title>
  <dc:subject/>
  <dc:creator/>
  <cp:keywords/>
  <dc:description/>
  <cp:lastModifiedBy>Master Repository Process</cp:lastModifiedBy>
  <cp:revision>4</cp:revision>
  <cp:lastPrinted>2005-01-10T06:46:00Z</cp:lastPrinted>
  <dcterms:created xsi:type="dcterms:W3CDTF">2025-05-27T05:43:00Z</dcterms:created>
  <dcterms:modified xsi:type="dcterms:W3CDTF">2025-05-27T05:43:00Z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AsAtDate">
    <vt:lpwstr>30 May 2025</vt:lpwstr>
  </property>
  <property fmtid="{D5CDD505-2E9C-101B-9397-08002B2CF9AE}" pid="7" name="Suffix">
    <vt:lpwstr>01-n0-00</vt:lpwstr>
  </property>
  <property fmtid="{D5CDD505-2E9C-101B-9397-08002B2CF9AE}" pid="8" name="Official">
    <vt:lpwstr/>
  </property>
  <property fmtid="{D5CDD505-2E9C-101B-9397-08002B2CF9AE}" pid="9" name="CommencementDate">
    <vt:lpwstr>20250530</vt:lpwstr>
  </property>
  <property fmtid="{D5CDD505-2E9C-101B-9397-08002B2CF9AE}" pid="10" name="CommencementAsAt">
    <vt:filetime>2025-05-29T16:00:00Z</vt:filetime>
  </property>
  <property fmtid="{D5CDD505-2E9C-101B-9397-08002B2CF9AE}" pid="11" name="CommencementYear">
    <vt:lpwstr>2025</vt:lpwstr>
  </property>
</Properties>
</file>