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_Toc198894412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_Toc198894413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_Toc198894414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_Toc198894415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_Toc198894416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_Toc198894419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_Toc198894420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_Toc198894421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_Toc198894422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_Toc198894423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_Toc198894424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_Toc198894425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_Toc198894426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_Toc198894428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_Toc198894429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_Toc198894430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_Toc198894431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_Toc198894432 \h </w:instrText>
      </w:r>
      <w:r>
        <w:fldChar w:fldCharType="separate"/>
      </w:r>
      <w:r>
        <w:t>17</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_Toc198894433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_Toc198894434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_Toc198894435 \h </w:instrText>
      </w:r>
      <w:r>
        <w:fldChar w:fldCharType="separate"/>
      </w:r>
      <w:r>
        <w:t>19</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_Toc198894436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_Toc198894437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_Toc198894438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_Toc198894441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_Toc198894442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_Toc198894443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_Toc198894444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_Toc198894446 \h </w:instrText>
      </w:r>
      <w:r>
        <w:fldChar w:fldCharType="separate"/>
      </w:r>
      <w:r>
        <w:t>31</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_Toc198894447 \h </w:instrText>
      </w:r>
      <w:r>
        <w:fldChar w:fldCharType="separate"/>
      </w:r>
      <w:r>
        <w:t>32</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_Toc198894448 \h </w:instrText>
      </w:r>
      <w:r>
        <w:fldChar w:fldCharType="separate"/>
      </w:r>
      <w:r>
        <w:t>33</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_Toc198894449 \h </w:instrText>
      </w:r>
      <w:r>
        <w:fldChar w:fldCharType="separate"/>
      </w:r>
      <w:r>
        <w:t>35</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_Toc198894450 \h </w:instrText>
      </w:r>
      <w:r>
        <w:fldChar w:fldCharType="separate"/>
      </w:r>
      <w:r>
        <w:t>36</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_Toc198894451 \h </w:instrText>
      </w:r>
      <w:r>
        <w:fldChar w:fldCharType="separate"/>
      </w:r>
      <w:r>
        <w:t>36</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_Toc198894452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_Toc198894454 \h </w:instrText>
      </w:r>
      <w:r>
        <w:fldChar w:fldCharType="separate"/>
      </w:r>
      <w:r>
        <w:t>38</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_Toc198894455 \h </w:instrText>
      </w:r>
      <w:r>
        <w:fldChar w:fldCharType="separate"/>
      </w:r>
      <w:r>
        <w:t>38</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_Toc198894456 \h </w:instrText>
      </w:r>
      <w:r>
        <w:fldChar w:fldCharType="separate"/>
      </w:r>
      <w:r>
        <w:t>39</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_Toc198894457 \h </w:instrText>
      </w:r>
      <w:r>
        <w:fldChar w:fldCharType="separate"/>
      </w:r>
      <w:r>
        <w:t>40</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_Toc198894458 \h </w:instrText>
      </w:r>
      <w:r>
        <w:fldChar w:fldCharType="separate"/>
      </w:r>
      <w:r>
        <w:t>41</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_Toc198894459 \h </w:instrText>
      </w:r>
      <w:r>
        <w:fldChar w:fldCharType="separate"/>
      </w:r>
      <w:r>
        <w:t>44</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_Toc198894460 \h </w:instrText>
      </w:r>
      <w:r>
        <w:fldChar w:fldCharType="separate"/>
      </w:r>
      <w:r>
        <w:t>44</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_Toc198894461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_Toc198894462 \h </w:instrText>
      </w:r>
      <w:r>
        <w:fldChar w:fldCharType="separate"/>
      </w:r>
      <w:r>
        <w:t>46</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_Toc198894463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_Toc198894465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_Toc198894467 \h </w:instrText>
      </w:r>
      <w:r>
        <w:fldChar w:fldCharType="separate"/>
      </w:r>
      <w:r>
        <w:t>49</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_Toc198894468 \h </w:instrText>
      </w:r>
      <w:r>
        <w:fldChar w:fldCharType="separate"/>
      </w:r>
      <w:r>
        <w:t>49</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_Toc198894469 \h </w:instrText>
      </w:r>
      <w:r>
        <w:fldChar w:fldCharType="separate"/>
      </w:r>
      <w:r>
        <w:t>51</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_Toc198894470 \h </w:instrText>
      </w:r>
      <w:r>
        <w:fldChar w:fldCharType="separate"/>
      </w:r>
      <w:r>
        <w:t>51</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_Toc198894471 \h </w:instrText>
      </w:r>
      <w:r>
        <w:fldChar w:fldCharType="separate"/>
      </w:r>
      <w:r>
        <w:t>52</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_Toc198894472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_Toc198894474 \h </w:instrText>
      </w:r>
      <w:r>
        <w:fldChar w:fldCharType="separate"/>
      </w:r>
      <w:r>
        <w:t>53</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_Toc198894475 \h </w:instrText>
      </w:r>
      <w:r>
        <w:fldChar w:fldCharType="separate"/>
      </w:r>
      <w:r>
        <w:t>53</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_Toc198894476 \h </w:instrText>
      </w:r>
      <w:r>
        <w:fldChar w:fldCharType="separate"/>
      </w:r>
      <w:r>
        <w:t>54</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_Toc198894477 \h </w:instrText>
      </w:r>
      <w:r>
        <w:fldChar w:fldCharType="separate"/>
      </w:r>
      <w:r>
        <w:t>55</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_Toc198894478 \h </w:instrText>
      </w:r>
      <w:r>
        <w:fldChar w:fldCharType="separate"/>
      </w:r>
      <w:r>
        <w:t>56</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_Toc198894479 \h </w:instrText>
      </w:r>
      <w:r>
        <w:fldChar w:fldCharType="separate"/>
      </w:r>
      <w:r>
        <w:t>56</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_Toc198894480 \h </w:instrText>
      </w:r>
      <w:r>
        <w:fldChar w:fldCharType="separate"/>
      </w:r>
      <w:r>
        <w:t>56</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_Toc198894481 \h </w:instrText>
      </w:r>
      <w:r>
        <w:fldChar w:fldCharType="separate"/>
      </w:r>
      <w:r>
        <w:t>56</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_Toc198894482 \h </w:instrText>
      </w:r>
      <w:r>
        <w:fldChar w:fldCharType="separate"/>
      </w:r>
      <w:r>
        <w:t>56</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_Toc198894483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_Toc198894485 \h </w:instrText>
      </w:r>
      <w:r>
        <w:fldChar w:fldCharType="separate"/>
      </w:r>
      <w:r>
        <w:t>58</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_Toc198894486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_Toc198894488 \h </w:instrText>
      </w:r>
      <w:r>
        <w:fldChar w:fldCharType="separate"/>
      </w:r>
      <w:r>
        <w:t>60</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_Toc198894489 \h </w:instrText>
      </w:r>
      <w:r>
        <w:fldChar w:fldCharType="separate"/>
      </w:r>
      <w:r>
        <w:t>61</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_Toc198894490 \h </w:instrText>
      </w:r>
      <w:r>
        <w:fldChar w:fldCharType="separate"/>
      </w:r>
      <w:r>
        <w:t>62</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_Toc198894491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_Toc198894493 \h </w:instrText>
      </w:r>
      <w:r>
        <w:fldChar w:fldCharType="separate"/>
      </w:r>
      <w:r>
        <w:t>62</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_Toc198894494 \h </w:instrText>
      </w:r>
      <w:r>
        <w:fldChar w:fldCharType="separate"/>
      </w:r>
      <w:r>
        <w:t>63</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_Toc198894495 \h </w:instrText>
      </w:r>
      <w:r>
        <w:fldChar w:fldCharType="separate"/>
      </w:r>
      <w:r>
        <w:t>64</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_Toc198894496 \h </w:instrText>
      </w:r>
      <w:r>
        <w:fldChar w:fldCharType="separate"/>
      </w:r>
      <w:r>
        <w:t>64</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_Toc198894497 \h </w:instrText>
      </w:r>
      <w:r>
        <w:fldChar w:fldCharType="separate"/>
      </w:r>
      <w:r>
        <w:t>65</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_Toc198894498 \h </w:instrText>
      </w:r>
      <w:r>
        <w:fldChar w:fldCharType="separate"/>
      </w:r>
      <w:r>
        <w:t>65</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_Toc198894499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_Toc198894501 \h </w:instrText>
      </w:r>
      <w:r>
        <w:fldChar w:fldCharType="separate"/>
      </w:r>
      <w:r>
        <w:t>66</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_Toc198894502 \h </w:instrText>
      </w:r>
      <w:r>
        <w:fldChar w:fldCharType="separate"/>
      </w:r>
      <w:r>
        <w:t>67</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_Toc198894503 \h </w:instrText>
      </w:r>
      <w:r>
        <w:fldChar w:fldCharType="separate"/>
      </w:r>
      <w:r>
        <w:t>67</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_Toc198894504 \h </w:instrText>
      </w:r>
      <w:r>
        <w:fldChar w:fldCharType="separate"/>
      </w:r>
      <w:r>
        <w:t>68</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_Toc198894505 \h </w:instrText>
      </w:r>
      <w:r>
        <w:fldChar w:fldCharType="separate"/>
      </w:r>
      <w:r>
        <w:t>69</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_Toc198894506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_Toc198894508 \h </w:instrText>
      </w:r>
      <w:r>
        <w:fldChar w:fldCharType="separate"/>
      </w:r>
      <w:r>
        <w:t>70</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_Toc198894509 \h </w:instrText>
      </w:r>
      <w:r>
        <w:fldChar w:fldCharType="separate"/>
      </w:r>
      <w:r>
        <w:t>70</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_Toc198894510 \h </w:instrText>
      </w:r>
      <w:r>
        <w:fldChar w:fldCharType="separate"/>
      </w:r>
      <w:r>
        <w:t>70</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_Toc198894511 \h </w:instrText>
      </w:r>
      <w:r>
        <w:fldChar w:fldCharType="separate"/>
      </w:r>
      <w:r>
        <w:t>71</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_Toc198894512 \h </w:instrText>
      </w:r>
      <w:r>
        <w:fldChar w:fldCharType="separate"/>
      </w:r>
      <w:r>
        <w:t>72</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_Toc198894513 \h </w:instrText>
      </w:r>
      <w:r>
        <w:fldChar w:fldCharType="separate"/>
      </w:r>
      <w:r>
        <w:t>73</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_Toc198894514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_Toc198894516 \h </w:instrText>
      </w:r>
      <w:r>
        <w:fldChar w:fldCharType="separate"/>
      </w:r>
      <w:r>
        <w:t>75</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_Toc198894517 \h </w:instrText>
      </w:r>
      <w:r>
        <w:fldChar w:fldCharType="separate"/>
      </w:r>
      <w:r>
        <w:t>76</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_Toc198894518 \h </w:instrText>
      </w:r>
      <w:r>
        <w:fldChar w:fldCharType="separate"/>
      </w:r>
      <w:r>
        <w:t>77</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_Toc198894519 \h </w:instrText>
      </w:r>
      <w:r>
        <w:fldChar w:fldCharType="separate"/>
      </w:r>
      <w:r>
        <w:t>78</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_Toc198894520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_Toc198894523 \h </w:instrText>
      </w:r>
      <w:r>
        <w:fldChar w:fldCharType="separate"/>
      </w:r>
      <w:r>
        <w:t>79</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_Toc198894524 \h </w:instrText>
      </w:r>
      <w:r>
        <w:fldChar w:fldCharType="separate"/>
      </w:r>
      <w:r>
        <w:t>80</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_Toc198894525 \h </w:instrText>
      </w:r>
      <w:r>
        <w:fldChar w:fldCharType="separate"/>
      </w:r>
      <w:r>
        <w:t>80</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_Toc198894526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_Toc198894528 \h </w:instrText>
      </w:r>
      <w:r>
        <w:fldChar w:fldCharType="separate"/>
      </w:r>
      <w:r>
        <w:t>81</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_Toc198894529 \h </w:instrText>
      </w:r>
      <w:r>
        <w:fldChar w:fldCharType="separate"/>
      </w:r>
      <w:r>
        <w:t>81</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_Toc198894530 \h </w:instrText>
      </w:r>
      <w:r>
        <w:fldChar w:fldCharType="separate"/>
      </w:r>
      <w:r>
        <w:t>82</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_Toc198894531 \h </w:instrText>
      </w:r>
      <w:r>
        <w:fldChar w:fldCharType="separate"/>
      </w:r>
      <w:r>
        <w:t>85</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_Toc198894532 \h </w:instrText>
      </w:r>
      <w:r>
        <w:fldChar w:fldCharType="separate"/>
      </w:r>
      <w:r>
        <w:t>86</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_Toc198894533 \h </w:instrText>
      </w:r>
      <w:r>
        <w:fldChar w:fldCharType="separate"/>
      </w:r>
      <w:r>
        <w:t>88</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_Toc198894534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_Toc198894536 \h </w:instrText>
      </w:r>
      <w:r>
        <w:fldChar w:fldCharType="separate"/>
      </w:r>
      <w:r>
        <w:t>89</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_Toc198894537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_Toc198894540 \h </w:instrText>
      </w:r>
      <w:r>
        <w:fldChar w:fldCharType="separate"/>
      </w:r>
      <w:r>
        <w:t>92</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_Toc198894541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_Toc198894543 \h </w:instrText>
      </w:r>
      <w:r>
        <w:fldChar w:fldCharType="separate"/>
      </w:r>
      <w:r>
        <w:t>94</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_Toc198894544 \h </w:instrText>
      </w:r>
      <w:r>
        <w:fldChar w:fldCharType="separate"/>
      </w:r>
      <w:r>
        <w:t>94</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_Toc198894545 \h </w:instrText>
      </w:r>
      <w:r>
        <w:fldChar w:fldCharType="separate"/>
      </w:r>
      <w:r>
        <w:t>94</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_Toc198894546 \h </w:instrText>
      </w:r>
      <w:r>
        <w:fldChar w:fldCharType="separate"/>
      </w:r>
      <w:r>
        <w:t>95</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_Toc198894547 \h </w:instrText>
      </w:r>
      <w:r>
        <w:fldChar w:fldCharType="separate"/>
      </w:r>
      <w:r>
        <w:t>96</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_Toc198894548 \h </w:instrText>
      </w:r>
      <w:r>
        <w:fldChar w:fldCharType="separate"/>
      </w:r>
      <w:r>
        <w:t>97</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_Toc198894549 \h </w:instrText>
      </w:r>
      <w:r>
        <w:fldChar w:fldCharType="separate"/>
      </w:r>
      <w:r>
        <w:t>98</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_Toc198894550 \h </w:instrText>
      </w:r>
      <w:r>
        <w:fldChar w:fldCharType="separate"/>
      </w:r>
      <w:r>
        <w:t>100</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_Toc198894551 \h </w:instrText>
      </w:r>
      <w:r>
        <w:fldChar w:fldCharType="separate"/>
      </w:r>
      <w:r>
        <w:t>101</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_Toc198894552 \h </w:instrText>
      </w:r>
      <w:r>
        <w:fldChar w:fldCharType="separate"/>
      </w:r>
      <w:r>
        <w:t>104</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_Toc198894553 \h </w:instrText>
      </w:r>
      <w:r>
        <w:fldChar w:fldCharType="separate"/>
      </w:r>
      <w:r>
        <w:t>105</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_Toc198894554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_Toc198894556 \h </w:instrText>
      </w:r>
      <w:r>
        <w:fldChar w:fldCharType="separate"/>
      </w:r>
      <w:r>
        <w:t>106</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_Toc198894557 \h </w:instrText>
      </w:r>
      <w:r>
        <w:fldChar w:fldCharType="separate"/>
      </w:r>
      <w:r>
        <w:t>107</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_Toc198894558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_Toc198894560 \h </w:instrText>
      </w:r>
      <w:r>
        <w:fldChar w:fldCharType="separate"/>
      </w:r>
      <w:r>
        <w:t>108</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_Toc198894561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_Toc198894563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_Toc198894565 \h </w:instrText>
      </w:r>
      <w:r>
        <w:fldChar w:fldCharType="separate"/>
      </w:r>
      <w:r>
        <w:t>109</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_Toc198894566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_Toc198894568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_Toc198894569 \h </w:instrText>
      </w:r>
      <w:r>
        <w:fldChar w:fldCharType="separate"/>
      </w:r>
      <w:r>
        <w:t>111</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_Toc198894570 \h </w:instrText>
      </w:r>
      <w:r>
        <w:fldChar w:fldCharType="separate"/>
      </w:r>
      <w:r>
        <w:t>112</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_Toc198894571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_Toc198894573 \h </w:instrText>
      </w:r>
      <w:r>
        <w:fldChar w:fldCharType="separate"/>
      </w:r>
      <w:r>
        <w:t>114</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_Toc198894574 \h </w:instrText>
      </w:r>
      <w:r>
        <w:fldChar w:fldCharType="separate"/>
      </w:r>
      <w:r>
        <w:t>114</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_Toc198894575 \h </w:instrText>
      </w:r>
      <w:r>
        <w:fldChar w:fldCharType="separate"/>
      </w:r>
      <w:r>
        <w:t>115</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_Toc198894576 \h </w:instrText>
      </w:r>
      <w:r>
        <w:fldChar w:fldCharType="separate"/>
      </w:r>
      <w:r>
        <w:t>116</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_Toc198894577 \h </w:instrText>
      </w:r>
      <w:r>
        <w:fldChar w:fldCharType="separate"/>
      </w:r>
      <w:r>
        <w:t>116</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_Toc198894578 \h </w:instrText>
      </w:r>
      <w:r>
        <w:fldChar w:fldCharType="separate"/>
      </w:r>
      <w:r>
        <w:t>116</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_Toc198894579 \h </w:instrText>
      </w:r>
      <w:r>
        <w:fldChar w:fldCharType="separate"/>
      </w:r>
      <w:r>
        <w:t>117</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_Toc198894580 \h </w:instrText>
      </w:r>
      <w:r>
        <w:fldChar w:fldCharType="separate"/>
      </w:r>
      <w:r>
        <w:t>120</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_Toc198894581 \h </w:instrText>
      </w:r>
      <w:r>
        <w:fldChar w:fldCharType="separate"/>
      </w:r>
      <w:r>
        <w:t>120</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_Toc198894582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_Toc198894586 \h </w:instrText>
      </w:r>
      <w:r>
        <w:fldChar w:fldCharType="separate"/>
      </w:r>
      <w:r>
        <w:t>128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_Toc198894587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_Toc198894588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98884723"/>
      <w:bookmarkStart w:id="3" w:name="_Toc198889663"/>
      <w:bookmarkStart w:id="4" w:name="_Toc198894411"/>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98894412"/>
      <w:r>
        <w:rPr>
          <w:rStyle w:val="CharSectno"/>
        </w:rPr>
        <w:t>1</w:t>
      </w:r>
      <w:r>
        <w:t>.</w:t>
      </w:r>
      <w:r>
        <w:tab/>
        <w:t>Short title</w:t>
      </w:r>
      <w:bookmarkEnd w:id="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6" w:name="_Toc198894413"/>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98894414"/>
      <w:r>
        <w:rPr>
          <w:rStyle w:val="CharSectno"/>
        </w:rPr>
        <w:t>3</w:t>
      </w:r>
      <w:r>
        <w:t>.</w:t>
      </w:r>
      <w:r>
        <w:tab/>
        <w:t>Terms used</w:t>
      </w:r>
      <w:bookmarkEnd w:id="7"/>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 xml:space="preserve">a body, whether incorporated or not, or the holder of an office, being a body or office that is established for a public purpose under a written law and that, under the </w:t>
      </w:r>
      <w:r>
        <w:rPr>
          <w:color w:val="000000"/>
        </w:rPr>
        <w:lastRenderedPageBreak/>
        <w:t>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the offender by Part 3;</w:t>
      </w:r>
    </w:p>
    <w:p>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w:t>
      </w:r>
      <w:r>
        <w:lastRenderedPageBreak/>
        <w:t xml:space="preserve">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 No. 31 of 2024 s. 28.]</w:t>
      </w:r>
    </w:p>
    <w:p>
      <w:pPr>
        <w:pStyle w:val="Heading5"/>
      </w:pPr>
      <w:bookmarkStart w:id="8" w:name="_Toc198894415"/>
      <w:r>
        <w:rPr>
          <w:rStyle w:val="CharSectno"/>
        </w:rPr>
        <w:t>4</w:t>
      </w:r>
      <w:r>
        <w:t>.</w:t>
      </w:r>
      <w:r>
        <w:tab/>
        <w:t>Meaning of finding of guilt</w:t>
      </w:r>
      <w:bookmarkEnd w:id="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 xml:space="preserve">section 27 that the person is not guilty of the offence on account of mental </w:t>
      </w:r>
      <w:r>
        <w:lastRenderedPageBreak/>
        <w:t>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9" w:name="_Toc198894416"/>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198884729"/>
      <w:bookmarkStart w:id="11" w:name="_Toc198889669"/>
      <w:bookmarkStart w:id="12" w:name="_Toc198894417"/>
      <w:r>
        <w:rPr>
          <w:rStyle w:val="CharPartNo"/>
        </w:rPr>
        <w:lastRenderedPageBreak/>
        <w:t>Part 2</w:t>
      </w:r>
      <w:r>
        <w:t> — </w:t>
      </w:r>
      <w:r>
        <w:rPr>
          <w:rStyle w:val="CharPartText"/>
        </w:rPr>
        <w:t>Offenders to whom Act applies</w:t>
      </w:r>
      <w:bookmarkEnd w:id="10"/>
      <w:bookmarkEnd w:id="11"/>
      <w:bookmarkEnd w:id="12"/>
    </w:p>
    <w:p>
      <w:pPr>
        <w:pStyle w:val="Heading3"/>
      </w:pPr>
      <w:bookmarkStart w:id="13" w:name="_Toc198884730"/>
      <w:bookmarkStart w:id="14" w:name="_Toc198889670"/>
      <w:bookmarkStart w:id="15" w:name="_Toc198894418"/>
      <w:r>
        <w:rPr>
          <w:rStyle w:val="CharDivNo"/>
        </w:rPr>
        <w:t>Division 1</w:t>
      </w:r>
      <w:r>
        <w:t> — </w:t>
      </w:r>
      <w:r>
        <w:rPr>
          <w:rStyle w:val="CharDivText"/>
        </w:rPr>
        <w:t>General</w:t>
      </w:r>
      <w:bookmarkEnd w:id="13"/>
      <w:bookmarkEnd w:id="14"/>
      <w:bookmarkEnd w:id="15"/>
    </w:p>
    <w:p>
      <w:pPr>
        <w:pStyle w:val="Heading5"/>
      </w:pPr>
      <w:bookmarkStart w:id="16" w:name="_Toc198894419"/>
      <w:r>
        <w:rPr>
          <w:rStyle w:val="CharSectno"/>
        </w:rPr>
        <w:t>6</w:t>
      </w:r>
      <w:r>
        <w:t>.</w:t>
      </w:r>
      <w:r>
        <w:tab/>
        <w:t>Reportable offenders</w:t>
      </w:r>
      <w:bookmarkEnd w:id="1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the person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the person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Footnotesection"/>
      </w:pPr>
      <w:r>
        <w:tab/>
        <w:t>[Section 6 amended: No. 31 of 2024 s. 28.]</w:t>
      </w:r>
    </w:p>
    <w:p>
      <w:pPr>
        <w:pStyle w:val="Heading5"/>
      </w:pPr>
      <w:bookmarkStart w:id="17" w:name="_Toc198894420"/>
      <w:r>
        <w:rPr>
          <w:rStyle w:val="CharSectno"/>
        </w:rPr>
        <w:t>7</w:t>
      </w:r>
      <w:r>
        <w:t>.</w:t>
      </w:r>
      <w:r>
        <w:tab/>
        <w:t>Corresponding reportable offenders</w:t>
      </w:r>
      <w:bookmarkEnd w:id="1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the person were currently in that foreign jurisdiction, be required to report to the corresponding registrar in that jurisdiction for a particular period; or</w:t>
      </w:r>
    </w:p>
    <w:p>
      <w:pPr>
        <w:pStyle w:val="Indenti"/>
      </w:pPr>
      <w:r>
        <w:lastRenderedPageBreak/>
        <w:tab/>
        <w:t>(ii)</w:t>
      </w:r>
      <w:r>
        <w:tab/>
        <w:t>falls within a class of persons who are prescribed by the regulations to be corresponding reportable offenders for the purposes of this Act.</w:t>
      </w:r>
    </w:p>
    <w:p>
      <w:pPr>
        <w:pStyle w:val="Footnotesection"/>
      </w:pPr>
      <w:r>
        <w:tab/>
        <w:t>[Section 7 amended: No. 54 of 2012 s. 5; No. 31 of 2024 s. 28.]</w:t>
      </w:r>
    </w:p>
    <w:p>
      <w:pPr>
        <w:pStyle w:val="Heading5"/>
      </w:pPr>
      <w:bookmarkStart w:id="18" w:name="_Toc198894421"/>
      <w:r>
        <w:rPr>
          <w:rStyle w:val="CharSectno"/>
        </w:rPr>
        <w:t>8</w:t>
      </w:r>
      <w:r>
        <w:t>.</w:t>
      </w:r>
      <w:r>
        <w:tab/>
        <w:t>New South Wales reportable offenders</w:t>
      </w:r>
      <w:bookmarkEnd w:id="1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9" w:name="_Toc198894422"/>
      <w:r>
        <w:rPr>
          <w:rStyle w:val="CharSectno"/>
        </w:rPr>
        <w:t>9</w:t>
      </w:r>
      <w:r>
        <w:t>.</w:t>
      </w:r>
      <w:r>
        <w:tab/>
        <w:t>Reportable offences</w:t>
      </w:r>
      <w:bookmarkEnd w:id="19"/>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 w:name="_Toc198894423"/>
      <w:r>
        <w:rPr>
          <w:rStyle w:val="CharSectno"/>
        </w:rPr>
        <w:t>10</w:t>
      </w:r>
      <w:r>
        <w:t>.</w:t>
      </w:r>
      <w:r>
        <w:tab/>
        <w:t>Class 1 offences</w:t>
      </w:r>
      <w:bookmarkEnd w:id="20"/>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lastRenderedPageBreak/>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1" w:name="_Toc198894424"/>
      <w:r>
        <w:rPr>
          <w:rStyle w:val="CharSectno"/>
        </w:rPr>
        <w:t>11</w:t>
      </w:r>
      <w:r>
        <w:t>.</w:t>
      </w:r>
      <w:r>
        <w:tab/>
        <w:t>Class 2 offences</w:t>
      </w:r>
      <w:bookmarkEnd w:id="21"/>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lastRenderedPageBreak/>
        <w:t>[</w:t>
      </w:r>
      <w:r>
        <w:rPr>
          <w:b/>
          <w:bCs/>
        </w:rPr>
        <w:t>12.</w:t>
      </w:r>
      <w:r>
        <w:tab/>
        <w:t>Has not come into operation.]</w:t>
      </w:r>
    </w:p>
    <w:p>
      <w:pPr>
        <w:pStyle w:val="Heading5"/>
      </w:pPr>
      <w:bookmarkStart w:id="22" w:name="_Toc198894425"/>
      <w:r>
        <w:rPr>
          <w:rStyle w:val="CharSectno"/>
        </w:rPr>
        <w:t>13</w:t>
      </w:r>
      <w:r>
        <w:t>.</w:t>
      </w:r>
      <w:r>
        <w:tab/>
        <w:t>Offender reporting orders</w:t>
      </w:r>
      <w:bookmarkEnd w:id="22"/>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lastRenderedPageBreak/>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lastRenderedPageBreak/>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3" w:name="_Toc198894426"/>
      <w:r>
        <w:rPr>
          <w:rStyle w:val="CharSectno"/>
        </w:rPr>
        <w:t>14A</w:t>
      </w:r>
      <w:r>
        <w:t>.</w:t>
      </w:r>
      <w:r>
        <w:tab/>
        <w:t>Consent orders</w:t>
      </w:r>
      <w:bookmarkEnd w:id="23"/>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4" w:name="_Toc198884739"/>
      <w:bookmarkStart w:id="25" w:name="_Toc198889679"/>
      <w:bookmarkStart w:id="26" w:name="_Toc198894427"/>
      <w:r>
        <w:rPr>
          <w:rStyle w:val="CharDivNo"/>
        </w:rPr>
        <w:t>Division 2</w:t>
      </w:r>
      <w:r>
        <w:t> — </w:t>
      </w:r>
      <w:r>
        <w:rPr>
          <w:rStyle w:val="CharDivText"/>
        </w:rPr>
        <w:t>Past offender reporting orders</w:t>
      </w:r>
      <w:bookmarkEnd w:id="24"/>
      <w:bookmarkEnd w:id="25"/>
      <w:bookmarkEnd w:id="26"/>
    </w:p>
    <w:p>
      <w:pPr>
        <w:pStyle w:val="Heading5"/>
      </w:pPr>
      <w:bookmarkStart w:id="27" w:name="_Toc198894428"/>
      <w:r>
        <w:rPr>
          <w:rStyle w:val="CharSectno"/>
        </w:rPr>
        <w:t>14</w:t>
      </w:r>
      <w:r>
        <w:t>.</w:t>
      </w:r>
      <w:r>
        <w:tab/>
        <w:t>Terms used</w:t>
      </w:r>
      <w:bookmarkEnd w:id="2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8" w:name="_Toc198894429"/>
      <w:r>
        <w:rPr>
          <w:rStyle w:val="CharSectno"/>
        </w:rPr>
        <w:t>15</w:t>
      </w:r>
      <w:r>
        <w:t>.</w:t>
      </w:r>
      <w:r>
        <w:tab/>
        <w:t>Commissioner may apply for reporting orders</w:t>
      </w:r>
      <w:bookmarkEnd w:id="28"/>
    </w:p>
    <w:p>
      <w:pPr>
        <w:pStyle w:val="Subsection"/>
      </w:pPr>
      <w:r>
        <w:tab/>
      </w:r>
      <w:r>
        <w:tab/>
        <w:t xml:space="preserve">If — </w:t>
      </w:r>
    </w:p>
    <w:p>
      <w:pPr>
        <w:pStyle w:val="Indenta"/>
      </w:pPr>
      <w:r>
        <w:tab/>
        <w:t>(a)</w:t>
      </w:r>
      <w:r>
        <w:tab/>
        <w:t>a person has been sentenced before the commencement day for an offence; and</w:t>
      </w:r>
    </w:p>
    <w:p>
      <w:pPr>
        <w:pStyle w:val="Indenta"/>
        <w:keepNext/>
      </w:pPr>
      <w:r>
        <w:lastRenderedPageBreak/>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9" w:name="_Toc198894430"/>
      <w:r>
        <w:rPr>
          <w:rStyle w:val="CharSectno"/>
        </w:rPr>
        <w:t>16</w:t>
      </w:r>
      <w:r>
        <w:t>.</w:t>
      </w:r>
      <w:r>
        <w:tab/>
        <w:t>Fixing a hearing</w:t>
      </w:r>
      <w:bookmarkEnd w:id="29"/>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0" w:name="_Toc198894431"/>
      <w:r>
        <w:rPr>
          <w:rStyle w:val="CharSectno"/>
        </w:rPr>
        <w:t>17</w:t>
      </w:r>
      <w:r>
        <w:t>.</w:t>
      </w:r>
      <w:r>
        <w:tab/>
        <w:t>Evidence</w:t>
      </w:r>
      <w:bookmarkEnd w:id="30"/>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lastRenderedPageBreak/>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1" w:name="_Toc198894432"/>
      <w:r>
        <w:rPr>
          <w:rStyle w:val="CharSectno"/>
        </w:rPr>
        <w:t>18</w:t>
      </w:r>
      <w:r>
        <w:t>.</w:t>
      </w:r>
      <w:r>
        <w:tab/>
        <w:t>How application to be disposed of</w:t>
      </w:r>
      <w:bookmarkEnd w:id="31"/>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 w:name="_Toc198894433"/>
      <w:r>
        <w:rPr>
          <w:rStyle w:val="CharSectno"/>
        </w:rPr>
        <w:t>19</w:t>
      </w:r>
      <w:r>
        <w:t>.</w:t>
      </w:r>
      <w:r>
        <w:tab/>
        <w:t>Court may make reporting orders</w:t>
      </w:r>
      <w:bookmarkEnd w:id="32"/>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lastRenderedPageBreak/>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3" w:name="_Toc198894434"/>
      <w:r>
        <w:rPr>
          <w:rStyle w:val="CharSectno"/>
        </w:rPr>
        <w:t>20A</w:t>
      </w:r>
      <w:r>
        <w:t>.</w:t>
      </w:r>
      <w:r>
        <w:tab/>
        <w:t>Consent orders</w:t>
      </w:r>
      <w:bookmarkEnd w:id="33"/>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4" w:name="_Toc198894435"/>
      <w:r>
        <w:rPr>
          <w:rStyle w:val="CharSectno"/>
        </w:rPr>
        <w:lastRenderedPageBreak/>
        <w:t>20</w:t>
      </w:r>
      <w:r>
        <w:t>.</w:t>
      </w:r>
      <w:r>
        <w:tab/>
        <w:t>Attendance at hearings</w:t>
      </w:r>
      <w:bookmarkEnd w:id="34"/>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 w:name="_Toc198894436"/>
      <w:r>
        <w:rPr>
          <w:rStyle w:val="CharSectno"/>
        </w:rPr>
        <w:t>21</w:t>
      </w:r>
      <w:r>
        <w:t>.</w:t>
      </w:r>
      <w:r>
        <w:tab/>
        <w:t>Notification of orders made in absence of respondent</w:t>
      </w:r>
      <w:bookmarkEnd w:id="35"/>
    </w:p>
    <w:p>
      <w:pPr>
        <w:pStyle w:val="Subsection"/>
      </w:pPr>
      <w:r>
        <w:tab/>
      </w:r>
      <w:r>
        <w:tab/>
        <w:t>The registrar of a court that makes a reporting order in the absence of the respondent must cause a copy of the order to be served on the respondent.</w:t>
      </w:r>
    </w:p>
    <w:p>
      <w:pPr>
        <w:pStyle w:val="Heading5"/>
      </w:pPr>
      <w:bookmarkStart w:id="36" w:name="_Toc198894437"/>
      <w:r>
        <w:rPr>
          <w:rStyle w:val="CharSectno"/>
        </w:rPr>
        <w:t>22</w:t>
      </w:r>
      <w:r>
        <w:t>.</w:t>
      </w:r>
      <w:r>
        <w:tab/>
        <w:t>Appeals</w:t>
      </w:r>
      <w:bookmarkEnd w:id="3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7" w:name="_Toc198894438"/>
      <w:r>
        <w:rPr>
          <w:rStyle w:val="CharSectno"/>
        </w:rPr>
        <w:t>23</w:t>
      </w:r>
      <w:r>
        <w:t>.</w:t>
      </w:r>
      <w:r>
        <w:tab/>
        <w:t>Appeal does not stay order</w:t>
      </w:r>
      <w:bookmarkEnd w:id="37"/>
    </w:p>
    <w:p>
      <w:pPr>
        <w:pStyle w:val="Subsection"/>
      </w:pPr>
      <w:r>
        <w:tab/>
      </w:r>
      <w:r>
        <w:tab/>
        <w:t>An appeal against an order made under this Part does not operate to stay the operation of the order unless the court to which the appeal is made so orders.</w:t>
      </w:r>
    </w:p>
    <w:p>
      <w:pPr>
        <w:pStyle w:val="Heading2"/>
      </w:pPr>
      <w:bookmarkStart w:id="38" w:name="_Toc198884751"/>
      <w:bookmarkStart w:id="39" w:name="_Toc198889691"/>
      <w:bookmarkStart w:id="40" w:name="_Toc198894439"/>
      <w:r>
        <w:rPr>
          <w:rStyle w:val="CharPartNo"/>
        </w:rPr>
        <w:lastRenderedPageBreak/>
        <w:t>Part 3</w:t>
      </w:r>
      <w:r>
        <w:t> — </w:t>
      </w:r>
      <w:r>
        <w:rPr>
          <w:rStyle w:val="CharPartText"/>
        </w:rPr>
        <w:t>Reporting obligations</w:t>
      </w:r>
      <w:bookmarkEnd w:id="38"/>
      <w:bookmarkEnd w:id="39"/>
      <w:bookmarkEnd w:id="40"/>
    </w:p>
    <w:p>
      <w:pPr>
        <w:pStyle w:val="Heading3"/>
      </w:pPr>
      <w:bookmarkStart w:id="41" w:name="_Toc198884752"/>
      <w:bookmarkStart w:id="42" w:name="_Toc198889692"/>
      <w:bookmarkStart w:id="43" w:name="_Toc198894440"/>
      <w:r>
        <w:rPr>
          <w:rStyle w:val="CharDivNo"/>
        </w:rPr>
        <w:t>Division 1</w:t>
      </w:r>
      <w:r>
        <w:t> — </w:t>
      </w:r>
      <w:r>
        <w:rPr>
          <w:rStyle w:val="CharDivText"/>
        </w:rPr>
        <w:t>Initial report</w:t>
      </w:r>
      <w:bookmarkEnd w:id="41"/>
      <w:bookmarkEnd w:id="42"/>
      <w:bookmarkEnd w:id="43"/>
    </w:p>
    <w:p>
      <w:pPr>
        <w:pStyle w:val="Heading5"/>
      </w:pPr>
      <w:bookmarkStart w:id="44" w:name="_Toc198894441"/>
      <w:r>
        <w:rPr>
          <w:rStyle w:val="CharSectno"/>
        </w:rPr>
        <w:t>24</w:t>
      </w:r>
      <w:r>
        <w:t>.</w:t>
      </w:r>
      <w:r>
        <w:tab/>
        <w:t>When report must be made</w:t>
      </w:r>
      <w:bookmarkEnd w:id="44"/>
    </w:p>
    <w:p>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the offender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the offender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the offender is given written notice of the offender’s reporting obligations within 53 days after that day, within 7 days after the offender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the offender is sentenced</w:t>
            </w:r>
          </w:p>
        </w:tc>
      </w:tr>
      <w:tr>
        <w:tc>
          <w:tcPr>
            <w:tcW w:w="2976" w:type="dxa"/>
          </w:tcPr>
          <w:p>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pPr>
              <w:pStyle w:val="Table"/>
              <w:spacing w:before="120"/>
            </w:pPr>
            <w:r>
              <w:t>Within 7 days after the offender becomes a corresponding reportable offender or 7 days after the offender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w:t>
      </w:r>
      <w:r>
        <w:t>the offender’s</w:t>
      </w:r>
      <w:r>
        <w:rPr>
          <w:color w:val="000000"/>
        </w:rPr>
        <w:t xml:space="preserve"> personal details to the Commissioner — </w:t>
      </w:r>
    </w:p>
    <w:p>
      <w:pPr>
        <w:pStyle w:val="Indenta"/>
      </w:pPr>
      <w:r>
        <w:tab/>
        <w:t>(a)</w:t>
      </w:r>
      <w:r>
        <w:tab/>
        <w:t>within 7 days after the order is made; or</w:t>
      </w:r>
    </w:p>
    <w:p>
      <w:pPr>
        <w:pStyle w:val="Indenta"/>
      </w:pPr>
      <w:r>
        <w:tab/>
        <w:t>(b)</w:t>
      </w:r>
      <w:r>
        <w:tab/>
        <w:t>if the offender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24 amended: No. 54 of 2012 s. 12; No. 31 of 2024 s. 28.]</w:t>
      </w:r>
    </w:p>
    <w:p>
      <w:pPr>
        <w:pStyle w:val="Heading5"/>
      </w:pPr>
      <w:bookmarkStart w:id="45" w:name="_Toc198894442"/>
      <w:r>
        <w:rPr>
          <w:rStyle w:val="CharSectno"/>
        </w:rPr>
        <w:t>25</w:t>
      </w:r>
      <w:r>
        <w:t>.</w:t>
      </w:r>
      <w:r>
        <w:tab/>
        <w:t>When new initial report must be made by offender whose previous reporting obligations have ceased</w:t>
      </w:r>
      <w:bookmarkEnd w:id="45"/>
    </w:p>
    <w:p>
      <w:pPr>
        <w:pStyle w:val="Subsection"/>
      </w:pPr>
      <w:r>
        <w:tab/>
        <w:t>(1)</w:t>
      </w:r>
      <w:r>
        <w:tab/>
        <w:t xml:space="preserve">If a reportable offender’s reporting period expires but the offender is then sentenced for a reportable offence, the offender must report the offender’s personal details to the Commissioner — </w:t>
      </w:r>
    </w:p>
    <w:p>
      <w:pPr>
        <w:pStyle w:val="Indenta"/>
      </w:pPr>
      <w:r>
        <w:tab/>
        <w:t>(a)</w:t>
      </w:r>
      <w:r>
        <w:tab/>
        <w:t>within 7 days after being sentenced for the reportable offence;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pPr>
        <w:pStyle w:val="Indenta"/>
      </w:pPr>
      <w:r>
        <w:tab/>
        <w:t>(a)</w:t>
      </w:r>
      <w:r>
        <w:tab/>
        <w:t>within 7 days after becoming a corresponding reportable offender;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lastRenderedPageBreak/>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pPr>
        <w:pStyle w:val="Indenta"/>
      </w:pPr>
      <w:r>
        <w:tab/>
        <w:t>(a)</w:t>
      </w:r>
      <w:r>
        <w:tab/>
        <w:t>within 7 days after the order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pPr>
        <w:pStyle w:val="Indenta"/>
      </w:pPr>
      <w:r>
        <w:tab/>
        <w:t>(a)</w:t>
      </w:r>
      <w:r>
        <w:tab/>
        <w:t>within 7 days after the approval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pPr>
        <w:pStyle w:val="Subsection"/>
      </w:pPr>
      <w:r>
        <w:tab/>
        <w:t>(7)</w:t>
      </w:r>
      <w:r>
        <w:tab/>
        <w:t xml:space="preserve">Despite subsections (1), (2), (3) and (4), a reportable offender must report the offender’s personal details to the Commissioner before leaving Western Australia unless the offender entered Western Australia from a foreign jurisdiction and remained in </w:t>
      </w:r>
      <w:r>
        <w:lastRenderedPageBreak/>
        <w:t>Western Australia for less than 14 consecutive days, not counting any days spent in government custody.</w:t>
      </w:r>
    </w:p>
    <w:p>
      <w:pPr>
        <w:pStyle w:val="Footnotesection"/>
      </w:pPr>
      <w:r>
        <w:tab/>
        <w:t>[Section 25 amended: No. 31 of 2024 s. 28.]</w:t>
      </w:r>
    </w:p>
    <w:p>
      <w:pPr>
        <w:pStyle w:val="Heading5"/>
      </w:pPr>
      <w:bookmarkStart w:id="46" w:name="_Toc198894443"/>
      <w:r>
        <w:rPr>
          <w:rStyle w:val="CharSectno"/>
        </w:rPr>
        <w:t>26</w:t>
      </w:r>
      <w:r>
        <w:t>.</w:t>
      </w:r>
      <w:r>
        <w:tab/>
        <w:t>Initial report by reportable offender of personal details</w:t>
      </w:r>
      <w:bookmarkEnd w:id="46"/>
    </w:p>
    <w:p>
      <w:pPr>
        <w:pStyle w:val="Subsection"/>
      </w:pPr>
      <w:r>
        <w:tab/>
        <w:t>(1)</w:t>
      </w:r>
      <w:r>
        <w:tab/>
        <w:t xml:space="preserve">The details the reportable offender must report are — </w:t>
      </w:r>
    </w:p>
    <w:p>
      <w:pPr>
        <w:pStyle w:val="Indenta"/>
        <w:spacing w:before="100"/>
      </w:pPr>
      <w:r>
        <w:tab/>
        <w:t>(a)</w:t>
      </w:r>
      <w:r>
        <w:tab/>
        <w:t>the offender’s name, together with any other name by which the offender is, or has previously been, known; and</w:t>
      </w:r>
    </w:p>
    <w:p>
      <w:pPr>
        <w:pStyle w:val="Indenta"/>
        <w:spacing w:before="100"/>
      </w:pPr>
      <w:r>
        <w:tab/>
        <w:t>(b)</w:t>
      </w:r>
      <w:r>
        <w:tab/>
        <w:t>in respect of each name other than the offender’s current name, the period during which the offender was known by that other name; and</w:t>
      </w:r>
    </w:p>
    <w:p>
      <w:pPr>
        <w:pStyle w:val="Indenta"/>
        <w:keepNext/>
        <w:spacing w:before="100"/>
      </w:pPr>
      <w:r>
        <w:tab/>
        <w:t>(c)</w:t>
      </w:r>
      <w:r>
        <w:tab/>
        <w:t>the offender’s date of birth; and</w:t>
      </w:r>
    </w:p>
    <w:p>
      <w:pPr>
        <w:pStyle w:val="Indenta"/>
      </w:pPr>
      <w:r>
        <w:tab/>
        <w:t>(ca)</w:t>
      </w:r>
      <w:r>
        <w:tab/>
        <w:t xml:space="preserve">the offender’s sex or gender — </w:t>
      </w:r>
    </w:p>
    <w:p>
      <w:pPr>
        <w:pStyle w:val="Indenti"/>
      </w:pPr>
      <w:r>
        <w:tab/>
        <w:t>(i)</w:t>
      </w:r>
      <w:r>
        <w:tab/>
        <w:t xml:space="preserve">as registered under the </w:t>
      </w:r>
      <w:r>
        <w:rPr>
          <w:i/>
        </w:rPr>
        <w:t>Births, Deaths and Marriages Registration Act 1998</w:t>
      </w:r>
      <w:r>
        <w:t xml:space="preserve"> or a corresponding law (as defined in section 4 of that Act); or</w:t>
      </w:r>
    </w:p>
    <w:p>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Indenta"/>
      </w:pPr>
      <w:r>
        <w:tab/>
      </w:r>
      <w:r>
        <w:tab/>
        <w:t>and</w:t>
      </w:r>
    </w:p>
    <w:p>
      <w:pPr>
        <w:pStyle w:val="Indenta"/>
        <w:spacing w:before="100"/>
      </w:pPr>
      <w:r>
        <w:lastRenderedPageBreak/>
        <w:tab/>
        <w:t>(daa)</w:t>
      </w:r>
      <w:r>
        <w:tab/>
        <w:t>details of any passport that the offender holds, including its number and expiry date and the name of the country that issued it; and</w:t>
      </w:r>
    </w:p>
    <w:p>
      <w:pPr>
        <w:pStyle w:val="Indenta"/>
        <w:spacing w:before="100"/>
      </w:pPr>
      <w:r>
        <w:tab/>
        <w:t>(d)</w:t>
      </w:r>
      <w:r>
        <w:tab/>
        <w:t>the address of each of the premises at which the offender generally resides or, if the offender does not generally reside at any particular premises, the name of each of the localities in which the offender can generally be found; and</w:t>
      </w:r>
    </w:p>
    <w:p>
      <w:pPr>
        <w:pStyle w:val="Indenta"/>
        <w:spacing w:before="100"/>
      </w:pPr>
      <w:r>
        <w:tab/>
        <w:t>(da)</w:t>
      </w:r>
      <w:r>
        <w:tab/>
        <w:t>any telephone number that the offender has or that the offender regularly uses; and</w:t>
      </w:r>
    </w:p>
    <w:p>
      <w:pPr>
        <w:pStyle w:val="Indenta"/>
        <w:spacing w:before="100"/>
      </w:pPr>
      <w:r>
        <w:tab/>
        <w:t>(db)</w:t>
      </w:r>
      <w:r>
        <w:tab/>
        <w:t>any email address that the offender has or that the offender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the offender is supplied with; or</w:t>
      </w:r>
    </w:p>
    <w:p>
      <w:pPr>
        <w:pStyle w:val="Indenti"/>
        <w:spacing w:before="100"/>
      </w:pPr>
      <w:r>
        <w:tab/>
        <w:t>(ii)</w:t>
      </w:r>
      <w:r>
        <w:tab/>
        <w:t>the offender regularly uses;</w:t>
      </w:r>
    </w:p>
    <w:p>
      <w:pPr>
        <w:pStyle w:val="Indenta"/>
        <w:spacing w:before="100"/>
      </w:pPr>
      <w:r>
        <w:tab/>
      </w:r>
      <w:r>
        <w:tab/>
        <w:t>and</w:t>
      </w:r>
    </w:p>
    <w:p>
      <w:pPr>
        <w:pStyle w:val="Indenta"/>
        <w:spacing w:before="100"/>
      </w:pPr>
      <w:r>
        <w:tab/>
        <w:t>(dd)</w:t>
      </w:r>
      <w:r>
        <w:tab/>
        <w:t>any name (other than a name reported under paragraph (a)) that the offender uses, or by which the offender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the offender uses a name referred to in paragraph (a) or (dd) or an email address referred to in paragraph (db); and</w:t>
      </w:r>
    </w:p>
    <w:p>
      <w:pPr>
        <w:pStyle w:val="Indenta"/>
        <w:spacing w:before="64"/>
      </w:pPr>
      <w:r>
        <w:tab/>
        <w:t>(df)</w:t>
      </w:r>
      <w:r>
        <w:tab/>
        <w:t xml:space="preserve">any user name, code, password or other information that the offender uses to gain access to — </w:t>
      </w:r>
    </w:p>
    <w:p>
      <w:pPr>
        <w:pStyle w:val="Indenti"/>
        <w:spacing w:before="64"/>
      </w:pPr>
      <w:r>
        <w:tab/>
        <w:t>(i)</w:t>
      </w:r>
      <w:r>
        <w:tab/>
        <w:t xml:space="preserve">the internet generally or a particular website, other than a website operated by an authorised </w:t>
      </w:r>
      <w:r>
        <w:lastRenderedPageBreak/>
        <w:t>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the offender generally resides, or with whom the offender has regular unsupervised contact; and</w:t>
      </w:r>
    </w:p>
    <w:p>
      <w:pPr>
        <w:pStyle w:val="Indenta"/>
        <w:spacing w:before="64"/>
      </w:pPr>
      <w:r>
        <w:tab/>
        <w:t>(fa)</w:t>
      </w:r>
      <w:r>
        <w:tab/>
        <w:t xml:space="preserve">the address of each of the premises at which — </w:t>
      </w:r>
    </w:p>
    <w:p>
      <w:pPr>
        <w:pStyle w:val="Indenti"/>
        <w:spacing w:before="64"/>
      </w:pPr>
      <w:r>
        <w:tab/>
        <w:t>(i)</w:t>
      </w:r>
      <w:r>
        <w:tab/>
        <w:t>the offender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the offender is employed — </w:t>
      </w:r>
    </w:p>
    <w:p>
      <w:pPr>
        <w:pStyle w:val="Indenti"/>
        <w:spacing w:before="64"/>
      </w:pPr>
      <w:r>
        <w:tab/>
        <w:t>(i)</w:t>
      </w:r>
      <w:r>
        <w:tab/>
        <w:t>the nature of the offender’s employment; and</w:t>
      </w:r>
    </w:p>
    <w:p>
      <w:pPr>
        <w:pStyle w:val="Indenti"/>
        <w:spacing w:before="64"/>
      </w:pPr>
      <w:r>
        <w:tab/>
        <w:t>(ii)</w:t>
      </w:r>
      <w:r>
        <w:tab/>
        <w:t>the name of the offender’s employer (if any); and</w:t>
      </w:r>
    </w:p>
    <w:p>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pPr>
        <w:pStyle w:val="Indenta"/>
        <w:spacing w:before="64"/>
      </w:pPr>
      <w:r>
        <w:tab/>
      </w:r>
      <w:r>
        <w:tab/>
        <w:t>and</w:t>
      </w:r>
    </w:p>
    <w:p>
      <w:pPr>
        <w:pStyle w:val="Indenta"/>
      </w:pPr>
      <w:r>
        <w:tab/>
        <w:t>(g)</w:t>
      </w:r>
      <w:r>
        <w:tab/>
        <w:t>details of the offender’s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the offender; and</w:t>
      </w:r>
    </w:p>
    <w:p>
      <w:pPr>
        <w:pStyle w:val="Indenta"/>
      </w:pPr>
      <w:r>
        <w:lastRenderedPageBreak/>
        <w:tab/>
        <w:t>(i)</w:t>
      </w:r>
      <w:r>
        <w:tab/>
        <w:t>details of any tattoos or permanent distinguishing marks that the offender has (including details of any tattoo or mark that has been removed); and</w:t>
      </w:r>
    </w:p>
    <w:p>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the offender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lastRenderedPageBreak/>
        <w:tab/>
        <w:t>(2)</w:t>
      </w:r>
      <w:r>
        <w:tab/>
        <w:t xml:space="preserve">For the purposes of this section — </w:t>
      </w:r>
    </w:p>
    <w:p>
      <w:pPr>
        <w:pStyle w:val="Indenta"/>
        <w:spacing w:before="70"/>
      </w:pPr>
      <w:r>
        <w:tab/>
        <w:t>(a)</w:t>
      </w:r>
      <w:r>
        <w:tab/>
        <w:t>a reportable offender does not generally reside at any particular premises unless the offender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the offender has unsupervised contact with the child for at least 3 days (whether consecutive or not) in any period of 12 months; and</w:t>
      </w:r>
    </w:p>
    <w:p>
      <w:pPr>
        <w:pStyle w:val="Indenta"/>
        <w:spacing w:before="70"/>
      </w:pPr>
      <w:r>
        <w:tab/>
        <w:t>(da)</w:t>
      </w:r>
      <w:r>
        <w:tab/>
        <w:t>a reportable offender is not regularly present at any premises unless the offender is present at those premises for at least 7 days (whether consecutive or not) in any period of 12 months; and</w:t>
      </w:r>
    </w:p>
    <w:p>
      <w:pPr>
        <w:pStyle w:val="Indenta"/>
        <w:spacing w:before="70"/>
      </w:pPr>
      <w:r>
        <w:tab/>
        <w:t>(db)</w:t>
      </w:r>
      <w:r>
        <w:tab/>
        <w:t>a child does not generally reside at any premises unless the child resides at those premises for at least 3 days (whether consecutive or not) in any period of 12 months; and</w:t>
      </w:r>
    </w:p>
    <w:p>
      <w:pPr>
        <w:pStyle w:val="Indenta"/>
        <w:spacing w:before="70"/>
      </w:pPr>
      <w:r>
        <w:tab/>
        <w:t>(d)</w:t>
      </w:r>
      <w:r>
        <w:tab/>
        <w:t>a reportable offender is not generally employed at any particular premises unless the offender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the person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lastRenderedPageBreak/>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 No. 31 of 2024 s. 24 and 28.]</w:t>
      </w:r>
    </w:p>
    <w:p>
      <w:pPr>
        <w:pStyle w:val="Heading5"/>
      </w:pPr>
      <w:bookmarkStart w:id="47" w:name="_Toc198894444"/>
      <w:r>
        <w:rPr>
          <w:rStyle w:val="CharSectno"/>
        </w:rPr>
        <w:t>27</w:t>
      </w:r>
      <w:r>
        <w:t>.</w:t>
      </w:r>
      <w:r>
        <w:tab/>
        <w:t>Persons required to report under corresponding Act</w:t>
      </w:r>
      <w:bookmarkEnd w:id="47"/>
    </w:p>
    <w:p>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pPr>
        <w:pStyle w:val="Subsection"/>
      </w:pPr>
      <w:r>
        <w:tab/>
        <w:t>(2)</w:t>
      </w:r>
      <w:r>
        <w:tab/>
        <w:t>Unless the person has previously complied with the obligation imposed by this section, the person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pPr>
        <w:pStyle w:val="Subsection"/>
      </w:pPr>
      <w:r>
        <w:tab/>
        <w:t>(4)</w:t>
      </w:r>
      <w:r>
        <w:tab/>
        <w:t xml:space="preserve">A person does not commit an offence against section 63 because of a failure to comply with the reporting obligation imposed by subsection (2) if the person — </w:t>
      </w:r>
    </w:p>
    <w:p>
      <w:pPr>
        <w:pStyle w:val="Indenta"/>
      </w:pPr>
      <w:r>
        <w:tab/>
        <w:t>(a)</w:t>
      </w:r>
      <w:r>
        <w:tab/>
        <w:t>is not a reportable offender for the purposes of this Act; or</w:t>
      </w:r>
    </w:p>
    <w:p>
      <w:pPr>
        <w:pStyle w:val="Indenta"/>
      </w:pPr>
      <w:r>
        <w:lastRenderedPageBreak/>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pPr>
      <w:r>
        <w:tab/>
        <w:t>[Section 27 amended: No. 31 of 2024 s. 28.]</w:t>
      </w:r>
    </w:p>
    <w:p>
      <w:pPr>
        <w:pStyle w:val="Heading3"/>
      </w:pPr>
      <w:bookmarkStart w:id="48" w:name="_Toc198884757"/>
      <w:bookmarkStart w:id="49" w:name="_Toc198889697"/>
      <w:bookmarkStart w:id="50" w:name="_Toc198894445"/>
      <w:r>
        <w:rPr>
          <w:rStyle w:val="CharDivNo"/>
        </w:rPr>
        <w:t>Division 2</w:t>
      </w:r>
      <w:r>
        <w:t> — </w:t>
      </w:r>
      <w:r>
        <w:rPr>
          <w:rStyle w:val="CharDivText"/>
        </w:rPr>
        <w:t>Ongoing reporting obligations</w:t>
      </w:r>
      <w:bookmarkEnd w:id="48"/>
      <w:bookmarkEnd w:id="49"/>
      <w:bookmarkEnd w:id="50"/>
    </w:p>
    <w:p>
      <w:pPr>
        <w:pStyle w:val="Heading5"/>
      </w:pPr>
      <w:bookmarkStart w:id="51" w:name="_Toc198894446"/>
      <w:r>
        <w:rPr>
          <w:rStyle w:val="CharSectno"/>
        </w:rPr>
        <w:t>28</w:t>
      </w:r>
      <w:r>
        <w:t>.</w:t>
      </w:r>
      <w:r>
        <w:tab/>
        <w:t>Reportable offender to report annually and as required by Commissioner</w:t>
      </w:r>
      <w:bookmarkEnd w:id="51"/>
    </w:p>
    <w:p>
      <w:pPr>
        <w:pStyle w:val="Subsection"/>
      </w:pPr>
      <w:r>
        <w:tab/>
        <w:t>(1)</w:t>
      </w:r>
      <w:r>
        <w:tab/>
        <w:t>A reportable offender must report the offender’s personal details to the Commissioner each year.</w:t>
      </w:r>
    </w:p>
    <w:p>
      <w:pPr>
        <w:pStyle w:val="Subsection"/>
      </w:pPr>
      <w:r>
        <w:tab/>
        <w:t>(2)</w:t>
      </w:r>
      <w:r>
        <w:tab/>
        <w:t>The reportable offender must make the report in each year during the calendar month in which the offender first reported in accordance with this Act or a corresponding Act.</w:t>
      </w:r>
    </w:p>
    <w:p>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pPr>
        <w:pStyle w:val="Subsection"/>
      </w:pPr>
      <w:r>
        <w:tab/>
        <w:t>(4)</w:t>
      </w:r>
      <w:r>
        <w:tab/>
        <w:t>A reportable offender must report the offender’s personal details to the Commissioner in accordance with a notice under subsection (3).</w:t>
      </w:r>
    </w:p>
    <w:p>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pPr>
        <w:pStyle w:val="Subsection"/>
      </w:pPr>
      <w:r>
        <w:tab/>
        <w:t>(6)</w:t>
      </w:r>
      <w:r>
        <w:tab/>
        <w:t xml:space="preserve">If a reportable offender’s reporting period expires but the offender is then required to report again under section 25, the reference in subsection (2) to the month during which the offender first reported is to be read as a reference to the month </w:t>
      </w:r>
      <w:r>
        <w:lastRenderedPageBreak/>
        <w:t>during which the offender first reported in respect of the current reporting period.</w:t>
      </w:r>
    </w:p>
    <w:p>
      <w:pPr>
        <w:pStyle w:val="Footnotesection"/>
      </w:pPr>
      <w:r>
        <w:tab/>
        <w:t>[Section 28 amended: No. 31 of 2024 s. 28.]</w:t>
      </w:r>
    </w:p>
    <w:p>
      <w:pPr>
        <w:pStyle w:val="Heading5"/>
      </w:pPr>
      <w:bookmarkStart w:id="52" w:name="_Toc198894447"/>
      <w:r>
        <w:rPr>
          <w:rStyle w:val="CharSectno"/>
        </w:rPr>
        <w:t>29</w:t>
      </w:r>
      <w:r>
        <w:t>.</w:t>
      </w:r>
      <w:r>
        <w:tab/>
        <w:t>Reportable offender to report changes to relevant personal details</w:t>
      </w:r>
      <w:bookmarkEnd w:id="52"/>
    </w:p>
    <w:p>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(2A)</w:t>
      </w:r>
      <w:r>
        <w:tab/>
        <w:t xml:space="preserve">For the purposes of subsection (1), a change occurs in a reportable offender’s personal details relating to sex or gender only if — </w:t>
      </w:r>
    </w:p>
    <w:p>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Indenta"/>
        <w:rPr>
          <w:iCs/>
        </w:rPr>
      </w:pPr>
      <w:r>
        <w:lastRenderedPageBreak/>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Subsection"/>
      </w:pPr>
      <w:r>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the offender’s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the offender leaves within that 7 day period.</w:t>
      </w:r>
    </w:p>
    <w:p>
      <w:pPr>
        <w:pStyle w:val="Footnotesection"/>
      </w:pPr>
      <w:r>
        <w:tab/>
        <w:t>[Section 29 amended: No. 54 of 2012 s. 14; No. 31 of 2024 s. 25 and 28.]</w:t>
      </w:r>
    </w:p>
    <w:p>
      <w:pPr>
        <w:pStyle w:val="Heading5"/>
        <w:spacing w:before="240"/>
      </w:pPr>
      <w:bookmarkStart w:id="53" w:name="_Toc198894448"/>
      <w:r>
        <w:rPr>
          <w:rStyle w:val="CharSectno"/>
        </w:rPr>
        <w:t>29A</w:t>
      </w:r>
      <w:r>
        <w:t>.</w:t>
      </w:r>
      <w:r>
        <w:tab/>
        <w:t>Intended absence from place of residence to be reported</w:t>
      </w:r>
      <w:bookmarkEnd w:id="53"/>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the offender generally resides, as determined in accordance with section 26(2)(a); or</w:t>
      </w:r>
    </w:p>
    <w:p>
      <w:pPr>
        <w:pStyle w:val="Indenta"/>
      </w:pPr>
      <w:r>
        <w:tab/>
        <w:t>(b)</w:t>
      </w:r>
      <w:r>
        <w:tab/>
        <w:t>if the offender does not generally reside at any particular premises, the localities in which the offender can generally be found.</w:t>
      </w:r>
    </w:p>
    <w:p>
      <w:pPr>
        <w:pStyle w:val="Subsection"/>
        <w:keepNext/>
      </w:pPr>
      <w:r>
        <w:lastRenderedPageBreak/>
        <w:tab/>
        <w:t>(2)</w:t>
      </w:r>
      <w:r>
        <w:tab/>
        <w:t xml:space="preserve">This section applies to a reportable offender who — </w:t>
      </w:r>
    </w:p>
    <w:p>
      <w:pPr>
        <w:pStyle w:val="Indenta"/>
      </w:pPr>
      <w:r>
        <w:tab/>
        <w:t>(a)</w:t>
      </w:r>
      <w:r>
        <w:tab/>
        <w:t>intends to leave the place where the offender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the offender generally resides, the reportable offender must report the intended absence to the Commissioner and must provide details of — </w:t>
      </w:r>
    </w:p>
    <w:p>
      <w:pPr>
        <w:pStyle w:val="Indenta"/>
      </w:pPr>
      <w:r>
        <w:tab/>
        <w:t>(a)</w:t>
      </w:r>
      <w:r>
        <w:tab/>
        <w:t>the dates, or approximate dates, of the period during which the offender intends to be absent from the place where the offender generally resides; and</w:t>
      </w:r>
    </w:p>
    <w:p>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the offender generally resides.</w:t>
      </w:r>
    </w:p>
    <w:p>
      <w:pPr>
        <w:pStyle w:val="Footnotesection"/>
        <w:spacing w:before="100"/>
      </w:pPr>
      <w:r>
        <w:tab/>
        <w:t>[Section 29A inserted: No. 27 of 2008 s. 5; amended: No. 31 of 2024 s. 28.]</w:t>
      </w:r>
    </w:p>
    <w:p>
      <w:pPr>
        <w:pStyle w:val="Heading5"/>
      </w:pPr>
      <w:bookmarkStart w:id="54" w:name="_Toc198894449"/>
      <w:r>
        <w:rPr>
          <w:rStyle w:val="CharSectno"/>
        </w:rPr>
        <w:lastRenderedPageBreak/>
        <w:t>30</w:t>
      </w:r>
      <w:r>
        <w:t>.</w:t>
      </w:r>
      <w:r>
        <w:tab/>
        <w:t>Intended absence from Western Australia to be reported</w:t>
      </w:r>
      <w:bookmarkEnd w:id="54"/>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the offender intends to go while out of Western Australia; and</w:t>
      </w:r>
    </w:p>
    <w:p>
      <w:pPr>
        <w:pStyle w:val="Indenta"/>
        <w:spacing w:before="60"/>
      </w:pPr>
      <w:r>
        <w:tab/>
        <w:t>(b)</w:t>
      </w:r>
      <w:r>
        <w:tab/>
        <w:t>the approximate dates of the periods during which the offender intends to be in each of those States, Territories or countries; and</w:t>
      </w:r>
    </w:p>
    <w:p>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pPr>
        <w:pStyle w:val="Indenta"/>
      </w:pPr>
      <w:r>
        <w:tab/>
        <w:t>(d)</w:t>
      </w:r>
      <w:r>
        <w:tab/>
        <w:t>if the offender intends to return to Western Australia, the approximate date on which the offender intends to return; and</w:t>
      </w:r>
    </w:p>
    <w:p>
      <w:pPr>
        <w:pStyle w:val="Indenta"/>
      </w:pPr>
      <w:r>
        <w:tab/>
        <w:t>(e)</w:t>
      </w:r>
      <w:r>
        <w:tab/>
        <w:t>if the offender does not intend to return to Western Australia, a statement of that intention.</w:t>
      </w:r>
    </w:p>
    <w:p>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 No. 31 of 2024 s. 28.]</w:t>
      </w:r>
    </w:p>
    <w:p>
      <w:pPr>
        <w:pStyle w:val="Heading5"/>
        <w:spacing w:before="180"/>
      </w:pPr>
      <w:bookmarkStart w:id="55" w:name="_Toc198894450"/>
      <w:r>
        <w:rPr>
          <w:rStyle w:val="CharSectno"/>
        </w:rPr>
        <w:t>31</w:t>
      </w:r>
      <w:r>
        <w:t>.</w:t>
      </w:r>
      <w:r>
        <w:tab/>
        <w:t>Change of travel plans while out of Western Australia to be reported</w:t>
      </w:r>
      <w:bookmarkEnd w:id="55"/>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the offender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 No. 31 of 2024 s. 28.]</w:t>
      </w:r>
    </w:p>
    <w:p>
      <w:pPr>
        <w:pStyle w:val="Heading5"/>
        <w:keepNext w:val="0"/>
        <w:keepLines w:val="0"/>
      </w:pPr>
      <w:bookmarkStart w:id="56" w:name="_Toc198894451"/>
      <w:r>
        <w:rPr>
          <w:rStyle w:val="CharSectno"/>
        </w:rPr>
        <w:t>32</w:t>
      </w:r>
      <w:r>
        <w:t>.</w:t>
      </w:r>
      <w:r>
        <w:tab/>
        <w:t>Reportable offender to report return to Western Australia or decision not to leave</w:t>
      </w:r>
      <w:bookmarkEnd w:id="56"/>
    </w:p>
    <w:p>
      <w:pPr>
        <w:pStyle w:val="Subsection"/>
      </w:pPr>
      <w:r>
        <w:tab/>
        <w:t>(1)</w:t>
      </w:r>
      <w:r>
        <w:tab/>
        <w:t>This section applies to a reportable offender who was required to report under section 30 that the offender intended to leave Western Australia.</w:t>
      </w:r>
    </w:p>
    <w:p>
      <w:pPr>
        <w:pStyle w:val="Subsection"/>
      </w:pPr>
      <w:r>
        <w:tab/>
        <w:t>(2)</w:t>
      </w:r>
      <w:r>
        <w:tab/>
        <w:t>If the reportable offender left Western Australia, the offender must report the offender’s return to Western Australia to the Commissioner within 7 days after entering Western Australia.</w:t>
      </w:r>
    </w:p>
    <w:p>
      <w:pPr>
        <w:pStyle w:val="Subsection"/>
      </w:pPr>
      <w:r>
        <w:lastRenderedPageBreak/>
        <w:tab/>
        <w:t>(2a)</w:t>
      </w:r>
      <w:r>
        <w:tab/>
        <w:t xml:space="preserve">If the reportable offender left Western Australia to travel out of Australia, the offender must, in addition to reporting under subsection (2), produce to the Commissioner within 7 days after entering Western Australia — </w:t>
      </w:r>
    </w:p>
    <w:p>
      <w:pPr>
        <w:pStyle w:val="Indenta"/>
      </w:pPr>
      <w:r>
        <w:tab/>
        <w:t>(a)</w:t>
      </w:r>
      <w:r>
        <w:tab/>
        <w:t>the offender’s passport; and</w:t>
      </w:r>
    </w:p>
    <w:p>
      <w:pPr>
        <w:pStyle w:val="Indenta"/>
      </w:pPr>
      <w:r>
        <w:tab/>
        <w:t>(b)</w:t>
      </w:r>
      <w:r>
        <w:tab/>
        <w:t>any other document in the offender’s possession that contains information indicating where the offender travelled while out of Australia.</w:t>
      </w:r>
    </w:p>
    <w:p>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pPr>
        <w:pStyle w:val="Subsection"/>
      </w:pPr>
      <w:r>
        <w:tab/>
        <w:t>(4)</w:t>
      </w:r>
      <w:r>
        <w:tab/>
        <w:t>If the reportable offender decides not to leave Western Australia, the offender must report the offender’s change of intention to the Commissioner within 7 days after deciding not to leave.</w:t>
      </w:r>
    </w:p>
    <w:p>
      <w:pPr>
        <w:pStyle w:val="Footnotesection"/>
      </w:pPr>
      <w:r>
        <w:tab/>
        <w:t>[Section 32 amended: No. 27 of 2008 s. 8; No. 31 of 2024 s. 28.]</w:t>
      </w:r>
    </w:p>
    <w:p>
      <w:pPr>
        <w:pStyle w:val="Heading5"/>
      </w:pPr>
      <w:bookmarkStart w:id="57" w:name="_Toc198894452"/>
      <w:r>
        <w:rPr>
          <w:rStyle w:val="CharSectno"/>
        </w:rPr>
        <w:t>33</w:t>
      </w:r>
      <w:r>
        <w:t>.</w:t>
      </w:r>
      <w:r>
        <w:tab/>
        <w:t>Report of other absences from Western Australia</w:t>
      </w:r>
      <w:bookmarkEnd w:id="57"/>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8" w:name="_Toc198884765"/>
      <w:bookmarkStart w:id="59" w:name="_Toc198889705"/>
      <w:bookmarkStart w:id="60" w:name="_Toc198894453"/>
      <w:r>
        <w:rPr>
          <w:rStyle w:val="CharDivNo"/>
        </w:rPr>
        <w:lastRenderedPageBreak/>
        <w:t>Division 3</w:t>
      </w:r>
      <w:r>
        <w:t> — </w:t>
      </w:r>
      <w:r>
        <w:rPr>
          <w:rStyle w:val="CharDivText"/>
        </w:rPr>
        <w:t>Provisions applying to all reporting obligations</w:t>
      </w:r>
      <w:bookmarkEnd w:id="58"/>
      <w:bookmarkEnd w:id="59"/>
      <w:bookmarkEnd w:id="60"/>
    </w:p>
    <w:p>
      <w:pPr>
        <w:pStyle w:val="Heading5"/>
        <w:spacing w:before="200"/>
      </w:pPr>
      <w:bookmarkStart w:id="61" w:name="_Toc198894454"/>
      <w:r>
        <w:rPr>
          <w:rStyle w:val="CharSectno"/>
        </w:rPr>
        <w:t>34</w:t>
      </w:r>
      <w:r>
        <w:t>.</w:t>
      </w:r>
      <w:r>
        <w:tab/>
        <w:t>Where reports must be made</w:t>
      </w:r>
      <w:bookmarkEnd w:id="6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2" w:name="_Toc198894455"/>
      <w:r>
        <w:rPr>
          <w:rStyle w:val="CharSectno"/>
        </w:rPr>
        <w:t>35</w:t>
      </w:r>
      <w:r>
        <w:t>.</w:t>
      </w:r>
      <w:r>
        <w:tab/>
        <w:t>How reports must be made</w:t>
      </w:r>
      <w:bookmarkEnd w:id="62"/>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the offender generally resides or, if the offender does not generally reside at any particular premises, of the localities in which the offender can generally be found;</w:t>
      </w:r>
    </w:p>
    <w:p>
      <w:pPr>
        <w:pStyle w:val="Indenta"/>
      </w:pPr>
      <w:r>
        <w:tab/>
        <w:t>(d)</w:t>
      </w:r>
      <w:r>
        <w:tab/>
        <w:t>a report of the acquisition of, removal of, or change to any tattoo or distinguishing mark.</w:t>
      </w:r>
    </w:p>
    <w:p>
      <w:pPr>
        <w:pStyle w:val="Subsection"/>
      </w:pPr>
      <w:r>
        <w:tab/>
        <w:t>(2)</w:t>
      </w:r>
      <w:r>
        <w:tab/>
        <w:t xml:space="preserve">A reportable offender may make any other report the offender is required to make under this Part in person or in any other way </w:t>
      </w:r>
      <w:r>
        <w:lastRenderedPageBreak/>
        <w:t>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the offender to make the report, a parent, guardian, carer or other person nominated by the reportable offender may make the report on the reportable offender’s behalf.</w:t>
      </w:r>
    </w:p>
    <w:p>
      <w:pPr>
        <w:pStyle w:val="Footnotesection"/>
      </w:pPr>
      <w:r>
        <w:tab/>
        <w:t>[Section 35 amended: No. 31 of 2024 s. 28.]</w:t>
      </w:r>
    </w:p>
    <w:p>
      <w:pPr>
        <w:pStyle w:val="Heading5"/>
      </w:pPr>
      <w:bookmarkStart w:id="63" w:name="_Toc198894456"/>
      <w:r>
        <w:rPr>
          <w:rStyle w:val="CharSectno"/>
        </w:rPr>
        <w:t>36</w:t>
      </w:r>
      <w:r>
        <w:t>.</w:t>
      </w:r>
      <w:r>
        <w:tab/>
        <w:t>Right to privacy and support when reporting</w:t>
      </w:r>
      <w:bookmarkEnd w:id="63"/>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the person’s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 xml:space="preserve">An authorised person receiving the report may allow an interpreter to be present when a person is making a report under this Part only if the interpreter has signed an undertaking not to </w:t>
      </w:r>
      <w:r>
        <w:lastRenderedPageBreak/>
        <w:t>disclose any information derived from the report unless required or authorised by or under any written or other law to do so.</w:t>
      </w:r>
    </w:p>
    <w:p>
      <w:pPr>
        <w:pStyle w:val="Footnotesection"/>
      </w:pPr>
      <w:r>
        <w:tab/>
        <w:t>[Section 36 amended: No. 31 of 2024 s. 28.]</w:t>
      </w:r>
    </w:p>
    <w:p>
      <w:pPr>
        <w:pStyle w:val="Heading5"/>
        <w:keepLines w:val="0"/>
      </w:pPr>
      <w:bookmarkStart w:id="64" w:name="_Toc198894457"/>
      <w:r>
        <w:rPr>
          <w:rStyle w:val="CharSectno"/>
        </w:rPr>
        <w:t>37</w:t>
      </w:r>
      <w:r>
        <w:t>.</w:t>
      </w:r>
      <w:r>
        <w:tab/>
        <w:t>Receipt of information to be acknowledged</w:t>
      </w:r>
      <w:bookmarkEnd w:id="64"/>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lastRenderedPageBreak/>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5" w:name="_Toc198894458"/>
      <w:r>
        <w:rPr>
          <w:rStyle w:val="CharSectno"/>
        </w:rPr>
        <w:t>38</w:t>
      </w:r>
      <w:r>
        <w:t>.</w:t>
      </w:r>
      <w:r>
        <w:tab/>
        <w:t>Additional matters to be provided</w:t>
      </w:r>
      <w:bookmarkEnd w:id="65"/>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lastRenderedPageBreak/>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lastRenderedPageBreak/>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the offender’s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the authorised person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lastRenderedPageBreak/>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 No. 31 of 2024 s. 28.]</w:t>
      </w:r>
    </w:p>
    <w:p>
      <w:pPr>
        <w:pStyle w:val="Heading5"/>
      </w:pPr>
      <w:bookmarkStart w:id="66" w:name="_Toc198894459"/>
      <w:r>
        <w:rPr>
          <w:rStyle w:val="CharSectno"/>
        </w:rPr>
        <w:t>39</w:t>
      </w:r>
      <w:r>
        <w:t>.</w:t>
      </w:r>
      <w:r>
        <w:tab/>
        <w:t>Power to take fingerprints</w:t>
      </w:r>
      <w:bookmarkEnd w:id="6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pPr>
        <w:pStyle w:val="Subsection"/>
      </w:pPr>
      <w:r>
        <w:tab/>
        <w:t>(2)</w:t>
      </w:r>
      <w:r>
        <w:tab/>
        <w:t>The authorised person may take, or may cause to be taken by a person authorised by the authorised person, the fingerprints of the reportable offender.</w:t>
      </w:r>
    </w:p>
    <w:p>
      <w:pPr>
        <w:pStyle w:val="Footnotesection"/>
      </w:pPr>
      <w:r>
        <w:tab/>
        <w:t>[Section 39 amended: No. 31 of 2024 s. 28.]</w:t>
      </w:r>
    </w:p>
    <w:p>
      <w:pPr>
        <w:pStyle w:val="Heading5"/>
      </w:pPr>
      <w:bookmarkStart w:id="67" w:name="_Toc198894460"/>
      <w:r>
        <w:rPr>
          <w:rStyle w:val="CharSectno"/>
        </w:rPr>
        <w:t>40</w:t>
      </w:r>
      <w:r>
        <w:t>.</w:t>
      </w:r>
      <w:r>
        <w:tab/>
        <w:t>Power to take photographs</w:t>
      </w:r>
      <w:bookmarkEnd w:id="67"/>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lastRenderedPageBreak/>
        <w:tab/>
        <w:t>(b)</w:t>
      </w:r>
      <w:r>
        <w:tab/>
        <w:t>to expose any part of the reportable offender’s body to enable that part of the body to be photographed by the authorised person or a person authorised by the authorised person.</w:t>
      </w:r>
    </w:p>
    <w:p>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 No. 31 of 2024 s. 26.]</w:t>
      </w:r>
    </w:p>
    <w:p>
      <w:pPr>
        <w:pStyle w:val="Heading5"/>
      </w:pPr>
      <w:bookmarkStart w:id="68" w:name="_Toc198894461"/>
      <w:r>
        <w:rPr>
          <w:rStyle w:val="CharSectno"/>
        </w:rPr>
        <w:t>41</w:t>
      </w:r>
      <w:r>
        <w:t>.</w:t>
      </w:r>
      <w:r>
        <w:tab/>
        <w:t>Reasonable force may be used to obtain fingerprints and photographs</w:t>
      </w:r>
      <w:bookmarkEnd w:id="6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the offender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the offender’s fingerprints or expose part of the offender’s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w:t>
      </w:r>
      <w:r>
        <w:lastRenderedPageBreak/>
        <w:t xml:space="preserve">charge of a police station at the time of the request to use reasonable force or by a police officer of or above the rank of sergeant, a police officer or a person authorised by the officer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 No. 31 of 2024 s. 28.]</w:t>
      </w:r>
    </w:p>
    <w:p>
      <w:pPr>
        <w:pStyle w:val="Heading5"/>
      </w:pPr>
      <w:bookmarkStart w:id="69" w:name="_Toc198894462"/>
      <w:r>
        <w:rPr>
          <w:rStyle w:val="CharSectno"/>
        </w:rPr>
        <w:t>42</w:t>
      </w:r>
      <w:r>
        <w:t>.</w:t>
      </w:r>
      <w:r>
        <w:tab/>
        <w:t>Retention of material for certain purposes</w:t>
      </w:r>
      <w:bookmarkEnd w:id="69"/>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0" w:name="_Toc198894463"/>
      <w:r>
        <w:rPr>
          <w:rStyle w:val="CharSectno"/>
        </w:rPr>
        <w:t>43</w:t>
      </w:r>
      <w:r>
        <w:t>.</w:t>
      </w:r>
      <w:r>
        <w:tab/>
        <w:t>Reporting by remote offenders</w:t>
      </w:r>
      <w:bookmarkEnd w:id="70"/>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lastRenderedPageBreak/>
        <w:tab/>
        <w:t>(3)</w:t>
      </w:r>
      <w:r>
        <w:tab/>
        <w:t xml:space="preserve">The reportable offender need not comply with a time limit concerning the making of a report in person under this Part if — </w:t>
      </w:r>
    </w:p>
    <w:p>
      <w:pPr>
        <w:pStyle w:val="Indenta"/>
      </w:pPr>
      <w:r>
        <w:tab/>
        <w:t>(a)</w:t>
      </w:r>
      <w:r>
        <w:tab/>
        <w:t>the offender, or a person entitled to make the report on the offender’s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Footnotesection"/>
      </w:pPr>
      <w:r>
        <w:tab/>
        <w:t>[Section 43 amended: No. 31 of 2024 s. 28.]</w:t>
      </w:r>
    </w:p>
    <w:p>
      <w:pPr>
        <w:pStyle w:val="Heading3"/>
      </w:pPr>
      <w:bookmarkStart w:id="71" w:name="_Toc198884776"/>
      <w:bookmarkStart w:id="72" w:name="_Toc198889716"/>
      <w:bookmarkStart w:id="73" w:name="_Toc198894464"/>
      <w:r>
        <w:rPr>
          <w:rStyle w:val="CharDivNo"/>
        </w:rPr>
        <w:lastRenderedPageBreak/>
        <w:t>Division 4</w:t>
      </w:r>
      <w:r>
        <w:t> — </w:t>
      </w:r>
      <w:r>
        <w:rPr>
          <w:rStyle w:val="CharDivText"/>
        </w:rPr>
        <w:t>Suspension and extension of reporting obligations</w:t>
      </w:r>
      <w:bookmarkEnd w:id="71"/>
      <w:bookmarkEnd w:id="72"/>
      <w:bookmarkEnd w:id="73"/>
    </w:p>
    <w:p>
      <w:pPr>
        <w:pStyle w:val="Heading5"/>
      </w:pPr>
      <w:bookmarkStart w:id="74" w:name="_Toc198894465"/>
      <w:r>
        <w:rPr>
          <w:rStyle w:val="CharSectno"/>
        </w:rPr>
        <w:t>44</w:t>
      </w:r>
      <w:r>
        <w:t>.</w:t>
      </w:r>
      <w:r>
        <w:tab/>
        <w:t>Suspension and extension of reporting obligations</w:t>
      </w:r>
      <w:bookmarkEnd w:id="74"/>
    </w:p>
    <w:p>
      <w:pPr>
        <w:pStyle w:val="Subsection"/>
      </w:pPr>
      <w:r>
        <w:tab/>
        <w:t>(1)</w:t>
      </w:r>
      <w:r>
        <w:tab/>
        <w:t xml:space="preserve">Any obligation imposed on a reportable offender by this Part is suspended for any period during which the offender — </w:t>
      </w:r>
    </w:p>
    <w:p>
      <w:pPr>
        <w:pStyle w:val="Indenta"/>
      </w:pPr>
      <w:r>
        <w:tab/>
        <w:t>(a)</w:t>
      </w:r>
      <w:r>
        <w:tab/>
        <w:t>is in government custody; or</w:t>
      </w:r>
    </w:p>
    <w:p>
      <w:pPr>
        <w:pStyle w:val="Indenta"/>
      </w:pPr>
      <w:r>
        <w:tab/>
        <w:t>(b)</w:t>
      </w:r>
      <w:r>
        <w:tab/>
        <w:t>is outside Western Australia, unless the offender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 xml:space="preserve">the reportable offender must continue to comply with the reporting obligations imposed by this Part until the </w:t>
      </w:r>
      <w:r>
        <w:lastRenderedPageBreak/>
        <w:t>expiry of the period during which the offender is subject to the order.</w:t>
      </w:r>
    </w:p>
    <w:p>
      <w:pPr>
        <w:pStyle w:val="Footnotesection"/>
      </w:pPr>
      <w:r>
        <w:tab/>
        <w:t>[Section 44 amended: No. 54 of 2012 s. 42(3); No. 31 of 2024 s. 28.]</w:t>
      </w:r>
    </w:p>
    <w:p>
      <w:pPr>
        <w:pStyle w:val="Heading3"/>
      </w:pPr>
      <w:bookmarkStart w:id="75" w:name="_Toc198884778"/>
      <w:bookmarkStart w:id="76" w:name="_Toc198889718"/>
      <w:bookmarkStart w:id="77" w:name="_Toc198894466"/>
      <w:r>
        <w:rPr>
          <w:rStyle w:val="CharDivNo"/>
        </w:rPr>
        <w:t>Division 5</w:t>
      </w:r>
      <w:r>
        <w:t> — </w:t>
      </w:r>
      <w:r>
        <w:rPr>
          <w:rStyle w:val="CharDivText"/>
        </w:rPr>
        <w:t>Reporting period</w:t>
      </w:r>
      <w:bookmarkEnd w:id="75"/>
      <w:bookmarkEnd w:id="76"/>
      <w:bookmarkEnd w:id="77"/>
    </w:p>
    <w:p>
      <w:pPr>
        <w:pStyle w:val="Heading5"/>
      </w:pPr>
      <w:bookmarkStart w:id="78" w:name="_Toc198894467"/>
      <w:r>
        <w:rPr>
          <w:rStyle w:val="CharSectno"/>
        </w:rPr>
        <w:t>45</w:t>
      </w:r>
      <w:r>
        <w:t>.</w:t>
      </w:r>
      <w:r>
        <w:tab/>
        <w:t>When reporting obligations begin</w:t>
      </w:r>
      <w:bookmarkEnd w:id="7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79" w:name="_Toc198894468"/>
      <w:r>
        <w:rPr>
          <w:rStyle w:val="CharSectno"/>
        </w:rPr>
        <w:t>46</w:t>
      </w:r>
      <w:r>
        <w:t>.</w:t>
      </w:r>
      <w:r>
        <w:tab/>
        <w:t>Length of reporting period</w:t>
      </w:r>
      <w:bookmarkEnd w:id="79"/>
    </w:p>
    <w:p>
      <w:pPr>
        <w:pStyle w:val="Subsection"/>
      </w:pPr>
      <w:r>
        <w:tab/>
        <w:t>(1)</w:t>
      </w:r>
      <w:r>
        <w:tab/>
        <w:t>A reportable offender must continue to comply with the reporting obligations imposed by this Part for 8 years, if the offender has only ever been found guilty of a single Class 2 offence.</w:t>
      </w:r>
    </w:p>
    <w:p>
      <w:pPr>
        <w:pStyle w:val="Subsection"/>
        <w:keepNext/>
      </w:pPr>
      <w:r>
        <w:tab/>
        <w:t>(2)</w:t>
      </w:r>
      <w:r>
        <w:tab/>
        <w:t xml:space="preserve">A reportable offender must continue to comply with the reporting obligations imposed by this Part for 15 years, if the offender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w:t>
      </w:r>
      <w:r>
        <w:lastRenderedPageBreak/>
        <w:t xml:space="preserve">the offender’s life, if the offender is a reportable offender in respect of — </w:t>
      </w:r>
    </w:p>
    <w:p>
      <w:pPr>
        <w:pStyle w:val="Indenta"/>
      </w:pPr>
      <w:r>
        <w:tab/>
        <w:t>(a)</w:t>
      </w:r>
      <w:r>
        <w:tab/>
        <w:t>a Class 1 offence, and the offender then commits and is found guilty of a Class 1 offence, a Class 2 offence or a Class 3 offence; or</w:t>
      </w:r>
    </w:p>
    <w:p>
      <w:pPr>
        <w:pStyle w:val="Indenta"/>
      </w:pPr>
      <w:r>
        <w:tab/>
        <w:t>(b)</w:t>
      </w:r>
      <w:r>
        <w:tab/>
        <w:t>a Class 2 offence or a Class 3 offence, and the offender then commits and is found guilty of a Class 1 offence; or</w:t>
      </w:r>
    </w:p>
    <w:p>
      <w:pPr>
        <w:pStyle w:val="Indenta"/>
      </w:pPr>
      <w:r>
        <w:tab/>
        <w:t>(c)</w:t>
      </w:r>
      <w:r>
        <w:tab/>
        <w:t xml:space="preserve">a Class 2 offence, and the offender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the offender then commits and is found guilty of a Class 2 offence and has ever been found guilty of 3 or more Class 2 offences; or</w:t>
      </w:r>
    </w:p>
    <w:p>
      <w:pPr>
        <w:pStyle w:val="Indenta"/>
      </w:pPr>
      <w:r>
        <w:tab/>
        <w:t>(e)</w:t>
      </w:r>
      <w:r>
        <w:tab/>
        <w:t>a Class 3 offence, and the offender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lastRenderedPageBreak/>
        <w:tab/>
        <w:t>(c)</w:t>
      </w:r>
      <w:r>
        <w:tab/>
        <w:t>2 or more offences arising from the same incident are to be treated as a single Class 3 offence if at least one of those offences is a Class 3 offence.</w:t>
      </w:r>
    </w:p>
    <w:p>
      <w:pPr>
        <w:pStyle w:val="Footnotesection"/>
      </w:pPr>
      <w:r>
        <w:tab/>
        <w:t>[Section 46 amended: No. 31 of 2024 s. 28.]</w:t>
      </w:r>
    </w:p>
    <w:p>
      <w:pPr>
        <w:pStyle w:val="Heading5"/>
      </w:pPr>
      <w:bookmarkStart w:id="80" w:name="_Toc198894469"/>
      <w:r>
        <w:rPr>
          <w:rStyle w:val="CharSectno"/>
        </w:rPr>
        <w:t>47</w:t>
      </w:r>
      <w:r>
        <w:t>.</w:t>
      </w:r>
      <w:r>
        <w:tab/>
        <w:t>Reduced period applies for young reportable offenders</w:t>
      </w:r>
      <w:bookmarkEnd w:id="80"/>
    </w:p>
    <w:p>
      <w:pPr>
        <w:pStyle w:val="Subsection"/>
      </w:pPr>
      <w:r>
        <w:tab/>
        <w:t>(1)</w:t>
      </w:r>
      <w:r>
        <w:tab/>
        <w:t>The reporting periods specified in section 46 do not apply to a person who was a child at the time the person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the person .</w:t>
      </w:r>
    </w:p>
    <w:p>
      <w:pPr>
        <w:pStyle w:val="Footnotesection"/>
      </w:pPr>
      <w:r>
        <w:tab/>
        <w:t>[Section 47 amended: No. 31 of 2024 s. 28.]</w:t>
      </w:r>
    </w:p>
    <w:p>
      <w:pPr>
        <w:pStyle w:val="Heading5"/>
      </w:pPr>
      <w:bookmarkStart w:id="81" w:name="_Toc198894470"/>
      <w:r>
        <w:rPr>
          <w:rStyle w:val="CharSectno"/>
        </w:rPr>
        <w:t>48</w:t>
      </w:r>
      <w:r>
        <w:t>.</w:t>
      </w:r>
      <w:r>
        <w:tab/>
        <w:t>Extended reporting period if reportable offender still on parole</w:t>
      </w:r>
      <w:bookmarkEnd w:id="8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82" w:name="_Toc198894471"/>
      <w:r>
        <w:rPr>
          <w:rStyle w:val="CharSectno"/>
        </w:rPr>
        <w:lastRenderedPageBreak/>
        <w:t>49</w:t>
      </w:r>
      <w:r>
        <w:t>.</w:t>
      </w:r>
      <w:r>
        <w:tab/>
        <w:t>Reporting period for corresponding reportable offenders</w:t>
      </w:r>
      <w:bookmarkEnd w:id="82"/>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the offender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pPr>
        <w:pStyle w:val="Footnotesection"/>
      </w:pPr>
      <w:r>
        <w:tab/>
        <w:t>[Section 49 amended: No. 54 of 2012 s. 19; No. 31 of 2024 s. 28.]</w:t>
      </w:r>
    </w:p>
    <w:p>
      <w:pPr>
        <w:pStyle w:val="Heading5"/>
      </w:pPr>
      <w:bookmarkStart w:id="83" w:name="_Toc198894472"/>
      <w:r>
        <w:rPr>
          <w:rStyle w:val="CharSectno"/>
        </w:rPr>
        <w:t>50</w:t>
      </w:r>
      <w:r>
        <w:t>.</w:t>
      </w:r>
      <w:r>
        <w:tab/>
        <w:t>Reporting period for New South Wales reportable offenders</w:t>
      </w:r>
      <w:bookmarkEnd w:id="83"/>
    </w:p>
    <w:p>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lastRenderedPageBreak/>
        <w:tab/>
        <w:t>(b)</w:t>
      </w:r>
      <w:r>
        <w:tab/>
        <w:t>the period that the offender is required to report in accordance with this Division (apart from this section),</w:t>
      </w:r>
    </w:p>
    <w:p>
      <w:pPr>
        <w:pStyle w:val="Subsection"/>
        <w:keepNext/>
      </w:pPr>
      <w:r>
        <w:tab/>
      </w:r>
      <w:r>
        <w:tab/>
        <w:t>whichever is longer.</w:t>
      </w:r>
    </w:p>
    <w:p>
      <w:pPr>
        <w:pStyle w:val="Footnotesection"/>
      </w:pPr>
      <w:r>
        <w:tab/>
        <w:t>[Section 50 amended: No. 31 of 2024 s. 28.]</w:t>
      </w:r>
    </w:p>
    <w:p>
      <w:pPr>
        <w:pStyle w:val="Heading3"/>
      </w:pPr>
      <w:bookmarkStart w:id="84" w:name="_Toc198884785"/>
      <w:bookmarkStart w:id="85" w:name="_Toc198889725"/>
      <w:bookmarkStart w:id="86" w:name="_Toc198894473"/>
      <w:r>
        <w:rPr>
          <w:rStyle w:val="CharDivNo"/>
        </w:rPr>
        <w:t>Division 6</w:t>
      </w:r>
      <w:r>
        <w:t> — </w:t>
      </w:r>
      <w:r>
        <w:rPr>
          <w:rStyle w:val="CharDivText"/>
        </w:rPr>
        <w:t>Exemption from reporting obligations</w:t>
      </w:r>
      <w:bookmarkEnd w:id="84"/>
      <w:bookmarkEnd w:id="85"/>
      <w:bookmarkEnd w:id="86"/>
    </w:p>
    <w:p>
      <w:pPr>
        <w:pStyle w:val="Heading5"/>
      </w:pPr>
      <w:bookmarkStart w:id="87" w:name="_Toc198894474"/>
      <w:r>
        <w:rPr>
          <w:rStyle w:val="CharSectno"/>
        </w:rPr>
        <w:t>51</w:t>
      </w:r>
      <w:r>
        <w:t>.</w:t>
      </w:r>
      <w:r>
        <w:tab/>
        <w:t>Application of Division</w:t>
      </w:r>
      <w:bookmarkEnd w:id="87"/>
    </w:p>
    <w:p>
      <w:pPr>
        <w:pStyle w:val="Subsection"/>
      </w:pPr>
      <w:r>
        <w:tab/>
        <w:t>(1)</w:t>
      </w:r>
      <w:r>
        <w:tab/>
        <w:t>Subject to subsection (2), this Division applies to a reportable offender who is required to continue to comply with the reporting obligations imposed by this Part for the remainder of the offender’s life.</w:t>
      </w:r>
    </w:p>
    <w:p>
      <w:pPr>
        <w:pStyle w:val="Subsection"/>
      </w:pPr>
      <w:r>
        <w:tab/>
        <w:t>(2)</w:t>
      </w:r>
      <w:r>
        <w:tab/>
        <w:t xml:space="preserve">This Division does not apply to a reportable offender who is required to comply with those obligations for the remainder of the offender’s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Footnotesection"/>
      </w:pPr>
      <w:r>
        <w:tab/>
        <w:t>[Section 51 amended: No. 31 of 2024 s. 28.]</w:t>
      </w:r>
    </w:p>
    <w:p>
      <w:pPr>
        <w:pStyle w:val="Heading5"/>
      </w:pPr>
      <w:bookmarkStart w:id="88" w:name="_Toc198894475"/>
      <w:r>
        <w:rPr>
          <w:rStyle w:val="CharSectno"/>
        </w:rPr>
        <w:t>52</w:t>
      </w:r>
      <w:r>
        <w:t>.</w:t>
      </w:r>
      <w:r>
        <w:tab/>
        <w:t>District Court may exempt certain reportable offenders</w:t>
      </w:r>
      <w:bookmarkEnd w:id="88"/>
    </w:p>
    <w:p>
      <w:pPr>
        <w:pStyle w:val="Subsection"/>
      </w:pPr>
      <w:r>
        <w:tab/>
      </w:r>
      <w:r>
        <w:tab/>
        <w:t xml:space="preserve">If — </w:t>
      </w:r>
    </w:p>
    <w:p>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pPr>
        <w:pStyle w:val="Indenta"/>
      </w:pPr>
      <w:r>
        <w:lastRenderedPageBreak/>
        <w:tab/>
        <w:t>(b)</w:t>
      </w:r>
      <w:r>
        <w:tab/>
        <w:t>the offender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the offender is not on parole in respect of a reportable offence,</w:t>
      </w:r>
    </w:p>
    <w:p>
      <w:pPr>
        <w:pStyle w:val="Subsection"/>
      </w:pPr>
      <w:r>
        <w:tab/>
      </w:r>
      <w:r>
        <w:tab/>
        <w:t>the reportable offender may apply to the District Court for an order suspending the offender’s reporting obligations.</w:t>
      </w:r>
    </w:p>
    <w:p>
      <w:pPr>
        <w:pStyle w:val="Footnotesection"/>
      </w:pPr>
      <w:r>
        <w:tab/>
        <w:t>[Section 52 amended: No. 31 of 2024 s. 28.]</w:t>
      </w:r>
    </w:p>
    <w:p>
      <w:pPr>
        <w:pStyle w:val="Heading5"/>
      </w:pPr>
      <w:bookmarkStart w:id="89" w:name="_Toc198894476"/>
      <w:r>
        <w:rPr>
          <w:rStyle w:val="CharSectno"/>
        </w:rPr>
        <w:t>53</w:t>
      </w:r>
      <w:r>
        <w:t>.</w:t>
      </w:r>
      <w:r>
        <w:tab/>
        <w:t>Order for suspension</w:t>
      </w:r>
      <w:bookmarkEnd w:id="8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0" w:name="_Toc198894477"/>
      <w:r>
        <w:rPr>
          <w:rStyle w:val="CharSectno"/>
        </w:rPr>
        <w:lastRenderedPageBreak/>
        <w:t>54</w:t>
      </w:r>
      <w:r>
        <w:t>.</w:t>
      </w:r>
      <w:r>
        <w:tab/>
        <w:t>Commissioner and certain chief executive officers entitled to be parties to proceedings</w:t>
      </w:r>
      <w:bookmarkEnd w:id="9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1" w:name="_Toc198894478"/>
      <w:r>
        <w:rPr>
          <w:rStyle w:val="CharSectno"/>
        </w:rPr>
        <w:lastRenderedPageBreak/>
        <w:t>55</w:t>
      </w:r>
      <w:r>
        <w:t>.</w:t>
      </w:r>
      <w:r>
        <w:tab/>
        <w:t>Commissioner to be notified of order</w:t>
      </w:r>
      <w:bookmarkEnd w:id="9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2" w:name="_Toc198894479"/>
      <w:r>
        <w:rPr>
          <w:rStyle w:val="CharSectno"/>
        </w:rPr>
        <w:t>56</w:t>
      </w:r>
      <w:r>
        <w:t>.</w:t>
      </w:r>
      <w:r>
        <w:tab/>
        <w:t>No costs to be awarded</w:t>
      </w:r>
      <w:bookmarkEnd w:id="92"/>
    </w:p>
    <w:p>
      <w:pPr>
        <w:pStyle w:val="Subsection"/>
        <w:spacing w:before="140"/>
      </w:pPr>
      <w:r>
        <w:tab/>
      </w:r>
      <w:r>
        <w:tab/>
        <w:t>The District Court must not award costs in respect of proceedings under this Division.</w:t>
      </w:r>
    </w:p>
    <w:p>
      <w:pPr>
        <w:pStyle w:val="Heading5"/>
      </w:pPr>
      <w:bookmarkStart w:id="93" w:name="_Toc198894480"/>
      <w:r>
        <w:rPr>
          <w:rStyle w:val="CharSectno"/>
        </w:rPr>
        <w:t>57</w:t>
      </w:r>
      <w:r>
        <w:t>.</w:t>
      </w:r>
      <w:r>
        <w:tab/>
        <w:t>Applications not to be heard in public on application of party to proceedings</w:t>
      </w:r>
      <w:bookmarkEnd w:id="93"/>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4" w:name="_Toc198894481"/>
      <w:r>
        <w:rPr>
          <w:rStyle w:val="CharSectno"/>
        </w:rPr>
        <w:t>58</w:t>
      </w:r>
      <w:r>
        <w:t>.</w:t>
      </w:r>
      <w:r>
        <w:tab/>
        <w:t>Restriction on right of unsuccessful applicant to re</w:t>
      </w:r>
      <w:r>
        <w:noBreakHyphen/>
        <w:t>apply for order</w:t>
      </w:r>
      <w:bookmarkEnd w:id="9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5" w:name="_Toc198894482"/>
      <w:r>
        <w:rPr>
          <w:rStyle w:val="CharSectno"/>
        </w:rPr>
        <w:t>59</w:t>
      </w:r>
      <w:r>
        <w:t>.</w:t>
      </w:r>
      <w:r>
        <w:tab/>
        <w:t>Cessation of order</w:t>
      </w:r>
      <w:bookmarkEnd w:id="95"/>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lastRenderedPageBreak/>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6" w:name="_Toc198894483"/>
      <w:r>
        <w:rPr>
          <w:rStyle w:val="CharSectno"/>
        </w:rPr>
        <w:t>60</w:t>
      </w:r>
      <w:r>
        <w:t>.</w:t>
      </w:r>
      <w:r>
        <w:tab/>
        <w:t>Application for new order</w:t>
      </w:r>
      <w:bookmarkEnd w:id="9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 xml:space="preserve">If an order ceases to have effect in accordance with section 59(1)(b) or (c), on an application under this Division for a new order, section 52(a) applies as if the period referred to </w:t>
      </w:r>
      <w:r>
        <w:lastRenderedPageBreak/>
        <w:t>were a period of 15 years (ignoring any period during which the reportable offender was in government custody) since the offender last committed a reportable offence or a corresponding reportable offence.</w:t>
      </w:r>
    </w:p>
    <w:p>
      <w:pPr>
        <w:pStyle w:val="Footnotesection"/>
      </w:pPr>
      <w:r>
        <w:tab/>
        <w:t>[Section 60 amended: No. 31 of 2024 s. 28.]</w:t>
      </w:r>
    </w:p>
    <w:p>
      <w:pPr>
        <w:pStyle w:val="Heading3"/>
      </w:pPr>
      <w:bookmarkStart w:id="97" w:name="_Toc198884796"/>
      <w:bookmarkStart w:id="98" w:name="_Toc198889736"/>
      <w:bookmarkStart w:id="99" w:name="_Toc198894484"/>
      <w:r>
        <w:rPr>
          <w:rStyle w:val="CharDivNo"/>
        </w:rPr>
        <w:t>Division 7</w:t>
      </w:r>
      <w:r>
        <w:t> — </w:t>
      </w:r>
      <w:r>
        <w:rPr>
          <w:rStyle w:val="CharDivText"/>
        </w:rPr>
        <w:t>Suspension of reporting obligations of certain reportable offenders</w:t>
      </w:r>
      <w:bookmarkEnd w:id="97"/>
      <w:bookmarkEnd w:id="98"/>
      <w:bookmarkEnd w:id="99"/>
    </w:p>
    <w:p>
      <w:pPr>
        <w:pStyle w:val="Heading5"/>
      </w:pPr>
      <w:bookmarkStart w:id="100" w:name="_Toc198894485"/>
      <w:r>
        <w:rPr>
          <w:rStyle w:val="CharSectno"/>
        </w:rPr>
        <w:t>61</w:t>
      </w:r>
      <w:r>
        <w:t>.</w:t>
      </w:r>
      <w:r>
        <w:tab/>
        <w:t>Commissioner may approve suspension of reporting obligations</w:t>
      </w:r>
      <w:bookmarkEnd w:id="100"/>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lastRenderedPageBreak/>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pPr>
        <w:pStyle w:val="Footnotesection"/>
      </w:pPr>
      <w:r>
        <w:tab/>
        <w:t>[Section 61 amended: No. 31 of 2024 s. 28.]</w:t>
      </w:r>
    </w:p>
    <w:p>
      <w:pPr>
        <w:pStyle w:val="Heading5"/>
      </w:pPr>
      <w:bookmarkStart w:id="101" w:name="_Toc198894486"/>
      <w:r>
        <w:rPr>
          <w:rStyle w:val="CharSectno"/>
        </w:rPr>
        <w:t>62</w:t>
      </w:r>
      <w:r>
        <w:t>.</w:t>
      </w:r>
      <w:r>
        <w:tab/>
        <w:t>Cessation of approval</w:t>
      </w:r>
      <w:bookmarkEnd w:id="1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lastRenderedPageBreak/>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2" w:name="_Toc198884799"/>
      <w:bookmarkStart w:id="103" w:name="_Toc198889739"/>
      <w:bookmarkStart w:id="104" w:name="_Toc198894487"/>
      <w:r>
        <w:rPr>
          <w:rStyle w:val="CharDivNo"/>
        </w:rPr>
        <w:t>Division 8</w:t>
      </w:r>
      <w:r>
        <w:t> — </w:t>
      </w:r>
      <w:r>
        <w:rPr>
          <w:rStyle w:val="CharDivText"/>
        </w:rPr>
        <w:t>Offences</w:t>
      </w:r>
      <w:bookmarkEnd w:id="102"/>
      <w:bookmarkEnd w:id="103"/>
      <w:bookmarkEnd w:id="104"/>
    </w:p>
    <w:p>
      <w:pPr>
        <w:pStyle w:val="Heading5"/>
      </w:pPr>
      <w:bookmarkStart w:id="105" w:name="_Toc198894488"/>
      <w:r>
        <w:rPr>
          <w:rStyle w:val="CharSectno"/>
        </w:rPr>
        <w:t>63</w:t>
      </w:r>
      <w:r>
        <w:t>.</w:t>
      </w:r>
      <w:r>
        <w:tab/>
        <w:t>Failure to comply with reporting obligations</w:t>
      </w:r>
      <w:bookmarkEnd w:id="105"/>
    </w:p>
    <w:p>
      <w:pPr>
        <w:pStyle w:val="Subsection"/>
      </w:pPr>
      <w:r>
        <w:tab/>
        <w:t>(1)</w:t>
      </w:r>
      <w:r>
        <w:tab/>
        <w:t xml:space="preserve">A reportable offender who, without reasonable excuse, fails to comply with any of the offender’s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lastRenderedPageBreak/>
        <w:tab/>
        <w:t>(2)</w:t>
      </w:r>
      <w:r>
        <w:tab/>
        <w:t xml:space="preserve">In determining whether a person had a reasonable excuse for failing to comply with the person’s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person as to the person’s obligations was adequate to inform the person of those obligations, having regard to the person’s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 No. 31 of 2024 s. 27 and 28.]</w:t>
      </w:r>
    </w:p>
    <w:p>
      <w:pPr>
        <w:pStyle w:val="Heading5"/>
      </w:pPr>
      <w:bookmarkStart w:id="106" w:name="_Toc198894489"/>
      <w:r>
        <w:rPr>
          <w:rStyle w:val="CharSectno"/>
        </w:rPr>
        <w:t>64</w:t>
      </w:r>
      <w:r>
        <w:t>.</w:t>
      </w:r>
      <w:r>
        <w:tab/>
        <w:t>Providing false or misleading information</w:t>
      </w:r>
      <w:bookmarkEnd w:id="10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7" w:name="_Toc198894490"/>
      <w:r>
        <w:rPr>
          <w:rStyle w:val="CharSectno"/>
        </w:rPr>
        <w:lastRenderedPageBreak/>
        <w:t>65</w:t>
      </w:r>
      <w:r>
        <w:t>.</w:t>
      </w:r>
      <w:r>
        <w:tab/>
        <w:t>No time limit for prosecutions</w:t>
      </w:r>
      <w:bookmarkEnd w:id="107"/>
    </w:p>
    <w:p>
      <w:pPr>
        <w:pStyle w:val="Subsection"/>
      </w:pPr>
      <w:r>
        <w:tab/>
      </w:r>
      <w:r>
        <w:tab/>
        <w:t>Proceedings for an offence against this Act may be commenced at any time.</w:t>
      </w:r>
    </w:p>
    <w:p>
      <w:pPr>
        <w:pStyle w:val="Heading5"/>
      </w:pPr>
      <w:bookmarkStart w:id="108" w:name="_Toc198894491"/>
      <w:r>
        <w:rPr>
          <w:rStyle w:val="CharSectno"/>
        </w:rPr>
        <w:t>66</w:t>
      </w:r>
      <w:r>
        <w:t>.</w:t>
      </w:r>
      <w:r>
        <w:tab/>
        <w:t>Bar to prosecution for failing to report leaving Western Australia</w:t>
      </w:r>
      <w:bookmarkEnd w:id="108"/>
    </w:p>
    <w:p>
      <w:pPr>
        <w:pStyle w:val="Subsection"/>
      </w:pPr>
      <w:r>
        <w:tab/>
        <w:t>(1)</w:t>
      </w:r>
      <w:r>
        <w:tab/>
        <w:t>This section applies if a reportable offender leaves Western Australia and is found guilty of failing to report the offender’s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pPr>
      <w:r>
        <w:tab/>
        <w:t>[Section 66 amended: No. 31 of 2024 s. 28.]</w:t>
      </w:r>
    </w:p>
    <w:p>
      <w:pPr>
        <w:pStyle w:val="Heading3"/>
      </w:pPr>
      <w:bookmarkStart w:id="109" w:name="_Toc198884804"/>
      <w:bookmarkStart w:id="110" w:name="_Toc198889744"/>
      <w:bookmarkStart w:id="111" w:name="_Toc198894492"/>
      <w:r>
        <w:rPr>
          <w:rStyle w:val="CharDivNo"/>
        </w:rPr>
        <w:t>Division 9</w:t>
      </w:r>
      <w:r>
        <w:t> — </w:t>
      </w:r>
      <w:r>
        <w:rPr>
          <w:rStyle w:val="CharDivText"/>
        </w:rPr>
        <w:t>Notification of reporting obligations</w:t>
      </w:r>
      <w:bookmarkEnd w:id="109"/>
      <w:bookmarkEnd w:id="110"/>
      <w:bookmarkEnd w:id="111"/>
    </w:p>
    <w:p>
      <w:pPr>
        <w:pStyle w:val="Heading5"/>
      </w:pPr>
      <w:bookmarkStart w:id="112" w:name="_Toc198894493"/>
      <w:r>
        <w:rPr>
          <w:rStyle w:val="CharSectno"/>
        </w:rPr>
        <w:t>67</w:t>
      </w:r>
      <w:r>
        <w:t>.</w:t>
      </w:r>
      <w:r>
        <w:tab/>
        <w:t>Notice to be given to reportable offender</w:t>
      </w:r>
      <w:bookmarkEnd w:id="112"/>
    </w:p>
    <w:p>
      <w:pPr>
        <w:pStyle w:val="Subsection"/>
      </w:pPr>
      <w:r>
        <w:tab/>
        <w:t>(1)</w:t>
      </w:r>
      <w:r>
        <w:tab/>
        <w:t xml:space="preserve">A reportable offender must be given written notice of — </w:t>
      </w:r>
    </w:p>
    <w:p>
      <w:pPr>
        <w:pStyle w:val="Indenta"/>
      </w:pPr>
      <w:r>
        <w:tab/>
        <w:t>(a)</w:t>
      </w:r>
      <w:r>
        <w:tab/>
        <w:t>the offender’s reporting obligations; and</w:t>
      </w:r>
    </w:p>
    <w:p>
      <w:pPr>
        <w:pStyle w:val="Indenta"/>
      </w:pPr>
      <w:r>
        <w:tab/>
        <w:t>(b)</w:t>
      </w:r>
      <w:r>
        <w:tab/>
        <w:t>the consequences that may arise if the offender fails to comply with those obligations.</w:t>
      </w:r>
    </w:p>
    <w:p>
      <w:pPr>
        <w:pStyle w:val="Subsection"/>
      </w:pPr>
      <w:r>
        <w:tab/>
        <w:t>(2)</w:t>
      </w:r>
      <w:r>
        <w:tab/>
        <w:t xml:space="preserve">A reportable offender must be given a notice under this section as soon as is practicable after the offender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the offender has not previously been given notice of the offender’s reporting obligations in Western Australia; or</w:t>
      </w:r>
    </w:p>
    <w:p>
      <w:pPr>
        <w:pStyle w:val="Indenta"/>
      </w:pPr>
      <w:r>
        <w:lastRenderedPageBreak/>
        <w:tab/>
        <w:t>(d)</w:t>
      </w:r>
      <w:r>
        <w:tab/>
        <w:t>becomes a corresponding reportable offender, if the offender is in Western Australia at that time.</w:t>
      </w:r>
    </w:p>
    <w:p>
      <w:pPr>
        <w:pStyle w:val="Subsection"/>
      </w:pPr>
      <w:r>
        <w:tab/>
        <w:t>(3)</w:t>
      </w:r>
      <w:r>
        <w:tab/>
        <w:t>Subsection (2)(b) is taken to have been complied with if the reportable offender is given the notice within 7 days before the offender’s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pPr>
        <w:pStyle w:val="Footnotesection"/>
      </w:pPr>
      <w:r>
        <w:tab/>
        <w:t>[Section 67 amended: No. 31 of 2024 s. 28.]</w:t>
      </w:r>
    </w:p>
    <w:p>
      <w:pPr>
        <w:pStyle w:val="Heading5"/>
      </w:pPr>
      <w:bookmarkStart w:id="113" w:name="_Toc198894494"/>
      <w:r>
        <w:rPr>
          <w:rStyle w:val="CharSectno"/>
        </w:rPr>
        <w:t>68</w:t>
      </w:r>
      <w:r>
        <w:t>.</w:t>
      </w:r>
      <w:r>
        <w:tab/>
        <w:t>Courts to provide sentencing information to Commissioner</w:t>
      </w:r>
      <w:bookmarkEnd w:id="113"/>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lastRenderedPageBreak/>
        <w:tab/>
        <w:t>(3)</w:t>
      </w:r>
      <w:r>
        <w:tab/>
        <w:t>The court must ensure that details of the order or sentence are provided to the Commissioner as soon as is practicable after the order is made or the person is sentenced.</w:t>
      </w:r>
    </w:p>
    <w:p>
      <w:pPr>
        <w:pStyle w:val="Heading5"/>
      </w:pPr>
      <w:bookmarkStart w:id="114" w:name="_Toc198894495"/>
      <w:r>
        <w:rPr>
          <w:rStyle w:val="CharSectno"/>
        </w:rPr>
        <w:t>69</w:t>
      </w:r>
      <w:r>
        <w:t>.</w:t>
      </w:r>
      <w:r>
        <w:tab/>
        <w:t>Notice to be given when reporting period changes</w:t>
      </w:r>
      <w:bookmarkEnd w:id="114"/>
    </w:p>
    <w:p>
      <w:pPr>
        <w:pStyle w:val="Subsection"/>
        <w:spacing w:before="150"/>
      </w:pPr>
      <w:r>
        <w:tab/>
        <w:t>(1)</w:t>
      </w:r>
      <w:r>
        <w:tab/>
        <w:t>This section applies to a reportable offender whose reporting period has changed since the offender was last notified of the offender’s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pPr>
      <w:r>
        <w:tab/>
        <w:t>[Section 69 amended: No. 31 of 2024 s. 28.]</w:t>
      </w:r>
    </w:p>
    <w:p>
      <w:pPr>
        <w:pStyle w:val="Heading5"/>
      </w:pPr>
      <w:bookmarkStart w:id="115" w:name="_Toc198894496"/>
      <w:r>
        <w:rPr>
          <w:rStyle w:val="CharSectno"/>
        </w:rPr>
        <w:t>70</w:t>
      </w:r>
      <w:r>
        <w:t>.</w:t>
      </w:r>
      <w:r>
        <w:tab/>
        <w:t>Supervising authority to notify Commissioner of certain events</w:t>
      </w:r>
      <w:bookmarkEnd w:id="115"/>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lastRenderedPageBreak/>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116" w:name="_Toc198894497"/>
      <w:r>
        <w:rPr>
          <w:rStyle w:val="CharSectno"/>
        </w:rPr>
        <w:t>71</w:t>
      </w:r>
      <w:r>
        <w:t>.</w:t>
      </w:r>
      <w:r>
        <w:tab/>
        <w:t>Notices may be given by Commissioner</w:t>
      </w:r>
      <w:bookmarkEnd w:id="116"/>
    </w:p>
    <w:p>
      <w:pPr>
        <w:pStyle w:val="Subsection"/>
      </w:pPr>
      <w:r>
        <w:tab/>
      </w:r>
      <w:r>
        <w:tab/>
        <w:t xml:space="preserve">The Commissioner may, at any time, cause written notice to be given to a reportable offender of — </w:t>
      </w:r>
    </w:p>
    <w:p>
      <w:pPr>
        <w:pStyle w:val="Indenta"/>
        <w:spacing w:before="60"/>
      </w:pPr>
      <w:r>
        <w:tab/>
        <w:t>(a)</w:t>
      </w:r>
      <w:r>
        <w:tab/>
        <w:t>the offender’s reporting obligations; and</w:t>
      </w:r>
    </w:p>
    <w:p>
      <w:pPr>
        <w:pStyle w:val="Indenta"/>
        <w:spacing w:before="60"/>
      </w:pPr>
      <w:r>
        <w:tab/>
        <w:t>(b)</w:t>
      </w:r>
      <w:r>
        <w:tab/>
        <w:t>the consequences that may arise if the offender fails to comply with those obligations.</w:t>
      </w:r>
    </w:p>
    <w:p>
      <w:pPr>
        <w:pStyle w:val="Footnotesection"/>
      </w:pPr>
      <w:r>
        <w:tab/>
        <w:t>[Section 71 amended: No. 31 of 2024 s. 28.]</w:t>
      </w:r>
    </w:p>
    <w:p>
      <w:pPr>
        <w:pStyle w:val="Heading5"/>
      </w:pPr>
      <w:bookmarkStart w:id="117" w:name="_Toc198894498"/>
      <w:r>
        <w:rPr>
          <w:rStyle w:val="CharSectno"/>
        </w:rPr>
        <w:t>72</w:t>
      </w:r>
      <w:r>
        <w:t>.</w:t>
      </w:r>
      <w:r>
        <w:tab/>
        <w:t>Power of detention to enable notice to be given</w:t>
      </w:r>
      <w:bookmarkEnd w:id="117"/>
    </w:p>
    <w:p>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pPr>
        <w:pStyle w:val="Indenta"/>
        <w:spacing w:before="60"/>
      </w:pPr>
      <w:r>
        <w:tab/>
        <w:t>(b)</w:t>
      </w:r>
      <w:r>
        <w:tab/>
        <w:t>to enable the person to be given notice of those obligations if the person is not aware of them.</w:t>
      </w:r>
    </w:p>
    <w:p>
      <w:pPr>
        <w:pStyle w:val="Subsection"/>
        <w:spacing w:before="140"/>
      </w:pPr>
      <w:r>
        <w:lastRenderedPageBreak/>
        <w:tab/>
        <w:t>(3)</w:t>
      </w:r>
      <w:r>
        <w:tab/>
        <w:t xml:space="preserve">In detaining the person, the police officer must tell the person — </w:t>
      </w:r>
    </w:p>
    <w:p>
      <w:pPr>
        <w:pStyle w:val="Indenta"/>
        <w:spacing w:before="60"/>
      </w:pPr>
      <w:r>
        <w:tab/>
        <w:t>(a)</w:t>
      </w:r>
      <w:r>
        <w:tab/>
        <w:t>why the person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the person has refused to sign an acknowledgment that the person has been given notice of the person’s reporting obligations; and</w:t>
      </w:r>
    </w:p>
    <w:p>
      <w:pPr>
        <w:pStyle w:val="Indenta"/>
        <w:spacing w:before="60"/>
      </w:pPr>
      <w:r>
        <w:tab/>
        <w:t>(c)</w:t>
      </w:r>
      <w:r>
        <w:tab/>
        <w:t>must be released immediately after the purpose of the detention is fulfilled.</w:t>
      </w:r>
    </w:p>
    <w:p>
      <w:pPr>
        <w:pStyle w:val="Footnotesection"/>
      </w:pPr>
      <w:r>
        <w:tab/>
        <w:t>[Section 72 amended: No. 31 of 2024 s. 28.]</w:t>
      </w:r>
    </w:p>
    <w:p>
      <w:pPr>
        <w:pStyle w:val="Heading5"/>
        <w:keepNext w:val="0"/>
        <w:keepLines w:val="0"/>
      </w:pPr>
      <w:bookmarkStart w:id="118" w:name="_Toc198894499"/>
      <w:r>
        <w:rPr>
          <w:rStyle w:val="CharSectno"/>
        </w:rPr>
        <w:t>73</w:t>
      </w:r>
      <w:r>
        <w:t>.</w:t>
      </w:r>
      <w:r>
        <w:tab/>
        <w:t>Failure to comply with procedural requirements does not affect reportable offender’s obligations</w:t>
      </w:r>
      <w:bookmarkEnd w:id="118"/>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19" w:name="_Toc198884812"/>
      <w:bookmarkStart w:id="120" w:name="_Toc198889752"/>
      <w:bookmarkStart w:id="121" w:name="_Toc198894500"/>
      <w:r>
        <w:rPr>
          <w:rStyle w:val="CharDivNo"/>
        </w:rPr>
        <w:t>Division 10</w:t>
      </w:r>
      <w:r>
        <w:t> — </w:t>
      </w:r>
      <w:r>
        <w:rPr>
          <w:rStyle w:val="CharDivText"/>
        </w:rPr>
        <w:t>Modified reporting procedures for participants in witness protection programs</w:t>
      </w:r>
      <w:bookmarkEnd w:id="119"/>
      <w:bookmarkEnd w:id="120"/>
      <w:bookmarkEnd w:id="121"/>
    </w:p>
    <w:p>
      <w:pPr>
        <w:pStyle w:val="Heading5"/>
      </w:pPr>
      <w:bookmarkStart w:id="122" w:name="_Toc198894501"/>
      <w:r>
        <w:rPr>
          <w:rStyle w:val="CharSectno"/>
        </w:rPr>
        <w:t>74</w:t>
      </w:r>
      <w:r>
        <w:t>.</w:t>
      </w:r>
      <w:r>
        <w:tab/>
        <w:t>Term used: witness protection program</w:t>
      </w:r>
      <w:bookmarkEnd w:id="122"/>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3" w:name="_Toc198894502"/>
      <w:r>
        <w:rPr>
          <w:rStyle w:val="CharSectno"/>
        </w:rPr>
        <w:lastRenderedPageBreak/>
        <w:t>75</w:t>
      </w:r>
      <w:r>
        <w:t>.</w:t>
      </w:r>
      <w:r>
        <w:tab/>
        <w:t>Application of this Division</w:t>
      </w:r>
      <w:bookmarkEnd w:id="123"/>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the offender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pPr>
      <w:r>
        <w:tab/>
        <w:t>[Section 75 amended: No. 31 of 2024 s. 28.]</w:t>
      </w:r>
    </w:p>
    <w:p>
      <w:pPr>
        <w:pStyle w:val="Heading5"/>
      </w:pPr>
      <w:bookmarkStart w:id="124" w:name="_Toc198894503"/>
      <w:r>
        <w:rPr>
          <w:rStyle w:val="CharSectno"/>
        </w:rPr>
        <w:t>76</w:t>
      </w:r>
      <w:r>
        <w:t>.</w:t>
      </w:r>
      <w:r>
        <w:tab/>
        <w:t>Report need not be made in person</w:t>
      </w:r>
      <w:bookmarkEnd w:id="124"/>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the person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pPr>
      <w:r>
        <w:tab/>
        <w:t>[Section 76 amended: No. 31 of 2024 s. 28.]</w:t>
      </w:r>
    </w:p>
    <w:p>
      <w:pPr>
        <w:pStyle w:val="Heading5"/>
      </w:pPr>
      <w:bookmarkStart w:id="125" w:name="_Toc198894504"/>
      <w:r>
        <w:rPr>
          <w:rStyle w:val="CharSectno"/>
        </w:rPr>
        <w:lastRenderedPageBreak/>
        <w:t>77</w:t>
      </w:r>
      <w:r>
        <w:t>.</w:t>
      </w:r>
      <w:r>
        <w:tab/>
        <w:t>Determination as to whether this Division applies</w:t>
      </w:r>
      <w:bookmarkEnd w:id="12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the applicant’s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pPr>
      <w:r>
        <w:tab/>
        <w:t>[Section 77 amended: No. 31 of 2024 s. 28.]</w:t>
      </w:r>
    </w:p>
    <w:p>
      <w:pPr>
        <w:pStyle w:val="Heading5"/>
      </w:pPr>
      <w:bookmarkStart w:id="126" w:name="_Toc198894505"/>
      <w:r>
        <w:rPr>
          <w:rStyle w:val="CharSectno"/>
        </w:rPr>
        <w:lastRenderedPageBreak/>
        <w:t>78</w:t>
      </w:r>
      <w:r>
        <w:t>.</w:t>
      </w:r>
      <w:r>
        <w:tab/>
        <w:t>When determination takes effect</w:t>
      </w:r>
      <w:bookmarkEnd w:id="12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7" w:name="_Toc198894506"/>
      <w:r>
        <w:rPr>
          <w:rStyle w:val="CharSectno"/>
        </w:rPr>
        <w:t>79</w:t>
      </w:r>
      <w:r>
        <w:t>.</w:t>
      </w:r>
      <w:r>
        <w:tab/>
        <w:t>Modification of reporting obligations</w:t>
      </w:r>
      <w:bookmarkEnd w:id="12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8" w:name="_Toc198884819"/>
      <w:bookmarkStart w:id="129" w:name="_Toc198889759"/>
      <w:bookmarkStart w:id="130" w:name="_Toc198894507"/>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28"/>
      <w:bookmarkEnd w:id="129"/>
      <w:bookmarkEnd w:id="130"/>
    </w:p>
    <w:p>
      <w:pPr>
        <w:pStyle w:val="Footnoteheading"/>
      </w:pPr>
      <w:r>
        <w:tab/>
        <w:t>[Heading inserted: No. 54 of 2012 s. 23.]</w:t>
      </w:r>
    </w:p>
    <w:p>
      <w:pPr>
        <w:pStyle w:val="Heading5"/>
        <w:spacing w:before="260"/>
      </w:pPr>
      <w:bookmarkStart w:id="131" w:name="_Toc198894508"/>
      <w:r>
        <w:rPr>
          <w:rStyle w:val="CharSectno"/>
        </w:rPr>
        <w:t>80A</w:t>
      </w:r>
      <w:r>
        <w:t>.</w:t>
      </w:r>
      <w:r>
        <w:tab/>
        <w:t>Terms used</w:t>
      </w:r>
      <w:bookmarkEnd w:id="13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2" w:name="_Toc198894509"/>
      <w:r>
        <w:rPr>
          <w:rStyle w:val="CharSectno"/>
        </w:rPr>
        <w:t>80B</w:t>
      </w:r>
      <w:r>
        <w:t>.</w:t>
      </w:r>
      <w:r>
        <w:tab/>
        <w:t>Application</w:t>
      </w:r>
      <w:bookmarkEnd w:id="132"/>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3" w:name="_Toc198894510"/>
      <w:r>
        <w:rPr>
          <w:rStyle w:val="CharSectno"/>
        </w:rPr>
        <w:t>80C</w:t>
      </w:r>
      <w:r>
        <w:t>.</w:t>
      </w:r>
      <w:r>
        <w:tab/>
        <w:t>Application for change of name by or in respect of reportable offender</w:t>
      </w:r>
      <w:bookmarkEnd w:id="133"/>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the offender’s name under the Registration Act; or</w:t>
      </w:r>
    </w:p>
    <w:p>
      <w:pPr>
        <w:pStyle w:val="Indenta"/>
        <w:keepNext/>
      </w:pPr>
      <w:r>
        <w:lastRenderedPageBreak/>
        <w:tab/>
        <w:t>(b)</w:t>
      </w:r>
      <w:r>
        <w:tab/>
        <w:t>apply to an interstate Registrar to register a change of the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 amended: No. 31 of 2024 s. 28.]</w:t>
      </w:r>
    </w:p>
    <w:p>
      <w:pPr>
        <w:pStyle w:val="Heading5"/>
      </w:pPr>
      <w:bookmarkStart w:id="134" w:name="_Toc198894511"/>
      <w:r>
        <w:rPr>
          <w:rStyle w:val="CharSectno"/>
        </w:rPr>
        <w:t>80D</w:t>
      </w:r>
      <w:r>
        <w:t>.</w:t>
      </w:r>
      <w:r>
        <w:tab/>
        <w:t>Approval by Commissioner</w:t>
      </w:r>
      <w:bookmarkEnd w:id="134"/>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5" w:name="_Toc198894512"/>
      <w:r>
        <w:rPr>
          <w:rStyle w:val="CharSectno"/>
        </w:rPr>
        <w:t>80E</w:t>
      </w:r>
      <w:r>
        <w:t>.</w:t>
      </w:r>
      <w:r>
        <w:tab/>
        <w:t>Registration of change of name</w:t>
      </w:r>
      <w:bookmarkEnd w:id="13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6" w:name="_Toc198894513"/>
      <w:r>
        <w:rPr>
          <w:rStyle w:val="CharSectno"/>
        </w:rPr>
        <w:lastRenderedPageBreak/>
        <w:t>80F</w:t>
      </w:r>
      <w:r>
        <w:t>.</w:t>
      </w:r>
      <w:r>
        <w:tab/>
        <w:t>WA Registrar to correct Registration Act Register</w:t>
      </w:r>
      <w:bookmarkEnd w:id="136"/>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7" w:name="_Toc198894514"/>
      <w:r>
        <w:rPr>
          <w:rStyle w:val="CharSectno"/>
        </w:rPr>
        <w:t>80G</w:t>
      </w:r>
      <w:r>
        <w:t>.</w:t>
      </w:r>
      <w:r>
        <w:tab/>
        <w:t>Exchange of information between Commissioner and WA Registrar</w:t>
      </w:r>
      <w:bookmarkEnd w:id="137"/>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8" w:name="_Toc198884827"/>
      <w:bookmarkStart w:id="139" w:name="_Toc198889767"/>
      <w:bookmarkStart w:id="140" w:name="_Toc198894515"/>
      <w:r>
        <w:rPr>
          <w:rStyle w:val="CharPartNo"/>
        </w:rPr>
        <w:lastRenderedPageBreak/>
        <w:t>Part 4</w:t>
      </w:r>
      <w:r>
        <w:rPr>
          <w:rStyle w:val="CharDivNo"/>
        </w:rPr>
        <w:t> </w:t>
      </w:r>
      <w:r>
        <w:t>—</w:t>
      </w:r>
      <w:r>
        <w:rPr>
          <w:rStyle w:val="CharDivText"/>
        </w:rPr>
        <w:t> </w:t>
      </w:r>
      <w:r>
        <w:rPr>
          <w:rStyle w:val="CharPartText"/>
        </w:rPr>
        <w:t>Community Protection Offender Register</w:t>
      </w:r>
      <w:bookmarkEnd w:id="138"/>
      <w:bookmarkEnd w:id="139"/>
      <w:bookmarkEnd w:id="140"/>
    </w:p>
    <w:p>
      <w:pPr>
        <w:pStyle w:val="Heading5"/>
      </w:pPr>
      <w:bookmarkStart w:id="141" w:name="_Toc198894516"/>
      <w:r>
        <w:rPr>
          <w:rStyle w:val="CharSectno"/>
        </w:rPr>
        <w:t>80</w:t>
      </w:r>
      <w:r>
        <w:t>.</w:t>
      </w:r>
      <w:r>
        <w:tab/>
        <w:t>Requirement to establish and maintain Community Protection Offender Register</w:t>
      </w:r>
      <w:bookmarkEnd w:id="141"/>
    </w:p>
    <w:p>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the offender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 No. 31 of 2024 s. 28.]</w:t>
      </w:r>
    </w:p>
    <w:p>
      <w:pPr>
        <w:pStyle w:val="Heading5"/>
      </w:pPr>
      <w:bookmarkStart w:id="142" w:name="_Toc198894517"/>
      <w:r>
        <w:rPr>
          <w:rStyle w:val="CharSectno"/>
        </w:rPr>
        <w:t>81</w:t>
      </w:r>
      <w:r>
        <w:t>.</w:t>
      </w:r>
      <w:r>
        <w:tab/>
        <w:t>Access to Register to be restricted</w:t>
      </w:r>
      <w:bookmarkEnd w:id="142"/>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3" w:name="_Toc198894518"/>
      <w:r>
        <w:rPr>
          <w:rStyle w:val="CharSectno"/>
        </w:rPr>
        <w:t>82</w:t>
      </w:r>
      <w:r>
        <w:t>.</w:t>
      </w:r>
      <w:r>
        <w:tab/>
        <w:t>Confidentiality</w:t>
      </w:r>
      <w:bookmarkEnd w:id="143"/>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4" w:name="_Toc198894519"/>
      <w:r>
        <w:rPr>
          <w:rStyle w:val="CharSectno"/>
        </w:rPr>
        <w:t>83</w:t>
      </w:r>
      <w:r>
        <w:t>.</w:t>
      </w:r>
      <w:r>
        <w:tab/>
        <w:t>Restriction on who may access personal information on protected witnesses</w:t>
      </w:r>
      <w:bookmarkEnd w:id="14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5" w:name="_Toc198894520"/>
      <w:r>
        <w:rPr>
          <w:rStyle w:val="CharSectno"/>
        </w:rPr>
        <w:t>84</w:t>
      </w:r>
      <w:r>
        <w:t>.</w:t>
      </w:r>
      <w:r>
        <w:tab/>
        <w:t>Reportable offender’s rights in relation to Register</w:t>
      </w:r>
      <w:bookmarkEnd w:id="145"/>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6" w:name="_Toc198884833"/>
      <w:bookmarkStart w:id="147" w:name="_Toc198889773"/>
      <w:bookmarkStart w:id="148" w:name="_Toc198894521"/>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46"/>
      <w:bookmarkEnd w:id="147"/>
      <w:bookmarkEnd w:id="148"/>
    </w:p>
    <w:p>
      <w:pPr>
        <w:pStyle w:val="Footnoteheading"/>
      </w:pPr>
      <w:r>
        <w:tab/>
        <w:t>[Heading inserted: No. 1 of 2012 s. 5.]</w:t>
      </w:r>
    </w:p>
    <w:p>
      <w:pPr>
        <w:pStyle w:val="Heading3"/>
      </w:pPr>
      <w:bookmarkStart w:id="149" w:name="_Toc198884834"/>
      <w:bookmarkStart w:id="150" w:name="_Toc198889774"/>
      <w:bookmarkStart w:id="151" w:name="_Toc198894522"/>
      <w:r>
        <w:rPr>
          <w:rStyle w:val="CharDivNo"/>
        </w:rPr>
        <w:t>Division 1</w:t>
      </w:r>
      <w:r>
        <w:t> — </w:t>
      </w:r>
      <w:r>
        <w:rPr>
          <w:rStyle w:val="CharDivText"/>
        </w:rPr>
        <w:t>Preliminary</w:t>
      </w:r>
      <w:bookmarkEnd w:id="149"/>
      <w:bookmarkEnd w:id="150"/>
      <w:bookmarkEnd w:id="151"/>
    </w:p>
    <w:p>
      <w:pPr>
        <w:pStyle w:val="Footnoteheading"/>
      </w:pPr>
      <w:r>
        <w:tab/>
        <w:t>[Heading inserted: No. 1 of 2012 s. 5.]</w:t>
      </w:r>
    </w:p>
    <w:p>
      <w:pPr>
        <w:pStyle w:val="Heading5"/>
      </w:pPr>
      <w:bookmarkStart w:id="152" w:name="_Toc198894523"/>
      <w:r>
        <w:rPr>
          <w:rStyle w:val="CharSectno"/>
        </w:rPr>
        <w:t>85A</w:t>
      </w:r>
      <w:r>
        <w:t>.</w:t>
      </w:r>
      <w:r>
        <w:tab/>
        <w:t>Terms used</w:t>
      </w:r>
      <w:bookmarkEnd w:id="152"/>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153" w:name="_Toc198894524"/>
      <w:r>
        <w:rPr>
          <w:rStyle w:val="CharSectno"/>
        </w:rPr>
        <w:t>85B</w:t>
      </w:r>
      <w:r>
        <w:t>.</w:t>
      </w:r>
      <w:r>
        <w:tab/>
        <w:t>Delegation by Commissioner</w:t>
      </w:r>
      <w:bookmarkEnd w:id="153"/>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4" w:name="_Toc198894525"/>
      <w:r>
        <w:rPr>
          <w:rStyle w:val="CharSectno"/>
        </w:rPr>
        <w:t>85C</w:t>
      </w:r>
      <w:r>
        <w:t>.</w:t>
      </w:r>
      <w:r>
        <w:tab/>
        <w:t>Commissioner not required to publish or provide information</w:t>
      </w:r>
      <w:bookmarkEnd w:id="15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5" w:name="_Toc198894526"/>
      <w:r>
        <w:rPr>
          <w:rStyle w:val="CharSectno"/>
        </w:rPr>
        <w:lastRenderedPageBreak/>
        <w:t>85D</w:t>
      </w:r>
      <w:r>
        <w:t>.</w:t>
      </w:r>
      <w:r>
        <w:tab/>
        <w:t>Restriction on information about protected witnesses</w:t>
      </w:r>
      <w:bookmarkEnd w:id="155"/>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56" w:name="_Toc198884839"/>
      <w:bookmarkStart w:id="157" w:name="_Toc198889779"/>
      <w:bookmarkStart w:id="158" w:name="_Toc198894527"/>
      <w:r>
        <w:rPr>
          <w:rStyle w:val="CharDivNo"/>
        </w:rPr>
        <w:t>Division 2</w:t>
      </w:r>
      <w:r>
        <w:t> — </w:t>
      </w:r>
      <w:r>
        <w:rPr>
          <w:rStyle w:val="CharDivText"/>
        </w:rPr>
        <w:t>Commissioner may publish information</w:t>
      </w:r>
      <w:bookmarkEnd w:id="156"/>
      <w:bookmarkEnd w:id="157"/>
      <w:bookmarkEnd w:id="158"/>
    </w:p>
    <w:p>
      <w:pPr>
        <w:pStyle w:val="Footnoteheading"/>
      </w:pPr>
      <w:r>
        <w:tab/>
        <w:t>[Heading inserted: No. 1 of 2012 s. 5.]</w:t>
      </w:r>
    </w:p>
    <w:p>
      <w:pPr>
        <w:pStyle w:val="Heading5"/>
      </w:pPr>
      <w:bookmarkStart w:id="159" w:name="_Toc198894528"/>
      <w:r>
        <w:rPr>
          <w:rStyle w:val="CharSectno"/>
        </w:rPr>
        <w:t>85E</w:t>
      </w:r>
      <w:r>
        <w:t>.</w:t>
      </w:r>
      <w:r>
        <w:tab/>
        <w:t>Application</w:t>
      </w:r>
      <w:bookmarkEnd w:id="15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0" w:name="_Toc198894529"/>
      <w:r>
        <w:rPr>
          <w:rStyle w:val="CharSectno"/>
        </w:rPr>
        <w:t>85F</w:t>
      </w:r>
      <w:r>
        <w:t>.</w:t>
      </w:r>
      <w:r>
        <w:tab/>
        <w:t>Commissioner may publish personal details of certain reportable offenders</w:t>
      </w:r>
      <w:bookmarkEnd w:id="16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the offender’s reporting obligations; or</w:t>
      </w:r>
    </w:p>
    <w:p>
      <w:pPr>
        <w:pStyle w:val="Indenti"/>
        <w:spacing w:before="60"/>
      </w:pPr>
      <w:r>
        <w:lastRenderedPageBreak/>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the offender’s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 amended: No. 31 of 2024 s. 28.]</w:t>
      </w:r>
    </w:p>
    <w:p>
      <w:pPr>
        <w:pStyle w:val="Heading5"/>
      </w:pPr>
      <w:bookmarkStart w:id="161" w:name="_Toc198894530"/>
      <w:r>
        <w:rPr>
          <w:rStyle w:val="CharSectno"/>
        </w:rPr>
        <w:t>85G</w:t>
      </w:r>
      <w:r>
        <w:t>.</w:t>
      </w:r>
      <w:r>
        <w:tab/>
        <w:t>Commissioner may publish photograph and locality of certain persons</w:t>
      </w:r>
      <w:bookmarkEnd w:id="16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lastRenderedPageBreak/>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lastRenderedPageBreak/>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the person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lastRenderedPageBreak/>
        <w:tab/>
        <w:t>(d)</w:t>
      </w:r>
      <w:r>
        <w:tab/>
        <w:t>the person’s antecedents and the seriousness of the person’s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 No. 31 of 2024 s. 28.]</w:t>
      </w:r>
    </w:p>
    <w:p>
      <w:pPr>
        <w:pStyle w:val="Heading5"/>
      </w:pPr>
      <w:bookmarkStart w:id="162" w:name="_Toc198894531"/>
      <w:r>
        <w:rPr>
          <w:rStyle w:val="CharSectno"/>
        </w:rPr>
        <w:t>85H</w:t>
      </w:r>
      <w:r>
        <w:t>.</w:t>
      </w:r>
      <w:r>
        <w:tab/>
        <w:t>Removal of photograph and locality from website</w:t>
      </w:r>
      <w:bookmarkEnd w:id="16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63" w:name="_Toc198894532"/>
      <w:r>
        <w:rPr>
          <w:rStyle w:val="CharSectno"/>
        </w:rPr>
        <w:t>85I</w:t>
      </w:r>
      <w:r>
        <w:t>.</w:t>
      </w:r>
      <w:r>
        <w:tab/>
        <w:t>Commissioner may take into account certain matters</w:t>
      </w:r>
      <w:bookmarkEnd w:id="16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lastRenderedPageBreak/>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lastRenderedPageBreak/>
        <w:tab/>
        <w:t>(h)</w:t>
      </w:r>
      <w:r>
        <w:tab/>
        <w:t>any other matter the Commissioner considers relevant.</w:t>
      </w:r>
    </w:p>
    <w:p>
      <w:pPr>
        <w:pStyle w:val="Footnotesection"/>
      </w:pPr>
      <w:r>
        <w:tab/>
        <w:t>[Section 85I inserted: No. 1 of 2012 s. 5; amended: No. 29 of 2020 s. 96.]</w:t>
      </w:r>
    </w:p>
    <w:p>
      <w:pPr>
        <w:pStyle w:val="Heading5"/>
      </w:pPr>
      <w:bookmarkStart w:id="164" w:name="_Toc198894533"/>
      <w:r>
        <w:rPr>
          <w:rStyle w:val="CharSectno"/>
        </w:rPr>
        <w:t>85J</w:t>
      </w:r>
      <w:r>
        <w:t>.</w:t>
      </w:r>
      <w:r>
        <w:tab/>
        <w:t>Commissioner may inform child’s parent or guardian whether specified person is a reportable offender</w:t>
      </w:r>
      <w:bookmarkEnd w:id="16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the person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 amended: No. 31 of 2024 s. 28.]</w:t>
      </w:r>
    </w:p>
    <w:p>
      <w:pPr>
        <w:pStyle w:val="Heading5"/>
      </w:pPr>
      <w:bookmarkStart w:id="165" w:name="_Toc198894534"/>
      <w:r>
        <w:rPr>
          <w:rStyle w:val="CharSectno"/>
        </w:rPr>
        <w:lastRenderedPageBreak/>
        <w:t>85K</w:t>
      </w:r>
      <w:r>
        <w:t>.</w:t>
      </w:r>
      <w:r>
        <w:tab/>
        <w:t>Protection as to publication and other provision of information</w:t>
      </w:r>
      <w:bookmarkEnd w:id="165"/>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66" w:name="_Toc198884847"/>
      <w:bookmarkStart w:id="167" w:name="_Toc198889787"/>
      <w:bookmarkStart w:id="168" w:name="_Toc198894535"/>
      <w:r>
        <w:rPr>
          <w:rStyle w:val="CharDivNo"/>
        </w:rPr>
        <w:t>Division 3</w:t>
      </w:r>
      <w:r>
        <w:t> — </w:t>
      </w:r>
      <w:r>
        <w:rPr>
          <w:rStyle w:val="CharDivText"/>
        </w:rPr>
        <w:t>Offences</w:t>
      </w:r>
      <w:bookmarkEnd w:id="166"/>
      <w:bookmarkEnd w:id="167"/>
      <w:bookmarkEnd w:id="168"/>
    </w:p>
    <w:p>
      <w:pPr>
        <w:pStyle w:val="Footnoteheading"/>
      </w:pPr>
      <w:r>
        <w:tab/>
        <w:t>[Heading inserted: No. 1 of 2012 s. 5.]</w:t>
      </w:r>
    </w:p>
    <w:p>
      <w:pPr>
        <w:pStyle w:val="Heading5"/>
      </w:pPr>
      <w:bookmarkStart w:id="169" w:name="_Toc198894536"/>
      <w:r>
        <w:rPr>
          <w:rStyle w:val="CharSectno"/>
        </w:rPr>
        <w:t>85L</w:t>
      </w:r>
      <w:r>
        <w:t>.</w:t>
      </w:r>
      <w:r>
        <w:tab/>
        <w:t>Conduct intended to incite animosity towards or harassment of identified offenders</w:t>
      </w:r>
      <w:bookmarkEnd w:id="16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lastRenderedPageBreak/>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 xml:space="preserve">A person must not engage in any conduct, otherwise than in private, by which the person intends to create, promote or </w:t>
      </w:r>
      <w:r>
        <w:rPr>
          <w:color w:val="000000"/>
        </w:rPr>
        <w:lastRenderedPageBreak/>
        <w:t>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0" w:name="_Toc198894537"/>
      <w:r>
        <w:rPr>
          <w:rStyle w:val="CharSectno"/>
        </w:rPr>
        <w:t>85M</w:t>
      </w:r>
      <w:r>
        <w:t>.</w:t>
      </w:r>
      <w:r>
        <w:tab/>
        <w:t>Publication, display and distribution of identifying information</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1" w:name="_Toc198884850"/>
      <w:bookmarkStart w:id="172" w:name="_Toc198889790"/>
      <w:bookmarkStart w:id="173" w:name="_Toc198894538"/>
      <w:r>
        <w:rPr>
          <w:rStyle w:val="CharPartNo"/>
        </w:rPr>
        <w:lastRenderedPageBreak/>
        <w:t>Part 5</w:t>
      </w:r>
      <w:r>
        <w:t> — </w:t>
      </w:r>
      <w:r>
        <w:rPr>
          <w:rStyle w:val="CharPartText"/>
        </w:rPr>
        <w:t>Protection orders</w:t>
      </w:r>
      <w:bookmarkEnd w:id="171"/>
      <w:bookmarkEnd w:id="172"/>
      <w:bookmarkEnd w:id="173"/>
    </w:p>
    <w:p>
      <w:pPr>
        <w:pStyle w:val="Footnoteheading"/>
      </w:pPr>
      <w:r>
        <w:tab/>
        <w:t>[Heading amended: No. 54 of 2012 s. 40.]</w:t>
      </w:r>
    </w:p>
    <w:p>
      <w:pPr>
        <w:pStyle w:val="Heading3"/>
      </w:pPr>
      <w:bookmarkStart w:id="174" w:name="_Toc198884851"/>
      <w:bookmarkStart w:id="175" w:name="_Toc198889791"/>
      <w:bookmarkStart w:id="176" w:name="_Toc198894539"/>
      <w:r>
        <w:rPr>
          <w:rStyle w:val="CharDivNo"/>
        </w:rPr>
        <w:t>Division 1</w:t>
      </w:r>
      <w:r>
        <w:t> — </w:t>
      </w:r>
      <w:r>
        <w:rPr>
          <w:rStyle w:val="CharDivText"/>
        </w:rPr>
        <w:t>Preliminary</w:t>
      </w:r>
      <w:bookmarkEnd w:id="174"/>
      <w:bookmarkEnd w:id="175"/>
      <w:bookmarkEnd w:id="176"/>
    </w:p>
    <w:p>
      <w:pPr>
        <w:pStyle w:val="Heading5"/>
      </w:pPr>
      <w:bookmarkStart w:id="177" w:name="_Toc198894540"/>
      <w:r>
        <w:rPr>
          <w:rStyle w:val="CharSectno"/>
        </w:rPr>
        <w:t>85</w:t>
      </w:r>
      <w:r>
        <w:t>.</w:t>
      </w:r>
      <w:r>
        <w:tab/>
        <w:t>Terms used</w:t>
      </w:r>
      <w:bookmarkEnd w:id="177"/>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w:t>
      </w:r>
      <w:r>
        <w:lastRenderedPageBreak/>
        <w:t xml:space="preserve">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8" w:name="_Toc198894541"/>
      <w:r>
        <w:rPr>
          <w:rStyle w:val="CharSectno"/>
        </w:rPr>
        <w:t>86</w:t>
      </w:r>
      <w:r>
        <w:t>.</w:t>
      </w:r>
      <w:r>
        <w:tab/>
        <w:t>Evidence</w:t>
      </w:r>
      <w:bookmarkEnd w:id="178"/>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79" w:name="_Toc198884854"/>
      <w:bookmarkStart w:id="180" w:name="_Toc198889794"/>
      <w:bookmarkStart w:id="181" w:name="_Toc198894542"/>
      <w:r>
        <w:rPr>
          <w:rStyle w:val="CharDivNo"/>
        </w:rPr>
        <w:lastRenderedPageBreak/>
        <w:t>Division 2</w:t>
      </w:r>
      <w:r>
        <w:t> — </w:t>
      </w:r>
      <w:r>
        <w:rPr>
          <w:rStyle w:val="CharDivText"/>
        </w:rPr>
        <w:t>Orders</w:t>
      </w:r>
      <w:bookmarkEnd w:id="179"/>
      <w:bookmarkEnd w:id="180"/>
      <w:bookmarkEnd w:id="181"/>
    </w:p>
    <w:p>
      <w:pPr>
        <w:pStyle w:val="Heading5"/>
      </w:pPr>
      <w:bookmarkStart w:id="182" w:name="_Toc198894543"/>
      <w:r>
        <w:rPr>
          <w:rStyle w:val="CharSectno"/>
        </w:rPr>
        <w:t>87</w:t>
      </w:r>
      <w:r>
        <w:t>.</w:t>
      </w:r>
      <w:r>
        <w:tab/>
        <w:t>Commissioner may apply for orders</w:t>
      </w:r>
      <w:bookmarkEnd w:id="182"/>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3" w:name="_Toc198894544"/>
      <w:r>
        <w:rPr>
          <w:rStyle w:val="CharSectno"/>
        </w:rPr>
        <w:t>88</w:t>
      </w:r>
      <w:r>
        <w:t>.</w:t>
      </w:r>
      <w:r>
        <w:tab/>
        <w:t>Fixing a hearing</w:t>
      </w:r>
      <w:bookmarkEnd w:id="183"/>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4" w:name="_Toc198894545"/>
      <w:r>
        <w:rPr>
          <w:rStyle w:val="CharSectno"/>
        </w:rPr>
        <w:t>89</w:t>
      </w:r>
      <w:r>
        <w:t>.</w:t>
      </w:r>
      <w:r>
        <w:tab/>
        <w:t>How application to be disposed of</w:t>
      </w:r>
      <w:bookmarkEnd w:id="184"/>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85" w:name="_Toc198894546"/>
      <w:r>
        <w:rPr>
          <w:rStyle w:val="CharSectno"/>
        </w:rPr>
        <w:t>90</w:t>
      </w:r>
      <w:r>
        <w:t>.</w:t>
      </w:r>
      <w:r>
        <w:tab/>
        <w:t>Court may make child protection orders</w:t>
      </w:r>
      <w:bookmarkEnd w:id="185"/>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6" w:name="_Toc198894547"/>
      <w:r>
        <w:rPr>
          <w:rStyle w:val="CharSectno"/>
        </w:rPr>
        <w:t>91</w:t>
      </w:r>
      <w:r>
        <w:t>.</w:t>
      </w:r>
      <w:r>
        <w:tab/>
        <w:t>Term of child protection orders</w:t>
      </w:r>
      <w:bookmarkEnd w:id="186"/>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7" w:name="_Toc198894548"/>
      <w:r>
        <w:rPr>
          <w:rStyle w:val="CharSectno"/>
        </w:rPr>
        <w:t>92</w:t>
      </w:r>
      <w:r>
        <w:t>.</w:t>
      </w:r>
      <w:r>
        <w:tab/>
        <w:t>Interim child protection orders</w:t>
      </w:r>
      <w:bookmarkEnd w:id="187"/>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8" w:name="_Toc198894549"/>
      <w:r>
        <w:rPr>
          <w:rStyle w:val="CharSectno"/>
        </w:rPr>
        <w:t>93</w:t>
      </w:r>
      <w:r>
        <w:t>.</w:t>
      </w:r>
      <w:r>
        <w:tab/>
        <w:t>Conduct that may be subject of orders</w:t>
      </w:r>
      <w:bookmarkEnd w:id="18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the person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 xml:space="preserve">A protection order may, in addition to or instead of prohibiting conduct, impose requirements on a reportable offender as the court considers appropriate to reduce the risk posed by the </w:t>
      </w:r>
      <w:r>
        <w:lastRenderedPageBreak/>
        <w:t>reportable offender to the lives or sexual safety of one or more children, or children generally.</w:t>
      </w:r>
    </w:p>
    <w:p>
      <w:pPr>
        <w:pStyle w:val="Footnotesection"/>
      </w:pPr>
      <w:r>
        <w:tab/>
        <w:t>[Section 93 amended: No. 54 of 2012 s. 32 and 42(2); No. 31 of 2024 s. 28.]</w:t>
      </w:r>
    </w:p>
    <w:p>
      <w:pPr>
        <w:pStyle w:val="Heading5"/>
      </w:pPr>
      <w:bookmarkStart w:id="189" w:name="_Toc198894550"/>
      <w:r>
        <w:rPr>
          <w:rStyle w:val="CharSectno"/>
        </w:rPr>
        <w:t>94A</w:t>
      </w:r>
      <w:r>
        <w:t>.</w:t>
      </w:r>
      <w:r>
        <w:tab/>
        <w:t>Reportable offenders may be required to undergo assessment and treatment</w:t>
      </w:r>
      <w:bookmarkEnd w:id="189"/>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lastRenderedPageBreak/>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0" w:name="_Toc198894551"/>
      <w:r>
        <w:rPr>
          <w:rStyle w:val="CharSectno"/>
        </w:rPr>
        <w:t>94B</w:t>
      </w:r>
      <w:r>
        <w:t>.</w:t>
      </w:r>
      <w:r>
        <w:tab/>
        <w:t>Reportable offenders may be required to submit to tests or give samples for analysis</w:t>
      </w:r>
      <w:bookmarkEnd w:id="190"/>
    </w:p>
    <w:p>
      <w:pPr>
        <w:pStyle w:val="Subsection"/>
      </w:pPr>
      <w:r>
        <w:tab/>
        <w:t>(1)</w:t>
      </w:r>
      <w:r>
        <w:tab/>
        <w:t xml:space="preserve">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w:t>
      </w:r>
      <w:r>
        <w:lastRenderedPageBreak/>
        <w:t>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keepNext/>
      </w:pPr>
      <w:r>
        <w:lastRenderedPageBreak/>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the person’s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 amended: No. 31 of 2024 s. 28.]</w:t>
      </w:r>
    </w:p>
    <w:p>
      <w:pPr>
        <w:pStyle w:val="Heading5"/>
      </w:pPr>
      <w:bookmarkStart w:id="191" w:name="_Toc198894552"/>
      <w:r>
        <w:rPr>
          <w:rStyle w:val="CharSectno"/>
        </w:rPr>
        <w:lastRenderedPageBreak/>
        <w:t>94C</w:t>
      </w:r>
      <w:r>
        <w:t>.</w:t>
      </w:r>
      <w:r>
        <w:tab/>
        <w:t>Authorised police officers may enter premises to inspect computers</w:t>
      </w:r>
      <w:bookmarkEnd w:id="191"/>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keepNext/>
        <w:spacing w:before="60"/>
      </w:pPr>
      <w:r>
        <w:lastRenderedPageBreak/>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2" w:name="_Toc198894553"/>
      <w:r>
        <w:rPr>
          <w:rStyle w:val="CharSectno"/>
        </w:rPr>
        <w:t>94</w:t>
      </w:r>
      <w:r>
        <w:t>.</w:t>
      </w:r>
      <w:r>
        <w:tab/>
        <w:t>Explanation of orders</w:t>
      </w:r>
      <w:bookmarkEnd w:id="192"/>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pPr>
        <w:pStyle w:val="Indenta"/>
        <w:spacing w:before="60"/>
      </w:pPr>
      <w:r>
        <w:tab/>
        <w:t>(a)</w:t>
      </w:r>
      <w:r>
        <w:tab/>
        <w:t>the offender’s obligations under the order; and</w:t>
      </w:r>
    </w:p>
    <w:p>
      <w:pPr>
        <w:pStyle w:val="Indenta"/>
      </w:pPr>
      <w:r>
        <w:tab/>
        <w:t>(b)</w:t>
      </w:r>
      <w:r>
        <w:tab/>
        <w:t>the consequences that may arise if the offender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 No. 31 of 2024 s. 28.]</w:t>
      </w:r>
    </w:p>
    <w:p>
      <w:pPr>
        <w:pStyle w:val="Heading5"/>
      </w:pPr>
      <w:bookmarkStart w:id="193" w:name="_Toc198894554"/>
      <w:r>
        <w:rPr>
          <w:rStyle w:val="CharSectno"/>
        </w:rPr>
        <w:t>95</w:t>
      </w:r>
      <w:r>
        <w:t>.</w:t>
      </w:r>
      <w:r>
        <w:tab/>
        <w:t>Consent orders</w:t>
      </w:r>
      <w:bookmarkEnd w:id="193"/>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lastRenderedPageBreak/>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4" w:name="_Toc198884867"/>
      <w:bookmarkStart w:id="195" w:name="_Toc198889807"/>
      <w:bookmarkStart w:id="196" w:name="_Toc198894555"/>
      <w:r>
        <w:rPr>
          <w:rStyle w:val="CharDivNo"/>
        </w:rPr>
        <w:t>Division 3</w:t>
      </w:r>
      <w:r>
        <w:t> — </w:t>
      </w:r>
      <w:r>
        <w:rPr>
          <w:rStyle w:val="CharDivText"/>
        </w:rPr>
        <w:t>Variation or revocation</w:t>
      </w:r>
      <w:bookmarkEnd w:id="194"/>
      <w:bookmarkEnd w:id="195"/>
      <w:bookmarkEnd w:id="196"/>
    </w:p>
    <w:p>
      <w:pPr>
        <w:pStyle w:val="Heading5"/>
      </w:pPr>
      <w:bookmarkStart w:id="197" w:name="_Toc198894556"/>
      <w:r>
        <w:rPr>
          <w:rStyle w:val="CharSectno"/>
        </w:rPr>
        <w:t>96</w:t>
      </w:r>
      <w:r>
        <w:t>.</w:t>
      </w:r>
      <w:r>
        <w:tab/>
        <w:t>Variation or revocation of child protection orders</w:t>
      </w:r>
      <w:bookmarkEnd w:id="197"/>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lastRenderedPageBreak/>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8" w:name="_Toc198894557"/>
      <w:r>
        <w:rPr>
          <w:rStyle w:val="CharSectno"/>
        </w:rPr>
        <w:t>97</w:t>
      </w:r>
      <w:r>
        <w:t>.</w:t>
      </w:r>
      <w:r>
        <w:tab/>
        <w:t>Fixing a hearing</w:t>
      </w:r>
      <w:bookmarkEnd w:id="198"/>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199" w:name="_Toc198894558"/>
      <w:r>
        <w:rPr>
          <w:rStyle w:val="CharSectno"/>
        </w:rPr>
        <w:t>98</w:t>
      </w:r>
      <w:r>
        <w:t>.</w:t>
      </w:r>
      <w:r>
        <w:tab/>
        <w:t>How application to be disposed of</w:t>
      </w:r>
      <w:bookmarkEnd w:id="199"/>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lastRenderedPageBreak/>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0" w:name="_Toc198884871"/>
      <w:bookmarkStart w:id="201" w:name="_Toc198889811"/>
      <w:bookmarkStart w:id="202" w:name="_Toc198894559"/>
      <w:r>
        <w:rPr>
          <w:rStyle w:val="CharDivNo"/>
        </w:rPr>
        <w:t>Division 4</w:t>
      </w:r>
      <w:r>
        <w:t> — </w:t>
      </w:r>
      <w:r>
        <w:rPr>
          <w:rStyle w:val="CharDivText"/>
        </w:rPr>
        <w:t>Attendance at hearings</w:t>
      </w:r>
      <w:bookmarkEnd w:id="200"/>
      <w:bookmarkEnd w:id="201"/>
      <w:bookmarkEnd w:id="202"/>
    </w:p>
    <w:p>
      <w:pPr>
        <w:pStyle w:val="Heading5"/>
      </w:pPr>
      <w:bookmarkStart w:id="203" w:name="_Toc198894560"/>
      <w:r>
        <w:rPr>
          <w:rStyle w:val="CharSectno"/>
        </w:rPr>
        <w:t>99</w:t>
      </w:r>
      <w:r>
        <w:t>.</w:t>
      </w:r>
      <w:r>
        <w:tab/>
        <w:t>Attendance at hearings</w:t>
      </w:r>
      <w:bookmarkEnd w:id="20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4" w:name="_Toc198894561"/>
      <w:r>
        <w:rPr>
          <w:rStyle w:val="CharSectno"/>
        </w:rPr>
        <w:t>100</w:t>
      </w:r>
      <w:r>
        <w:t>.</w:t>
      </w:r>
      <w:r>
        <w:tab/>
        <w:t>Notification of orders made in absence of respondent</w:t>
      </w:r>
      <w:bookmarkEnd w:id="204"/>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5" w:name="_Toc198884874"/>
      <w:bookmarkStart w:id="206" w:name="_Toc198889814"/>
      <w:bookmarkStart w:id="207" w:name="_Toc198894562"/>
      <w:r>
        <w:rPr>
          <w:rStyle w:val="CharDivNo"/>
        </w:rPr>
        <w:lastRenderedPageBreak/>
        <w:t>Division 5</w:t>
      </w:r>
      <w:r>
        <w:t> — </w:t>
      </w:r>
      <w:r>
        <w:rPr>
          <w:rStyle w:val="CharDivText"/>
        </w:rPr>
        <w:t>Offence</w:t>
      </w:r>
      <w:bookmarkEnd w:id="205"/>
      <w:bookmarkEnd w:id="206"/>
      <w:bookmarkEnd w:id="207"/>
    </w:p>
    <w:p>
      <w:pPr>
        <w:pStyle w:val="Heading5"/>
      </w:pPr>
      <w:bookmarkStart w:id="208" w:name="_Toc198894563"/>
      <w:r>
        <w:rPr>
          <w:rStyle w:val="CharSectno"/>
        </w:rPr>
        <w:t>101</w:t>
      </w:r>
      <w:r>
        <w:t>.</w:t>
      </w:r>
      <w:r>
        <w:tab/>
        <w:t>Failure to comply with orders</w:t>
      </w:r>
      <w:bookmarkEnd w:id="20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09" w:name="_Toc198884876"/>
      <w:bookmarkStart w:id="210" w:name="_Toc198889816"/>
      <w:bookmarkStart w:id="211" w:name="_Toc198894564"/>
      <w:r>
        <w:rPr>
          <w:rStyle w:val="CharDivNo"/>
        </w:rPr>
        <w:t>Division 6</w:t>
      </w:r>
      <w:r>
        <w:t> — </w:t>
      </w:r>
      <w:r>
        <w:rPr>
          <w:rStyle w:val="CharDivText"/>
        </w:rPr>
        <w:t>Appeals</w:t>
      </w:r>
      <w:bookmarkEnd w:id="209"/>
      <w:bookmarkEnd w:id="210"/>
      <w:bookmarkEnd w:id="211"/>
    </w:p>
    <w:p>
      <w:pPr>
        <w:pStyle w:val="Heading5"/>
      </w:pPr>
      <w:bookmarkStart w:id="212" w:name="_Toc198894565"/>
      <w:r>
        <w:rPr>
          <w:rStyle w:val="CharSectno"/>
        </w:rPr>
        <w:t>102</w:t>
      </w:r>
      <w:r>
        <w:t>.</w:t>
      </w:r>
      <w:r>
        <w:tab/>
        <w:t>Appeals</w:t>
      </w:r>
      <w:bookmarkEnd w:id="212"/>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213" w:name="_Toc198894566"/>
      <w:r>
        <w:rPr>
          <w:rStyle w:val="CharSectno"/>
        </w:rPr>
        <w:t>103</w:t>
      </w:r>
      <w:r>
        <w:t>.</w:t>
      </w:r>
      <w:r>
        <w:tab/>
        <w:t>Appeal does not stay order</w:t>
      </w:r>
      <w:bookmarkEnd w:id="213"/>
    </w:p>
    <w:p>
      <w:pPr>
        <w:pStyle w:val="Subsection"/>
      </w:pPr>
      <w:r>
        <w:tab/>
      </w:r>
      <w:r>
        <w:tab/>
        <w:t>An appeal against an order made under this Part does not operate to stay the operation of the order unless the court to which the appeal is made so orders.</w:t>
      </w:r>
    </w:p>
    <w:p>
      <w:pPr>
        <w:pStyle w:val="Heading3"/>
      </w:pPr>
      <w:bookmarkStart w:id="214" w:name="_Toc198884879"/>
      <w:bookmarkStart w:id="215" w:name="_Toc198889819"/>
      <w:bookmarkStart w:id="216" w:name="_Toc198894567"/>
      <w:r>
        <w:rPr>
          <w:rStyle w:val="CharDivNo"/>
        </w:rPr>
        <w:t>Division 7</w:t>
      </w:r>
      <w:r>
        <w:t> — </w:t>
      </w:r>
      <w:r>
        <w:rPr>
          <w:rStyle w:val="CharDivText"/>
        </w:rPr>
        <w:t>Miscellaneous</w:t>
      </w:r>
      <w:bookmarkEnd w:id="214"/>
      <w:bookmarkEnd w:id="215"/>
      <w:bookmarkEnd w:id="216"/>
    </w:p>
    <w:p>
      <w:pPr>
        <w:pStyle w:val="Heading5"/>
      </w:pPr>
      <w:bookmarkStart w:id="217" w:name="_Toc198894568"/>
      <w:r>
        <w:rPr>
          <w:rStyle w:val="CharSectno"/>
        </w:rPr>
        <w:t>104</w:t>
      </w:r>
      <w:r>
        <w:t>.</w:t>
      </w:r>
      <w:r>
        <w:tab/>
        <w:t>Applications not to be heard in public</w:t>
      </w:r>
      <w:bookmarkEnd w:id="217"/>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8" w:name="_Toc198894569"/>
      <w:r>
        <w:rPr>
          <w:rStyle w:val="CharSectno"/>
        </w:rPr>
        <w:lastRenderedPageBreak/>
        <w:t>106</w:t>
      </w:r>
      <w:r>
        <w:t>.</w:t>
      </w:r>
      <w:r>
        <w:tab/>
        <w:t>Restriction on publication of identity of reportable offenders and victims</w:t>
      </w:r>
      <w:bookmarkEnd w:id="218"/>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the person’s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lastRenderedPageBreak/>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 No. 31 of 2024 s. 28.]</w:t>
      </w:r>
    </w:p>
    <w:p>
      <w:pPr>
        <w:pStyle w:val="Heading5"/>
      </w:pPr>
      <w:bookmarkStart w:id="219" w:name="_Toc198894570"/>
      <w:r>
        <w:rPr>
          <w:rStyle w:val="CharSectno"/>
        </w:rPr>
        <w:t>107</w:t>
      </w:r>
      <w:r>
        <w:t>.</w:t>
      </w:r>
      <w:r>
        <w:tab/>
        <w:t>Protection orders have no effect to extent of inconsistency with certain other orders</w:t>
      </w:r>
      <w:bookmarkEnd w:id="21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0" w:name="_Toc198894571"/>
      <w:r>
        <w:rPr>
          <w:rStyle w:val="CharSectno"/>
        </w:rPr>
        <w:lastRenderedPageBreak/>
        <w:t>108</w:t>
      </w:r>
      <w:r>
        <w:t>.</w:t>
      </w:r>
      <w:r>
        <w:tab/>
        <w:t>Recognition of protection orders made in other jurisdictions</w:t>
      </w:r>
      <w:bookmarkEnd w:id="220"/>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1" w:name="_Toc198884884"/>
      <w:bookmarkStart w:id="222" w:name="_Toc198889824"/>
      <w:bookmarkStart w:id="223" w:name="_Toc198894572"/>
      <w:r>
        <w:rPr>
          <w:rStyle w:val="CharPartNo"/>
        </w:rPr>
        <w:lastRenderedPageBreak/>
        <w:t>Part 6</w:t>
      </w:r>
      <w:r>
        <w:rPr>
          <w:rStyle w:val="CharDivNo"/>
        </w:rPr>
        <w:t> </w:t>
      </w:r>
      <w:r>
        <w:t>—</w:t>
      </w:r>
      <w:r>
        <w:rPr>
          <w:rStyle w:val="CharDivText"/>
        </w:rPr>
        <w:t> </w:t>
      </w:r>
      <w:r>
        <w:rPr>
          <w:rStyle w:val="CharPartText"/>
        </w:rPr>
        <w:t>Other matters</w:t>
      </w:r>
      <w:bookmarkEnd w:id="221"/>
      <w:bookmarkEnd w:id="222"/>
      <w:bookmarkEnd w:id="223"/>
    </w:p>
    <w:p>
      <w:pPr>
        <w:pStyle w:val="Heading5"/>
        <w:spacing w:before="260"/>
      </w:pPr>
      <w:bookmarkStart w:id="224" w:name="_Toc198894573"/>
      <w:r>
        <w:rPr>
          <w:rStyle w:val="CharSectno"/>
        </w:rPr>
        <w:t>109</w:t>
      </w:r>
      <w:r>
        <w:t>.</w:t>
      </w:r>
      <w:r>
        <w:tab/>
        <w:t>Protection from liability</w:t>
      </w:r>
      <w:bookmarkEnd w:id="22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5" w:name="_Toc198894574"/>
      <w:r>
        <w:rPr>
          <w:rStyle w:val="CharSectno"/>
        </w:rPr>
        <w:t>110A</w:t>
      </w:r>
      <w:r>
        <w:t>.</w:t>
      </w:r>
      <w:r>
        <w:tab/>
        <w:t>Public authorities to provide Commissioner with certain information</w:t>
      </w:r>
      <w:bookmarkEnd w:id="22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6" w:name="_Toc198894575"/>
      <w:r>
        <w:rPr>
          <w:rStyle w:val="CharSectno"/>
        </w:rPr>
        <w:t>110</w:t>
      </w:r>
      <w:r>
        <w:t>.</w:t>
      </w:r>
      <w:r>
        <w:tab/>
        <w:t>Delegation by Commissioner</w:t>
      </w:r>
      <w:bookmarkEnd w:id="22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27" w:name="_Toc198894576"/>
      <w:r>
        <w:rPr>
          <w:rStyle w:val="CharSectno"/>
        </w:rPr>
        <w:t>111</w:t>
      </w:r>
      <w:r>
        <w:t>.</w:t>
      </w:r>
      <w:r>
        <w:tab/>
        <w:t>Effect of spent convictions</w:t>
      </w:r>
      <w:bookmarkEnd w:id="22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the offender was convicted or found guilty of the offence.</w:t>
      </w:r>
    </w:p>
    <w:p>
      <w:pPr>
        <w:pStyle w:val="Footnotesection"/>
      </w:pPr>
      <w:r>
        <w:tab/>
        <w:t>[Section 111 amended: No. 54 of 2012 s. 42(2); No. 31 of 2024 s. 28.]</w:t>
      </w:r>
    </w:p>
    <w:p>
      <w:pPr>
        <w:pStyle w:val="Heading5"/>
      </w:pPr>
      <w:bookmarkStart w:id="228" w:name="_Toc198894577"/>
      <w:r>
        <w:rPr>
          <w:rStyle w:val="CharSectno"/>
        </w:rPr>
        <w:t>112</w:t>
      </w:r>
      <w:r>
        <w:t>.</w:t>
      </w:r>
      <w:r>
        <w:tab/>
        <w:t>Civil standard of proof</w:t>
      </w:r>
      <w:bookmarkEnd w:id="22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29" w:name="_Toc198894578"/>
      <w:r>
        <w:rPr>
          <w:rStyle w:val="CharSectno"/>
        </w:rPr>
        <w:t>113</w:t>
      </w:r>
      <w:r>
        <w:t>.</w:t>
      </w:r>
      <w:r>
        <w:tab/>
        <w:t>Certificate concerning evidence</w:t>
      </w:r>
      <w:bookmarkEnd w:id="22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0" w:name="_Toc198894579"/>
      <w:r>
        <w:rPr>
          <w:rStyle w:val="CharSectno"/>
        </w:rPr>
        <w:t>114</w:t>
      </w:r>
      <w:r>
        <w:t>.</w:t>
      </w:r>
      <w:r>
        <w:tab/>
        <w:t>Regulations</w:t>
      </w:r>
      <w:bookmarkEnd w:id="23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Footnotesection"/>
      </w:pPr>
      <w:r>
        <w:tab/>
        <w:t>[Section 114 amended: No. 31 of 2024 s. 28.]</w:t>
      </w:r>
    </w:p>
    <w:p>
      <w:pPr>
        <w:pStyle w:val="Heading5"/>
      </w:pPr>
      <w:bookmarkStart w:id="231" w:name="_Toc198894580"/>
      <w:r>
        <w:rPr>
          <w:rStyle w:val="CharSectno"/>
        </w:rPr>
        <w:t>115</w:t>
      </w:r>
      <w:r>
        <w:t>.</w:t>
      </w:r>
      <w:r>
        <w:tab/>
        <w:t>Minister to review and report on Act</w:t>
      </w:r>
      <w:bookmarkEnd w:id="23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2" w:name="_Toc198894581"/>
      <w:r>
        <w:rPr>
          <w:rStyle w:val="CharSectno"/>
        </w:rPr>
        <w:t>115A</w:t>
      </w:r>
      <w:r>
        <w:t>.</w:t>
      </w:r>
      <w:r>
        <w:tab/>
        <w:t>Transitional arrangements for certain offenders</w:t>
      </w:r>
      <w:bookmarkEnd w:id="23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3" w:name="_Toc198894582"/>
      <w:r>
        <w:rPr>
          <w:rStyle w:val="CharSectno"/>
        </w:rPr>
        <w:t>115B</w:t>
      </w:r>
      <w:r>
        <w:t>.</w:t>
      </w:r>
      <w:r>
        <w:tab/>
        <w:t>Further transitional arrangements for certain offenders sentenced for Class 2 offences</w:t>
      </w:r>
      <w:bookmarkEnd w:id="23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4" w:name="_Toc198884895"/>
      <w:bookmarkStart w:id="235" w:name="_Toc198889835"/>
      <w:bookmarkStart w:id="236" w:name="_Toc198894583"/>
      <w:r>
        <w:rPr>
          <w:rStyle w:val="CharSchNo"/>
        </w:rPr>
        <w:lastRenderedPageBreak/>
        <w:t>Schedule 1</w:t>
      </w:r>
      <w:r>
        <w:t xml:space="preserve"> — </w:t>
      </w:r>
      <w:r>
        <w:rPr>
          <w:rStyle w:val="CharSchText"/>
        </w:rPr>
        <w:t>Class 1 offences</w:t>
      </w:r>
      <w:bookmarkEnd w:id="234"/>
      <w:bookmarkEnd w:id="235"/>
      <w:bookmarkEnd w:id="23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7" w:name="_Toc198884896"/>
      <w:bookmarkStart w:id="238" w:name="_Toc198889836"/>
      <w:bookmarkStart w:id="239" w:name="_Toc198894584"/>
      <w:r>
        <w:rPr>
          <w:rStyle w:val="CharSchNo"/>
        </w:rPr>
        <w:lastRenderedPageBreak/>
        <w:t>Schedule 2</w:t>
      </w:r>
      <w:r>
        <w:t> — </w:t>
      </w:r>
      <w:r>
        <w:rPr>
          <w:rStyle w:val="CharSchText"/>
        </w:rPr>
        <w:t>Class 2 offences</w:t>
      </w:r>
      <w:bookmarkEnd w:id="237"/>
      <w:bookmarkEnd w:id="238"/>
      <w:bookmarkEnd w:id="239"/>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41" w:name="_Toc198884897"/>
      <w:bookmarkStart w:id="242" w:name="_Toc198889837"/>
      <w:bookmarkStart w:id="243" w:name="_Toc198894585"/>
      <w:r>
        <w:lastRenderedPageBreak/>
        <w:t>Notes</w:t>
      </w:r>
      <w:bookmarkEnd w:id="241"/>
      <w:bookmarkEnd w:id="242"/>
      <w:bookmarkEnd w:id="243"/>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4" w:name="_Toc198894586"/>
      <w:r>
        <w:t>Compilation table</w:t>
      </w:r>
      <w:bookmarkEnd w:id="24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tcBorders>
              <w:bottom w:val="single" w:sz="4" w:space="0" w:color="auto"/>
            </w:tcBorders>
            <w:shd w:val="clear" w:color="auto" w:fill="auto"/>
          </w:tcPr>
          <w:p>
            <w:pPr>
              <w:pStyle w:val="nTable"/>
              <w:spacing w:after="40"/>
            </w:pPr>
            <w:r>
              <w:t>31 of 2024</w:t>
            </w:r>
          </w:p>
        </w:tc>
        <w:tc>
          <w:tcPr>
            <w:tcW w:w="1134" w:type="dxa"/>
            <w:tcBorders>
              <w:bottom w:val="single" w:sz="4" w:space="0" w:color="auto"/>
            </w:tcBorders>
            <w:shd w:val="clear" w:color="auto" w:fill="auto"/>
          </w:tcPr>
          <w:p>
            <w:pPr>
              <w:pStyle w:val="nTable"/>
              <w:spacing w:after="40"/>
            </w:pPr>
            <w:r>
              <w:t>26 Sep 2024</w:t>
            </w:r>
          </w:p>
        </w:tc>
        <w:tc>
          <w:tcPr>
            <w:tcW w:w="2552" w:type="dxa"/>
            <w:tcBorders>
              <w:bottom w:val="single" w:sz="4" w:space="0" w:color="auto"/>
            </w:tcBorders>
            <w:shd w:val="clear" w:color="auto" w:fill="auto"/>
          </w:tcPr>
          <w:p>
            <w:pPr>
              <w:pStyle w:val="nTable"/>
              <w:spacing w:after="40"/>
            </w:pPr>
            <w:r>
              <w:rPr>
                <w:snapToGrid w:val="0"/>
              </w:rPr>
              <w:t>30 May 2025 (see s. 2(b) and SL 2025/80 cl. 2)</w:t>
            </w:r>
          </w:p>
        </w:tc>
      </w:tr>
    </w:tbl>
    <w:p>
      <w:pPr>
        <w:pStyle w:val="nHeading3"/>
      </w:pPr>
      <w:bookmarkStart w:id="245" w:name="_Toc198894587"/>
      <w:r>
        <w:lastRenderedPageBreak/>
        <w:t>Uncommenced provisions table</w:t>
      </w:r>
      <w:bookmarkEnd w:id="245"/>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2 Div. 1, Pt. 3 Div. 1 and Pt. 4</w:t>
            </w:r>
          </w:p>
        </w:tc>
        <w:tc>
          <w:tcPr>
            <w:tcW w:w="1133"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46" w:name="_Toc198894588"/>
      <w:r>
        <w:t>Other notes</w:t>
      </w:r>
      <w:bookmarkEnd w:id="246"/>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48" w:name="_Toc198884901"/>
      <w:bookmarkStart w:id="249" w:name="_Toc198889841"/>
      <w:bookmarkStart w:id="250" w:name="_Toc198894589"/>
      <w:r>
        <w:rPr>
          <w:sz w:val="28"/>
        </w:rPr>
        <w:lastRenderedPageBreak/>
        <w:t>Defined terms</w:t>
      </w:r>
      <w:bookmarkEnd w:id="248"/>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lastRenderedPageBreak/>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information</w:t>
      </w:r>
      <w:r>
        <w:tab/>
        <w:t>85K(1)</w:t>
      </w:r>
    </w:p>
    <w:p>
      <w:pPr>
        <w:pStyle w:val="DefinedTerms"/>
      </w:pPr>
      <w:r>
        <w:t>in person</w:t>
      </w:r>
      <w:r>
        <w:tab/>
        <w:t>5(2)</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4CA03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6120BF9" w14:textId="5CFE678D" w:rsidR="00992EB1" w:rsidRDefault="00EA3A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662E">
                        <w:rPr>
                          <w:sz w:val="16"/>
                        </w:rPr>
                        <w:t>2025</w:t>
                      </w:r>
                      <w:r>
                        <w:rPr>
                          <w:sz w:val="16"/>
                        </w:rPr>
                        <w:fldChar w:fldCharType="end"/>
                      </w:r>
                      <w:r>
                        <w:rPr>
                          <w:sz w:val="16"/>
                        </w:rPr>
                        <w:t>.</w:t>
                      </w:r>
                    </w:p>
                    <w:p w14:paraId="7D620B19" w14:textId="77777777" w:rsidR="00992EB1" w:rsidRDefault="00EA3A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50AE67" w14:textId="14A5723B" w:rsidR="00992EB1" w:rsidRDefault="00EA3A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662E">
                        <w:rPr>
                          <w:sz w:val="16"/>
                        </w:rPr>
                        <w:t>2025</w:t>
                      </w:r>
                      <w:r>
                        <w:rPr>
                          <w:sz w:val="16"/>
                        </w:rPr>
                        <w:fldChar w:fldCharType="end"/>
                      </w:r>
                      <w:r>
                        <w:rPr>
                          <w:sz w:val="16"/>
                        </w:rPr>
                        <w:t>.</w:t>
                      </w:r>
                    </w:p>
                    <w:p w14:paraId="733F63AE" w14:textId="77777777" w:rsidR="00992EB1" w:rsidRDefault="00EA3A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1" w:name="DefinedTerms"/>
    <w:bookmarkEnd w:id="2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092401"/>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32438</Words>
  <Characters>159272</Characters>
  <Application>Microsoft Office Word</Application>
  <DocSecurity>0</DocSecurity>
  <Lines>4424</Lines>
  <Paragraphs>2556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189154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2004 - 02-p0-00</dc:title>
  <dc:subject/>
  <dc:creator/>
  <cp:keywords/>
  <dc:description/>
  <cp:lastModifiedBy>Master Repository Process</cp:lastModifiedBy>
  <cp:revision>4</cp:revision>
  <cp:lastPrinted>2021-12-21T08:49:00Z</cp:lastPrinted>
  <dcterms:created xsi:type="dcterms:W3CDTF">2025-05-29T00:14:00Z</dcterms:created>
  <dcterms:modified xsi:type="dcterms:W3CDTF">2025-05-29T00:14:00Z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30 May 2025</vt:lpwstr>
  </property>
  <property fmtid="{D5CDD505-2E9C-101B-9397-08002B2CF9AE}" pid="8" name="Suffix">
    <vt:lpwstr>02-p0-00</vt:lpwstr>
  </property>
  <property fmtid="{D5CDD505-2E9C-101B-9397-08002B2CF9AE}" pid="9" name="Official">
    <vt:lpwstr/>
  </property>
  <property fmtid="{D5CDD505-2E9C-101B-9397-08002B2CF9AE}" pid="10" name="CommencementDate">
    <vt:lpwstr>20250530</vt:lpwstr>
  </property>
  <property fmtid="{D5CDD505-2E9C-101B-9397-08002B2CF9AE}" pid="11" name="CommencementAsAt">
    <vt:filetime>2025-05-29T16:00:00Z</vt:filetime>
  </property>
  <property fmtid="{D5CDD505-2E9C-101B-9397-08002B2CF9AE}" pid="12" name="CommencementYear">
    <vt:lpwstr>2025</vt:lpwstr>
  </property>
</Properties>
</file>