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Gender Reassignment Act 2000</w:t>
      </w:r>
      <w:r>
        <w:fldChar w:fldCharType="end"/>
      </w:r>
    </w:p>
    <w:p>
      <w:pPr>
        <w:pStyle w:val="Subsection"/>
      </w:pPr>
      <w:r>
        <w:tab/>
      </w:r>
      <w:r>
        <w:tab/>
        <w:t xml:space="preserve">This Act was repealed by the </w:t>
      </w:r>
      <w:r>
        <w:rPr>
          <w:i/>
          <w:iCs/>
        </w:rPr>
        <w:t>Births, Deaths and Marriages Registration Amendment (Sex or Gender Changes) Act 2024</w:t>
      </w:r>
      <w:r>
        <w:t xml:space="preserve"> s. 20(1) </w:t>
      </w:r>
      <w:bookmarkStart w:id="0" w:name="_Hlk198900226"/>
      <w:r>
        <w:t>(No. 31 of 2024) on 30 May 2025 (see s. 2(b) and SL 2025/80 cl. 2)</w:t>
      </w:r>
    </w:p>
    <w:bookmarkEnd w:id="0"/>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Gender Reassignment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_Toc198905951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_Toc198905952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_Toc198905953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_Toc198905954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Gender Reassignment Board</w:t>
      </w:r>
    </w:p>
    <w:p>
      <w:pPr>
        <w:pStyle w:val="TOC8"/>
        <w:rPr>
          <w:rFonts w:asciiTheme="minorHAnsi" w:eastAsiaTheme="minorEastAsia" w:hAnsiTheme="minorHAnsi" w:cstheme="minorBidi"/>
          <w:szCs w:val="22"/>
        </w:rPr>
      </w:pPr>
      <w:r>
        <w:t>5.</w:t>
      </w:r>
      <w:r>
        <w:tab/>
        <w:t>Establishment and function of Board</w:t>
      </w:r>
      <w:r>
        <w:tab/>
      </w:r>
      <w:r>
        <w:fldChar w:fldCharType="begin"/>
      </w:r>
      <w:r>
        <w:instrText xml:space="preserve"> PAGEREF _Toc198905956 \h </w:instrText>
      </w:r>
      <w:r>
        <w:fldChar w:fldCharType="separate"/>
      </w:r>
      <w:r>
        <w:t>4</w:t>
      </w:r>
      <w:r>
        <w:fldChar w:fldCharType="end"/>
      </w:r>
    </w:p>
    <w:p>
      <w:pPr>
        <w:pStyle w:val="TOC8"/>
        <w:rPr>
          <w:rFonts w:asciiTheme="minorHAnsi" w:eastAsiaTheme="minorEastAsia" w:hAnsiTheme="minorHAnsi" w:cstheme="minorBidi"/>
          <w:szCs w:val="22"/>
        </w:rPr>
      </w:pPr>
      <w:r>
        <w:t>6.</w:t>
      </w:r>
      <w:r>
        <w:tab/>
        <w:t>President of Board</w:t>
      </w:r>
      <w:r>
        <w:tab/>
      </w:r>
      <w:r>
        <w:fldChar w:fldCharType="begin"/>
      </w:r>
      <w:r>
        <w:instrText xml:space="preserve"> PAGEREF _Toc198905957 \h </w:instrText>
      </w:r>
      <w:r>
        <w:fldChar w:fldCharType="separate"/>
      </w:r>
      <w:r>
        <w:t>4</w:t>
      </w:r>
      <w:r>
        <w:fldChar w:fldCharType="end"/>
      </w:r>
    </w:p>
    <w:p>
      <w:pPr>
        <w:pStyle w:val="TOC8"/>
        <w:rPr>
          <w:rFonts w:asciiTheme="minorHAnsi" w:eastAsiaTheme="minorEastAsia" w:hAnsiTheme="minorHAnsi" w:cstheme="minorBidi"/>
          <w:szCs w:val="22"/>
        </w:rPr>
      </w:pPr>
      <w:r>
        <w:t>7.</w:t>
      </w:r>
      <w:r>
        <w:tab/>
        <w:t>Other Board members</w:t>
      </w:r>
      <w:r>
        <w:tab/>
      </w:r>
      <w:r>
        <w:fldChar w:fldCharType="begin"/>
      </w:r>
      <w:r>
        <w:instrText xml:space="preserve"> PAGEREF _Toc198905958 \h </w:instrText>
      </w:r>
      <w:r>
        <w:fldChar w:fldCharType="separate"/>
      </w:r>
      <w:r>
        <w:t>5</w:t>
      </w:r>
      <w:r>
        <w:fldChar w:fldCharType="end"/>
      </w:r>
    </w:p>
    <w:p>
      <w:pPr>
        <w:pStyle w:val="TOC8"/>
        <w:rPr>
          <w:rFonts w:asciiTheme="minorHAnsi" w:eastAsiaTheme="minorEastAsia" w:hAnsiTheme="minorHAnsi" w:cstheme="minorBidi"/>
          <w:szCs w:val="22"/>
        </w:rPr>
      </w:pPr>
      <w:r>
        <w:t>8.</w:t>
      </w:r>
      <w:r>
        <w:tab/>
        <w:t>Arrangement of business</w:t>
      </w:r>
      <w:r>
        <w:tab/>
      </w:r>
      <w:r>
        <w:fldChar w:fldCharType="begin"/>
      </w:r>
      <w:r>
        <w:instrText xml:space="preserve"> PAGEREF _Toc198905959 \h </w:instrText>
      </w:r>
      <w:r>
        <w:fldChar w:fldCharType="separate"/>
      </w:r>
      <w:r>
        <w:t>5</w:t>
      </w:r>
      <w:r>
        <w:fldChar w:fldCharType="end"/>
      </w:r>
    </w:p>
    <w:p>
      <w:pPr>
        <w:pStyle w:val="TOC8"/>
        <w:rPr>
          <w:rFonts w:asciiTheme="minorHAnsi" w:eastAsiaTheme="minorEastAsia" w:hAnsiTheme="minorHAnsi" w:cstheme="minorBidi"/>
          <w:szCs w:val="22"/>
        </w:rPr>
      </w:pPr>
      <w:r>
        <w:t>9.</w:t>
      </w:r>
      <w:r>
        <w:tab/>
        <w:t>Remuneration and allowances of members</w:t>
      </w:r>
      <w:r>
        <w:tab/>
      </w:r>
      <w:r>
        <w:fldChar w:fldCharType="begin"/>
      </w:r>
      <w:r>
        <w:instrText xml:space="preserve"> PAGEREF _Toc198905960 \h </w:instrText>
      </w:r>
      <w:r>
        <w:fldChar w:fldCharType="separate"/>
      </w:r>
      <w:r>
        <w:t>5</w:t>
      </w:r>
      <w:r>
        <w:fldChar w:fldCharType="end"/>
      </w:r>
    </w:p>
    <w:p>
      <w:pPr>
        <w:pStyle w:val="TOC8"/>
        <w:rPr>
          <w:rFonts w:asciiTheme="minorHAnsi" w:eastAsiaTheme="minorEastAsia" w:hAnsiTheme="minorHAnsi" w:cstheme="minorBidi"/>
          <w:szCs w:val="22"/>
        </w:rPr>
      </w:pPr>
      <w:r>
        <w:t>10.</w:t>
      </w:r>
      <w:r>
        <w:tab/>
        <w:t>Practice directions</w:t>
      </w:r>
      <w:r>
        <w:tab/>
      </w:r>
      <w:r>
        <w:fldChar w:fldCharType="begin"/>
      </w:r>
      <w:r>
        <w:instrText xml:space="preserve"> PAGEREF _Toc198905961 \h </w:instrText>
      </w:r>
      <w:r>
        <w:fldChar w:fldCharType="separate"/>
      </w:r>
      <w:r>
        <w:t>6</w:t>
      </w:r>
      <w:r>
        <w:fldChar w:fldCharType="end"/>
      </w:r>
    </w:p>
    <w:p>
      <w:pPr>
        <w:pStyle w:val="TOC8"/>
        <w:rPr>
          <w:rFonts w:asciiTheme="minorHAnsi" w:eastAsiaTheme="minorEastAsia" w:hAnsiTheme="minorHAnsi" w:cstheme="minorBidi"/>
          <w:szCs w:val="22"/>
        </w:rPr>
      </w:pPr>
      <w:r>
        <w:t>11.</w:t>
      </w:r>
      <w:r>
        <w:tab/>
        <w:t>Executive officer and other officers</w:t>
      </w:r>
      <w:r>
        <w:tab/>
      </w:r>
      <w:r>
        <w:fldChar w:fldCharType="begin"/>
      </w:r>
      <w:r>
        <w:instrText xml:space="preserve"> PAGEREF _Toc198905962 \h </w:instrText>
      </w:r>
      <w:r>
        <w:fldChar w:fldCharType="separate"/>
      </w:r>
      <w:r>
        <w:t>6</w:t>
      </w:r>
      <w:r>
        <w:fldChar w:fldCharType="end"/>
      </w:r>
    </w:p>
    <w:p>
      <w:pPr>
        <w:pStyle w:val="TOC8"/>
        <w:rPr>
          <w:rFonts w:asciiTheme="minorHAnsi" w:eastAsiaTheme="minorEastAsia" w:hAnsiTheme="minorHAnsi" w:cstheme="minorBidi"/>
          <w:szCs w:val="22"/>
        </w:rPr>
      </w:pPr>
      <w:r>
        <w:t>12.</w:t>
      </w:r>
      <w:r>
        <w:tab/>
        <w:t>Judicial notice of seal and signatures</w:t>
      </w:r>
      <w:r>
        <w:tab/>
      </w:r>
      <w:r>
        <w:fldChar w:fldCharType="begin"/>
      </w:r>
      <w:r>
        <w:instrText xml:space="preserve"> PAGEREF _Toc198905963 \h </w:instrText>
      </w:r>
      <w:r>
        <w:fldChar w:fldCharType="separate"/>
      </w:r>
      <w:r>
        <w:t>6</w:t>
      </w:r>
      <w:r>
        <w:fldChar w:fldCharType="end"/>
      </w:r>
    </w:p>
    <w:p>
      <w:pPr>
        <w:pStyle w:val="TOC8"/>
        <w:rPr>
          <w:rFonts w:asciiTheme="minorHAnsi" w:eastAsiaTheme="minorEastAsia" w:hAnsiTheme="minorHAnsi" w:cstheme="minorBidi"/>
          <w:szCs w:val="22"/>
        </w:rPr>
      </w:pPr>
      <w:r>
        <w:t>13.</w:t>
      </w:r>
      <w:r>
        <w:tab/>
        <w:t>Annual report</w:t>
      </w:r>
      <w:r>
        <w:tab/>
      </w:r>
      <w:r>
        <w:fldChar w:fldCharType="begin"/>
      </w:r>
      <w:r>
        <w:instrText xml:space="preserve"> PAGEREF _Toc198905964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Recognition certificates</w:t>
      </w:r>
    </w:p>
    <w:p>
      <w:pPr>
        <w:pStyle w:val="TOC8"/>
        <w:rPr>
          <w:rFonts w:asciiTheme="minorHAnsi" w:eastAsiaTheme="minorEastAsia" w:hAnsiTheme="minorHAnsi" w:cstheme="minorBidi"/>
          <w:szCs w:val="22"/>
        </w:rPr>
      </w:pPr>
      <w:r>
        <w:t>14.</w:t>
      </w:r>
      <w:r>
        <w:tab/>
        <w:t>Applications for recognition certificates</w:t>
      </w:r>
      <w:r>
        <w:tab/>
      </w:r>
      <w:r>
        <w:fldChar w:fldCharType="begin"/>
      </w:r>
      <w:r>
        <w:instrText xml:space="preserve"> PAGEREF _Toc198905966 \h </w:instrText>
      </w:r>
      <w:r>
        <w:fldChar w:fldCharType="separate"/>
      </w:r>
      <w:r>
        <w:t>8</w:t>
      </w:r>
      <w:r>
        <w:fldChar w:fldCharType="end"/>
      </w:r>
    </w:p>
    <w:p>
      <w:pPr>
        <w:pStyle w:val="TOC8"/>
        <w:rPr>
          <w:rFonts w:asciiTheme="minorHAnsi" w:eastAsiaTheme="minorEastAsia" w:hAnsiTheme="minorHAnsi" w:cstheme="minorBidi"/>
          <w:szCs w:val="22"/>
        </w:rPr>
      </w:pPr>
      <w:r>
        <w:t>15.</w:t>
      </w:r>
      <w:r>
        <w:tab/>
        <w:t>Issue of recognition certificates</w:t>
      </w:r>
      <w:r>
        <w:tab/>
      </w:r>
      <w:r>
        <w:fldChar w:fldCharType="begin"/>
      </w:r>
      <w:r>
        <w:instrText xml:space="preserve"> PAGEREF _Toc198905967 \h </w:instrText>
      </w:r>
      <w:r>
        <w:fldChar w:fldCharType="separate"/>
      </w:r>
      <w:r>
        <w:t>9</w:t>
      </w:r>
      <w:r>
        <w:fldChar w:fldCharType="end"/>
      </w:r>
    </w:p>
    <w:p>
      <w:pPr>
        <w:pStyle w:val="TOC8"/>
        <w:rPr>
          <w:rFonts w:asciiTheme="minorHAnsi" w:eastAsiaTheme="minorEastAsia" w:hAnsiTheme="minorHAnsi" w:cstheme="minorBidi"/>
          <w:szCs w:val="22"/>
        </w:rPr>
      </w:pPr>
      <w:r>
        <w:t>16.</w:t>
      </w:r>
      <w:r>
        <w:tab/>
        <w:t>Effect of recognition certificate</w:t>
      </w:r>
      <w:r>
        <w:tab/>
      </w:r>
      <w:r>
        <w:fldChar w:fldCharType="begin"/>
      </w:r>
      <w:r>
        <w:instrText xml:space="preserve"> PAGEREF _Toc198905968 \h </w:instrText>
      </w:r>
      <w:r>
        <w:fldChar w:fldCharType="separate"/>
      </w:r>
      <w:r>
        <w:t>10</w:t>
      </w:r>
      <w:r>
        <w:fldChar w:fldCharType="end"/>
      </w:r>
    </w:p>
    <w:p>
      <w:pPr>
        <w:pStyle w:val="TOC8"/>
        <w:rPr>
          <w:rFonts w:asciiTheme="minorHAnsi" w:eastAsiaTheme="minorEastAsia" w:hAnsiTheme="minorHAnsi" w:cstheme="minorBidi"/>
          <w:szCs w:val="22"/>
        </w:rPr>
      </w:pPr>
      <w:r>
        <w:t>17.</w:t>
      </w:r>
      <w:r>
        <w:tab/>
        <w:t>Registration of certificates</w:t>
      </w:r>
      <w:r>
        <w:tab/>
      </w:r>
      <w:r>
        <w:fldChar w:fldCharType="begin"/>
      </w:r>
      <w:r>
        <w:instrText xml:space="preserve"> PAGEREF _Toc198905969 \h </w:instrText>
      </w:r>
      <w:r>
        <w:fldChar w:fldCharType="separate"/>
      </w:r>
      <w:r>
        <w:t>10</w:t>
      </w:r>
      <w:r>
        <w:fldChar w:fldCharType="end"/>
      </w:r>
    </w:p>
    <w:p>
      <w:pPr>
        <w:pStyle w:val="TOC8"/>
        <w:rPr>
          <w:rFonts w:asciiTheme="minorHAnsi" w:eastAsiaTheme="minorEastAsia" w:hAnsiTheme="minorHAnsi" w:cstheme="minorBidi"/>
          <w:szCs w:val="22"/>
        </w:rPr>
      </w:pPr>
      <w:r>
        <w:t>18.</w:t>
      </w:r>
      <w:r>
        <w:tab/>
        <w:t>Issuing of new birth certificate</w:t>
      </w:r>
      <w:r>
        <w:tab/>
      </w:r>
      <w:r>
        <w:fldChar w:fldCharType="begin"/>
      </w:r>
      <w:r>
        <w:instrText xml:space="preserve"> PAGEREF _Toc198905970 \h </w:instrText>
      </w:r>
      <w:r>
        <w:fldChar w:fldCharType="separate"/>
      </w:r>
      <w:r>
        <w:t>11</w:t>
      </w:r>
      <w:r>
        <w:fldChar w:fldCharType="end"/>
      </w:r>
    </w:p>
    <w:p>
      <w:pPr>
        <w:pStyle w:val="TOC8"/>
        <w:rPr>
          <w:rFonts w:asciiTheme="minorHAnsi" w:eastAsiaTheme="minorEastAsia" w:hAnsiTheme="minorHAnsi" w:cstheme="minorBidi"/>
          <w:szCs w:val="22"/>
        </w:rPr>
      </w:pPr>
      <w:r>
        <w:t>19.</w:t>
      </w:r>
      <w:r>
        <w:tab/>
        <w:t>Cancellation of fraudulent recognition certificates</w:t>
      </w:r>
      <w:r>
        <w:tab/>
      </w:r>
      <w:r>
        <w:fldChar w:fldCharType="begin"/>
      </w:r>
      <w:r>
        <w:instrText xml:space="preserve"> PAGEREF _Toc198905971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20.</w:t>
      </w:r>
      <w:r>
        <w:tab/>
        <w:t>Issue of replacement qualification certificates</w:t>
      </w:r>
      <w:r>
        <w:tab/>
      </w:r>
      <w:r>
        <w:fldChar w:fldCharType="begin"/>
      </w:r>
      <w:r>
        <w:instrText xml:space="preserve"> PAGEREF _Toc198905973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21.</w:t>
      </w:r>
      <w:r>
        <w:tab/>
        <w:t>Review by SAT</w:t>
      </w:r>
      <w:r>
        <w:tab/>
      </w:r>
      <w:r>
        <w:fldChar w:fldCharType="begin"/>
      </w:r>
      <w:r>
        <w:instrText xml:space="preserve"> PAGEREF _Toc198905974 \h </w:instrText>
      </w:r>
      <w:r>
        <w:fldChar w:fldCharType="separate"/>
      </w:r>
      <w:r>
        <w:t>13</w:t>
      </w:r>
      <w:r>
        <w:fldChar w:fldCharType="end"/>
      </w:r>
    </w:p>
    <w:p>
      <w:pPr>
        <w:pStyle w:val="TOC8"/>
        <w:rPr>
          <w:rFonts w:asciiTheme="minorHAnsi" w:eastAsiaTheme="minorEastAsia" w:hAnsiTheme="minorHAnsi" w:cstheme="minorBidi"/>
          <w:szCs w:val="22"/>
        </w:rPr>
      </w:pPr>
      <w:r>
        <w:t>22.</w:t>
      </w:r>
      <w:r>
        <w:tab/>
        <w:t>Confidentiality</w:t>
      </w:r>
      <w:r>
        <w:tab/>
      </w:r>
      <w:r>
        <w:fldChar w:fldCharType="begin"/>
      </w:r>
      <w:r>
        <w:instrText xml:space="preserve"> PAGEREF _Toc198905975 \h </w:instrText>
      </w:r>
      <w:r>
        <w:fldChar w:fldCharType="separate"/>
      </w:r>
      <w:r>
        <w:t>13</w:t>
      </w:r>
      <w:r>
        <w:fldChar w:fldCharType="end"/>
      </w:r>
    </w:p>
    <w:p>
      <w:pPr>
        <w:pStyle w:val="TOC8"/>
        <w:rPr>
          <w:rFonts w:asciiTheme="minorHAnsi" w:eastAsiaTheme="minorEastAsia" w:hAnsiTheme="minorHAnsi" w:cstheme="minorBidi"/>
          <w:szCs w:val="22"/>
        </w:rPr>
      </w:pPr>
      <w:r>
        <w:t>23.</w:t>
      </w:r>
      <w:r>
        <w:tab/>
        <w:t>False or misleading statements</w:t>
      </w:r>
      <w:r>
        <w:tab/>
      </w:r>
      <w:r>
        <w:fldChar w:fldCharType="begin"/>
      </w:r>
      <w:r>
        <w:instrText xml:space="preserve"> PAGEREF _Toc198905976 \h </w:instrText>
      </w:r>
      <w:r>
        <w:fldChar w:fldCharType="separate"/>
      </w:r>
      <w:r>
        <w:t>13</w:t>
      </w:r>
      <w:r>
        <w:fldChar w:fldCharType="end"/>
      </w:r>
    </w:p>
    <w:p>
      <w:pPr>
        <w:pStyle w:val="TOC8"/>
        <w:rPr>
          <w:rFonts w:asciiTheme="minorHAnsi" w:eastAsiaTheme="minorEastAsia" w:hAnsiTheme="minorHAnsi" w:cstheme="minorBidi"/>
          <w:szCs w:val="22"/>
        </w:rPr>
      </w:pPr>
      <w:r>
        <w:t>24.</w:t>
      </w:r>
      <w:r>
        <w:tab/>
        <w:t>Offences</w:t>
      </w:r>
      <w:r>
        <w:tab/>
      </w:r>
      <w:r>
        <w:fldChar w:fldCharType="begin"/>
      </w:r>
      <w:r>
        <w:instrText xml:space="preserve"> PAGEREF _Toc198905977 \h </w:instrText>
      </w:r>
      <w:r>
        <w:fldChar w:fldCharType="separate"/>
      </w:r>
      <w:r>
        <w:t>14</w:t>
      </w:r>
      <w:r>
        <w:fldChar w:fldCharType="end"/>
      </w:r>
    </w:p>
    <w:p>
      <w:pPr>
        <w:pStyle w:val="TOC8"/>
        <w:rPr>
          <w:rFonts w:asciiTheme="minorHAnsi" w:eastAsiaTheme="minorEastAsia" w:hAnsiTheme="minorHAnsi" w:cstheme="minorBidi"/>
          <w:szCs w:val="22"/>
        </w:rPr>
      </w:pPr>
      <w:r>
        <w:t>25.</w:t>
      </w:r>
      <w:r>
        <w:tab/>
        <w:t>Age</w:t>
      </w:r>
      <w:r>
        <w:tab/>
      </w:r>
      <w:r>
        <w:fldChar w:fldCharType="begin"/>
      </w:r>
      <w:r>
        <w:instrText xml:space="preserve"> PAGEREF _Toc198905978 \h </w:instrText>
      </w:r>
      <w:r>
        <w:fldChar w:fldCharType="separate"/>
      </w:r>
      <w:r>
        <w:t>14</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_Toc198905979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_Toc198905981 \h </w:instrText>
      </w:r>
      <w:r>
        <w:fldChar w:fldCharType="separate"/>
      </w:r>
      <w:r>
        <w:t>15</w:t>
      </w:r>
      <w:r>
        <w:fldChar w:fldCharType="end"/>
      </w:r>
    </w:p>
    <w:p>
      <w:pPr>
        <w:pStyle w:val="TOC8"/>
        <w:rPr>
          <w:rFonts w:asciiTheme="minorHAnsi" w:eastAsiaTheme="minorEastAsia" w:hAnsiTheme="minorHAnsi" w:cstheme="minorBidi"/>
          <w:szCs w:val="22"/>
        </w:rPr>
      </w:pPr>
      <w:r>
        <w:t>2.</w:t>
      </w:r>
      <w:r>
        <w:tab/>
        <w:t>Resignation and removal</w:t>
      </w:r>
      <w:r>
        <w:tab/>
      </w:r>
      <w:r>
        <w:fldChar w:fldCharType="begin"/>
      </w:r>
      <w:r>
        <w:instrText xml:space="preserve"> PAGEREF _Toc198905982 \h </w:instrText>
      </w:r>
      <w:r>
        <w:fldChar w:fldCharType="separate"/>
      </w:r>
      <w:r>
        <w:t>15</w:t>
      </w:r>
      <w:r>
        <w:fldChar w:fldCharType="end"/>
      </w:r>
    </w:p>
    <w:p>
      <w:pPr>
        <w:pStyle w:val="TOC8"/>
        <w:rPr>
          <w:rFonts w:asciiTheme="minorHAnsi" w:eastAsiaTheme="minorEastAsia" w:hAnsiTheme="minorHAnsi" w:cstheme="minorBidi"/>
          <w:szCs w:val="22"/>
        </w:rPr>
      </w:pPr>
      <w:r>
        <w:t>3.</w:t>
      </w:r>
      <w:r>
        <w:tab/>
        <w:t>Leave of absence</w:t>
      </w:r>
      <w:r>
        <w:tab/>
      </w:r>
      <w:r>
        <w:fldChar w:fldCharType="begin"/>
      </w:r>
      <w:r>
        <w:instrText xml:space="preserve"> PAGEREF _Toc198905983 \h </w:instrText>
      </w:r>
      <w:r>
        <w:fldChar w:fldCharType="separate"/>
      </w:r>
      <w:r>
        <w:t>15</w:t>
      </w:r>
      <w:r>
        <w:fldChar w:fldCharType="end"/>
      </w:r>
    </w:p>
    <w:p>
      <w:pPr>
        <w:pStyle w:val="TOC8"/>
        <w:rPr>
          <w:rFonts w:asciiTheme="minorHAnsi" w:eastAsiaTheme="minorEastAsia" w:hAnsiTheme="minorHAnsi" w:cstheme="minorBidi"/>
          <w:szCs w:val="22"/>
        </w:rPr>
      </w:pPr>
      <w:r>
        <w:t>4.</w:t>
      </w:r>
      <w:r>
        <w:tab/>
        <w:t>Acts of acting president</w:t>
      </w:r>
      <w:r>
        <w:tab/>
      </w:r>
      <w:r>
        <w:fldChar w:fldCharType="begin"/>
      </w:r>
      <w:r>
        <w:instrText xml:space="preserve"> PAGEREF _Toc198905984 \h </w:instrText>
      </w:r>
      <w:r>
        <w:fldChar w:fldCharType="separate"/>
      </w:r>
      <w:r>
        <w:t>15</w:t>
      </w:r>
      <w:r>
        <w:fldChar w:fldCharType="end"/>
      </w:r>
    </w:p>
    <w:p>
      <w:pPr>
        <w:pStyle w:val="TOC8"/>
        <w:rPr>
          <w:rFonts w:asciiTheme="minorHAnsi" w:eastAsiaTheme="minorEastAsia" w:hAnsiTheme="minorHAnsi" w:cstheme="minorBidi"/>
          <w:szCs w:val="22"/>
        </w:rPr>
      </w:pPr>
      <w:r>
        <w:t>5.</w:t>
      </w:r>
      <w:r>
        <w:tab/>
        <w:t>President to preside</w:t>
      </w:r>
      <w:r>
        <w:tab/>
      </w:r>
      <w:r>
        <w:fldChar w:fldCharType="begin"/>
      </w:r>
      <w:r>
        <w:instrText xml:space="preserve"> PAGEREF _Toc198905985 \h </w:instrText>
      </w:r>
      <w:r>
        <w:fldChar w:fldCharType="separate"/>
      </w:r>
      <w:r>
        <w:t>16</w:t>
      </w:r>
      <w:r>
        <w:fldChar w:fldCharType="end"/>
      </w:r>
    </w:p>
    <w:p>
      <w:pPr>
        <w:pStyle w:val="TOC8"/>
        <w:rPr>
          <w:rFonts w:asciiTheme="minorHAnsi" w:eastAsiaTheme="minorEastAsia" w:hAnsiTheme="minorHAnsi" w:cstheme="minorBidi"/>
          <w:szCs w:val="22"/>
        </w:rPr>
      </w:pPr>
      <w:r>
        <w:t>6.</w:t>
      </w:r>
      <w:r>
        <w:tab/>
        <w:t>Use of seal</w:t>
      </w:r>
      <w:r>
        <w:tab/>
      </w:r>
      <w:r>
        <w:fldChar w:fldCharType="begin"/>
      </w:r>
      <w:r>
        <w:instrText xml:space="preserve"> PAGEREF _Toc198905986 \h </w:instrText>
      </w:r>
      <w:r>
        <w:fldChar w:fldCharType="separate"/>
      </w:r>
      <w:r>
        <w:t>16</w:t>
      </w:r>
      <w:r>
        <w:fldChar w:fldCharType="end"/>
      </w:r>
    </w:p>
    <w:p>
      <w:pPr>
        <w:pStyle w:val="TOC8"/>
        <w:rPr>
          <w:rFonts w:asciiTheme="minorHAnsi" w:eastAsiaTheme="minorEastAsia" w:hAnsiTheme="minorHAnsi" w:cstheme="minorBidi"/>
          <w:szCs w:val="22"/>
        </w:rPr>
      </w:pPr>
      <w:r>
        <w:t>7.</w:t>
      </w:r>
      <w:r>
        <w:tab/>
        <w:t>Register of applications</w:t>
      </w:r>
      <w:r>
        <w:tab/>
      </w:r>
      <w:r>
        <w:fldChar w:fldCharType="begin"/>
      </w:r>
      <w:r>
        <w:instrText xml:space="preserve"> PAGEREF _Toc198905987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_Toc198905989 \h </w:instrText>
      </w:r>
      <w:r>
        <w:fldChar w:fldCharType="separate"/>
      </w:r>
      <w:r>
        <w:t>17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_Toc198905990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800"/>
      </w:pPr>
      <w:r>
        <w:t>Gender Reassignment Act 2000</w:t>
      </w:r>
    </w:p>
    <w:p>
      <w:pPr>
        <w:pStyle w:val="LongTitle"/>
      </w:pPr>
      <w:r>
        <w:t xml:space="preserve">An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1</w:t>
      </w:r>
      <w:r>
        <w:t xml:space="preserve"> to promote equality of opportunity, and provide remedies in respect of discrimination, on gender history grounds in certain cases; and for connected purposes.</w:t>
      </w:r>
    </w:p>
    <w:p>
      <w:pPr>
        <w:pStyle w:val="Footnotelongtitle"/>
      </w:pPr>
      <w:r>
        <w:tab/>
        <w:t>[Long title amended: No. 74 of 2003 s. 61(2).]</w:t>
      </w:r>
    </w:p>
    <w:p>
      <w:pPr>
        <w:pStyle w:val="Heading2"/>
      </w:pPr>
      <w:bookmarkStart w:id="3" w:name="_Toc198899589"/>
      <w:bookmarkStart w:id="4" w:name="_Toc198900552"/>
      <w:bookmarkStart w:id="5" w:name="_Toc19890595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98905951"/>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rPr>
        <w:t>.</w:t>
      </w:r>
    </w:p>
    <w:p>
      <w:pPr>
        <w:pStyle w:val="Heading5"/>
        <w:rPr>
          <w:snapToGrid w:val="0"/>
        </w:rPr>
      </w:pPr>
      <w:bookmarkStart w:id="7" w:name="_Toc198905952"/>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p>
    <w:p>
      <w:pPr>
        <w:pStyle w:val="Heading5"/>
        <w:rPr>
          <w:snapToGrid w:val="0"/>
        </w:rPr>
      </w:pPr>
      <w:bookmarkStart w:id="8" w:name="_Toc198905953"/>
      <w:r>
        <w:rPr>
          <w:rStyle w:val="CharSectno"/>
        </w:rPr>
        <w:t>3</w:t>
      </w:r>
      <w:r>
        <w:rPr>
          <w:snapToGrid w:val="0"/>
        </w:rPr>
        <w:t>.</w:t>
      </w:r>
      <w:r>
        <w:rPr>
          <w:snapToGrid w:val="0"/>
        </w:rPr>
        <w:tab/>
        <w:t>Terms used</w:t>
      </w:r>
      <w:bookmarkEnd w:id="8"/>
    </w:p>
    <w:p>
      <w:pPr>
        <w:pStyle w:val="Subsection"/>
      </w:pPr>
      <w:r>
        <w:tab/>
      </w:r>
      <w:r>
        <w:tab/>
        <w:t>In this Act, unless the contrary intention appears —</w:t>
      </w:r>
    </w:p>
    <w:p>
      <w:pPr>
        <w:pStyle w:val="Defstart"/>
      </w:pPr>
      <w:r>
        <w:rPr>
          <w:b/>
        </w:rPr>
        <w:tab/>
      </w:r>
      <w:r>
        <w:rPr>
          <w:rStyle w:val="CharDefText"/>
        </w:rPr>
        <w:t>adult</w:t>
      </w:r>
      <w:r>
        <w:rPr>
          <w:b/>
        </w:rPr>
        <w:t xml:space="preserve"> </w:t>
      </w:r>
      <w:r>
        <w:t>means a person of or above the age of 18 years;</w:t>
      </w:r>
    </w:p>
    <w:p>
      <w:pPr>
        <w:pStyle w:val="Defstart"/>
      </w:pPr>
      <w:r>
        <w:rPr>
          <w:b/>
        </w:rPr>
        <w:tab/>
      </w:r>
      <w:r>
        <w:rPr>
          <w:rStyle w:val="CharDefText"/>
        </w:rPr>
        <w:t>Board</w:t>
      </w:r>
      <w:r>
        <w:rPr>
          <w:b/>
        </w:rPr>
        <w:t xml:space="preserve"> </w:t>
      </w:r>
      <w:r>
        <w:t>means the Gender Reassignment Board of Western Australia established by section 5;</w:t>
      </w:r>
    </w:p>
    <w:p>
      <w:pPr>
        <w:pStyle w:val="Defstart"/>
      </w:pPr>
      <w:r>
        <w:rPr>
          <w:b/>
        </w:rPr>
        <w:tab/>
      </w:r>
      <w:r>
        <w:rPr>
          <w:rStyle w:val="CharDefText"/>
        </w:rPr>
        <w:t>child</w:t>
      </w:r>
      <w:r>
        <w:t xml:space="preserve"> means a person under the age of 18 years;</w:t>
      </w:r>
    </w:p>
    <w:p>
      <w:pPr>
        <w:pStyle w:val="Defstart"/>
      </w:pPr>
      <w:r>
        <w:rPr>
          <w:b/>
        </w:rPr>
        <w:tab/>
      </w:r>
      <w:r>
        <w:rPr>
          <w:rStyle w:val="CharDefText"/>
        </w:rPr>
        <w:t>corresponding law</w:t>
      </w:r>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r>
        <w:tab/>
        <w:t>declared by the regulations to be a corresponding law;</w:t>
      </w:r>
    </w:p>
    <w:p>
      <w:pPr>
        <w:pStyle w:val="Defstart"/>
      </w:pPr>
      <w:r>
        <w:tab/>
      </w:r>
      <w:r>
        <w:rPr>
          <w:rStyle w:val="CharDefText"/>
        </w:rPr>
        <w:t>equivalent certificate</w:t>
      </w:r>
      <w:r>
        <w:t xml:space="preserve"> means a certificate issued under a corresponding law that corresponds to a recognition certificate issued under this Act;</w:t>
      </w:r>
    </w:p>
    <w:p>
      <w:pPr>
        <w:pStyle w:val="Defstart"/>
      </w:pPr>
      <w:r>
        <w:rPr>
          <w:b/>
        </w:rPr>
        <w:tab/>
      </w:r>
      <w:r>
        <w:rPr>
          <w:rStyle w:val="CharDefText"/>
        </w:rPr>
        <w:t>gender characteristics</w:t>
      </w:r>
      <w:r>
        <w:t xml:space="preserve"> means the physical characteristics by virtue of which a person is identified as male or female;</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tab/>
      </w:r>
      <w:r>
        <w:rPr>
          <w:rStyle w:val="CharDefText"/>
        </w:rPr>
        <w:t>president</w:t>
      </w:r>
      <w:r>
        <w:t xml:space="preserve"> means the president of the Board;</w:t>
      </w:r>
    </w:p>
    <w:p>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w:t>
      </w:r>
      <w:r>
        <w:lastRenderedPageBreak/>
        <w:t>identified as a person of the opposite sex and includes, in relation to a child, any such procedure (or combination of procedures) to correct or eliminate ambiguities in the child’s gender characteristics;</w:t>
      </w:r>
    </w:p>
    <w:p>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pPr>
        <w:pStyle w:val="Footnotesection"/>
      </w:pPr>
      <w:r>
        <w:tab/>
        <w:t>[Section 3 amended: No. 74 of 2003 s. 61(3); No. 22 of 2008 Sch. 3 cl. 21; No. 35 of 2010 s. 67.]</w:t>
      </w:r>
    </w:p>
    <w:p>
      <w:pPr>
        <w:pStyle w:val="Heading5"/>
      </w:pPr>
      <w:bookmarkStart w:id="9" w:name="_Toc198905954"/>
      <w:r>
        <w:rPr>
          <w:rStyle w:val="CharSectno"/>
        </w:rPr>
        <w:t>4</w:t>
      </w:r>
      <w:r>
        <w:t>.</w:t>
      </w:r>
      <w:r>
        <w:tab/>
        <w:t>Crown bound</w:t>
      </w:r>
      <w:bookmarkEnd w:id="9"/>
    </w:p>
    <w:p>
      <w:pPr>
        <w:pStyle w:val="Subsection"/>
      </w:pPr>
      <w:r>
        <w:tab/>
      </w:r>
      <w:r>
        <w:tab/>
        <w:t>This Act binds the Crown.</w:t>
      </w:r>
    </w:p>
    <w:p>
      <w:pPr>
        <w:pStyle w:val="Heading2"/>
      </w:pPr>
      <w:bookmarkStart w:id="10" w:name="_Toc198899594"/>
      <w:bookmarkStart w:id="11" w:name="_Toc198900557"/>
      <w:bookmarkStart w:id="12" w:name="_Toc198905955"/>
      <w:r>
        <w:rPr>
          <w:rStyle w:val="CharPartNo"/>
        </w:rPr>
        <w:lastRenderedPageBreak/>
        <w:t>Part 2</w:t>
      </w:r>
      <w:r>
        <w:rPr>
          <w:rStyle w:val="CharDivNo"/>
        </w:rPr>
        <w:t> </w:t>
      </w:r>
      <w:r>
        <w:t>—</w:t>
      </w:r>
      <w:r>
        <w:rPr>
          <w:rStyle w:val="CharDivText"/>
        </w:rPr>
        <w:t> </w:t>
      </w:r>
      <w:r>
        <w:rPr>
          <w:rStyle w:val="CharPartText"/>
        </w:rPr>
        <w:t>Gender Reassignment Board</w:t>
      </w:r>
      <w:bookmarkEnd w:id="10"/>
      <w:bookmarkEnd w:id="11"/>
      <w:bookmarkEnd w:id="12"/>
    </w:p>
    <w:p>
      <w:pPr>
        <w:pStyle w:val="Heading5"/>
      </w:pPr>
      <w:bookmarkStart w:id="13" w:name="_Toc198905956"/>
      <w:r>
        <w:rPr>
          <w:rStyle w:val="CharSectno"/>
        </w:rPr>
        <w:t>5</w:t>
      </w:r>
      <w:r>
        <w:t>.</w:t>
      </w:r>
      <w:r>
        <w:tab/>
        <w:t>Establishment and function of Board</w:t>
      </w:r>
      <w:bookmarkEnd w:id="13"/>
    </w:p>
    <w:p>
      <w:pPr>
        <w:pStyle w:val="Subsection"/>
      </w:pPr>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14" w:name="_Toc198905957"/>
      <w:r>
        <w:rPr>
          <w:rStyle w:val="CharSectno"/>
        </w:rPr>
        <w:t>6</w:t>
      </w:r>
      <w:r>
        <w:t>.</w:t>
      </w:r>
      <w:r>
        <w:tab/>
        <w:t>President of Board</w:t>
      </w:r>
      <w:bookmarkEnd w:id="14"/>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is or has been a judge of the Supreme Court, the District Court, or the Family Court of Western Australia, or is or has been a legal practitioner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keepNext/>
      </w:pPr>
      <w:r>
        <w:tab/>
        <w:t>(4)</w:t>
      </w:r>
      <w:r>
        <w:tab/>
        <w:t xml:space="preserve">A person who is a judge of the Supreme Court, the District Court, or the Family Court of Western Australia may be </w:t>
      </w:r>
      <w:r>
        <w:lastRenderedPageBreak/>
        <w:t>appointed to be the acting president of the Board only if he or she has been recommended for appointment by the Chief Justice of Western Australia.</w:t>
      </w:r>
    </w:p>
    <w:p>
      <w:pPr>
        <w:pStyle w:val="Footnotesection"/>
      </w:pPr>
      <w:r>
        <w:tab/>
        <w:t>[Section 6 amended: No. 65 of 2003 s. 39(2); No. 21 of 2008 s. 666; No. 9 of 2022 s. 424.]</w:t>
      </w:r>
    </w:p>
    <w:p>
      <w:pPr>
        <w:pStyle w:val="Heading5"/>
      </w:pPr>
      <w:bookmarkStart w:id="15" w:name="_Toc198905958"/>
      <w:r>
        <w:rPr>
          <w:rStyle w:val="CharSectno"/>
        </w:rPr>
        <w:t>7</w:t>
      </w:r>
      <w:r>
        <w:t>.</w:t>
      </w:r>
      <w:r>
        <w:tab/>
        <w:t>Other Board members</w:t>
      </w:r>
      <w:bookmarkEnd w:id="15"/>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 and</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16" w:name="_Toc198905959"/>
      <w:r>
        <w:rPr>
          <w:rStyle w:val="CharSectno"/>
        </w:rPr>
        <w:t>8</w:t>
      </w:r>
      <w:r>
        <w:t>.</w:t>
      </w:r>
      <w:r>
        <w:tab/>
        <w:t>Arrangement of business</w:t>
      </w:r>
      <w:bookmarkEnd w:id="16"/>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17" w:name="_Toc198905960"/>
      <w:r>
        <w:rPr>
          <w:rStyle w:val="CharSectno"/>
        </w:rPr>
        <w:t>9</w:t>
      </w:r>
      <w:r>
        <w:t>.</w:t>
      </w:r>
      <w:r>
        <w:tab/>
        <w:t>Remuneration and allowances of members</w:t>
      </w:r>
      <w:bookmarkEnd w:id="17"/>
    </w:p>
    <w:p>
      <w:pPr>
        <w:pStyle w:val="Subsection"/>
      </w:pPr>
      <w:r>
        <w:tab/>
        <w:t>(1)</w:t>
      </w:r>
      <w:r>
        <w:tab/>
        <w:t>Subject to subsection (2), a member may be paid such remuneration and travelling and other allowances as the Minister from time to time determines, on the recommendation of the Public Sector Commissioner.</w:t>
      </w:r>
    </w:p>
    <w:p>
      <w:pPr>
        <w:pStyle w:val="Subsection"/>
        <w:keepNext/>
      </w:pPr>
      <w:r>
        <w:lastRenderedPageBreak/>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pPr>
        <w:pStyle w:val="Footnotesection"/>
      </w:pPr>
      <w:r>
        <w:tab/>
        <w:t>[Section 9 amended: No. 39 of 2010 s. 89.]</w:t>
      </w:r>
    </w:p>
    <w:p>
      <w:pPr>
        <w:pStyle w:val="Heading5"/>
      </w:pPr>
      <w:bookmarkStart w:id="18" w:name="_Toc198905961"/>
      <w:r>
        <w:rPr>
          <w:rStyle w:val="CharSectno"/>
        </w:rPr>
        <w:t>10</w:t>
      </w:r>
      <w:r>
        <w:t>.</w:t>
      </w:r>
      <w:r>
        <w:tab/>
        <w:t>Practice directions</w:t>
      </w:r>
      <w:bookmarkEnd w:id="18"/>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19" w:name="_Toc198905962"/>
      <w:r>
        <w:rPr>
          <w:rStyle w:val="CharSectno"/>
        </w:rPr>
        <w:t>11</w:t>
      </w:r>
      <w:r>
        <w:t>.</w:t>
      </w:r>
      <w:r>
        <w:tab/>
        <w:t>Executive officer and other officers</w:t>
      </w:r>
      <w:bookmarkEnd w:id="19"/>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20" w:name="_Toc198905963"/>
      <w:r>
        <w:rPr>
          <w:rStyle w:val="CharSectno"/>
        </w:rPr>
        <w:t>12</w:t>
      </w:r>
      <w:r>
        <w:t>.</w:t>
      </w:r>
      <w:r>
        <w:tab/>
        <w:t>Judicial notice of seal and signatures</w:t>
      </w:r>
      <w:bookmarkEnd w:id="20"/>
    </w:p>
    <w:p>
      <w:pPr>
        <w:pStyle w:val="Subsection"/>
      </w:pPr>
      <w:r>
        <w:tab/>
      </w:r>
      <w:r>
        <w:tab/>
        <w:t>All courts, judges and persons acting judicially shall take judicial notice of —</w:t>
      </w:r>
    </w:p>
    <w:p>
      <w:pPr>
        <w:pStyle w:val="Indenta"/>
      </w:pPr>
      <w:r>
        <w:tab/>
        <w:t>(a)</w:t>
      </w:r>
      <w:r>
        <w:tab/>
        <w:t>the seal of the Board; and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21" w:name="_Toc198905964"/>
      <w:r>
        <w:rPr>
          <w:rStyle w:val="CharSectno"/>
        </w:rPr>
        <w:lastRenderedPageBreak/>
        <w:t>13</w:t>
      </w:r>
      <w:r>
        <w:t>.</w:t>
      </w:r>
      <w:r>
        <w:tab/>
        <w:t>Annual report</w:t>
      </w:r>
      <w:bookmarkEnd w:id="21"/>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22" w:name="_Toc198899604"/>
      <w:bookmarkStart w:id="23" w:name="_Toc198900567"/>
      <w:bookmarkStart w:id="24" w:name="_Toc198905965"/>
      <w:r>
        <w:rPr>
          <w:rStyle w:val="CharPartNo"/>
        </w:rPr>
        <w:lastRenderedPageBreak/>
        <w:t>Part 3</w:t>
      </w:r>
      <w:r>
        <w:rPr>
          <w:rStyle w:val="CharDivNo"/>
        </w:rPr>
        <w:t> </w:t>
      </w:r>
      <w:r>
        <w:t>—</w:t>
      </w:r>
      <w:r>
        <w:rPr>
          <w:rStyle w:val="CharDivText"/>
        </w:rPr>
        <w:t> </w:t>
      </w:r>
      <w:r>
        <w:rPr>
          <w:rStyle w:val="CharPartText"/>
        </w:rPr>
        <w:t>Recognition certificates</w:t>
      </w:r>
      <w:bookmarkEnd w:id="22"/>
      <w:bookmarkEnd w:id="23"/>
      <w:bookmarkEnd w:id="24"/>
    </w:p>
    <w:p>
      <w:pPr>
        <w:pStyle w:val="Heading5"/>
      </w:pPr>
      <w:bookmarkStart w:id="25" w:name="_Toc198905966"/>
      <w:r>
        <w:rPr>
          <w:rStyle w:val="CharSectno"/>
        </w:rPr>
        <w:t>14</w:t>
      </w:r>
      <w:r>
        <w:t>.</w:t>
      </w:r>
      <w:r>
        <w:tab/>
        <w:t>Applications for recognition certificates</w:t>
      </w:r>
      <w:bookmarkEnd w:id="25"/>
    </w:p>
    <w:p>
      <w:pPr>
        <w:pStyle w:val="Subsection"/>
      </w:pPr>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26" w:name="_Toc198905967"/>
      <w:r>
        <w:rPr>
          <w:rStyle w:val="CharSectno"/>
        </w:rPr>
        <w:lastRenderedPageBreak/>
        <w:t>15</w:t>
      </w:r>
      <w:r>
        <w:t>.</w:t>
      </w:r>
      <w:r>
        <w:tab/>
        <w:t>Issue of recognition certificates</w:t>
      </w:r>
      <w:bookmarkEnd w:id="26"/>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 and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keepNext/>
      </w:pPr>
      <w:r>
        <w:lastRenderedPageBreak/>
        <w:tab/>
        <w:t>(b)</w:t>
      </w:r>
      <w:r>
        <w:tab/>
        <w:t>the Board is satisfied that it is in the best interests of the child that the certificate be issued.</w:t>
      </w:r>
    </w:p>
    <w:p>
      <w:pPr>
        <w:pStyle w:val="Ednotesubsection"/>
      </w:pPr>
      <w:r>
        <w:tab/>
        <w:t>[(3)</w:t>
      </w:r>
      <w:r>
        <w:tab/>
        <w:t>deleted]</w:t>
      </w:r>
    </w:p>
    <w:p>
      <w:pPr>
        <w:pStyle w:val="Footnotesection"/>
      </w:pPr>
      <w:r>
        <w:tab/>
        <w:t>[Section 15 amended: No. 1 of 2019 s. 4.]</w:t>
      </w:r>
    </w:p>
    <w:p>
      <w:pPr>
        <w:pStyle w:val="Heading5"/>
      </w:pPr>
      <w:bookmarkStart w:id="27" w:name="_Toc198905968"/>
      <w:r>
        <w:rPr>
          <w:rStyle w:val="CharSectno"/>
        </w:rPr>
        <w:t>16</w:t>
      </w:r>
      <w:r>
        <w:t>.</w:t>
      </w:r>
      <w:r>
        <w:tab/>
        <w:t>Effect of recognition certificate</w:t>
      </w:r>
      <w:bookmarkEnd w:id="27"/>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28" w:name="_Toc198905969"/>
      <w:r>
        <w:rPr>
          <w:rStyle w:val="CharSectno"/>
        </w:rPr>
        <w:t>17</w:t>
      </w:r>
      <w:r>
        <w:t>.</w:t>
      </w:r>
      <w:r>
        <w:tab/>
        <w:t>Registration of certificates</w:t>
      </w:r>
      <w:bookmarkEnd w:id="28"/>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lastRenderedPageBreak/>
        <w:tab/>
        <w:t>(3)</w:t>
      </w:r>
      <w:r>
        <w:tab/>
        <w:t>A certificate produced to the Registrar under this section must be accompanied by an application in a form approved by the Registrar and by the prescribed fee.</w:t>
      </w:r>
    </w:p>
    <w:p>
      <w:pPr>
        <w:pStyle w:val="Footnotesection"/>
      </w:pPr>
      <w:r>
        <w:tab/>
        <w:t>[Section 17 amended: No. 74 of 2003 s. 61(4); No. 55 of 2004 s. 414.]</w:t>
      </w:r>
    </w:p>
    <w:p>
      <w:pPr>
        <w:pStyle w:val="Heading5"/>
      </w:pPr>
      <w:bookmarkStart w:id="29" w:name="_Toc198905970"/>
      <w:r>
        <w:rPr>
          <w:rStyle w:val="CharSectno"/>
        </w:rPr>
        <w:t>18</w:t>
      </w:r>
      <w:r>
        <w:t>.</w:t>
      </w:r>
      <w:r>
        <w:tab/>
        <w:t>Issuing of new birth certificate</w:t>
      </w:r>
      <w:bookmarkEnd w:id="29"/>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 No. 74 of 2003 s. 61(4).]</w:t>
      </w:r>
    </w:p>
    <w:p>
      <w:pPr>
        <w:pStyle w:val="Heading5"/>
      </w:pPr>
      <w:bookmarkStart w:id="30" w:name="_Toc198905971"/>
      <w:r>
        <w:rPr>
          <w:rStyle w:val="CharSectno"/>
        </w:rPr>
        <w:t>19</w:t>
      </w:r>
      <w:r>
        <w:t>.</w:t>
      </w:r>
      <w:r>
        <w:tab/>
        <w:t>Cancellation of fraudulent recognition certificates</w:t>
      </w:r>
      <w:bookmarkEnd w:id="30"/>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31" w:name="_Toc198899611"/>
      <w:bookmarkStart w:id="32" w:name="_Toc198900574"/>
      <w:bookmarkStart w:id="33" w:name="_Toc198905972"/>
      <w:r>
        <w:rPr>
          <w:rStyle w:val="CharPartNo"/>
        </w:rPr>
        <w:lastRenderedPageBreak/>
        <w:t>Part 4</w:t>
      </w:r>
      <w:r>
        <w:rPr>
          <w:rStyle w:val="CharDivNo"/>
        </w:rPr>
        <w:t> </w:t>
      </w:r>
      <w:r>
        <w:t>—</w:t>
      </w:r>
      <w:r>
        <w:rPr>
          <w:rStyle w:val="CharDivText"/>
        </w:rPr>
        <w:t> </w:t>
      </w:r>
      <w:r>
        <w:rPr>
          <w:rStyle w:val="CharPartText"/>
        </w:rPr>
        <w:t>Miscellaneous</w:t>
      </w:r>
      <w:bookmarkEnd w:id="31"/>
      <w:bookmarkEnd w:id="32"/>
      <w:bookmarkEnd w:id="33"/>
    </w:p>
    <w:p>
      <w:pPr>
        <w:pStyle w:val="Heading5"/>
      </w:pPr>
      <w:bookmarkStart w:id="34" w:name="_Toc198905973"/>
      <w:r>
        <w:rPr>
          <w:rStyle w:val="CharSectno"/>
        </w:rPr>
        <w:t>20</w:t>
      </w:r>
      <w:r>
        <w:t>.</w:t>
      </w:r>
      <w:r>
        <w:tab/>
        <w:t>Issue of replacement qualification certificates</w:t>
      </w:r>
      <w:bookmarkEnd w:id="34"/>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pPr>
        <w:pStyle w:val="Defpara"/>
      </w:pPr>
      <w:r>
        <w:tab/>
        <w:t>(a)</w:t>
      </w:r>
      <w:r>
        <w:tab/>
        <w:t>the practice of a profession; or</w:t>
      </w:r>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r>
        <w:rPr>
          <w:rStyle w:val="CharDefText"/>
        </w:rPr>
        <w:t>gender reassigned person</w:t>
      </w:r>
      <w:r>
        <w:t xml:space="preserve"> means a person who has been issued with a recognition certificate or an equivalent certificate;</w:t>
      </w:r>
    </w:p>
    <w:p>
      <w:pPr>
        <w:pStyle w:val="Defstart"/>
      </w:pPr>
      <w:r>
        <w:lastRenderedPageBreak/>
        <w:tab/>
      </w:r>
      <w:r>
        <w:rPr>
          <w:rStyle w:val="CharDefText"/>
        </w:rPr>
        <w:t>issuing authority</w:t>
      </w:r>
      <w:r>
        <w:t>, in relation to a certificate of qualification, means the authority that issued the certificate or a successor to that authority.</w:t>
      </w:r>
    </w:p>
    <w:p>
      <w:pPr>
        <w:pStyle w:val="Heading5"/>
      </w:pPr>
      <w:bookmarkStart w:id="35" w:name="_Toc198905974"/>
      <w:r>
        <w:rPr>
          <w:rStyle w:val="CharSectno"/>
        </w:rPr>
        <w:t>21</w:t>
      </w:r>
      <w:r>
        <w:t>.</w:t>
      </w:r>
      <w:r>
        <w:tab/>
        <w:t>Review by SAT</w:t>
      </w:r>
      <w:bookmarkEnd w:id="35"/>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pPr>
      <w:r>
        <w:tab/>
        <w:t>[(2)</w:t>
      </w:r>
      <w:r>
        <w:tab/>
        <w:t>deleted]</w:t>
      </w:r>
    </w:p>
    <w:p>
      <w:pPr>
        <w:pStyle w:val="Footnotesection"/>
      </w:pPr>
      <w:r>
        <w:tab/>
        <w:t>[Section 21 amended: No. 55 of 2004 s. 415.]</w:t>
      </w:r>
    </w:p>
    <w:p>
      <w:pPr>
        <w:pStyle w:val="Heading5"/>
      </w:pPr>
      <w:bookmarkStart w:id="36" w:name="_Toc198905975"/>
      <w:r>
        <w:rPr>
          <w:rStyle w:val="CharSectno"/>
        </w:rPr>
        <w:t>22</w:t>
      </w:r>
      <w:r>
        <w:t>.</w:t>
      </w:r>
      <w:r>
        <w:tab/>
        <w:t>Confidentiality</w:t>
      </w:r>
      <w:bookmarkEnd w:id="36"/>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 No. 50 of 2003 s. 67(2).]</w:t>
      </w:r>
    </w:p>
    <w:p>
      <w:pPr>
        <w:pStyle w:val="Heading5"/>
      </w:pPr>
      <w:bookmarkStart w:id="37" w:name="_Toc198905976"/>
      <w:r>
        <w:rPr>
          <w:rStyle w:val="CharSectno"/>
        </w:rPr>
        <w:t>23</w:t>
      </w:r>
      <w:r>
        <w:t>.</w:t>
      </w:r>
      <w:r>
        <w:tab/>
        <w:t>False or misleading statements</w:t>
      </w:r>
      <w:bookmarkEnd w:id="37"/>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 No. 50 of 2003 s. 67(2).]</w:t>
      </w:r>
    </w:p>
    <w:p>
      <w:pPr>
        <w:pStyle w:val="Heading5"/>
      </w:pPr>
      <w:bookmarkStart w:id="38" w:name="_Toc198905977"/>
      <w:r>
        <w:rPr>
          <w:rStyle w:val="CharSectno"/>
        </w:rPr>
        <w:lastRenderedPageBreak/>
        <w:t>24</w:t>
      </w:r>
      <w:r>
        <w:t>.</w:t>
      </w:r>
      <w:r>
        <w:tab/>
        <w:t>Offences</w:t>
      </w:r>
      <w:bookmarkEnd w:id="38"/>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39" w:name="_Toc198905978"/>
      <w:r>
        <w:rPr>
          <w:rStyle w:val="CharSectno"/>
        </w:rPr>
        <w:t>25</w:t>
      </w:r>
      <w:r>
        <w:t>.</w:t>
      </w:r>
      <w:r>
        <w:tab/>
        <w:t>Age</w:t>
      </w:r>
      <w:bookmarkEnd w:id="39"/>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40" w:name="_Toc198905979"/>
      <w:r>
        <w:rPr>
          <w:rStyle w:val="CharSectno"/>
        </w:rPr>
        <w:t>26</w:t>
      </w:r>
      <w:r>
        <w:t>.</w:t>
      </w:r>
      <w:r>
        <w:tab/>
        <w:t>Regulations</w:t>
      </w:r>
      <w:bookmarkEnd w:id="40"/>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 and</w:t>
      </w:r>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Omitted under the Reprints Act 1984 s. 7(4)(g).]</w:t>
      </w:r>
    </w:p>
    <w:p>
      <w:pPr>
        <w:pStyle w:val="Ednotesection"/>
      </w:pPr>
      <w:r>
        <w:t>[</w:t>
      </w:r>
      <w:r>
        <w:rPr>
          <w:b/>
          <w:bCs/>
        </w:rPr>
        <w:t>28, 29.</w:t>
      </w:r>
      <w:r>
        <w:tab/>
        <w:t>Omitted under the Reprints Act 1984 s. 7(4)(e).]</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41" w:name="_Toc198899619"/>
      <w:bookmarkStart w:id="42" w:name="_Toc198900582"/>
      <w:bookmarkStart w:id="43" w:name="_Toc198905980"/>
      <w:r>
        <w:rPr>
          <w:rStyle w:val="CharSchNo"/>
        </w:rPr>
        <w:lastRenderedPageBreak/>
        <w:t>Schedule 1</w:t>
      </w:r>
      <w:r>
        <w:t> — </w:t>
      </w:r>
      <w:r>
        <w:rPr>
          <w:rStyle w:val="CharSchText"/>
        </w:rPr>
        <w:t>Constitution and proceedings of the Board</w:t>
      </w:r>
      <w:bookmarkEnd w:id="41"/>
      <w:bookmarkEnd w:id="42"/>
      <w:bookmarkEnd w:id="43"/>
    </w:p>
    <w:p>
      <w:pPr>
        <w:pStyle w:val="yShoulderClause"/>
      </w:pPr>
      <w:r>
        <w:t>[Section 5]</w:t>
      </w:r>
    </w:p>
    <w:p>
      <w:pPr>
        <w:pStyle w:val="yHeading5"/>
        <w:outlineLvl w:val="9"/>
      </w:pPr>
      <w:bookmarkStart w:id="44" w:name="_Toc198905981"/>
      <w:r>
        <w:rPr>
          <w:rStyle w:val="CharSClsNo"/>
        </w:rPr>
        <w:t>1</w:t>
      </w:r>
      <w:r>
        <w:t>.</w:t>
      </w:r>
      <w:r>
        <w:tab/>
        <w:t>Term of office</w:t>
      </w:r>
      <w:bookmarkEnd w:id="44"/>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outlineLvl w:val="9"/>
      </w:pPr>
      <w:bookmarkStart w:id="45" w:name="_Toc198905982"/>
      <w:r>
        <w:rPr>
          <w:rStyle w:val="CharSClsNo"/>
        </w:rPr>
        <w:t>2</w:t>
      </w:r>
      <w:r>
        <w:t>.</w:t>
      </w:r>
      <w:r>
        <w:tab/>
        <w:t>Resignation and removal</w:t>
      </w:r>
      <w:bookmarkEnd w:id="45"/>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outlineLvl w:val="9"/>
      </w:pPr>
      <w:bookmarkStart w:id="46" w:name="_Toc198905983"/>
      <w:r>
        <w:rPr>
          <w:rStyle w:val="CharSClsNo"/>
        </w:rPr>
        <w:t>3</w:t>
      </w:r>
      <w:r>
        <w:t>.</w:t>
      </w:r>
      <w:r>
        <w:tab/>
        <w:t>Leave of absence</w:t>
      </w:r>
      <w:bookmarkEnd w:id="46"/>
    </w:p>
    <w:p>
      <w:pPr>
        <w:pStyle w:val="ySubsection"/>
      </w:pPr>
      <w:r>
        <w:tab/>
      </w:r>
      <w:r>
        <w:tab/>
        <w:t>The Minister may grant leave of absence to a member on such terms and conditions as the Minister thinks fit.</w:t>
      </w:r>
    </w:p>
    <w:p>
      <w:pPr>
        <w:pStyle w:val="yHeading5"/>
        <w:outlineLvl w:val="9"/>
      </w:pPr>
      <w:bookmarkStart w:id="47" w:name="_Toc198905984"/>
      <w:r>
        <w:rPr>
          <w:rStyle w:val="CharSClsNo"/>
        </w:rPr>
        <w:t>4</w:t>
      </w:r>
      <w:r>
        <w:t>.</w:t>
      </w:r>
      <w:r>
        <w:tab/>
        <w:t>Acts of acting president</w:t>
      </w:r>
      <w:bookmarkEnd w:id="47"/>
    </w:p>
    <w:p>
      <w:pPr>
        <w:pStyle w:val="ySubsection"/>
      </w:pPr>
      <w:r>
        <w:tab/>
      </w:r>
      <w:r>
        <w:tab/>
        <w:t>No act or omission of a person acting as president under this Act shall be questioned on the ground that the occasion for that acting had not arisen or had ceased.</w:t>
      </w:r>
    </w:p>
    <w:p>
      <w:pPr>
        <w:pStyle w:val="yHeading5"/>
        <w:outlineLvl w:val="9"/>
      </w:pPr>
      <w:bookmarkStart w:id="48" w:name="_Toc198905985"/>
      <w:r>
        <w:rPr>
          <w:rStyle w:val="CharSClsNo"/>
        </w:rPr>
        <w:lastRenderedPageBreak/>
        <w:t>5</w:t>
      </w:r>
      <w:r>
        <w:t>.</w:t>
      </w:r>
      <w:r>
        <w:tab/>
        <w:t>President to preside</w:t>
      </w:r>
      <w:bookmarkEnd w:id="48"/>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outlineLvl w:val="9"/>
      </w:pPr>
      <w:bookmarkStart w:id="49" w:name="_Toc198905986"/>
      <w:r>
        <w:rPr>
          <w:rStyle w:val="CharSClsNo"/>
        </w:rPr>
        <w:t>6</w:t>
      </w:r>
      <w:r>
        <w:t>.</w:t>
      </w:r>
      <w:r>
        <w:tab/>
        <w:t>Use of seal</w:t>
      </w:r>
      <w:bookmarkEnd w:id="49"/>
    </w:p>
    <w:p>
      <w:pPr>
        <w:pStyle w:val="ySubsection"/>
      </w:pPr>
      <w:r>
        <w:tab/>
        <w:t>(1)</w:t>
      </w:r>
      <w:r>
        <w:tab/>
        <w:t>The seal of the Board is to be —</w:t>
      </w:r>
    </w:p>
    <w:p>
      <w:pPr>
        <w:pStyle w:val="yIndenta"/>
      </w:pPr>
      <w:r>
        <w:tab/>
        <w:t>(a)</w:t>
      </w:r>
      <w:r>
        <w:tab/>
        <w:t>in a form determined by the Board; and</w:t>
      </w:r>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outlineLvl w:val="9"/>
      </w:pPr>
      <w:bookmarkStart w:id="50" w:name="_Toc198905987"/>
      <w:r>
        <w:rPr>
          <w:rStyle w:val="CharSClsNo"/>
        </w:rPr>
        <w:t>7</w:t>
      </w:r>
      <w:r>
        <w:t>.</w:t>
      </w:r>
      <w:r>
        <w:tab/>
        <w:t>Register of applications</w:t>
      </w:r>
      <w:bookmarkEnd w:id="50"/>
    </w:p>
    <w:p>
      <w:pPr>
        <w:pStyle w:val="ySubsection"/>
      </w:pPr>
      <w:r>
        <w:tab/>
      </w:r>
      <w:r>
        <w:tab/>
        <w:t>The executive officer is to keep a register in a form approved by the Board containing particulars of all applications for recognition certificates and the determination of those applications.</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52" w:name="_Toc198899627"/>
      <w:bookmarkStart w:id="53" w:name="_Toc198900590"/>
      <w:bookmarkStart w:id="54" w:name="_Toc198905988"/>
      <w:r>
        <w:lastRenderedPageBreak/>
        <w:t>Notes</w:t>
      </w:r>
      <w:bookmarkEnd w:id="52"/>
      <w:bookmarkEnd w:id="53"/>
      <w:bookmarkEnd w:id="54"/>
    </w:p>
    <w:p>
      <w:pPr>
        <w:pStyle w:val="nStatement"/>
      </w:pPr>
      <w:r>
        <w:t xml:space="preserve">This is a compilation of the </w:t>
      </w:r>
      <w:r>
        <w:rPr>
          <w:i/>
          <w:noProof/>
        </w:rPr>
        <w:t>Gender Reassignment Act 2000</w:t>
      </w:r>
      <w:r>
        <w:t xml:space="preserve"> and includes amendments made by other written laws. For provisions that have come into operation, and for information about any reprints, see the compilation table. </w:t>
      </w:r>
    </w:p>
    <w:p>
      <w:pPr>
        <w:pStyle w:val="nHeading3"/>
      </w:pPr>
      <w:bookmarkStart w:id="55" w:name="_Toc198905989"/>
      <w:r>
        <w:t>Compilation table</w:t>
      </w:r>
      <w:bookmarkEnd w:id="5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after="40"/>
            </w:pPr>
            <w:r>
              <w:rPr>
                <w:i/>
              </w:rPr>
              <w:t>Gender Reassignment Act 2000</w:t>
            </w:r>
          </w:p>
        </w:tc>
        <w:tc>
          <w:tcPr>
            <w:tcW w:w="1134" w:type="dxa"/>
            <w:tcBorders>
              <w:top w:val="single" w:sz="4" w:space="0" w:color="auto"/>
            </w:tcBorders>
          </w:tcPr>
          <w:p>
            <w:pPr>
              <w:pStyle w:val="nTable"/>
              <w:spacing w:after="40"/>
            </w:pPr>
            <w:r>
              <w:t>2 of 2000</w:t>
            </w:r>
          </w:p>
        </w:tc>
        <w:tc>
          <w:tcPr>
            <w:tcW w:w="1134" w:type="dxa"/>
            <w:tcBorders>
              <w:top w:val="single" w:sz="4" w:space="0" w:color="auto"/>
            </w:tcBorders>
          </w:tcPr>
          <w:p>
            <w:pPr>
              <w:pStyle w:val="nTable"/>
              <w:spacing w:after="40"/>
            </w:pPr>
            <w:r>
              <w:t>12 Apr 2000</w:t>
            </w:r>
          </w:p>
        </w:tc>
        <w:tc>
          <w:tcPr>
            <w:tcW w:w="2552" w:type="dxa"/>
            <w:tcBorders>
              <w:top w:val="single" w:sz="4" w:space="0" w:color="auto"/>
            </w:tcBorders>
          </w:tcPr>
          <w:p>
            <w:pPr>
              <w:pStyle w:val="nTable"/>
              <w:spacing w:after="40"/>
            </w:pPr>
            <w:r>
              <w:t>s. 1 and 2: 12 Apr 2000;</w:t>
            </w:r>
            <w:r>
              <w:br/>
              <w:t xml:space="preserve">Act other than s. 1 and 2: 19 Dec 2001 (see s. 2 and </w:t>
            </w:r>
            <w:r>
              <w:rPr>
                <w:i/>
              </w:rPr>
              <w:t>Gazette</w:t>
            </w:r>
            <w:r>
              <w:t xml:space="preserve"> 18 Dec 2001 p. 6489)</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67</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 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and Repeal (Courts and Legal Practice) Act 2003</w:t>
            </w:r>
            <w:r>
              <w:t xml:space="preserve"> s. 39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Statutes (Repeals and Minor Amendments) Act 2003</w:t>
            </w:r>
            <w:r>
              <w:t xml:space="preserve"> s. 61</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rPr>
              <w:t>State Administrative Tribunal (Conferral of Jurisdiction) Amendment and Repeal Act 2004</w:t>
            </w:r>
            <w:r>
              <w:rPr>
                <w:iCs/>
              </w:rPr>
              <w:t xml:space="preserve"> Pt. 2 Div. 55</w:t>
            </w:r>
            <w:r>
              <w:rPr>
                <w:iCs/>
                <w:vertAlign w:val="superscript"/>
              </w:rPr>
              <w:t xml:space="preserve"> 2</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bCs/>
                <w:spacing w:val="-2"/>
              </w:rPr>
              <w:t xml:space="preserve">Reprint 1: The </w:t>
            </w:r>
            <w:r>
              <w:rPr>
                <w:b/>
                <w:bCs/>
                <w:i/>
              </w:rPr>
              <w:t>Gender Reassignment Act 2000</w:t>
            </w:r>
            <w:r>
              <w:rPr>
                <w:b/>
                <w:bCs/>
                <w:spacing w:val="-2"/>
              </w:rPr>
              <w:t xml:space="preserve"> as at 10 Feb 2006</w:t>
            </w:r>
            <w:r>
              <w:rPr>
                <w:spacing w:val="-2"/>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Legal Profession Act 2008</w:t>
            </w:r>
            <w:r>
              <w:rPr>
                <w:snapToGrid w:val="0"/>
              </w:rPr>
              <w:t xml:space="preserve"> s. 666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napToGrid w:val="0"/>
              </w:rPr>
              <w:t>Medical Practitioners Act 2008</w:t>
            </w:r>
            <w:r>
              <w:t xml:space="preserve"> Sch. 3 cl. 21</w:t>
            </w:r>
          </w:p>
        </w:tc>
        <w:tc>
          <w:tcPr>
            <w:tcW w:w="1134" w:type="dxa"/>
          </w:tcPr>
          <w:p>
            <w:pPr>
              <w:pStyle w:val="nTable"/>
              <w:spacing w:after="40"/>
            </w:pPr>
            <w:r>
              <w:t>22 of 2008</w:t>
            </w:r>
          </w:p>
        </w:tc>
        <w:tc>
          <w:tcPr>
            <w:tcW w:w="1134" w:type="dxa"/>
          </w:tcPr>
          <w:p>
            <w:pPr>
              <w:pStyle w:val="nTable"/>
              <w:spacing w:after="40"/>
            </w:pPr>
            <w:r>
              <w:t>27 May 2008</w:t>
            </w:r>
          </w:p>
        </w:tc>
        <w:tc>
          <w:tcPr>
            <w:tcW w:w="2552" w:type="dxa"/>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Health Practitioner Regulation National Law (WA) Act 2010 </w:t>
            </w:r>
            <w:r>
              <w:rPr>
                <w:iCs/>
                <w:snapToGrid w:val="0"/>
              </w:rPr>
              <w:t>Pt. 5 Div. 21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4" w:type="dxa"/>
            <w:shd w:val="clear" w:color="auto" w:fill="auto"/>
          </w:tcPr>
          <w:p>
            <w:pPr>
              <w:pStyle w:val="nTable"/>
              <w:spacing w:after="40"/>
              <w:rPr>
                <w:snapToGrid w:val="0"/>
              </w:rPr>
            </w:pPr>
            <w:r>
              <w:rPr>
                <w:snapToGrid w:val="0"/>
              </w:rPr>
              <w:t>1 Oct 2010</w:t>
            </w:r>
          </w:p>
        </w:tc>
        <w:tc>
          <w:tcPr>
            <w:tcW w:w="2552"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rPr>
            </w:pPr>
            <w:r>
              <w:rPr>
                <w:b/>
                <w:bCs/>
                <w:spacing w:val="-2"/>
              </w:rPr>
              <w:t xml:space="preserve">Reprint 2: The </w:t>
            </w:r>
            <w:r>
              <w:rPr>
                <w:b/>
                <w:bCs/>
                <w:i/>
              </w:rPr>
              <w:t>Gender Reassignment Act 2000</w:t>
            </w:r>
            <w:r>
              <w:rPr>
                <w:b/>
                <w:bCs/>
                <w:spacing w:val="-2"/>
              </w:rPr>
              <w:t xml:space="preserve"> as at 6 Dec 2013</w:t>
            </w:r>
            <w:r>
              <w:rPr>
                <w:spacing w:val="-2"/>
              </w:rPr>
              <w:t xml:space="preserve"> (includes amendments listed above)</w:t>
            </w:r>
          </w:p>
        </w:tc>
      </w:tr>
      <w:tr>
        <w:tc>
          <w:tcPr>
            <w:tcW w:w="2268" w:type="dxa"/>
            <w:tcBorders>
              <w:bottom w:val="nil"/>
            </w:tcBorders>
            <w:shd w:val="clear" w:color="auto" w:fill="auto"/>
          </w:tcPr>
          <w:p>
            <w:pPr>
              <w:pStyle w:val="nTable"/>
              <w:keepNext/>
              <w:spacing w:after="40"/>
              <w:rPr>
                <w:iCs/>
                <w:snapToGrid w:val="0"/>
              </w:rPr>
            </w:pPr>
            <w:r>
              <w:rPr>
                <w:i/>
              </w:rPr>
              <w:lastRenderedPageBreak/>
              <w:t>Gender Reassignment Amendment Act 2019</w:t>
            </w:r>
          </w:p>
        </w:tc>
        <w:tc>
          <w:tcPr>
            <w:tcW w:w="1134" w:type="dxa"/>
            <w:tcBorders>
              <w:bottom w:val="nil"/>
            </w:tcBorders>
            <w:shd w:val="clear" w:color="auto" w:fill="auto"/>
          </w:tcPr>
          <w:p>
            <w:pPr>
              <w:pStyle w:val="nTable"/>
              <w:keepNext/>
              <w:spacing w:after="40"/>
              <w:rPr>
                <w:snapToGrid w:val="0"/>
              </w:rPr>
            </w:pPr>
            <w:r>
              <w:t>1 of 2019</w:t>
            </w:r>
          </w:p>
        </w:tc>
        <w:tc>
          <w:tcPr>
            <w:tcW w:w="1134" w:type="dxa"/>
            <w:tcBorders>
              <w:bottom w:val="nil"/>
            </w:tcBorders>
            <w:shd w:val="clear" w:color="auto" w:fill="auto"/>
          </w:tcPr>
          <w:p>
            <w:pPr>
              <w:pStyle w:val="nTable"/>
              <w:keepNext/>
              <w:spacing w:after="40"/>
              <w:rPr>
                <w:snapToGrid w:val="0"/>
              </w:rPr>
            </w:pPr>
            <w:r>
              <w:t>19 Feb 2019</w:t>
            </w:r>
          </w:p>
        </w:tc>
        <w:tc>
          <w:tcPr>
            <w:tcW w:w="2552" w:type="dxa"/>
            <w:tcBorders>
              <w:bottom w:val="nil"/>
            </w:tcBorders>
            <w:shd w:val="clear" w:color="auto" w:fill="auto"/>
          </w:tcPr>
          <w:p>
            <w:pPr>
              <w:pStyle w:val="nTable"/>
              <w:keepNext/>
              <w:spacing w:after="40"/>
              <w:rPr>
                <w:snapToGrid w:val="0"/>
              </w:rPr>
            </w:pPr>
            <w:r>
              <w:t>s. 1 and 2: 19 Feb 2019 (see s. 2(a));</w:t>
            </w:r>
            <w:r>
              <w:br/>
              <w:t>Act other than s. 1 and 2: 19 Mar 2019 (see s. 2(b))</w:t>
            </w:r>
          </w:p>
        </w:tc>
      </w:tr>
      <w:tr>
        <w:tc>
          <w:tcPr>
            <w:tcW w:w="2268" w:type="dxa"/>
            <w:tcBorders>
              <w:top w:val="nil"/>
              <w:bottom w:val="nil"/>
            </w:tcBorders>
            <w:shd w:val="clear" w:color="auto" w:fill="auto"/>
          </w:tcPr>
          <w:p>
            <w:pPr>
              <w:pStyle w:val="nTable"/>
              <w:keepNext/>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keepNext/>
              <w:spacing w:after="40"/>
            </w:pPr>
            <w:r>
              <w:t>9 of 2022</w:t>
            </w:r>
          </w:p>
        </w:tc>
        <w:tc>
          <w:tcPr>
            <w:tcW w:w="1134" w:type="dxa"/>
            <w:tcBorders>
              <w:top w:val="nil"/>
              <w:bottom w:val="nil"/>
            </w:tcBorders>
            <w:shd w:val="clear" w:color="auto" w:fill="auto"/>
          </w:tcPr>
          <w:p>
            <w:pPr>
              <w:pStyle w:val="nTable"/>
              <w:keepNext/>
              <w:spacing w:after="40"/>
            </w:pPr>
            <w:r>
              <w:t>14 Apr 2022</w:t>
            </w:r>
          </w:p>
        </w:tc>
        <w:tc>
          <w:tcPr>
            <w:tcW w:w="2552" w:type="dxa"/>
            <w:tcBorders>
              <w:top w:val="nil"/>
              <w:bottom w:val="nil"/>
            </w:tcBorders>
            <w:shd w:val="clear" w:color="auto" w:fill="auto"/>
          </w:tcPr>
          <w:p>
            <w:pPr>
              <w:pStyle w:val="nTable"/>
              <w:keepNext/>
              <w:spacing w:after="40"/>
            </w:pPr>
            <w:r>
              <w:rPr>
                <w:snapToGrid w:val="0"/>
              </w:rPr>
              <w:t>1 Jul 2022 (see s. 2(c) and SL 2022/113 cl. 2)</w:t>
            </w:r>
          </w:p>
        </w:tc>
      </w:tr>
      <w:tr>
        <w:tc>
          <w:tcPr>
            <w:tcW w:w="7088" w:type="dxa"/>
            <w:gridSpan w:val="4"/>
            <w:tcBorders>
              <w:top w:val="nil"/>
            </w:tcBorders>
            <w:shd w:val="clear" w:color="auto" w:fill="auto"/>
          </w:tcPr>
          <w:p>
            <w:pPr>
              <w:pStyle w:val="nTable"/>
              <w:keepNext/>
              <w:spacing w:after="40"/>
              <w:rPr>
                <w:b/>
                <w:bCs/>
                <w:snapToGrid w:val="0"/>
              </w:rPr>
            </w:pPr>
            <w:r>
              <w:rPr>
                <w:b/>
                <w:bCs/>
                <w:color w:val="FF0000"/>
              </w:rPr>
              <w:t xml:space="preserve">This Act was repealed by the </w:t>
            </w:r>
            <w:r>
              <w:rPr>
                <w:b/>
                <w:bCs/>
                <w:i/>
                <w:iCs/>
                <w:color w:val="FF0000"/>
              </w:rPr>
              <w:t>Births, Deaths and Marriages Registration Amendment (Sex or Gender Changes) Act 2024</w:t>
            </w:r>
            <w:r>
              <w:rPr>
                <w:b/>
                <w:bCs/>
                <w:color w:val="FF0000"/>
              </w:rPr>
              <w:t xml:space="preserve"> s. 20(1) (No. 31 of 2024) on 30 May 2025 (see s. 2(b) and SL 2025/80 cl. 2)</w:t>
            </w:r>
          </w:p>
        </w:tc>
      </w:tr>
    </w:tbl>
    <w:p>
      <w:pPr>
        <w:pStyle w:val="nHeading3"/>
      </w:pPr>
      <w:bookmarkStart w:id="56" w:name="_Toc198905990"/>
      <w:r>
        <w:t>Other notes</w:t>
      </w:r>
      <w:bookmarkEnd w:id="56"/>
    </w:p>
    <w:p>
      <w:pPr>
        <w:pStyle w:val="nNote"/>
        <w:rPr>
          <w:iCs/>
        </w:rPr>
      </w:pPr>
      <w:r>
        <w:rPr>
          <w:vertAlign w:val="superscript"/>
        </w:rPr>
        <w:t>1</w:t>
      </w:r>
      <w:r>
        <w:tab/>
        <w:t xml:space="preserve">The provisions in this Act amending these Acts have been omitted under the </w:t>
      </w:r>
      <w:r>
        <w:rPr>
          <w:i/>
          <w:iCs/>
        </w:rPr>
        <w:t>Reprints Act 1984</w:t>
      </w:r>
      <w:r>
        <w:t xml:space="preserve"> s. 7(4)(e).</w:t>
      </w:r>
    </w:p>
    <w:p>
      <w:pPr>
        <w:pStyle w:val="nNote"/>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58" w:name="_Toc198899631"/>
      <w:bookmarkStart w:id="59" w:name="_Toc198900593"/>
      <w:bookmarkStart w:id="60" w:name="_Toc198905991"/>
      <w:r>
        <w:rPr>
          <w:sz w:val="28"/>
        </w:rPr>
        <w:lastRenderedPageBreak/>
        <w:t>Defined terms</w:t>
      </w:r>
      <w:bookmarkEnd w:id="58"/>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w:t>
      </w:r>
    </w:p>
    <w:p>
      <w:pPr>
        <w:pStyle w:val="DefinedTerms"/>
      </w:pPr>
      <w:r>
        <w:t>Board</w:t>
      </w:r>
      <w:r>
        <w:tab/>
        <w:t>3</w:t>
      </w:r>
    </w:p>
    <w:p>
      <w:pPr>
        <w:pStyle w:val="DefinedTerms"/>
      </w:pPr>
      <w:r>
        <w:t>certificate of qualification</w:t>
      </w:r>
      <w:r>
        <w:tab/>
        <w:t>20(5)</w:t>
      </w:r>
    </w:p>
    <w:p>
      <w:pPr>
        <w:pStyle w:val="DefinedTerms"/>
      </w:pPr>
      <w:r>
        <w:t>child</w:t>
      </w:r>
      <w:r>
        <w:tab/>
        <w:t>3</w:t>
      </w:r>
    </w:p>
    <w:p>
      <w:pPr>
        <w:pStyle w:val="DefinedTerms"/>
      </w:pPr>
      <w:r>
        <w:t>corresponding law</w:t>
      </w:r>
      <w:r>
        <w:tab/>
        <w:t>3</w:t>
      </w:r>
    </w:p>
    <w:p>
      <w:pPr>
        <w:pStyle w:val="DefinedTerms"/>
      </w:pPr>
      <w:r>
        <w:t>equivalent certificate</w:t>
      </w:r>
      <w:r>
        <w:tab/>
        <w:t>3</w:t>
      </w:r>
    </w:p>
    <w:p>
      <w:pPr>
        <w:pStyle w:val="DefinedTerms"/>
      </w:pPr>
      <w:r>
        <w:t>gender characteristics</w:t>
      </w:r>
      <w:r>
        <w:tab/>
        <w:t>3</w:t>
      </w:r>
    </w:p>
    <w:p>
      <w:pPr>
        <w:pStyle w:val="DefinedTerms"/>
      </w:pPr>
      <w:r>
        <w:t>gender reassigned person</w:t>
      </w:r>
      <w:r>
        <w:tab/>
        <w:t>20(5)</w:t>
      </w:r>
    </w:p>
    <w:p>
      <w:pPr>
        <w:pStyle w:val="DefinedTerms"/>
      </w:pPr>
      <w:r>
        <w:t>issuing authority</w:t>
      </w:r>
      <w:r>
        <w:tab/>
        <w:t>20(5)</w:t>
      </w:r>
    </w:p>
    <w:p>
      <w:pPr>
        <w:pStyle w:val="DefinedTerms"/>
      </w:pPr>
      <w:r>
        <w:t>medical practitioner</w:t>
      </w:r>
      <w:r>
        <w:tab/>
        <w:t>3</w:t>
      </w:r>
    </w:p>
    <w:p>
      <w:pPr>
        <w:pStyle w:val="DefinedTerms"/>
      </w:pPr>
      <w:r>
        <w:t>president</w:t>
      </w:r>
      <w:r>
        <w:tab/>
        <w:t>3</w:t>
      </w:r>
    </w:p>
    <w:p>
      <w:pPr>
        <w:pStyle w:val="DefinedTerms"/>
      </w:pPr>
      <w:r>
        <w:t>reassignment procedure</w:t>
      </w:r>
      <w:r>
        <w:tab/>
        <w:t>3</w:t>
      </w:r>
    </w:p>
    <w:p>
      <w:pPr>
        <w:pStyle w:val="DefinedTerms"/>
      </w:pPr>
      <w:r>
        <w:t>recognition certificate</w:t>
      </w:r>
      <w:r>
        <w:tab/>
        <w:t>3</w:t>
      </w:r>
    </w:p>
    <w:p>
      <w:pPr>
        <w:pStyle w:val="DefinedTerms"/>
      </w:pPr>
      <w:r>
        <w:t>Registrar</w:t>
      </w:r>
      <w:r>
        <w:tab/>
        <w:t>3</w:t>
      </w:r>
    </w:p>
    <w:p>
      <w:pPr>
        <w:pStyle w:val="DefinedTerms"/>
        <w:sectPr>
          <w:headerReference w:type="even" r:id="rId30"/>
          <w:headerReference w:type="default" r:id="rId31"/>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B48090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A2309D4" w14:textId="651F528B" w:rsidR="003659AE" w:rsidRDefault="006E08C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36013">
                        <w:rPr>
                          <w:sz w:val="16"/>
                        </w:rPr>
                        <w:t>2025</w:t>
                      </w:r>
                      <w:r>
                        <w:rPr>
                          <w:sz w:val="16"/>
                        </w:rPr>
                        <w:fldChar w:fldCharType="end"/>
                      </w:r>
                      <w:r>
                        <w:rPr>
                          <w:sz w:val="16"/>
                        </w:rPr>
                        <w:t>.</w:t>
                      </w:r>
                    </w:p>
                    <w:p w14:paraId="7D3CC19C" w14:textId="77777777" w:rsidR="003659AE" w:rsidRDefault="006E08C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EDC7556" w14:textId="27A1C9A7" w:rsidR="003659AE" w:rsidRDefault="006E08C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36013">
                        <w:rPr>
                          <w:sz w:val="16"/>
                        </w:rPr>
                        <w:t>2025</w:t>
                      </w:r>
                      <w:r>
                        <w:rPr>
                          <w:sz w:val="16"/>
                        </w:rPr>
                        <w:fldChar w:fldCharType="end"/>
                      </w:r>
                      <w:r>
                        <w:rPr>
                          <w:sz w:val="16"/>
                        </w:rPr>
                        <w:t>.</w:t>
                      </w:r>
                    </w:p>
                    <w:p w14:paraId="0A8E1ADE" w14:textId="77777777" w:rsidR="003659AE" w:rsidRDefault="006E08C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5D040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2148C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50E27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18C7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9D0AF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9E77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F292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D0DA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01A2C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945F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C0C3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32357"/>
    <w:docVar w:name="WAFER_20131212155418" w:val="RemoveTocBookmarks,RemoveLanguageTags,RemoveTrackChanges,RunningHeaders"/>
    <w:docVar w:name="WAFER_20131212155418_GUID" w:val="0c7316cb-a2d8-4e71-9bfe-4a9991d3eccd"/>
    <w:docVar w:name="WAFER_20140113133554" w:val="RemoveTocBookmarks,RemoveUnusedBookmarks,RemoveLanguageTags,UsedStyles,ResetPageSize,UpdateArrangement"/>
    <w:docVar w:name="WAFER_20140113133554_GUID" w:val="1c65db22-ce39-45f9-b8a5-5e1df71a768c"/>
    <w:docVar w:name="WAFER_20140113133602" w:val="RemoveTocBookmarks,RunningHeaders"/>
    <w:docVar w:name="WAFER_20140113133602_GUID" w:val="4ffb3f78-50bb-488d-aa08-94a2aef790d3"/>
    <w:docVar w:name="WAFER_20140306114618" w:val="RemoveTocBookmarks,RemoveUnusedBookmarks,RemoveLanguageTags,UsedStyles,ResetPageSize"/>
    <w:docVar w:name="WAFER_20140306114618_GUID" w:val="38c7d8a5-b98b-4dbd-bdb9-aab88b115893"/>
    <w:docVar w:name="WAFER_20140306115212" w:val="RemoveTocBookmarks,RunningHeaders"/>
    <w:docVar w:name="WAFER_20140306115212_GUID" w:val="b92c9661-51f4-4eda-a089-0ae9ee72d3b9"/>
    <w:docVar w:name="WAFER_20150506162918" w:val="ResetPageSize,UpdateArrangement,UpdateNTable"/>
    <w:docVar w:name="WAFER_20150506162918_GUID" w:val="5bf7a4e0-7a1c-4f7f-b7b1-af71a57a538a"/>
    <w:docVar w:name="WAFER_20151105100852" w:val="UpdateStyles,UsedStyles"/>
    <w:docVar w:name="WAFER_20151105100852_GUID" w:val="f04f9415-cd7c-42fd-801c-a16ee0ecd24f"/>
    <w:docVar w:name="WAFER_20151201085308" w:val="RemoveTrackChanges"/>
    <w:docVar w:name="WAFER_20151201085308_GUID" w:val="d25b8fe5-7590-4fa5-829d-5ef609475eb6"/>
    <w:docVar w:name="WAFER_20190315133431" w:val="RemoveTocBookmarks,RemoveUnusedBookmarks,RemoveLanguageTags,ResetPageSize,RunningHeaders,UpdateStyles,UsedStyles"/>
    <w:docVar w:name="WAFER_20190315133431_GUID" w:val="294a016b-e44c-4269-8e5d-731d455e4f63"/>
    <w:docVar w:name="WAFER_202204081549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54937_GUID" w:val="7f1a6f0e-31c5-48da-8199-b33005b990a8"/>
    <w:docVar w:name="WAFER_202206290935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3547_GUID" w:val="1b5895a9-d867-4c35-8924-52e28b24395b"/>
    <w:docVar w:name="WAFER_20240919114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19114923_GUID" w:val="db8b51b0-8be3-4bf2-9a98-337bffc32e95"/>
    <w:docVar w:name="WAFER_20250523132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32357_GUID" w:val="a1a9790b-ddb7-4b02-9629-3ea3312e5e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CB1C9AFD-163D-4CFE-B07D-227BAF07C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05697-4999-468B-883B-5E272DA8B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4322</Words>
  <Characters>20621</Characters>
  <Application>Microsoft Office Word</Application>
  <DocSecurity>0</DocSecurity>
  <Lines>624</Lines>
  <Paragraphs>415</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
  <LinksUpToDate>false</LinksUpToDate>
  <CharactersWithSpaces>24528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2000 - 02-g0-00</dc:title>
  <dc:subject/>
  <dc:creator/>
  <cp:keywords/>
  <dc:description/>
  <cp:lastModifiedBy>Master Repository Process</cp:lastModifiedBy>
  <cp:revision>4</cp:revision>
  <cp:lastPrinted>2019-03-18T00:34:00Z</cp:lastPrinted>
  <dcterms:created xsi:type="dcterms:W3CDTF">2025-05-29T00:45:00Z</dcterms:created>
  <dcterms:modified xsi:type="dcterms:W3CDTF">2025-05-29T00:46:00Z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DocumentType">
    <vt:lpwstr>Act</vt:lpwstr>
  </property>
  <property fmtid="{D5CDD505-2E9C-101B-9397-08002B2CF9AE}" pid="4" name="OwlsUID">
    <vt:i4>1986</vt:i4>
  </property>
  <property fmtid="{D5CDD505-2E9C-101B-9397-08002B2CF9AE}" pid="5" name="ReprintNo">
    <vt:lpwstr>2</vt:lpwstr>
  </property>
  <property fmtid="{D5CDD505-2E9C-101B-9397-08002B2CF9AE}" pid="6" name="ReprintedAsAt">
    <vt:filetime>2013-12-05T16:00:00Z</vt:filetime>
  </property>
  <property fmtid="{D5CDD505-2E9C-101B-9397-08002B2CF9AE}" pid="7" name="AsAtDate">
    <vt:lpwstr>30 May 2025</vt:lpwstr>
  </property>
  <property fmtid="{D5CDD505-2E9C-101B-9397-08002B2CF9AE}" pid="8" name="Suffix">
    <vt:lpwstr>02-g0-00</vt:lpwstr>
  </property>
  <property fmtid="{D5CDD505-2E9C-101B-9397-08002B2CF9AE}" pid="9" name="Official">
    <vt:lpwstr/>
  </property>
  <property fmtid="{D5CDD505-2E9C-101B-9397-08002B2CF9AE}" pid="10" name="Status">
    <vt:lpwstr>NIF</vt:lpwstr>
  </property>
  <property fmtid="{D5CDD505-2E9C-101B-9397-08002B2CF9AE}" pid="11" name="CommencementDate">
    <vt:lpwstr>20250530</vt:lpwstr>
  </property>
  <property fmtid="{D5CDD505-2E9C-101B-9397-08002B2CF9AE}" pid="12" name="CommencementAsAt">
    <vt:filetime>2025-05-29T16:00:00Z</vt:filetime>
  </property>
  <property fmtid="{D5CDD505-2E9C-101B-9397-08002B2CF9AE}" pid="13" name="CommencementYear">
    <vt:lpwstr>2025</vt:lpwstr>
  </property>
</Properties>
</file>