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Pawnbrokers and Second-hand Dealers Act 1994</w:t>
      </w:r>
      <w:r>
        <w:rPr>
          <w:noProof/>
        </w:rPr>
        <w:br/>
        <w:t>Police Act 1892</w:t>
      </w:r>
      <w:r>
        <w:rPr>
          <w:noProof/>
        </w:rPr>
        <w:br/>
        <w:t>Security and Related Activities (Control)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Regulations Amendment (Fees and Charges)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Regulations Amendment (Fees and Charges)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_Toc200450426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_Toc200450427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Pawnbrokers and Second</w:t>
      </w:r>
      <w:r>
        <w:rPr>
          <w:i/>
          <w:iCs/>
        </w:rPr>
        <w:noBreakHyphen/>
        <w:t>hand Dealers Regulations 1996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_Toc200450429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28 amended</w:t>
      </w:r>
      <w:r>
        <w:tab/>
      </w:r>
      <w:r>
        <w:fldChar w:fldCharType="begin"/>
      </w:r>
      <w:r>
        <w:instrText xml:space="preserve"> PAGEREF _Toc200450430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29 amended</w:t>
      </w:r>
      <w:r>
        <w:tab/>
      </w:r>
      <w:r>
        <w:fldChar w:fldCharType="begin"/>
      </w:r>
      <w:r>
        <w:instrText xml:space="preserve"> PAGEREF _Toc200450431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Police (Fees and Charges) Regulations 2018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_Toc200450433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Schedules 1 and 2 replaced</w:t>
      </w:r>
      <w:r>
        <w:tab/>
      </w:r>
      <w:r>
        <w:fldChar w:fldCharType="begin"/>
      </w:r>
      <w:r>
        <w:instrText xml:space="preserve"> PAGEREF _Toc200450434 \h </w:instrText>
      </w:r>
      <w:r>
        <w:fldChar w:fldCharType="separate"/>
      </w:r>
      <w:r>
        <w:t>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Charges for major events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Security and Related Activities (Control) Regulations 1997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_Toc200450438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keepNext/>
        <w:rPr>
          <w:rFonts w:asciiTheme="minorHAnsi" w:eastAsiaTheme="minorEastAsia" w:hAnsiTheme="minorHAnsi" w:cstheme="minorBidi"/>
          <w:szCs w:val="22"/>
        </w:rPr>
      </w:pPr>
      <w:r>
        <w:lastRenderedPageBreak/>
        <w:t>9.</w:t>
      </w:r>
      <w:r>
        <w:tab/>
        <w:t>Schedule 4 replaced</w:t>
      </w:r>
      <w:r>
        <w:tab/>
      </w:r>
      <w:r>
        <w:fldChar w:fldCharType="begin"/>
      </w:r>
      <w:r>
        <w:instrText xml:space="preserve"> PAGEREF _Toc200450439 \h </w:instrText>
      </w:r>
      <w:r>
        <w:fldChar w:fldCharType="separate"/>
      </w:r>
      <w:r>
        <w:t>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</w:pPr>
      <w:r>
        <w:lastRenderedPageBreak/>
        <w:t>Pawnbrokers and Second</w:t>
      </w:r>
      <w:r>
        <w:noBreakHyphen/>
        <w:t>hand Dealers Act 1994</w:t>
      </w:r>
      <w:r>
        <w:br/>
      </w:r>
      <w:r>
        <w:rPr>
          <w:noProof/>
        </w:rPr>
        <w:t>Police Act 1892</w:t>
      </w:r>
      <w:r>
        <w:rPr>
          <w:noProof/>
        </w:rPr>
        <w:br/>
        <w:t>Security and Related Activities (Control) Act 1996</w:t>
      </w:r>
    </w:p>
    <w:p>
      <w:pPr>
        <w:pStyle w:val="NameofActReg"/>
      </w:pPr>
      <w:r>
        <w:t>Police Regulations Amendment (Fees and Charges)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Ref196915216"/>
      <w:bookmarkStart w:id="3" w:name="_Toc200023989"/>
      <w:bookmarkStart w:id="4" w:name="_Toc200024056"/>
      <w:bookmarkStart w:id="5" w:name="_Toc200024121"/>
      <w:bookmarkStart w:id="6" w:name="_Toc200024244"/>
      <w:bookmarkStart w:id="7" w:name="_Toc20045042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Preliminary</w:t>
      </w:r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200023990"/>
      <w:bookmarkStart w:id="9" w:name="_Toc200450426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Police Regulations Amendment (Fees and Charges) Regulations 2025</w:t>
      </w:r>
      <w:r>
        <w:t>.</w:t>
      </w:r>
    </w:p>
    <w:p>
      <w:pPr>
        <w:pStyle w:val="Heading5"/>
        <w:rPr>
          <w:spacing w:val="-2"/>
        </w:rPr>
      </w:pPr>
      <w:bookmarkStart w:id="11" w:name="_Toc200023991"/>
      <w:bookmarkStart w:id="12" w:name="_Toc20045042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</w:t>
      </w:r>
      <w:r>
        <w:t xml:space="preserve">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2"/>
      </w:pPr>
      <w:bookmarkStart w:id="13" w:name="_Toc200023992"/>
      <w:bookmarkStart w:id="14" w:name="_Toc200024059"/>
      <w:bookmarkStart w:id="15" w:name="_Toc200024124"/>
      <w:bookmarkStart w:id="16" w:name="_Toc200024247"/>
      <w:bookmarkStart w:id="17" w:name="_Toc20045042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Pawnbrokers and Second</w:t>
      </w:r>
      <w:r>
        <w:rPr>
          <w:rStyle w:val="CharPartText"/>
          <w:i/>
          <w:iCs/>
        </w:rPr>
        <w:noBreakHyphen/>
        <w:t>hand Dealers Regulations 1996</w:t>
      </w:r>
      <w:r>
        <w:rPr>
          <w:rStyle w:val="CharPartText"/>
        </w:rPr>
        <w:t xml:space="preserve"> amended</w:t>
      </w:r>
      <w:bookmarkEnd w:id="13"/>
      <w:bookmarkEnd w:id="14"/>
      <w:bookmarkEnd w:id="15"/>
      <w:bookmarkEnd w:id="16"/>
      <w:bookmarkEnd w:id="17"/>
    </w:p>
    <w:p>
      <w:pPr>
        <w:pStyle w:val="Heading5"/>
        <w:rPr>
          <w:snapToGrid w:val="0"/>
        </w:rPr>
      </w:pPr>
      <w:bookmarkStart w:id="18" w:name="_Toc200023993"/>
      <w:bookmarkStart w:id="19" w:name="_Toc2004504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"/>
      <w:bookmarkEnd w:id="1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Pawnbrokers and Second</w:t>
      </w:r>
      <w:r>
        <w:rPr>
          <w:i/>
          <w:iCs/>
        </w:rPr>
        <w:noBreakHyphen/>
        <w:t>hand Dealers Regulations 1996</w:t>
      </w:r>
      <w:r>
        <w:t>.</w:t>
      </w:r>
    </w:p>
    <w:p>
      <w:pPr>
        <w:pStyle w:val="Heading5"/>
      </w:pPr>
      <w:bookmarkStart w:id="20" w:name="_Toc200023994"/>
      <w:bookmarkStart w:id="21" w:name="_Toc200450430"/>
      <w:r>
        <w:rPr>
          <w:rStyle w:val="CharSectno"/>
        </w:rPr>
        <w:t>4</w:t>
      </w:r>
      <w:r>
        <w:t>.</w:t>
      </w:r>
      <w:r>
        <w:tab/>
        <w:t>Regulation 28 amended</w:t>
      </w:r>
      <w:bookmarkEnd w:id="20"/>
      <w:bookmarkEnd w:id="21"/>
    </w:p>
    <w:p>
      <w:pPr>
        <w:pStyle w:val="Subsection"/>
      </w:pPr>
      <w:r>
        <w:tab/>
      </w:r>
      <w:r>
        <w:tab/>
        <w:t>In regulation 28 delete the Table and insert:</w:t>
      </w:r>
    </w:p>
    <w:p>
      <w:pPr>
        <w:pStyle w:val="BlankOpen"/>
      </w:pPr>
    </w:p>
    <w:p>
      <w:pPr>
        <w:pStyle w:val="zTHeadingNAm"/>
        <w:rPr>
          <w:rStyle w:val="DraftersNotes"/>
          <w:b/>
          <w:i w:val="0"/>
          <w:sz w:val="24"/>
        </w:rPr>
      </w:pPr>
      <w:r>
        <w:t>Table — Fees for application for licences</w:t>
      </w:r>
    </w:p>
    <w:tbl>
      <w:tblPr>
        <w:tblW w:w="472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9"/>
        <w:gridCol w:w="1700"/>
        <w:gridCol w:w="1418"/>
        <w:gridCol w:w="1417"/>
        <w:gridCol w:w="1417"/>
      </w:tblGrid>
      <w:tr>
        <w:trPr>
          <w:cantSplit/>
          <w:tblHeader/>
        </w:trPr>
        <w:tc>
          <w:tcPr>
            <w:tcW w:w="739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700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Licence</w:t>
            </w:r>
          </w:p>
        </w:tc>
        <w:tc>
          <w:tcPr>
            <w:tcW w:w="1418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1 year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7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2 years but longer than 1 year</w:t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7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3 years but longer than 2 years</w:t>
            </w:r>
            <w:r>
              <w:rPr>
                <w:b/>
                <w:bCs/>
              </w:rPr>
              <w:br/>
              <w:t>$</w:t>
            </w: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700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Pawnbroker’s licence or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</w:p>
        </w:tc>
        <w:tc>
          <w:tcPr>
            <w:tcW w:w="1417" w:type="dxa"/>
            <w:noWrap/>
          </w:tcPr>
          <w:p>
            <w:pPr>
              <w:pStyle w:val="zTableNAm"/>
            </w:pPr>
          </w:p>
        </w:tc>
        <w:tc>
          <w:tcPr>
            <w:tcW w:w="1417" w:type="dxa"/>
            <w:noWrap/>
          </w:tcPr>
          <w:p>
            <w:pPr>
              <w:pStyle w:val="zTableNAm"/>
            </w:pP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jc w:val="center"/>
            </w:pPr>
            <w:r>
              <w:t>(a)</w:t>
            </w:r>
          </w:p>
        </w:tc>
        <w:tc>
          <w:tcPr>
            <w:tcW w:w="1700" w:type="dxa"/>
            <w:noWrap/>
          </w:tcPr>
          <w:p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5 730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8 000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10 269</w:t>
            </w: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0" w:type="dxa"/>
            <w:noWrap/>
          </w:tcPr>
          <w:p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2 865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4 000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5 134</w:t>
            </w: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jc w:val="center"/>
            </w:pPr>
            <w:r>
              <w:lastRenderedPageBreak/>
              <w:t>(c)</w:t>
            </w:r>
          </w:p>
        </w:tc>
        <w:tc>
          <w:tcPr>
            <w:tcW w:w="1700" w:type="dxa"/>
            <w:noWrap/>
          </w:tcPr>
          <w:p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1 432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2 000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2 567</w:t>
            </w: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700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Pawnbroker’s licence and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</w:p>
        </w:tc>
        <w:tc>
          <w:tcPr>
            <w:tcW w:w="1417" w:type="dxa"/>
            <w:noWrap/>
          </w:tcPr>
          <w:p>
            <w:pPr>
              <w:pStyle w:val="zTableNAm"/>
            </w:pPr>
          </w:p>
        </w:tc>
        <w:tc>
          <w:tcPr>
            <w:tcW w:w="1417" w:type="dxa"/>
            <w:noWrap/>
          </w:tcPr>
          <w:p>
            <w:pPr>
              <w:pStyle w:val="zTableNAm"/>
            </w:pP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jc w:val="center"/>
            </w:pPr>
            <w:r>
              <w:t>(a)</w:t>
            </w:r>
          </w:p>
        </w:tc>
        <w:tc>
          <w:tcPr>
            <w:tcW w:w="1700" w:type="dxa"/>
            <w:noWrap/>
          </w:tcPr>
          <w:p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5 746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8 026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10 307</w:t>
            </w: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0" w:type="dxa"/>
            <w:noWrap/>
          </w:tcPr>
          <w:p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2 873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4 013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5 153</w:t>
            </w:r>
          </w:p>
        </w:tc>
      </w:tr>
      <w:tr>
        <w:trPr>
          <w:cantSplit/>
        </w:trPr>
        <w:tc>
          <w:tcPr>
            <w:tcW w:w="739" w:type="dxa"/>
            <w:noWrap/>
          </w:tcPr>
          <w:p>
            <w:pPr>
              <w:pStyle w:val="zTableNAm"/>
              <w:jc w:val="center"/>
            </w:pPr>
            <w:r>
              <w:t>(c)</w:t>
            </w:r>
          </w:p>
        </w:tc>
        <w:tc>
          <w:tcPr>
            <w:tcW w:w="1700" w:type="dxa"/>
            <w:noWrap/>
          </w:tcPr>
          <w:p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1 436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2 006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TableNAm"/>
              <w:jc w:val="center"/>
            </w:pPr>
            <w:r>
              <w:t>2 576</w:t>
            </w:r>
          </w:p>
        </w:tc>
      </w:tr>
    </w:tbl>
    <w:p>
      <w:pPr>
        <w:pStyle w:val="BlankClose"/>
        <w:rPr>
          <w:rStyle w:val="DraftersNotes"/>
          <w:b w:val="0"/>
          <w:bCs/>
          <w:i w:val="0"/>
          <w:iCs/>
          <w:sz w:val="24"/>
          <w:szCs w:val="32"/>
        </w:rPr>
      </w:pPr>
    </w:p>
    <w:p>
      <w:pPr>
        <w:pStyle w:val="Heading5"/>
      </w:pPr>
      <w:bookmarkStart w:id="22" w:name="_Toc200023995"/>
      <w:bookmarkStart w:id="23" w:name="_Toc200450431"/>
      <w:r>
        <w:rPr>
          <w:rStyle w:val="CharSectno"/>
        </w:rPr>
        <w:lastRenderedPageBreak/>
        <w:t>5</w:t>
      </w:r>
      <w:r>
        <w:t>.</w:t>
      </w:r>
      <w:r>
        <w:tab/>
        <w:t>Regulation 29 amended</w:t>
      </w:r>
      <w:bookmarkEnd w:id="22"/>
      <w:bookmarkEnd w:id="23"/>
    </w:p>
    <w:p>
      <w:pPr>
        <w:pStyle w:val="Subsection"/>
        <w:keepNext/>
      </w:pPr>
      <w:r>
        <w:tab/>
      </w:r>
      <w:r>
        <w:tab/>
        <w:t>In regulation 29 delete the Table and insert:</w:t>
      </w:r>
    </w:p>
    <w:p>
      <w:pPr>
        <w:pStyle w:val="BlankOpen"/>
      </w:pPr>
    </w:p>
    <w:p>
      <w:pPr>
        <w:pStyle w:val="zTHeadingNAm"/>
      </w:pPr>
      <w:r>
        <w:t>Table — Fees for renewal of licences</w:t>
      </w:r>
    </w:p>
    <w:tbl>
      <w:tblPr>
        <w:tblW w:w="472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8"/>
        <w:gridCol w:w="1701"/>
        <w:gridCol w:w="1418"/>
        <w:gridCol w:w="1418"/>
        <w:gridCol w:w="1416"/>
      </w:tblGrid>
      <w:tr>
        <w:trPr>
          <w:cantSplit/>
          <w:tblHeader/>
        </w:trPr>
        <w:tc>
          <w:tcPr>
            <w:tcW w:w="738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701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Licence</w:t>
            </w:r>
          </w:p>
        </w:tc>
        <w:tc>
          <w:tcPr>
            <w:tcW w:w="1418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1 year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8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2 years but longer than 1 year</w:t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6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3 years but longer than 2 years</w:t>
            </w:r>
            <w:r>
              <w:rPr>
                <w:b/>
                <w:bCs/>
              </w:rPr>
              <w:br/>
              <w:t>$</w:t>
            </w: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701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Pawnbroker’s licence or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</w:p>
        </w:tc>
        <w:tc>
          <w:tcPr>
            <w:tcW w:w="1418" w:type="dxa"/>
            <w:noWrap/>
          </w:tcPr>
          <w:p>
            <w:pPr>
              <w:pStyle w:val="zTableNAm"/>
            </w:pPr>
          </w:p>
        </w:tc>
        <w:tc>
          <w:tcPr>
            <w:tcW w:w="1416" w:type="dxa"/>
            <w:noWrap/>
          </w:tcPr>
          <w:p>
            <w:pPr>
              <w:pStyle w:val="zTableNAm"/>
            </w:pP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jc w:val="center"/>
            </w:pPr>
            <w:r>
              <w:t>(a)</w:t>
            </w:r>
          </w:p>
        </w:tc>
        <w:tc>
          <w:tcPr>
            <w:tcW w:w="1701" w:type="dxa"/>
            <w:noWrap/>
          </w:tcPr>
          <w:p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5 628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7 831</w:t>
            </w:r>
          </w:p>
        </w:tc>
        <w:tc>
          <w:tcPr>
            <w:tcW w:w="1416" w:type="dxa"/>
            <w:noWrap/>
            <w:vAlign w:val="bottom"/>
          </w:tcPr>
          <w:p>
            <w:pPr>
              <w:pStyle w:val="zTableNAm"/>
              <w:jc w:val="center"/>
            </w:pPr>
            <w:r>
              <w:t>10 034</w:t>
            </w: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1" w:type="dxa"/>
            <w:noWrap/>
          </w:tcPr>
          <w:p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2 814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3 915</w:t>
            </w:r>
          </w:p>
        </w:tc>
        <w:tc>
          <w:tcPr>
            <w:tcW w:w="1416" w:type="dxa"/>
            <w:noWrap/>
            <w:vAlign w:val="bottom"/>
          </w:tcPr>
          <w:p>
            <w:pPr>
              <w:pStyle w:val="zTableNAm"/>
              <w:jc w:val="center"/>
            </w:pPr>
            <w:r>
              <w:t>5 017</w:t>
            </w: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jc w:val="center"/>
            </w:pPr>
            <w:r>
              <w:t>(c)</w:t>
            </w:r>
          </w:p>
        </w:tc>
        <w:tc>
          <w:tcPr>
            <w:tcW w:w="1701" w:type="dxa"/>
            <w:noWrap/>
          </w:tcPr>
          <w:p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1 407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1 957</w:t>
            </w:r>
          </w:p>
        </w:tc>
        <w:tc>
          <w:tcPr>
            <w:tcW w:w="1416" w:type="dxa"/>
            <w:noWrap/>
            <w:vAlign w:val="bottom"/>
          </w:tcPr>
          <w:p>
            <w:pPr>
              <w:pStyle w:val="zTableNAm"/>
              <w:jc w:val="center"/>
            </w:pPr>
            <w:r>
              <w:t>2 508</w:t>
            </w: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701" w:type="dxa"/>
            <w:noWrap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Pawnbroker’s licence and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</w:p>
        </w:tc>
        <w:tc>
          <w:tcPr>
            <w:tcW w:w="1418" w:type="dxa"/>
            <w:noWrap/>
          </w:tcPr>
          <w:p>
            <w:pPr>
              <w:pStyle w:val="zTableNAm"/>
            </w:pPr>
          </w:p>
        </w:tc>
        <w:tc>
          <w:tcPr>
            <w:tcW w:w="1416" w:type="dxa"/>
            <w:noWrap/>
          </w:tcPr>
          <w:p>
            <w:pPr>
              <w:pStyle w:val="zTableNAm"/>
            </w:pP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jc w:val="center"/>
            </w:pPr>
            <w:r>
              <w:lastRenderedPageBreak/>
              <w:t>(a)</w:t>
            </w:r>
          </w:p>
        </w:tc>
        <w:tc>
          <w:tcPr>
            <w:tcW w:w="1701" w:type="dxa"/>
            <w:noWrap/>
          </w:tcPr>
          <w:p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5 645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7 858</w:t>
            </w:r>
          </w:p>
        </w:tc>
        <w:tc>
          <w:tcPr>
            <w:tcW w:w="1416" w:type="dxa"/>
            <w:noWrap/>
            <w:vAlign w:val="bottom"/>
          </w:tcPr>
          <w:p>
            <w:pPr>
              <w:pStyle w:val="zTableNAm"/>
              <w:jc w:val="center"/>
            </w:pPr>
            <w:r>
              <w:t>10 071</w:t>
            </w: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1" w:type="dxa"/>
            <w:noWrap/>
          </w:tcPr>
          <w:p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2 822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3 929</w:t>
            </w:r>
          </w:p>
        </w:tc>
        <w:tc>
          <w:tcPr>
            <w:tcW w:w="1416" w:type="dxa"/>
            <w:noWrap/>
            <w:vAlign w:val="bottom"/>
          </w:tcPr>
          <w:p>
            <w:pPr>
              <w:pStyle w:val="zTableNAm"/>
              <w:jc w:val="center"/>
            </w:pPr>
            <w:r>
              <w:t>5 035</w:t>
            </w:r>
          </w:p>
        </w:tc>
      </w:tr>
      <w:tr>
        <w:trPr>
          <w:cantSplit/>
        </w:trPr>
        <w:tc>
          <w:tcPr>
            <w:tcW w:w="738" w:type="dxa"/>
            <w:noWrap/>
          </w:tcPr>
          <w:p>
            <w:pPr>
              <w:pStyle w:val="zTableNAm"/>
              <w:jc w:val="center"/>
            </w:pPr>
            <w:r>
              <w:t>(c)</w:t>
            </w:r>
          </w:p>
        </w:tc>
        <w:tc>
          <w:tcPr>
            <w:tcW w:w="1701" w:type="dxa"/>
            <w:noWrap/>
          </w:tcPr>
          <w:p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1 411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TableNAm"/>
              <w:jc w:val="center"/>
            </w:pPr>
            <w:r>
              <w:t>1 964</w:t>
            </w:r>
          </w:p>
        </w:tc>
        <w:tc>
          <w:tcPr>
            <w:tcW w:w="1416" w:type="dxa"/>
            <w:noWrap/>
            <w:vAlign w:val="bottom"/>
          </w:tcPr>
          <w:p>
            <w:pPr>
              <w:pStyle w:val="zTableNAm"/>
              <w:jc w:val="center"/>
            </w:pPr>
            <w:r>
              <w:t>2 517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4" w:name="_Toc200023996"/>
      <w:bookmarkStart w:id="25" w:name="_Toc200024063"/>
      <w:bookmarkStart w:id="26" w:name="_Toc200024128"/>
      <w:bookmarkStart w:id="27" w:name="_Toc200024251"/>
      <w:bookmarkStart w:id="28" w:name="_Toc20045043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Police (Fees and Charges) Regulations 2018</w:t>
      </w:r>
      <w:r>
        <w:rPr>
          <w:rStyle w:val="CharPartText"/>
        </w:rPr>
        <w:t xml:space="preserve"> amended</w:t>
      </w:r>
      <w:bookmarkEnd w:id="24"/>
      <w:bookmarkEnd w:id="25"/>
      <w:bookmarkEnd w:id="26"/>
      <w:bookmarkEnd w:id="27"/>
      <w:bookmarkEnd w:id="28"/>
    </w:p>
    <w:p>
      <w:pPr>
        <w:pStyle w:val="Heading5"/>
        <w:rPr>
          <w:snapToGrid w:val="0"/>
        </w:rPr>
      </w:pPr>
      <w:bookmarkStart w:id="29" w:name="_Toc200023997"/>
      <w:bookmarkStart w:id="30" w:name="_Toc20045043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9"/>
      <w:bookmarkEnd w:id="30"/>
    </w:p>
    <w:p>
      <w:pPr>
        <w:pStyle w:val="Subsection"/>
        <w:rPr>
          <w:iCs/>
        </w:rPr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Police (Fees and Charges) Regulations 2018</w:t>
      </w:r>
      <w:r>
        <w:rPr>
          <w:iCs/>
        </w:rPr>
        <w:t>.</w:t>
      </w:r>
    </w:p>
    <w:p>
      <w:pPr>
        <w:pStyle w:val="Heading5"/>
      </w:pPr>
      <w:bookmarkStart w:id="31" w:name="_Toc200023998"/>
      <w:bookmarkStart w:id="32" w:name="_Toc200450434"/>
      <w:r>
        <w:rPr>
          <w:rStyle w:val="CharSectno"/>
        </w:rPr>
        <w:t>7</w:t>
      </w:r>
      <w:r>
        <w:t>.</w:t>
      </w:r>
      <w:r>
        <w:tab/>
        <w:t>Schedules 1 and 2 replaced</w:t>
      </w:r>
      <w:bookmarkEnd w:id="31"/>
      <w:bookmarkEnd w:id="32"/>
    </w:p>
    <w:p>
      <w:pPr>
        <w:pStyle w:val="Subsection"/>
      </w:pPr>
      <w:r>
        <w:tab/>
      </w:r>
      <w:r>
        <w:tab/>
        <w:t>Delete Schedules 1 and 2 and insert:</w:t>
      </w:r>
    </w:p>
    <w:p>
      <w:pPr>
        <w:pStyle w:val="BlankOpen"/>
      </w:pPr>
    </w:p>
    <w:p>
      <w:pPr>
        <w:pStyle w:val="zyHeading2"/>
      </w:pPr>
      <w:bookmarkStart w:id="33" w:name="_Toc200023999"/>
      <w:bookmarkStart w:id="34" w:name="_Toc200024066"/>
      <w:bookmarkStart w:id="35" w:name="_Toc200024131"/>
      <w:bookmarkStart w:id="36" w:name="_Toc200024254"/>
      <w:bookmarkStart w:id="37" w:name="_Toc200450435"/>
      <w:r>
        <w:t>Schedule 1 — Fees</w:t>
      </w:r>
      <w:bookmarkEnd w:id="33"/>
      <w:bookmarkEnd w:id="34"/>
      <w:bookmarkEnd w:id="35"/>
      <w:bookmarkEnd w:id="36"/>
      <w:bookmarkEnd w:id="37"/>
    </w:p>
    <w:p>
      <w:pPr>
        <w:pStyle w:val="zyShoulderClause"/>
      </w:pPr>
      <w:r>
        <w:t>[r. 4(1)]</w:t>
      </w:r>
    </w:p>
    <w:tbl>
      <w:tblPr>
        <w:tblW w:w="59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1097"/>
      </w:tblGrid>
      <w:tr>
        <w:trPr>
          <w:cantSplit/>
          <w:tblHeader/>
        </w:trPr>
        <w:tc>
          <w:tcPr>
            <w:tcW w:w="851" w:type="dxa"/>
            <w:noWrap/>
          </w:tcPr>
          <w:p>
            <w:pPr>
              <w:pStyle w:val="yTableNAm"/>
            </w:pP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  <w:tc>
          <w:tcPr>
            <w:tcW w:w="1097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Copy of traffic infringement notice record</w:t>
            </w:r>
          </w:p>
        </w:tc>
        <w:tc>
          <w:tcPr>
            <w:tcW w:w="1097" w:type="dxa"/>
            <w:noWrap/>
            <w:vAlign w:val="bottom"/>
          </w:tcPr>
          <w:p>
            <w:pPr>
              <w:pStyle w:val="zyTableNAm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$16.50</w:t>
            </w:r>
          </w:p>
        </w:tc>
      </w:tr>
      <w:tr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Escorts and guards — each person provided per hour or part of an hour for high risk escorts carried out by Tactical Response Group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$169.40</w:t>
            </w:r>
          </w:p>
        </w:tc>
      </w:tr>
      <w:tr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Authorised copy of a photograph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$11.00</w:t>
            </w:r>
          </w:p>
        </w:tc>
      </w:tr>
      <w:tr>
        <w:trPr>
          <w:cantSplit/>
        </w:trPr>
        <w:tc>
          <w:tcPr>
            <w:tcW w:w="851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96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National criminal history record check — </w:t>
            </w:r>
          </w:p>
        </w:tc>
        <w:tc>
          <w:tcPr>
            <w:tcW w:w="1097" w:type="dxa"/>
            <w:tcBorders>
              <w:bottom w:val="nil"/>
            </w:tcBorders>
            <w:noWrap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issued to a volunteer organisation</w:t>
            </w:r>
          </w:p>
        </w:tc>
        <w:tc>
          <w:tcPr>
            <w:tcW w:w="1097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jc w:val="right"/>
            </w:pPr>
            <w:r>
              <w:t>$17.60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969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(b)</w:t>
            </w:r>
            <w:r>
              <w:tab/>
              <w:t>issued to a public sector body</w:t>
            </w:r>
          </w:p>
        </w:tc>
        <w:tc>
          <w:tcPr>
            <w:tcW w:w="1097" w:type="dxa"/>
            <w:tcBorders>
              <w:top w:val="nil"/>
            </w:tcBorders>
            <w:noWrap/>
          </w:tcPr>
          <w:p>
            <w:pPr>
              <w:pStyle w:val="zyTableNAm"/>
              <w:jc w:val="right"/>
            </w:pPr>
            <w:r>
              <w:t>$37.40</w:t>
            </w:r>
          </w:p>
        </w:tc>
      </w:tr>
      <w:tr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National police certificate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$64.90</w:t>
            </w:r>
          </w:p>
        </w:tc>
      </w:tr>
      <w:tr>
        <w:trPr>
          <w:cantSplit/>
        </w:trPr>
        <w:tc>
          <w:tcPr>
            <w:tcW w:w="851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396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Provision of incident information as defined in the </w:t>
            </w:r>
            <w:r>
              <w:rPr>
                <w:i/>
              </w:rPr>
              <w:t xml:space="preserve">Road Traffic (Administration) Act 2008 </w:t>
            </w:r>
            <w:r>
              <w:t xml:space="preserve">section 4 — </w:t>
            </w:r>
          </w:p>
        </w:tc>
        <w:tc>
          <w:tcPr>
            <w:tcW w:w="1097" w:type="dxa"/>
            <w:tcBorders>
              <w:bottom w:val="nil"/>
            </w:tcBorders>
            <w:noWrap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71" w:hanging="571"/>
            </w:pPr>
            <w:r>
              <w:t>(a)</w:t>
            </w:r>
            <w:r>
              <w:tab/>
              <w:t>to those involved or their representatives (outlining certain accident details)</w:t>
            </w:r>
          </w:p>
        </w:tc>
        <w:tc>
          <w:tcPr>
            <w:tcW w:w="109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$55.00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  <w:ind w:left="571" w:hanging="571"/>
            </w:pPr>
            <w:r>
              <w:t>(b)</w:t>
            </w:r>
            <w:r>
              <w:tab/>
              <w:t>to the Insurance Commission of Western Australia for third party insurance purposes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$55.00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 xml:space="preserve">Road Traffic (Administration) Act 2008 </w:t>
            </w:r>
            <w:r>
              <w:t>section 4, to those involved or their representatives (outlining certain incident details)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$50.60</w:t>
            </w:r>
          </w:p>
        </w:tc>
      </w:tr>
      <w:tr>
        <w:trPr>
          <w:cantSplit/>
        </w:trPr>
        <w:tc>
          <w:tcPr>
            <w:tcW w:w="851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yTableNAm"/>
            </w:pPr>
            <w:r>
              <w:t xml:space="preserve">Replacement of prosecution documents — </w:t>
            </w:r>
          </w:p>
        </w:tc>
        <w:tc>
          <w:tcPr>
            <w:tcW w:w="1097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71" w:hanging="571"/>
            </w:pPr>
            <w:r>
              <w:t>(a)</w:t>
            </w:r>
            <w:r>
              <w:tab/>
              <w:t>a statement of the material facts of a charge, which has already been served (per hour or part of an hour)</w:t>
            </w:r>
          </w:p>
        </w:tc>
        <w:tc>
          <w:tcPr>
            <w:tcW w:w="109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$94.00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969" w:type="dxa"/>
            <w:tcBorders>
              <w:top w:val="nil"/>
            </w:tcBorders>
            <w:noWrap/>
          </w:tcPr>
          <w:p>
            <w:pPr>
              <w:pStyle w:val="zyTableNAm"/>
              <w:ind w:left="571" w:hanging="571"/>
            </w:pPr>
            <w:r>
              <w:t>(b)</w:t>
            </w:r>
            <w:r>
              <w:tab/>
              <w:t>additional copy of documents already disclosed (per hour or part of an hour)</w:t>
            </w:r>
          </w:p>
        </w:tc>
        <w:tc>
          <w:tcPr>
            <w:tcW w:w="1097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$94.00</w:t>
            </w:r>
          </w:p>
        </w:tc>
      </w:tr>
    </w:tbl>
    <w:p>
      <w:pPr>
        <w:pStyle w:val="zyHeading2"/>
      </w:pPr>
      <w:bookmarkStart w:id="38" w:name="_Toc200024000"/>
      <w:bookmarkStart w:id="39" w:name="_Toc200024067"/>
      <w:bookmarkStart w:id="40" w:name="_Toc200024132"/>
      <w:bookmarkStart w:id="41" w:name="_Toc200024255"/>
      <w:bookmarkStart w:id="42" w:name="_Toc200450436"/>
      <w:r>
        <w:t>Schedule 2 — Charges for major events</w:t>
      </w:r>
      <w:bookmarkEnd w:id="38"/>
      <w:bookmarkEnd w:id="39"/>
      <w:bookmarkEnd w:id="40"/>
      <w:bookmarkEnd w:id="41"/>
      <w:bookmarkEnd w:id="42"/>
    </w:p>
    <w:p>
      <w:pPr>
        <w:pStyle w:val="zyShoulderClause"/>
        <w:keepNext/>
        <w:rPr>
          <w:rStyle w:val="DraftersNotes"/>
          <w:b w:val="0"/>
          <w:i w:val="0"/>
          <w:sz w:val="22"/>
        </w:rPr>
      </w:pPr>
      <w:r>
        <w:t>[r. 3, 6 and 7]</w:t>
      </w:r>
    </w:p>
    <w:tbl>
      <w:tblPr>
        <w:tblW w:w="59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827"/>
        <w:gridCol w:w="1239"/>
      </w:tblGrid>
      <w:tr>
        <w:trPr>
          <w:tblHeader/>
        </w:trPr>
        <w:tc>
          <w:tcPr>
            <w:tcW w:w="851" w:type="dxa"/>
            <w:noWrap/>
          </w:tcPr>
          <w:p>
            <w:pPr>
              <w:pStyle w:val="yTableNAm"/>
            </w:pPr>
          </w:p>
        </w:tc>
        <w:tc>
          <w:tcPr>
            <w:tcW w:w="3827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Charge</w:t>
            </w:r>
          </w:p>
        </w:tc>
        <w:tc>
          <w:tcPr>
            <w:tcW w:w="1239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Rate/hour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827" w:type="dxa"/>
            <w:noWrap/>
          </w:tcPr>
          <w:p>
            <w:pPr>
              <w:pStyle w:val="zyTableNAm"/>
            </w:pPr>
            <w:r>
              <w:t>Planning rate</w:t>
            </w:r>
          </w:p>
        </w:tc>
        <w:tc>
          <w:tcPr>
            <w:tcW w:w="1239" w:type="dxa"/>
            <w:noWrap/>
          </w:tcPr>
          <w:p>
            <w:pPr>
              <w:pStyle w:val="zyTableNAm"/>
              <w:jc w:val="right"/>
            </w:pPr>
            <w:r>
              <w:t>$67.10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827" w:type="dxa"/>
            <w:noWrap/>
          </w:tcPr>
          <w:p>
            <w:pPr>
              <w:pStyle w:val="zyTableNAm"/>
            </w:pPr>
            <w:r>
              <w:t>Attendance rate</w:t>
            </w:r>
          </w:p>
        </w:tc>
        <w:tc>
          <w:tcPr>
            <w:tcW w:w="1239" w:type="dxa"/>
            <w:noWrap/>
          </w:tcPr>
          <w:p>
            <w:pPr>
              <w:pStyle w:val="zyTableNAm"/>
              <w:jc w:val="right"/>
            </w:pPr>
            <w:r>
              <w:t>$121.00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827" w:type="dxa"/>
            <w:noWrap/>
          </w:tcPr>
          <w:p>
            <w:pPr>
              <w:pStyle w:val="zyTableNAm"/>
            </w:pPr>
            <w:r>
              <w:t>General overhead expenses rate</w:t>
            </w:r>
          </w:p>
        </w:tc>
        <w:tc>
          <w:tcPr>
            <w:tcW w:w="1239" w:type="dxa"/>
            <w:noWrap/>
          </w:tcPr>
          <w:p>
            <w:pPr>
              <w:pStyle w:val="zyTableNAm"/>
              <w:jc w:val="right"/>
            </w:pPr>
            <w:r>
              <w:t>$23.10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3827" w:type="dxa"/>
            <w:noWrap/>
          </w:tcPr>
          <w:p>
            <w:pPr>
              <w:pStyle w:val="zyTableNAm"/>
            </w:pPr>
            <w:r>
              <w:t>Overhead expenses rate for air support — helicopter</w:t>
            </w:r>
          </w:p>
        </w:tc>
        <w:tc>
          <w:tcPr>
            <w:tcW w:w="1239" w:type="dxa"/>
            <w:noWrap/>
            <w:vAlign w:val="bottom"/>
          </w:tcPr>
          <w:p>
            <w:pPr>
              <w:pStyle w:val="zyTableNAm"/>
              <w:jc w:val="right"/>
            </w:pPr>
            <w:r>
              <w:t>$3 440.80</w:t>
            </w:r>
          </w:p>
        </w:tc>
      </w:tr>
      <w:tr>
        <w:tc>
          <w:tcPr>
            <w:tcW w:w="851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827" w:type="dxa"/>
            <w:noWrap/>
          </w:tcPr>
          <w:p>
            <w:pPr>
              <w:pStyle w:val="zyTableNAm"/>
            </w:pPr>
            <w:r>
              <w:t>Overhead expenses rate for air support — fixed wing aircraft</w:t>
            </w:r>
          </w:p>
        </w:tc>
        <w:tc>
          <w:tcPr>
            <w:tcW w:w="1239" w:type="dxa"/>
            <w:noWrap/>
            <w:vAlign w:val="bottom"/>
          </w:tcPr>
          <w:p>
            <w:pPr>
              <w:pStyle w:val="zyTableNAm"/>
              <w:jc w:val="right"/>
            </w:pPr>
            <w:r>
              <w:t>$3 093.00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43" w:name="_Toc200024001"/>
      <w:bookmarkStart w:id="44" w:name="_Toc200024068"/>
      <w:bookmarkStart w:id="45" w:name="_Toc200024133"/>
      <w:bookmarkStart w:id="46" w:name="_Toc200024256"/>
      <w:bookmarkStart w:id="47" w:name="_Toc200450437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Security and Related Activities (Control) Regulations 1997</w:t>
      </w:r>
      <w:r>
        <w:rPr>
          <w:rStyle w:val="CharPartText"/>
        </w:rPr>
        <w:t xml:space="preserve"> amended</w:t>
      </w:r>
      <w:bookmarkEnd w:id="43"/>
      <w:bookmarkEnd w:id="44"/>
      <w:bookmarkEnd w:id="45"/>
      <w:bookmarkEnd w:id="46"/>
      <w:bookmarkEnd w:id="47"/>
    </w:p>
    <w:p>
      <w:pPr>
        <w:pStyle w:val="Heading5"/>
        <w:rPr>
          <w:snapToGrid w:val="0"/>
        </w:rPr>
      </w:pPr>
      <w:bookmarkStart w:id="48" w:name="_Toc200024002"/>
      <w:bookmarkStart w:id="49" w:name="_Toc200450438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8"/>
      <w:bookmarkEnd w:id="49"/>
    </w:p>
    <w:p>
      <w:pPr>
        <w:pStyle w:val="Subsection"/>
        <w:rPr>
          <w:iCs/>
        </w:rPr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Security and Related Activities (Control) Regulations 1997</w:t>
      </w:r>
      <w:r>
        <w:rPr>
          <w:iCs/>
        </w:rPr>
        <w:t>.</w:t>
      </w:r>
    </w:p>
    <w:p>
      <w:pPr>
        <w:pStyle w:val="Heading5"/>
      </w:pPr>
      <w:bookmarkStart w:id="50" w:name="_Toc200024003"/>
      <w:bookmarkStart w:id="51" w:name="_Toc200450439"/>
      <w:r>
        <w:rPr>
          <w:rStyle w:val="CharSectno"/>
        </w:rPr>
        <w:t>9</w:t>
      </w:r>
      <w:r>
        <w:t>.</w:t>
      </w:r>
      <w:r>
        <w:tab/>
        <w:t>Schedule 4 replaced</w:t>
      </w:r>
      <w:bookmarkEnd w:id="50"/>
      <w:bookmarkEnd w:id="51"/>
    </w:p>
    <w:p>
      <w:pPr>
        <w:pStyle w:val="Subsection"/>
      </w:pPr>
      <w:r>
        <w:tab/>
      </w:r>
      <w:r>
        <w:tab/>
        <w:t>Delete Schedule 4 and insert:</w:t>
      </w:r>
    </w:p>
    <w:p>
      <w:pPr>
        <w:pStyle w:val="BlankOpen"/>
      </w:pPr>
    </w:p>
    <w:p>
      <w:pPr>
        <w:pStyle w:val="zyHeading2"/>
      </w:pPr>
      <w:bookmarkStart w:id="52" w:name="_Toc200024004"/>
      <w:bookmarkStart w:id="53" w:name="_Toc200024071"/>
      <w:bookmarkStart w:id="54" w:name="_Toc200024136"/>
      <w:bookmarkStart w:id="55" w:name="_Toc200024259"/>
      <w:bookmarkStart w:id="56" w:name="_Toc200450440"/>
      <w:r>
        <w:t>Schedule 4 — Fees</w:t>
      </w:r>
      <w:bookmarkEnd w:id="52"/>
      <w:bookmarkEnd w:id="53"/>
      <w:bookmarkEnd w:id="54"/>
      <w:bookmarkEnd w:id="55"/>
      <w:bookmarkEnd w:id="56"/>
    </w:p>
    <w:p>
      <w:pPr>
        <w:pStyle w:val="zyShoulderClause"/>
      </w:pPr>
      <w:r>
        <w:t>[r. 54]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5"/>
        <w:gridCol w:w="3543"/>
        <w:gridCol w:w="1276"/>
      </w:tblGrid>
      <w:tr>
        <w:trPr>
          <w:cantSplit/>
          <w:tblHeader/>
        </w:trPr>
        <w:tc>
          <w:tcPr>
            <w:tcW w:w="1985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 or regulations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  <w:t>Subject matter</w:t>
            </w:r>
          </w:p>
        </w:tc>
        <w:tc>
          <w:tcPr>
            <w:tcW w:w="1276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3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rPr>
          <w:cantSplit/>
        </w:trP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Agent’s licences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issue of temporary licence under s. 42B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1 472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for issue of agent’s licence —</w:t>
            </w:r>
          </w:p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for 1 year or less </w:t>
            </w:r>
            <w:r>
              <w:tab/>
            </w:r>
          </w:p>
          <w:p>
            <w:pPr>
              <w:pStyle w:val="yTableNAm"/>
              <w:tabs>
                <w:tab w:val="right" w:leader="dot" w:pos="567"/>
                <w:tab w:val="right" w:leader="dot" w:pos="3328"/>
              </w:tabs>
              <w:rPr>
                <w:rStyle w:val="DraftersNotes"/>
                <w:b w:val="0"/>
                <w:i w:val="0"/>
                <w:sz w:val="22"/>
              </w:rPr>
            </w:pPr>
            <w:r>
              <w:t xml:space="preserve">for more than 1 year but not more than 3 years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br/>
            </w:r>
          </w:p>
          <w:p>
            <w:pPr>
              <w:pStyle w:val="zyTableNAm"/>
              <w:jc w:val="right"/>
            </w:pPr>
            <w:r>
              <w:t>1 472</w:t>
            </w:r>
          </w:p>
          <w:p>
            <w:pPr>
              <w:pStyle w:val="zyTableNAm"/>
              <w:jc w:val="right"/>
            </w:pPr>
            <w:r>
              <w:br/>
              <w:t>1 548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by licensee for additional agent’s licence (each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1 034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49(1)(c)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renewal of agent’s licence — for 3 years or less (each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1 106</w:t>
            </w:r>
          </w:p>
        </w:tc>
      </w:tr>
      <w:tr>
        <w:trPr>
          <w:cantSplit/>
        </w:trPr>
        <w:tc>
          <w:tcPr>
            <w:tcW w:w="6804" w:type="dxa"/>
            <w:gridSpan w:val="3"/>
            <w:noWrap/>
          </w:tcPr>
          <w:p>
            <w:pPr>
              <w:pStyle w:val="zyTableNAm"/>
              <w:keepNext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Other licences, endorsements and permits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issue of temporary licence under s. 42A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395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for issue of licence (other than agent’s licence or temporary licence) —</w:t>
            </w:r>
          </w:p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for 1 year or less </w:t>
            </w:r>
            <w:r>
              <w:tab/>
            </w:r>
          </w:p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for more than 1 year but not more than 3 years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br/>
            </w:r>
            <w:r>
              <w:br/>
            </w:r>
          </w:p>
          <w:p>
            <w:pPr>
              <w:pStyle w:val="zyTableNAm"/>
              <w:jc w:val="right"/>
            </w:pPr>
            <w:r>
              <w:t>395</w:t>
            </w:r>
          </w:p>
          <w:p>
            <w:pPr>
              <w:pStyle w:val="zyTableNAm"/>
              <w:jc w:val="right"/>
            </w:pPr>
            <w:r>
              <w:br/>
              <w:t>423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by licensee for additional licence (other than agent’s licence or temporary licence) (each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238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49(1)(c)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renewal of licence (other than agent’s licence or temporary licence) — for 3 years or less (each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265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r. 10(2)(b)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endorsement under s. 24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234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r. 12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permit under s. 25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277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r. 13(b)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endorsement under s. 26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234</w:t>
            </w:r>
          </w:p>
        </w:tc>
      </w:tr>
      <w:tr>
        <w:trPr>
          <w:cantSplit/>
        </w:trP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Miscellaneous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10(2)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to inspect register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53</w:t>
            </w:r>
          </w:p>
        </w:tc>
      </w:tr>
      <w:tr>
        <w:trPr>
          <w:cantSplit/>
          <w:trHeight w:val="434"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10(3)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Certified copy of register entry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55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lastRenderedPageBreak/>
              <w:t>s. 66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Issue of duplicate licence or duplicate identity card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35</w:t>
            </w:r>
          </w:p>
        </w:tc>
      </w:tr>
      <w:tr>
        <w:trPr>
          <w:cantSplit/>
        </w:trPr>
        <w:tc>
          <w:tcPr>
            <w:tcW w:w="1985" w:type="dxa"/>
            <w:noWrap/>
          </w:tcPr>
          <w:p>
            <w:pPr>
              <w:pStyle w:val="zyTableNAm"/>
            </w:pPr>
            <w:r>
              <w:t>s. 94(4)(b)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Additional fee if fingerprints and palm prints are required under s. 48(1)(a) or (b)(i)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jc w:val="right"/>
            </w:pPr>
            <w:r>
              <w:t>132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B6CD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B63E93" w14:textId="25D8351A" w:rsidR="00E23017" w:rsidRDefault="00E230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13F5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8B6212" w14:textId="77777777" w:rsidR="00E23017" w:rsidRDefault="00E230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3E301E" w14:textId="1E865283" w:rsidR="00E23017" w:rsidRDefault="00E2301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13F5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C8D81A" w14:textId="77777777" w:rsidR="00E23017" w:rsidRDefault="00E2301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7" w:name="Coversheet"/>
    <w:bookmarkEnd w:id="5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352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30100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30100010_GUID" w:val="6e644d3c-04ff-48eb-8bf6-e55720f5edb0"/>
    <w:docVar w:name="WAFER_20250514155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4155137_GUID" w:val="c9b81047-467d-446c-9930-761b56a8df55"/>
    <w:docVar w:name="WAFER_202506051352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35227_GUID" w:val="b6090704-fe40-4acc-bfa3-bc273986b66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AFC08D9C-F727-4DD4-AED8-27D3E8D1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1226</Words>
  <Characters>6085</Characters>
  <Application>Microsoft Office Word</Application>
  <DocSecurity>0</DocSecurity>
  <Lines>507</Lines>
  <Paragraphs>332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Regulations Amendment (Fees and Charges)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2025-06-10T04:38:00Z</dcterms:created>
  <dcterms:modified xsi:type="dcterms:W3CDTF">2025-06-10T04:38:00Z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55426</vt:lpwstr>
  </property>
  <property fmtid="{D5CDD505-2E9C-101B-9397-08002B2CF9AE}" pid="3" name="DocumentType">
    <vt:lpwstr>Reg</vt:lpwstr>
  </property>
  <property fmtid="{D5CDD505-2E9C-101B-9397-08002B2CF9AE}" pid="4" name="AsAtDate">
    <vt:lpwstr>11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2025/86</vt:lpwstr>
  </property>
  <property fmtid="{D5CDD505-2E9C-101B-9397-08002B2CF9AE}" pid="8" name="PublishDate">
    <vt:lpwstr>11 Jun 2025</vt:lpwstr>
  </property>
  <property fmtid="{D5CDD505-2E9C-101B-9397-08002B2CF9AE}" pid="9" name="CommencementDate">
    <vt:lpwstr>20250611</vt:lpwstr>
  </property>
  <property fmtid="{D5CDD505-2E9C-101B-9397-08002B2CF9AE}" pid="10" name="CommencementAsAt">
    <vt:filetime>2025-06-10T16:00:00Z</vt:filetime>
  </property>
  <property fmtid="{D5CDD505-2E9C-101B-9397-08002B2CF9AE}" pid="11" name="CommencementYear">
    <vt:lpwstr>2025</vt:lpwstr>
  </property>
</Properties>
</file>