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_Toc200032142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_Toc200032143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_Toc200032144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_Toc200032145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_Toc200032146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_Toc200032147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_Toc200032148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_Toc200032149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_Toc200032150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_Toc200032151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_Toc200032152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_Toc200032153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_Toc200032154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_Toc200032155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_Toc200032156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_Toc200032157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_Toc200032158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_Toc200032159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_Toc200032160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_Toc200032161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_Toc200032162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_Toc200032163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_Toc200032167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_Toc200032168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_Toc200032170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_Toc200032173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_Toc200032174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_Toc200032175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_Toc200032176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_Toc200032177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_Toc200032178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_Toc200032179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_Toc200032180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_Toc200032182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_Toc200032184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_Toc200032187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_Toc200032189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_Toc200032190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_Toc200032192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_Toc200032193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_Toc200032194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_Toc200032195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_Toc200032196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_Toc200032198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_Toc200032199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_Toc200032200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_Toc200032201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_Toc200032204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_Toc200032206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_Toc200032207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_Toc200032208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_Toc200032209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_Toc200032211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_Toc200032212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_Toc200032213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_Toc200032214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_Toc200032215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_Toc200032216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_Toc200032217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_Toc200032218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_Toc200032219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_Toc200032220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_Toc200032222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_Toc200032223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_Toc200032224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_Toc200032225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_Toc200032226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_Toc200032227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_Toc200032228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_Toc200032230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_Toc200032231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_Toc200032233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_Toc200032234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_Toc200032235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_Toc200032236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_Toc200032237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_Toc200032238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_Toc200032239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_Toc200032240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_Toc200032241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_Toc200032242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_Toc200032243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_Toc200032245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_Toc200032246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_Toc200032247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_Toc200032249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_Toc200032250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_Toc200032251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_Toc200032252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_Toc200032253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_Toc200032254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_Toc200032255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_Toc200032256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_Toc200032257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_Toc200032262 \h </w:instrText>
      </w:r>
      <w:r>
        <w:fldChar w:fldCharType="separate"/>
      </w:r>
      <w:r>
        <w:t>65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_Toc200032263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2" w:name="_Toc200032142"/>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200032143"/>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5" w:name="_Toc200032144"/>
      <w:r>
        <w:rPr>
          <w:rStyle w:val="CharSectno"/>
        </w:rPr>
        <w:t>3</w:t>
      </w:r>
      <w:r>
        <w:t>.</w:t>
      </w:r>
      <w:r>
        <w:tab/>
        <w:t>Restrictions as to names of associations (s. 12(e) and (f))</w:t>
      </w:r>
      <w:bookmarkEnd w:id="5"/>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6" w:name="_Toc200032145"/>
      <w:r>
        <w:rPr>
          <w:rStyle w:val="CharSectno"/>
        </w:rPr>
        <w:t>4</w:t>
      </w:r>
      <w:r>
        <w:t>.</w:t>
      </w:r>
      <w:r>
        <w:tab/>
        <w:t>Model rules (s. 26(1))</w:t>
      </w:r>
      <w:bookmarkEnd w:id="6"/>
    </w:p>
    <w:p>
      <w:pPr>
        <w:pStyle w:val="Subsection"/>
      </w:pPr>
      <w:r>
        <w:tab/>
      </w:r>
      <w:r>
        <w:tab/>
        <w:t>For the purposes of section 26(1) of the Act, the model rules for incorporated associations in Schedule 2 are prescribed.</w:t>
      </w:r>
    </w:p>
    <w:p>
      <w:pPr>
        <w:pStyle w:val="Heading5"/>
      </w:pPr>
      <w:bookmarkStart w:id="7" w:name="_Toc200032146"/>
      <w:r>
        <w:rPr>
          <w:rStyle w:val="CharSectno"/>
        </w:rPr>
        <w:t>5</w:t>
      </w:r>
      <w:r>
        <w:t>.</w:t>
      </w:r>
      <w:r>
        <w:tab/>
        <w:t>Approval of liquidator</w:t>
      </w:r>
      <w:bookmarkEnd w:id="7"/>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8" w:name="_Toc200032147"/>
      <w:r>
        <w:rPr>
          <w:rStyle w:val="CharSectno"/>
        </w:rPr>
        <w:t>6</w:t>
      </w:r>
      <w:r>
        <w:t>.</w:t>
      </w:r>
      <w:r>
        <w:tab/>
        <w:t>Compliance with, and completion of, approved forms</w:t>
      </w:r>
      <w:bookmarkEnd w:id="8"/>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9" w:name="_Toc200032148"/>
      <w:r>
        <w:rPr>
          <w:rStyle w:val="CharSectno"/>
        </w:rPr>
        <w:t>7</w:t>
      </w:r>
      <w:r>
        <w:t>.</w:t>
      </w:r>
      <w:r>
        <w:tab/>
        <w:t>General requirements for lodged documents</w:t>
      </w:r>
      <w:bookmarkEnd w:id="9"/>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0" w:name="_Toc200032149"/>
      <w:r>
        <w:rPr>
          <w:rStyle w:val="CharSectno"/>
        </w:rPr>
        <w:lastRenderedPageBreak/>
        <w:t>8</w:t>
      </w:r>
      <w:r>
        <w:t>.</w:t>
      </w:r>
      <w:r>
        <w:tab/>
        <w:t>Signature on documents lodged with the Commissioner</w:t>
      </w:r>
      <w:bookmarkEnd w:id="10"/>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1" w:name="_Toc200032150"/>
      <w:r>
        <w:rPr>
          <w:rStyle w:val="CharSectno"/>
        </w:rPr>
        <w:t>9</w:t>
      </w:r>
      <w:r>
        <w:t>.</w:t>
      </w:r>
      <w:r>
        <w:tab/>
        <w:t>Translations</w:t>
      </w:r>
      <w:bookmarkEnd w:id="11"/>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2" w:name="_Toc200032151"/>
      <w:r>
        <w:rPr>
          <w:rStyle w:val="CharSectno"/>
        </w:rPr>
        <w:t>10</w:t>
      </w:r>
      <w:r>
        <w:t>.</w:t>
      </w:r>
      <w:r>
        <w:tab/>
        <w:t>Manner of providing copy of rules to members (s. 36(3))</w:t>
      </w:r>
      <w:bookmarkEnd w:id="1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3" w:name="_Toc200032152"/>
      <w:r>
        <w:rPr>
          <w:rStyle w:val="CharSectno"/>
        </w:rPr>
        <w:t>11</w:t>
      </w:r>
      <w:r>
        <w:t>.</w:t>
      </w:r>
      <w:r>
        <w:tab/>
        <w:t>Manner of providing copy of register to members (s. 56(5))</w:t>
      </w:r>
      <w:bookmarkEnd w:id="1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4" w:name="_Toc200032153"/>
      <w:r>
        <w:rPr>
          <w:rStyle w:val="CharSectno"/>
        </w:rPr>
        <w:t>11A</w:t>
      </w:r>
      <w:r>
        <w:t>.</w:t>
      </w:r>
      <w:r>
        <w:tab/>
        <w:t>Tier 1 and tier 3 association revenue limits (s. 64)</w:t>
      </w:r>
      <w:bookmarkEnd w:id="14"/>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5" w:name="_Toc200032154"/>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200032155"/>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200032156"/>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200032157"/>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200032158"/>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200032159"/>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200032160"/>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200032161"/>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200032162"/>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200032163"/>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200028434"/>
      <w:bookmarkStart w:id="26" w:name="_Toc200028678"/>
      <w:bookmarkStart w:id="27" w:name="_Toc200032164"/>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9" w:name="_Toc200028435"/>
      <w:bookmarkStart w:id="30" w:name="_Toc200028679"/>
      <w:bookmarkStart w:id="31" w:name="_Toc200032165"/>
      <w:r>
        <w:rPr>
          <w:rStyle w:val="CharSchNo"/>
        </w:rPr>
        <w:lastRenderedPageBreak/>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200028436"/>
      <w:bookmarkStart w:id="33" w:name="_Toc200028680"/>
      <w:bookmarkStart w:id="34" w:name="_Toc200032166"/>
      <w:r>
        <w:rPr>
          <w:rStyle w:val="CharSDivNo"/>
        </w:rPr>
        <w:t>Part 1</w:t>
      </w:r>
      <w:r>
        <w:t> — </w:t>
      </w:r>
      <w:r>
        <w:rPr>
          <w:rStyle w:val="CharSDivText"/>
        </w:rPr>
        <w:t>Preliminary</w:t>
      </w:r>
      <w:bookmarkEnd w:id="32"/>
      <w:bookmarkEnd w:id="33"/>
      <w:bookmarkEnd w:id="34"/>
    </w:p>
    <w:p>
      <w:pPr>
        <w:pStyle w:val="yHeading5"/>
      </w:pPr>
      <w:bookmarkStart w:id="35" w:name="_Toc200032167"/>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200032168"/>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200028439"/>
      <w:bookmarkStart w:id="38" w:name="_Toc200028683"/>
      <w:bookmarkStart w:id="39" w:name="_Toc200032169"/>
      <w:r>
        <w:rPr>
          <w:rStyle w:val="CharSDivNo"/>
        </w:rPr>
        <w:t>Part 2</w:t>
      </w:r>
      <w:r>
        <w:t> — </w:t>
      </w:r>
      <w:r>
        <w:rPr>
          <w:rStyle w:val="CharSDivText"/>
        </w:rPr>
        <w:t>Association to be not-for-profit body</w:t>
      </w:r>
      <w:bookmarkEnd w:id="37"/>
      <w:bookmarkEnd w:id="38"/>
      <w:bookmarkEnd w:id="39"/>
    </w:p>
    <w:p>
      <w:pPr>
        <w:pStyle w:val="yHeading5"/>
      </w:pPr>
      <w:bookmarkStart w:id="40" w:name="_Toc200032170"/>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200028441"/>
      <w:bookmarkStart w:id="42" w:name="_Toc200028685"/>
      <w:bookmarkStart w:id="43" w:name="_Toc200032171"/>
      <w:r>
        <w:rPr>
          <w:rStyle w:val="CharSDivNo"/>
        </w:rPr>
        <w:t>Part 3</w:t>
      </w:r>
      <w:r>
        <w:t> — </w:t>
      </w:r>
      <w:r>
        <w:rPr>
          <w:rStyle w:val="CharSDivText"/>
        </w:rPr>
        <w:t>Members</w:t>
      </w:r>
      <w:bookmarkEnd w:id="41"/>
      <w:bookmarkEnd w:id="42"/>
      <w:bookmarkEnd w:id="43"/>
    </w:p>
    <w:p>
      <w:pPr>
        <w:pStyle w:val="yHeading4"/>
      </w:pPr>
      <w:bookmarkStart w:id="44" w:name="_Toc200028442"/>
      <w:bookmarkStart w:id="45" w:name="_Toc200028686"/>
      <w:bookmarkStart w:id="46" w:name="_Toc200032172"/>
      <w:r>
        <w:t>Division 1</w:t>
      </w:r>
      <w:r>
        <w:rPr>
          <w:b w:val="0"/>
        </w:rPr>
        <w:t> — </w:t>
      </w:r>
      <w:r>
        <w:t>Membership</w:t>
      </w:r>
      <w:bookmarkEnd w:id="44"/>
      <w:bookmarkEnd w:id="45"/>
      <w:bookmarkEnd w:id="46"/>
    </w:p>
    <w:p>
      <w:pPr>
        <w:pStyle w:val="yHeading5"/>
      </w:pPr>
      <w:bookmarkStart w:id="47" w:name="_Toc200032173"/>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200032174"/>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200032175"/>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200032176"/>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200032177"/>
      <w:r>
        <w:rPr>
          <w:rStyle w:val="CharSClsNo"/>
        </w:rPr>
        <w:lastRenderedPageBreak/>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200032178"/>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200032179"/>
      <w:r>
        <w:rPr>
          <w:rStyle w:val="CharSClsNo"/>
        </w:rPr>
        <w:lastRenderedPageBreak/>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200032180"/>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200028451"/>
      <w:bookmarkStart w:id="56" w:name="_Toc200028695"/>
      <w:bookmarkStart w:id="57" w:name="_Toc200032181"/>
      <w:r>
        <w:t>Division 2</w:t>
      </w:r>
      <w:r>
        <w:rPr>
          <w:b w:val="0"/>
        </w:rPr>
        <w:t> — </w:t>
      </w:r>
      <w:r>
        <w:t>Membership fees</w:t>
      </w:r>
      <w:bookmarkEnd w:id="55"/>
      <w:bookmarkEnd w:id="56"/>
      <w:bookmarkEnd w:id="57"/>
    </w:p>
    <w:p>
      <w:pPr>
        <w:pStyle w:val="yHeading5"/>
      </w:pPr>
      <w:bookmarkStart w:id="58" w:name="_Toc200032182"/>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200028453"/>
      <w:bookmarkStart w:id="60" w:name="_Toc200028697"/>
      <w:bookmarkStart w:id="61" w:name="_Toc200032183"/>
      <w:r>
        <w:t>Division 3</w:t>
      </w:r>
      <w:r>
        <w:rPr>
          <w:b w:val="0"/>
        </w:rPr>
        <w:t> — </w:t>
      </w:r>
      <w:r>
        <w:t>Register of members</w:t>
      </w:r>
      <w:bookmarkEnd w:id="59"/>
      <w:bookmarkEnd w:id="60"/>
      <w:bookmarkEnd w:id="61"/>
    </w:p>
    <w:p>
      <w:pPr>
        <w:pStyle w:val="yHeading5"/>
      </w:pPr>
      <w:bookmarkStart w:id="62" w:name="_Toc200032184"/>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200028455"/>
      <w:bookmarkStart w:id="64" w:name="_Toc200028699"/>
      <w:bookmarkStart w:id="65" w:name="_Toc200032185"/>
      <w:r>
        <w:rPr>
          <w:rStyle w:val="CharSDivNo"/>
        </w:rPr>
        <w:lastRenderedPageBreak/>
        <w:t>Part 4</w:t>
      </w:r>
      <w:r>
        <w:t> — </w:t>
      </w:r>
      <w:r>
        <w:rPr>
          <w:rStyle w:val="CharSDivText"/>
        </w:rPr>
        <w:t>Disciplinary action, disputes and mediation</w:t>
      </w:r>
      <w:bookmarkEnd w:id="63"/>
      <w:bookmarkEnd w:id="64"/>
      <w:bookmarkEnd w:id="65"/>
    </w:p>
    <w:p>
      <w:pPr>
        <w:pStyle w:val="yHeading4"/>
      </w:pPr>
      <w:bookmarkStart w:id="66" w:name="_Toc200028456"/>
      <w:bookmarkStart w:id="67" w:name="_Toc200028700"/>
      <w:bookmarkStart w:id="68" w:name="_Toc200032186"/>
      <w:r>
        <w:t>Division 1</w:t>
      </w:r>
      <w:r>
        <w:rPr>
          <w:b w:val="0"/>
        </w:rPr>
        <w:t> — </w:t>
      </w:r>
      <w:r>
        <w:t>Term used</w:t>
      </w:r>
      <w:bookmarkEnd w:id="66"/>
      <w:bookmarkEnd w:id="67"/>
      <w:bookmarkEnd w:id="68"/>
    </w:p>
    <w:p>
      <w:pPr>
        <w:pStyle w:val="yHeading5"/>
      </w:pPr>
      <w:bookmarkStart w:id="69" w:name="_Toc200032187"/>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200028458"/>
      <w:bookmarkStart w:id="71" w:name="_Toc200028702"/>
      <w:bookmarkStart w:id="72" w:name="_Toc200032188"/>
      <w:r>
        <w:t>Division 2</w:t>
      </w:r>
      <w:r>
        <w:rPr>
          <w:b w:val="0"/>
        </w:rPr>
        <w:t> — </w:t>
      </w:r>
      <w:r>
        <w:t>Disciplinary action</w:t>
      </w:r>
      <w:bookmarkEnd w:id="70"/>
      <w:bookmarkEnd w:id="71"/>
      <w:bookmarkEnd w:id="72"/>
    </w:p>
    <w:p>
      <w:pPr>
        <w:pStyle w:val="yHeading5"/>
      </w:pPr>
      <w:bookmarkStart w:id="73" w:name="_Toc200032189"/>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200032190"/>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200028461"/>
      <w:bookmarkStart w:id="76" w:name="_Toc200028705"/>
      <w:bookmarkStart w:id="77" w:name="_Toc200032191"/>
      <w:r>
        <w:lastRenderedPageBreak/>
        <w:t>Division 3</w:t>
      </w:r>
      <w:r>
        <w:rPr>
          <w:b w:val="0"/>
        </w:rPr>
        <w:t> — </w:t>
      </w:r>
      <w:r>
        <w:t>Resolving disputes</w:t>
      </w:r>
      <w:bookmarkEnd w:id="75"/>
      <w:bookmarkEnd w:id="76"/>
      <w:bookmarkEnd w:id="77"/>
    </w:p>
    <w:p>
      <w:pPr>
        <w:pStyle w:val="yHeading5"/>
      </w:pPr>
      <w:bookmarkStart w:id="78" w:name="_Toc200032192"/>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200032193"/>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200032194"/>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200032195"/>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200032196"/>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3" w:name="_Toc200028467"/>
      <w:bookmarkStart w:id="84" w:name="_Toc200028711"/>
      <w:bookmarkStart w:id="85" w:name="_Toc200032197"/>
      <w:r>
        <w:t>Division 4</w:t>
      </w:r>
      <w:r>
        <w:rPr>
          <w:b w:val="0"/>
        </w:rPr>
        <w:t> — </w:t>
      </w:r>
      <w:r>
        <w:t>Mediation</w:t>
      </w:r>
      <w:bookmarkEnd w:id="83"/>
      <w:bookmarkEnd w:id="84"/>
      <w:bookmarkEnd w:id="85"/>
    </w:p>
    <w:p>
      <w:pPr>
        <w:pStyle w:val="yHeading5"/>
      </w:pPr>
      <w:bookmarkStart w:id="86" w:name="_Toc200032198"/>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200032199"/>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200032200"/>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200032201"/>
      <w:r>
        <w:rPr>
          <w:rStyle w:val="CharSClsNo"/>
        </w:rPr>
        <w:lastRenderedPageBreak/>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200028472"/>
      <w:bookmarkStart w:id="91" w:name="_Toc200028716"/>
      <w:bookmarkStart w:id="92" w:name="_Toc200032202"/>
      <w:r>
        <w:rPr>
          <w:rStyle w:val="CharSDivNo"/>
        </w:rPr>
        <w:t>Part 5</w:t>
      </w:r>
      <w:r>
        <w:t> — </w:t>
      </w:r>
      <w:r>
        <w:rPr>
          <w:rStyle w:val="CharSDivText"/>
        </w:rPr>
        <w:t>Committee</w:t>
      </w:r>
      <w:bookmarkEnd w:id="90"/>
      <w:bookmarkEnd w:id="91"/>
      <w:bookmarkEnd w:id="92"/>
    </w:p>
    <w:p>
      <w:pPr>
        <w:pStyle w:val="yHeading4"/>
      </w:pPr>
      <w:bookmarkStart w:id="93" w:name="_Toc200028473"/>
      <w:bookmarkStart w:id="94" w:name="_Toc200028717"/>
      <w:bookmarkStart w:id="95" w:name="_Toc200032203"/>
      <w:r>
        <w:t>Division 1</w:t>
      </w:r>
      <w:r>
        <w:rPr>
          <w:b w:val="0"/>
        </w:rPr>
        <w:t> — </w:t>
      </w:r>
      <w:r>
        <w:t>Powers of committee</w:t>
      </w:r>
      <w:bookmarkEnd w:id="93"/>
      <w:bookmarkEnd w:id="94"/>
      <w:bookmarkEnd w:id="95"/>
    </w:p>
    <w:p>
      <w:pPr>
        <w:pStyle w:val="yHeading5"/>
      </w:pPr>
      <w:bookmarkStart w:id="96" w:name="_Toc200032204"/>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200028475"/>
      <w:bookmarkStart w:id="98" w:name="_Toc200028719"/>
      <w:bookmarkStart w:id="99" w:name="_Toc200032205"/>
      <w:r>
        <w:t>Division 2</w:t>
      </w:r>
      <w:r>
        <w:rPr>
          <w:b w:val="0"/>
        </w:rPr>
        <w:t> — </w:t>
      </w:r>
      <w:r>
        <w:t>Composition of committee and duties of members</w:t>
      </w:r>
      <w:bookmarkEnd w:id="97"/>
      <w:bookmarkEnd w:id="98"/>
      <w:bookmarkEnd w:id="99"/>
    </w:p>
    <w:p>
      <w:pPr>
        <w:pStyle w:val="yHeading5"/>
      </w:pPr>
      <w:bookmarkStart w:id="100" w:name="_Toc200032206"/>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200032207"/>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200032208"/>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200032209"/>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200028480"/>
      <w:bookmarkStart w:id="105" w:name="_Toc200028724"/>
      <w:bookmarkStart w:id="106" w:name="_Toc200032210"/>
      <w:r>
        <w:t>Division 3</w:t>
      </w:r>
      <w:r>
        <w:rPr>
          <w:b w:val="0"/>
        </w:rPr>
        <w:t> — </w:t>
      </w:r>
      <w:r>
        <w:t>Election of committee members and tenure of office</w:t>
      </w:r>
      <w:bookmarkEnd w:id="104"/>
      <w:bookmarkEnd w:id="105"/>
      <w:bookmarkEnd w:id="106"/>
    </w:p>
    <w:p>
      <w:pPr>
        <w:pStyle w:val="yHeading5"/>
      </w:pPr>
      <w:bookmarkStart w:id="107" w:name="_Toc200032211"/>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200032212"/>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200032213"/>
      <w:r>
        <w:rPr>
          <w:rStyle w:val="CharSClsNo"/>
        </w:rPr>
        <w:lastRenderedPageBreak/>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200032214"/>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200032215"/>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200032216"/>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200032217"/>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200032218"/>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200032219"/>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200032220"/>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200028491"/>
      <w:bookmarkStart w:id="118" w:name="_Toc200028735"/>
      <w:bookmarkStart w:id="119" w:name="_Toc200032221"/>
      <w:r>
        <w:t>Division 4</w:t>
      </w:r>
      <w:r>
        <w:rPr>
          <w:b w:val="0"/>
        </w:rPr>
        <w:t> — </w:t>
      </w:r>
      <w:r>
        <w:t>Committee meetings</w:t>
      </w:r>
      <w:bookmarkEnd w:id="117"/>
      <w:bookmarkEnd w:id="118"/>
      <w:bookmarkEnd w:id="119"/>
    </w:p>
    <w:p>
      <w:pPr>
        <w:pStyle w:val="yHeading5"/>
      </w:pPr>
      <w:bookmarkStart w:id="120" w:name="_Toc200032222"/>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200032223"/>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200032224"/>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200032225"/>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200032226"/>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200032227"/>
      <w:r>
        <w:rPr>
          <w:rStyle w:val="CharSClsNo"/>
        </w:rPr>
        <w:lastRenderedPageBreak/>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200032228"/>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200028499"/>
      <w:bookmarkStart w:id="128" w:name="_Toc200028743"/>
      <w:bookmarkStart w:id="129" w:name="_Toc200032229"/>
      <w:r>
        <w:t>Division 5</w:t>
      </w:r>
      <w:r>
        <w:rPr>
          <w:b w:val="0"/>
        </w:rPr>
        <w:t> — </w:t>
      </w:r>
      <w:r>
        <w:t>Subcommittees and subsidiary offices</w:t>
      </w:r>
      <w:bookmarkEnd w:id="127"/>
      <w:bookmarkEnd w:id="128"/>
      <w:bookmarkEnd w:id="129"/>
    </w:p>
    <w:p>
      <w:pPr>
        <w:pStyle w:val="yHeading5"/>
      </w:pPr>
      <w:bookmarkStart w:id="130" w:name="_Toc200032230"/>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200032231"/>
      <w:r>
        <w:rPr>
          <w:rStyle w:val="CharSClsNo"/>
        </w:rPr>
        <w:lastRenderedPageBreak/>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200028502"/>
      <w:bookmarkStart w:id="133" w:name="_Toc200028746"/>
      <w:bookmarkStart w:id="134" w:name="_Toc200032232"/>
      <w:r>
        <w:rPr>
          <w:rStyle w:val="CharSDivNo"/>
        </w:rPr>
        <w:t>Part 6</w:t>
      </w:r>
      <w:r>
        <w:t> — </w:t>
      </w:r>
      <w:r>
        <w:rPr>
          <w:rStyle w:val="CharSDivText"/>
        </w:rPr>
        <w:t>General meetings of Association</w:t>
      </w:r>
      <w:bookmarkEnd w:id="132"/>
      <w:bookmarkEnd w:id="133"/>
      <w:bookmarkEnd w:id="134"/>
    </w:p>
    <w:p>
      <w:pPr>
        <w:pStyle w:val="yHeading5"/>
      </w:pPr>
      <w:bookmarkStart w:id="135" w:name="_Toc200032233"/>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200032234"/>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200032235"/>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200032236"/>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200032237"/>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200032238"/>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200032239"/>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200032240"/>
      <w:r>
        <w:rPr>
          <w:rStyle w:val="CharSClsNo"/>
        </w:rPr>
        <w:lastRenderedPageBreak/>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3" w:name="_Toc200032241"/>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200032242"/>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200032243"/>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200028514"/>
      <w:bookmarkStart w:id="147" w:name="_Toc200028758"/>
      <w:bookmarkStart w:id="148" w:name="_Toc200032244"/>
      <w:r>
        <w:rPr>
          <w:rStyle w:val="CharSDivNo"/>
        </w:rPr>
        <w:t>Part 7</w:t>
      </w:r>
      <w:r>
        <w:t> — </w:t>
      </w:r>
      <w:r>
        <w:rPr>
          <w:rStyle w:val="CharSDivText"/>
        </w:rPr>
        <w:t>Financial matters</w:t>
      </w:r>
      <w:bookmarkEnd w:id="146"/>
      <w:bookmarkEnd w:id="147"/>
      <w:bookmarkEnd w:id="148"/>
    </w:p>
    <w:p>
      <w:pPr>
        <w:pStyle w:val="yHeading5"/>
      </w:pPr>
      <w:bookmarkStart w:id="149" w:name="_Toc200032245"/>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200032246"/>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200032247"/>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2" w:name="_Toc200028518"/>
      <w:bookmarkStart w:id="153" w:name="_Toc200028762"/>
      <w:bookmarkStart w:id="154" w:name="_Toc200032248"/>
      <w:r>
        <w:rPr>
          <w:rStyle w:val="CharSDivNo"/>
        </w:rPr>
        <w:t>Part 8</w:t>
      </w:r>
      <w:r>
        <w:t> — </w:t>
      </w:r>
      <w:r>
        <w:rPr>
          <w:rStyle w:val="CharSDivText"/>
        </w:rPr>
        <w:t>General matters</w:t>
      </w:r>
      <w:bookmarkEnd w:id="152"/>
      <w:bookmarkEnd w:id="153"/>
      <w:bookmarkEnd w:id="154"/>
    </w:p>
    <w:p>
      <w:pPr>
        <w:pStyle w:val="yHeading5"/>
      </w:pPr>
      <w:bookmarkStart w:id="155" w:name="_Toc200032249"/>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200032250"/>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200032251"/>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200032252"/>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200032253"/>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200032254"/>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200032255"/>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200032256"/>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200032257"/>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4" w:name="_Toc200028528"/>
      <w:bookmarkStart w:id="165" w:name="_Toc200028772"/>
      <w:bookmarkStart w:id="166" w:name="_Toc200032258"/>
      <w:r>
        <w:rPr>
          <w:rStyle w:val="CharSchNo"/>
        </w:rPr>
        <w:lastRenderedPageBreak/>
        <w:t>Schedule 3</w:t>
      </w:r>
      <w:r>
        <w:rPr>
          <w:rStyle w:val="CharSDivNo"/>
        </w:rPr>
        <w:t> </w:t>
      </w:r>
      <w:r>
        <w:t>—</w:t>
      </w:r>
      <w:r>
        <w:rPr>
          <w:rStyle w:val="CharSDivText"/>
        </w:rPr>
        <w:t> </w:t>
      </w:r>
      <w:r>
        <w:rPr>
          <w:rStyle w:val="CharSchText"/>
        </w:rPr>
        <w:t>Fees</w:t>
      </w:r>
      <w:bookmarkEnd w:id="164"/>
      <w:bookmarkEnd w:id="165"/>
      <w:bookmarkEnd w:id="166"/>
    </w:p>
    <w:p>
      <w:pPr>
        <w:pStyle w:val="yShoulderClause"/>
      </w:pPr>
      <w:r>
        <w:t>[r. 16(1)]</w:t>
      </w:r>
    </w:p>
    <w:p>
      <w:pPr>
        <w:pStyle w:val="yFootnoteheading"/>
        <w:spacing w:after="60"/>
      </w:pPr>
      <w:r>
        <w:tab/>
        <w:t>[Heading inserted: SL 2024/96 r. 4.]</w:t>
      </w:r>
    </w:p>
    <w:tbl>
      <w:tblPr>
        <w:tblW w:w="7088" w:type="dxa"/>
        <w:tblLayout w:type="fixed"/>
        <w:tblLook w:val="0000" w:firstRow="0" w:lastRow="0" w:firstColumn="0" w:lastColumn="0" w:noHBand="0" w:noVBand="0"/>
      </w:tblPr>
      <w:tblGrid>
        <w:gridCol w:w="567"/>
        <w:gridCol w:w="4207"/>
        <w:gridCol w:w="1322"/>
        <w:gridCol w:w="992"/>
      </w:tblGrid>
      <w:tr>
        <w:trPr>
          <w:cantSplit/>
          <w:tblHeader/>
        </w:trPr>
        <w:tc>
          <w:tcPr>
            <w:tcW w:w="567" w:type="dxa"/>
            <w:tcBorders>
              <w:top w:val="single" w:sz="4" w:space="0" w:color="auto"/>
              <w:bottom w:val="single" w:sz="4" w:space="0" w:color="auto"/>
            </w:tcBorders>
          </w:tcPr>
          <w:p>
            <w:pPr>
              <w:pStyle w:val="yTableNAm"/>
              <w:jc w:val="center"/>
              <w:rPr>
                <w:b/>
              </w:rPr>
            </w:pPr>
          </w:p>
        </w:tc>
        <w:tc>
          <w:tcPr>
            <w:tcW w:w="4207"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Height w:val="704"/>
        </w:trPr>
        <w:tc>
          <w:tcPr>
            <w:tcW w:w="567" w:type="dxa"/>
          </w:tcPr>
          <w:p>
            <w:pPr>
              <w:pStyle w:val="yTableNAm"/>
            </w:pPr>
            <w:r>
              <w:t>1.</w:t>
            </w:r>
          </w:p>
        </w:tc>
        <w:tc>
          <w:tcPr>
            <w:tcW w:w="4207" w:type="dxa"/>
          </w:tcPr>
          <w:p>
            <w:pPr>
              <w:pStyle w:val="yTableNAm"/>
            </w:pPr>
            <w:r>
              <w:rPr>
                <w:szCs w:val="22"/>
              </w:rPr>
              <w:t>Application for incorporation of association —</w:t>
            </w:r>
            <w:r>
              <w:t xml:space="preserve"> </w:t>
            </w:r>
          </w:p>
          <w:p>
            <w:pPr>
              <w:pStyle w:val="yTableNAm"/>
              <w:rPr>
                <w:szCs w:val="22"/>
              </w:rPr>
            </w:pPr>
            <w:r>
              <w:t>(a)</w:t>
            </w:r>
            <w:r>
              <w:tab/>
            </w:r>
            <w:r>
              <w:rPr>
                <w:szCs w:val="22"/>
              </w:rPr>
              <w:t>if association adopts model rules</w:t>
            </w:r>
          </w:p>
          <w:p>
            <w:pPr>
              <w:pStyle w:val="yTableNAm"/>
            </w:pPr>
            <w:r>
              <w:t>(b)</w:t>
            </w:r>
            <w:r>
              <w:tab/>
              <w:t>if association proposes own rules</w:t>
            </w:r>
          </w:p>
        </w:tc>
        <w:tc>
          <w:tcPr>
            <w:tcW w:w="1322" w:type="dxa"/>
          </w:tcPr>
          <w:p>
            <w:pPr>
              <w:pStyle w:val="yTableNAm"/>
            </w:pPr>
            <w:r>
              <w:t>s. 7</w:t>
            </w:r>
          </w:p>
        </w:tc>
        <w:tc>
          <w:tcPr>
            <w:tcW w:w="992" w:type="dxa"/>
            <w:vAlign w:val="bottom"/>
          </w:tcPr>
          <w:p>
            <w:pPr>
              <w:pStyle w:val="yTableNAm"/>
              <w:jc w:val="right"/>
              <w:rPr>
                <w:szCs w:val="22"/>
              </w:rPr>
            </w:pPr>
            <w:r>
              <w:rPr>
                <w:szCs w:val="22"/>
              </w:rPr>
              <w:t>194.00</w:t>
            </w:r>
          </w:p>
          <w:p>
            <w:pPr>
              <w:pStyle w:val="yTableNAm"/>
              <w:jc w:val="right"/>
            </w:pPr>
            <w:r>
              <w:rPr>
                <w:szCs w:val="22"/>
              </w:rPr>
              <w:t>240.00</w:t>
            </w:r>
          </w:p>
        </w:tc>
      </w:tr>
      <w:tr>
        <w:trPr>
          <w:cantSplit/>
        </w:trPr>
        <w:tc>
          <w:tcPr>
            <w:tcW w:w="567" w:type="dxa"/>
          </w:tcPr>
          <w:p>
            <w:pPr>
              <w:pStyle w:val="yTableNAm"/>
            </w:pPr>
            <w:r>
              <w:t>2.</w:t>
            </w:r>
          </w:p>
        </w:tc>
        <w:tc>
          <w:tcPr>
            <w:tcW w:w="4207" w:type="dxa"/>
          </w:tcPr>
          <w:p>
            <w:pPr>
              <w:pStyle w:val="yTableNAm"/>
            </w:pPr>
            <w:r>
              <w:t>Additional fee for application for incorporation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3.</w:t>
            </w:r>
          </w:p>
        </w:tc>
        <w:tc>
          <w:tcPr>
            <w:tcW w:w="4207" w:type="dxa"/>
          </w:tcPr>
          <w:p>
            <w:pPr>
              <w:pStyle w:val="yTableNAm"/>
              <w:rPr>
                <w:szCs w:val="22"/>
              </w:rPr>
            </w:pPr>
            <w:r>
              <w:rPr>
                <w:szCs w:val="22"/>
              </w:rPr>
              <w:t xml:space="preserve">Issue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33.60</w:t>
            </w:r>
          </w:p>
        </w:tc>
      </w:tr>
      <w:tr>
        <w:trPr>
          <w:cantSplit/>
          <w:trHeight w:val="1577"/>
        </w:trPr>
        <w:tc>
          <w:tcPr>
            <w:tcW w:w="567" w:type="dxa"/>
          </w:tcPr>
          <w:p>
            <w:pPr>
              <w:pStyle w:val="yTableNAm"/>
            </w:pPr>
            <w:r>
              <w:t>4.</w:t>
            </w:r>
          </w:p>
        </w:tc>
        <w:tc>
          <w:tcPr>
            <w:tcW w:w="4207" w:type="dxa"/>
          </w:tcPr>
          <w:p>
            <w:pPr>
              <w:pStyle w:val="yTableNAm"/>
              <w:rPr>
                <w:szCs w:val="22"/>
              </w:rPr>
            </w:pPr>
            <w:r>
              <w:rPr>
                <w:szCs w:val="22"/>
              </w:rPr>
              <w:t xml:space="preserve">Lodging with Commissioner required </w:t>
            </w:r>
            <w:r>
              <w:t>documents</w:t>
            </w:r>
            <w:r>
              <w:rPr>
                <w:szCs w:val="22"/>
              </w:rPr>
              <w:t xml:space="preserve"> for alteration of incorporated association’s rules — </w:t>
            </w:r>
          </w:p>
          <w:p>
            <w:pPr>
              <w:pStyle w:val="yTableNAm"/>
              <w:ind w:left="567" w:hanging="567"/>
              <w:rPr>
                <w:szCs w:val="22"/>
              </w:rPr>
            </w:pPr>
            <w:r>
              <w:t>(a)</w:t>
            </w:r>
            <w:r>
              <w:tab/>
            </w:r>
            <w:r>
              <w:rPr>
                <w:szCs w:val="22"/>
              </w:rPr>
              <w:t>if approval under s. 31 or 33 not required</w:t>
            </w:r>
          </w:p>
          <w:p>
            <w:pPr>
              <w:pStyle w:val="yTableNAm"/>
              <w:ind w:left="567" w:hanging="567"/>
              <w:rPr>
                <w:szCs w:val="22"/>
              </w:rPr>
            </w:pPr>
            <w:r>
              <w:t>(b)</w:t>
            </w:r>
            <w:r>
              <w:tab/>
            </w:r>
            <w:r>
              <w:rPr>
                <w:szCs w:val="22"/>
              </w:rPr>
              <w:t>if approval under either s. 31 or 33 required</w:t>
            </w:r>
          </w:p>
          <w:p>
            <w:pPr>
              <w:pStyle w:val="yTableNAm"/>
              <w:ind w:left="567" w:hanging="567"/>
              <w:rPr>
                <w:szCs w:val="22"/>
              </w:rPr>
            </w:pPr>
            <w:r>
              <w:t>(c)</w:t>
            </w:r>
            <w:r>
              <w:tab/>
              <w:t>if approval under both ss. 31 and 33 required</w:t>
            </w:r>
          </w:p>
        </w:tc>
        <w:tc>
          <w:tcPr>
            <w:tcW w:w="1322" w:type="dxa"/>
          </w:tcPr>
          <w:p>
            <w:pPr>
              <w:pStyle w:val="yTableNAm"/>
            </w:pPr>
            <w:r>
              <w:t>s. 30(3)</w:t>
            </w:r>
          </w:p>
        </w:tc>
        <w:tc>
          <w:tcPr>
            <w:tcW w:w="992" w:type="dxa"/>
            <w:vAlign w:val="bottom"/>
          </w:tcPr>
          <w:p>
            <w:pPr>
              <w:pStyle w:val="yTableNAm"/>
              <w:jc w:val="right"/>
              <w:rPr>
                <w:szCs w:val="22"/>
              </w:rPr>
            </w:pPr>
            <w:r>
              <w:rPr>
                <w:szCs w:val="22"/>
              </w:rPr>
              <w:t>50.00</w:t>
            </w:r>
            <w:r>
              <w:rPr>
                <w:szCs w:val="22"/>
              </w:rPr>
              <w:br/>
            </w:r>
          </w:p>
          <w:p>
            <w:pPr>
              <w:pStyle w:val="yTableNAm"/>
              <w:jc w:val="right"/>
              <w:rPr>
                <w:szCs w:val="22"/>
              </w:rPr>
            </w:pPr>
            <w:r>
              <w:rPr>
                <w:szCs w:val="22"/>
              </w:rPr>
              <w:t>67.00</w:t>
            </w:r>
            <w:r>
              <w:rPr>
                <w:szCs w:val="22"/>
              </w:rPr>
              <w:br/>
            </w:r>
          </w:p>
          <w:p>
            <w:pPr>
              <w:pStyle w:val="yTableNAm"/>
              <w:jc w:val="right"/>
              <w:rPr>
                <w:szCs w:val="22"/>
              </w:rPr>
            </w:pPr>
            <w:r>
              <w:rPr>
                <w:szCs w:val="22"/>
              </w:rPr>
              <w:t>84.00</w:t>
            </w:r>
            <w:r>
              <w:rPr>
                <w:szCs w:val="22"/>
              </w:rPr>
              <w:br/>
            </w:r>
          </w:p>
        </w:tc>
      </w:tr>
      <w:tr>
        <w:trPr>
          <w:cantSplit/>
        </w:trPr>
        <w:tc>
          <w:tcPr>
            <w:tcW w:w="567" w:type="dxa"/>
          </w:tcPr>
          <w:p>
            <w:pPr>
              <w:pStyle w:val="yTableNAm"/>
            </w:pPr>
            <w:r>
              <w:t>5.</w:t>
            </w:r>
          </w:p>
        </w:tc>
        <w:tc>
          <w:tcPr>
            <w:tcW w:w="4207" w:type="dxa"/>
          </w:tcPr>
          <w:p>
            <w:pPr>
              <w:pStyle w:val="yTableNAm"/>
              <w:rPr>
                <w:szCs w:val="22"/>
              </w:rPr>
            </w:pPr>
            <w:r>
              <w:rPr>
                <w:szCs w:val="22"/>
              </w:rPr>
              <w:t>Application for Commissioner’s leave to be member of management committee</w:t>
            </w:r>
          </w:p>
        </w:tc>
        <w:tc>
          <w:tcPr>
            <w:tcW w:w="1322" w:type="dxa"/>
          </w:tcPr>
          <w:p>
            <w:pPr>
              <w:pStyle w:val="yTableNAm"/>
            </w:pPr>
            <w:r>
              <w:t>s. 39(2)</w:t>
            </w:r>
          </w:p>
        </w:tc>
        <w:tc>
          <w:tcPr>
            <w:tcW w:w="992" w:type="dxa"/>
          </w:tcPr>
          <w:p>
            <w:pPr>
              <w:pStyle w:val="yTableNAm"/>
              <w:jc w:val="right"/>
              <w:rPr>
                <w:szCs w:val="22"/>
              </w:rPr>
            </w:pPr>
            <w:r>
              <w:rPr>
                <w:szCs w:val="22"/>
              </w:rPr>
              <w:t>52.50</w:t>
            </w:r>
          </w:p>
        </w:tc>
      </w:tr>
      <w:tr>
        <w:trPr>
          <w:cantSplit/>
        </w:trPr>
        <w:tc>
          <w:tcPr>
            <w:tcW w:w="567" w:type="dxa"/>
          </w:tcPr>
          <w:p>
            <w:pPr>
              <w:pStyle w:val="yTableNAm"/>
            </w:pPr>
            <w:r>
              <w:t>6.</w:t>
            </w:r>
          </w:p>
        </w:tc>
        <w:tc>
          <w:tcPr>
            <w:tcW w:w="4207" w:type="dxa"/>
          </w:tcPr>
          <w:p>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pPr>
              <w:pStyle w:val="yTableNAm"/>
            </w:pPr>
            <w:r>
              <w:t>s. 65(1)</w:t>
            </w:r>
          </w:p>
        </w:tc>
        <w:tc>
          <w:tcPr>
            <w:tcW w:w="992" w:type="dxa"/>
          </w:tcPr>
          <w:p>
            <w:pPr>
              <w:pStyle w:val="yTableNAm"/>
              <w:jc w:val="right"/>
              <w:rPr>
                <w:szCs w:val="22"/>
              </w:rPr>
            </w:pPr>
            <w:r>
              <w:rPr>
                <w:szCs w:val="22"/>
              </w:rPr>
              <w:t>58.50</w:t>
            </w:r>
          </w:p>
        </w:tc>
      </w:tr>
      <w:tr>
        <w:trPr>
          <w:cantSplit/>
        </w:trPr>
        <w:tc>
          <w:tcPr>
            <w:tcW w:w="567" w:type="dxa"/>
          </w:tcPr>
          <w:p>
            <w:pPr>
              <w:pStyle w:val="yTableNAm"/>
            </w:pPr>
            <w:r>
              <w:t>7.</w:t>
            </w:r>
          </w:p>
        </w:tc>
        <w:tc>
          <w:tcPr>
            <w:tcW w:w="4207"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50.00</w:t>
            </w:r>
          </w:p>
        </w:tc>
      </w:tr>
      <w:tr>
        <w:trPr>
          <w:cantSplit/>
        </w:trPr>
        <w:tc>
          <w:tcPr>
            <w:tcW w:w="567" w:type="dxa"/>
          </w:tcPr>
          <w:p>
            <w:pPr>
              <w:pStyle w:val="yTableNAm"/>
            </w:pPr>
            <w:r>
              <w:t>8.</w:t>
            </w:r>
          </w:p>
        </w:tc>
        <w:tc>
          <w:tcPr>
            <w:tcW w:w="4207" w:type="dxa"/>
          </w:tcPr>
          <w:p>
            <w:pPr>
              <w:pStyle w:val="yTableNAm"/>
            </w:pPr>
            <w:r>
              <w:t>Application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567" w:type="dxa"/>
          </w:tcPr>
          <w:p>
            <w:pPr>
              <w:pStyle w:val="yTableNAm"/>
            </w:pPr>
            <w:r>
              <w:lastRenderedPageBreak/>
              <w:t>9.</w:t>
            </w:r>
          </w:p>
        </w:tc>
        <w:tc>
          <w:tcPr>
            <w:tcW w:w="4207" w:type="dxa"/>
          </w:tcPr>
          <w:p>
            <w:pPr>
              <w:pStyle w:val="yTableNAm"/>
            </w:pPr>
            <w:r>
              <w:t>Application for approval for incorporated association to apply for registration or incorporation under other law</w:t>
            </w:r>
          </w:p>
        </w:tc>
        <w:tc>
          <w:tcPr>
            <w:tcW w:w="1322" w:type="dxa"/>
          </w:tcPr>
          <w:p>
            <w:pPr>
              <w:pStyle w:val="yTableNAm"/>
              <w:rPr>
                <w:rStyle w:val="DraftersNotes"/>
                <w:b w:val="0"/>
                <w:i w:val="0"/>
                <w:sz w:val="22"/>
              </w:rPr>
            </w:pPr>
            <w:r>
              <w:t>s. 93(3)(e)</w:t>
            </w:r>
          </w:p>
        </w:tc>
        <w:tc>
          <w:tcPr>
            <w:tcW w:w="992" w:type="dxa"/>
          </w:tcPr>
          <w:p>
            <w:pPr>
              <w:pStyle w:val="yTableNAm"/>
              <w:jc w:val="right"/>
            </w:pPr>
            <w:r>
              <w:rPr>
                <w:szCs w:val="22"/>
              </w:rPr>
              <w:t>200.00</w:t>
            </w:r>
          </w:p>
        </w:tc>
      </w:tr>
      <w:tr>
        <w:trPr>
          <w:cantSplit/>
        </w:trPr>
        <w:tc>
          <w:tcPr>
            <w:tcW w:w="567" w:type="dxa"/>
          </w:tcPr>
          <w:p>
            <w:pPr>
              <w:pStyle w:val="yTableNAm"/>
            </w:pPr>
            <w:r>
              <w:t>10.</w:t>
            </w:r>
          </w:p>
        </w:tc>
        <w:tc>
          <w:tcPr>
            <w:tcW w:w="4207" w:type="dxa"/>
          </w:tcPr>
          <w:p>
            <w:pPr>
              <w:pStyle w:val="yTableNAm"/>
            </w:pPr>
            <w:r>
              <w:t>Application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240.00</w:t>
            </w:r>
          </w:p>
        </w:tc>
      </w:tr>
      <w:tr>
        <w:trPr>
          <w:cantSplit/>
        </w:trPr>
        <w:tc>
          <w:tcPr>
            <w:tcW w:w="567" w:type="dxa"/>
          </w:tcPr>
          <w:p>
            <w:pPr>
              <w:pStyle w:val="yTableNAm"/>
            </w:pPr>
            <w:r>
              <w:t>11.</w:t>
            </w:r>
          </w:p>
        </w:tc>
        <w:tc>
          <w:tcPr>
            <w:tcW w:w="4207" w:type="dxa"/>
          </w:tcPr>
          <w:p>
            <w:pPr>
              <w:pStyle w:val="yTableNAm"/>
            </w:pPr>
            <w:r>
              <w:t>Additional fee for application for amalgamation if Commissioner’s approval of association’s purpose required</w:t>
            </w:r>
          </w:p>
        </w:tc>
        <w:tc>
          <w:tcPr>
            <w:tcW w:w="1322" w:type="dxa"/>
          </w:tcPr>
          <w:p>
            <w:pPr>
              <w:pStyle w:val="yTableNAm"/>
            </w:pPr>
            <w:r>
              <w:t>s. 4(a)(x)</w:t>
            </w:r>
          </w:p>
        </w:tc>
        <w:tc>
          <w:tcPr>
            <w:tcW w:w="992" w:type="dxa"/>
          </w:tcPr>
          <w:p>
            <w:pPr>
              <w:pStyle w:val="yTableNAm"/>
              <w:jc w:val="right"/>
            </w:pPr>
            <w:r>
              <w:t>86.00</w:t>
            </w:r>
          </w:p>
        </w:tc>
      </w:tr>
      <w:tr>
        <w:trPr>
          <w:cantSplit/>
        </w:trPr>
        <w:tc>
          <w:tcPr>
            <w:tcW w:w="567" w:type="dxa"/>
          </w:tcPr>
          <w:p>
            <w:pPr>
              <w:pStyle w:val="yTableNAm"/>
            </w:pPr>
            <w:r>
              <w:t>12.</w:t>
            </w:r>
          </w:p>
        </w:tc>
        <w:tc>
          <w:tcPr>
            <w:tcW w:w="4207" w:type="dxa"/>
          </w:tcPr>
          <w:p>
            <w:pPr>
              <w:pStyle w:val="yTableNAm"/>
              <w:rPr>
                <w:szCs w:val="22"/>
              </w:rPr>
            </w:pPr>
            <w:r>
              <w:rPr>
                <w:szCs w:val="22"/>
              </w:rPr>
              <w:t>Application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100.00</w:t>
            </w:r>
          </w:p>
        </w:tc>
      </w:tr>
      <w:tr>
        <w:trPr>
          <w:cantSplit/>
        </w:trPr>
        <w:tc>
          <w:tcPr>
            <w:tcW w:w="567" w:type="dxa"/>
          </w:tcPr>
          <w:p>
            <w:pPr>
              <w:pStyle w:val="yTableNAm"/>
            </w:pPr>
            <w:r>
              <w:t>13.</w:t>
            </w:r>
          </w:p>
        </w:tc>
        <w:tc>
          <w:tcPr>
            <w:tcW w:w="4207" w:type="dxa"/>
          </w:tcPr>
          <w:p>
            <w:pPr>
              <w:pStyle w:val="yTableNAm"/>
            </w:pPr>
            <w:r>
              <w:t xml:space="preserve">Inspection of — </w:t>
            </w:r>
          </w:p>
          <w:p>
            <w:pPr>
              <w:pStyle w:val="yTableNAm"/>
            </w:pPr>
            <w:r>
              <w:t>(a)</w:t>
            </w:r>
            <w:r>
              <w:tab/>
              <w:t>register of incorporated associations</w:t>
            </w:r>
          </w:p>
          <w:p>
            <w:pPr>
              <w:pStyle w:val="yTableNAm"/>
              <w:rPr>
                <w:b/>
                <w:i/>
              </w:rPr>
            </w:pPr>
            <w:r>
              <w:t>(b)</w:t>
            </w:r>
            <w:r>
              <w:tab/>
              <w:t>document lodged with Commissioner</w:t>
            </w:r>
          </w:p>
        </w:tc>
        <w:tc>
          <w:tcPr>
            <w:tcW w:w="1322" w:type="dxa"/>
            <w:vAlign w:val="bottom"/>
          </w:tcPr>
          <w:p>
            <w:pPr>
              <w:pStyle w:val="yTableNAm"/>
            </w:pPr>
            <w:r>
              <w:t>s. 162(1)(a)</w:t>
            </w:r>
          </w:p>
          <w:p>
            <w:pPr>
              <w:pStyle w:val="yTableNAm"/>
            </w:pPr>
            <w:r>
              <w:t>s. 162(1)(b)</w:t>
            </w:r>
          </w:p>
        </w:tc>
        <w:tc>
          <w:tcPr>
            <w:tcW w:w="992" w:type="dxa"/>
            <w:vAlign w:val="bottom"/>
          </w:tcPr>
          <w:p>
            <w:pPr>
              <w:pStyle w:val="yTableNAm"/>
              <w:tabs>
                <w:tab w:val="clear" w:pos="567"/>
              </w:tabs>
              <w:ind w:right="-246"/>
              <w:jc w:val="center"/>
              <w:rPr>
                <w:szCs w:val="22"/>
              </w:rPr>
            </w:pPr>
            <w:r>
              <w:rPr>
                <w:szCs w:val="22"/>
              </w:rPr>
              <w:t>25.20</w:t>
            </w:r>
          </w:p>
          <w:p>
            <w:pPr>
              <w:pStyle w:val="yTableNAm"/>
              <w:tabs>
                <w:tab w:val="clear" w:pos="567"/>
              </w:tabs>
              <w:ind w:right="-246"/>
              <w:jc w:val="center"/>
              <w:rPr>
                <w:szCs w:val="22"/>
              </w:rPr>
            </w:pPr>
            <w:r>
              <w:rPr>
                <w:szCs w:val="22"/>
              </w:rPr>
              <w:t>38.80</w:t>
            </w:r>
          </w:p>
        </w:tc>
      </w:tr>
      <w:tr>
        <w:trPr>
          <w:cantSplit/>
        </w:trPr>
        <w:tc>
          <w:tcPr>
            <w:tcW w:w="567" w:type="dxa"/>
          </w:tcPr>
          <w:p>
            <w:pPr>
              <w:pStyle w:val="yTableNAm"/>
            </w:pPr>
            <w:r>
              <w:t>14.</w:t>
            </w:r>
          </w:p>
        </w:tc>
        <w:tc>
          <w:tcPr>
            <w:tcW w:w="4207" w:type="dxa"/>
          </w:tcPr>
          <w:p>
            <w:pPr>
              <w:pStyle w:val="yTableNAm"/>
            </w:pPr>
            <w:r>
              <w:t xml:space="preserve">Obtaining from Commissioner — </w:t>
            </w:r>
          </w:p>
          <w:p>
            <w:pPr>
              <w:pStyle w:val="yTableNAm"/>
              <w:ind w:left="567" w:hanging="567"/>
            </w:pPr>
            <w:r>
              <w:t>(a)</w:t>
            </w:r>
            <w:r>
              <w:tab/>
              <w:t>certified copy of, or extract from, register of incorporated associations</w:t>
            </w:r>
          </w:p>
          <w:p>
            <w:pPr>
              <w:pStyle w:val="yTableNAm"/>
              <w:ind w:left="567" w:hanging="567"/>
            </w:pPr>
            <w:r>
              <w:t>(b)</w:t>
            </w:r>
            <w:r>
              <w:tab/>
              <w:t>certified copy of incorporated association’s rules</w:t>
            </w:r>
          </w:p>
        </w:tc>
        <w:tc>
          <w:tcPr>
            <w:tcW w:w="1322" w:type="dxa"/>
          </w:tcPr>
          <w:p>
            <w:pPr>
              <w:pStyle w:val="yTableNAm"/>
            </w:pPr>
            <w:r>
              <w:t>s. 162(1)(c)</w:t>
            </w:r>
          </w:p>
        </w:tc>
        <w:tc>
          <w:tcPr>
            <w:tcW w:w="992" w:type="dxa"/>
            <w:vAlign w:val="bottom"/>
          </w:tcPr>
          <w:p>
            <w:pPr>
              <w:pStyle w:val="yTableNAm"/>
              <w:jc w:val="right"/>
              <w:rPr>
                <w:szCs w:val="22"/>
              </w:rPr>
            </w:pPr>
            <w:r>
              <w:rPr>
                <w:szCs w:val="22"/>
              </w:rPr>
              <w:t>25.20</w:t>
            </w:r>
            <w:r>
              <w:rPr>
                <w:szCs w:val="22"/>
              </w:rPr>
              <w:br/>
            </w:r>
          </w:p>
          <w:p>
            <w:pPr>
              <w:pStyle w:val="yTableNAm"/>
              <w:jc w:val="right"/>
              <w:rPr>
                <w:szCs w:val="22"/>
              </w:rPr>
            </w:pPr>
            <w:r>
              <w:rPr>
                <w:szCs w:val="22"/>
              </w:rPr>
              <w:t>52.50</w:t>
            </w:r>
            <w:r>
              <w:rPr>
                <w:szCs w:val="22"/>
              </w:rPr>
              <w:br/>
            </w:r>
          </w:p>
        </w:tc>
      </w:tr>
      <w:tr>
        <w:trPr>
          <w:cantSplit/>
          <w:trHeight w:val="2077"/>
        </w:trPr>
        <w:tc>
          <w:tcPr>
            <w:tcW w:w="567" w:type="dxa"/>
          </w:tcPr>
          <w:p>
            <w:pPr>
              <w:pStyle w:val="yTableNAm"/>
            </w:pPr>
          </w:p>
        </w:tc>
        <w:tc>
          <w:tcPr>
            <w:tcW w:w="4207" w:type="dxa"/>
          </w:tcPr>
          <w:p>
            <w:pPr>
              <w:pStyle w:val="yTableNAm"/>
              <w:ind w:left="567" w:hanging="567"/>
            </w:pPr>
            <w:r>
              <w:t>(c)</w:t>
            </w:r>
            <w:r>
              <w:tab/>
              <w:t>certified copy of incorporated association’s annual information statement</w:t>
            </w:r>
          </w:p>
          <w:p>
            <w:pPr>
              <w:pStyle w:val="yTableNAm"/>
              <w:ind w:left="567" w:hanging="567"/>
            </w:pPr>
            <w:r>
              <w:t>(d)</w:t>
            </w:r>
            <w:r>
              <w:tab/>
              <w:t>certified copy of any other lodged document to which s. 162(1)(c) applies and not referred to in paragraph (b) or (c)</w:t>
            </w:r>
          </w:p>
        </w:tc>
        <w:tc>
          <w:tcPr>
            <w:tcW w:w="1322" w:type="dxa"/>
          </w:tcPr>
          <w:p>
            <w:pPr>
              <w:pStyle w:val="yTableNAm"/>
            </w:pPr>
          </w:p>
        </w:tc>
        <w:tc>
          <w:tcPr>
            <w:tcW w:w="992" w:type="dxa"/>
            <w:vAlign w:val="bottom"/>
          </w:tcPr>
          <w:p>
            <w:pPr>
              <w:pStyle w:val="yTableNAm"/>
              <w:jc w:val="right"/>
              <w:rPr>
                <w:szCs w:val="22"/>
              </w:rPr>
            </w:pPr>
            <w:r>
              <w:rPr>
                <w:szCs w:val="22"/>
              </w:rPr>
              <w:t>Nil</w:t>
            </w:r>
            <w:r>
              <w:rPr>
                <w:szCs w:val="22"/>
              </w:rPr>
              <w:br/>
            </w:r>
            <w:r>
              <w:rPr>
                <w:szCs w:val="22"/>
              </w:rPr>
              <w:br/>
            </w:r>
          </w:p>
          <w:p>
            <w:pPr>
              <w:pStyle w:val="yTableNAm"/>
              <w:jc w:val="right"/>
              <w:rPr>
                <w:szCs w:val="22"/>
              </w:rPr>
            </w:pPr>
            <w:r>
              <w:rPr>
                <w:szCs w:val="22"/>
              </w:rPr>
              <w:t>13.60</w:t>
            </w:r>
          </w:p>
          <w:p>
            <w:pPr>
              <w:pStyle w:val="yTableNAm"/>
              <w:jc w:val="right"/>
              <w:rPr>
                <w:szCs w:val="22"/>
              </w:rPr>
            </w:pPr>
            <w:r>
              <w:rPr>
                <w:szCs w:val="22"/>
              </w:rPr>
              <w:br/>
            </w:r>
            <w:r>
              <w:rPr>
                <w:szCs w:val="22"/>
              </w:rPr>
              <w:br/>
            </w:r>
          </w:p>
        </w:tc>
      </w:tr>
      <w:tr>
        <w:trPr>
          <w:cantSplit/>
        </w:trPr>
        <w:tc>
          <w:tcPr>
            <w:tcW w:w="567" w:type="dxa"/>
          </w:tcPr>
          <w:p>
            <w:pPr>
              <w:pStyle w:val="yTableNAm"/>
            </w:pPr>
            <w:r>
              <w:t>15.</w:t>
            </w:r>
          </w:p>
        </w:tc>
        <w:tc>
          <w:tcPr>
            <w:tcW w:w="4207"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26.20</w:t>
            </w:r>
          </w:p>
        </w:tc>
      </w:tr>
      <w:tr>
        <w:trPr>
          <w:cantSplit/>
        </w:trPr>
        <w:tc>
          <w:tcPr>
            <w:tcW w:w="567" w:type="dxa"/>
          </w:tcPr>
          <w:p>
            <w:pPr>
              <w:pStyle w:val="yTableNAm"/>
            </w:pPr>
            <w:r>
              <w:lastRenderedPageBreak/>
              <w:t>16.</w:t>
            </w:r>
          </w:p>
        </w:tc>
        <w:tc>
          <w:tcPr>
            <w:tcW w:w="4207"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60.50</w:t>
            </w:r>
          </w:p>
        </w:tc>
      </w:tr>
      <w:tr>
        <w:tc>
          <w:tcPr>
            <w:tcW w:w="567" w:type="dxa"/>
          </w:tcPr>
          <w:p>
            <w:pPr>
              <w:pStyle w:val="yTableNAm"/>
            </w:pPr>
            <w:r>
              <w:t>17.</w:t>
            </w:r>
          </w:p>
        </w:tc>
        <w:tc>
          <w:tcPr>
            <w:tcW w:w="4207" w:type="dxa"/>
          </w:tcPr>
          <w:p>
            <w:pPr>
              <w:pStyle w:val="yTableNAm"/>
            </w:pPr>
            <w:r>
              <w:t xml:space="preserve">Making application to, or lodging other document with, Commissioner under the Act, other than — </w:t>
            </w:r>
          </w:p>
          <w:p>
            <w:pPr>
              <w:pStyle w:val="yTableNAm"/>
              <w:tabs>
                <w:tab w:val="clear" w:pos="567"/>
                <w:tab w:val="left" w:pos="459"/>
              </w:tabs>
              <w:ind w:left="459" w:hanging="459"/>
            </w:pPr>
            <w:r>
              <w:t>(a)</w:t>
            </w:r>
            <w:r>
              <w:tab/>
              <w:t>an application or lodgment already mentioned in items 1 to 16; or</w:t>
            </w:r>
          </w:p>
          <w:p>
            <w:pPr>
              <w:pStyle w:val="yTableNAm"/>
              <w:tabs>
                <w:tab w:val="clear" w:pos="567"/>
                <w:tab w:val="left" w:pos="459"/>
              </w:tabs>
              <w:ind w:left="459" w:hanging="459"/>
            </w:pPr>
            <w:r>
              <w:t>(b)</w:t>
            </w:r>
            <w:r>
              <w:tab/>
              <w:t xml:space="preserve">an application or lodgment under r. 15(1) or the Act s. 87(6), 89(4)(b), 141(1), 174, 175(1) or 203; or </w:t>
            </w:r>
          </w:p>
          <w:p>
            <w:pPr>
              <w:pStyle w:val="yTableNAm"/>
              <w:tabs>
                <w:tab w:val="clear" w:pos="567"/>
                <w:tab w:val="left" w:pos="459"/>
              </w:tabs>
              <w:ind w:left="459" w:hanging="459"/>
            </w:pPr>
            <w:r>
              <w:t>(c)</w:t>
            </w:r>
            <w:r>
              <w:tab/>
              <w:t xml:space="preserve">an application to Commissioner for reinstatement of incorporation under the Act s. 151(1); or </w:t>
            </w:r>
          </w:p>
          <w:p>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Pr>
          <w:p>
            <w:pPr>
              <w:pStyle w:val="yTableNAm"/>
            </w:pPr>
          </w:p>
        </w:tc>
        <w:tc>
          <w:tcPr>
            <w:tcW w:w="992" w:type="dxa"/>
          </w:tcPr>
          <w:p>
            <w:pPr>
              <w:pStyle w:val="yTableNAm"/>
              <w:jc w:val="right"/>
              <w:rPr>
                <w:szCs w:val="22"/>
              </w:rPr>
            </w:pPr>
            <w:r>
              <w:rPr>
                <w:szCs w:val="22"/>
              </w:rPr>
              <w:t>44.00</w:t>
            </w:r>
          </w:p>
        </w:tc>
      </w:tr>
    </w:tbl>
    <w:p>
      <w:pPr>
        <w:pStyle w:val="yFootnotesection"/>
      </w:pPr>
      <w:r>
        <w:tab/>
        <w:t>[Schedule 3 inserted: SL 2024/96 r. 4.]</w:t>
      </w:r>
    </w:p>
    <w:p>
      <w:pPr>
        <w:pStyle w:val="yScheduleHeading"/>
      </w:pPr>
      <w:bookmarkStart w:id="167" w:name="_Toc200028529"/>
      <w:bookmarkStart w:id="168" w:name="_Toc200028773"/>
      <w:bookmarkStart w:id="169" w:name="_Toc200032259"/>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67"/>
      <w:bookmarkEnd w:id="168"/>
      <w:bookmarkEnd w:id="169"/>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0" w:name="_Toc200028530"/>
      <w:bookmarkStart w:id="171" w:name="_Toc200028774"/>
      <w:bookmarkStart w:id="172" w:name="_Toc200032260"/>
      <w:r>
        <w:rPr>
          <w:rStyle w:val="CharSchNo"/>
        </w:rPr>
        <w:lastRenderedPageBreak/>
        <w:t>Schedule 5</w:t>
      </w:r>
      <w:r>
        <w:rPr>
          <w:rStyle w:val="CharSDivNo"/>
        </w:rPr>
        <w:t> </w:t>
      </w:r>
      <w:r>
        <w:t>—</w:t>
      </w:r>
      <w:r>
        <w:rPr>
          <w:rStyle w:val="CharSDivText"/>
        </w:rPr>
        <w:t> </w:t>
      </w:r>
      <w:r>
        <w:rPr>
          <w:rStyle w:val="CharSchText"/>
        </w:rPr>
        <w:t>Prescribed forms</w:t>
      </w:r>
      <w:bookmarkEnd w:id="170"/>
      <w:bookmarkEnd w:id="171"/>
      <w:bookmarkEnd w:id="172"/>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3" w:name="_Toc200028531"/>
      <w:bookmarkStart w:id="174" w:name="_Toc200028775"/>
      <w:bookmarkStart w:id="175" w:name="_Toc200032261"/>
      <w:r>
        <w:lastRenderedPageBreak/>
        <w:t>Notes</w:t>
      </w:r>
      <w:bookmarkEnd w:id="173"/>
      <w:bookmarkEnd w:id="174"/>
      <w:bookmarkEnd w:id="175"/>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76" w:name="_Toc200032262"/>
      <w:r>
        <w:t>Compilation table</w:t>
      </w:r>
      <w:bookmarkEnd w:id="1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nil"/>
            </w:tcBorders>
          </w:tcPr>
          <w:p>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rPr>
                <w:bCs/>
                <w:snapToGrid w:val="0"/>
                <w:spacing w:val="-2"/>
              </w:rPr>
            </w:pPr>
            <w:r>
              <w:t>1 Jul 2023 (see r. 2(b))</w:t>
            </w:r>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2024 </w:t>
            </w:r>
            <w:r>
              <w:rPr>
                <w:iCs/>
              </w:rPr>
              <w:t>Pt. 2</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Pr>
        <w:pStyle w:val="nHeading3"/>
      </w:pPr>
      <w:bookmarkStart w:id="177" w:name="_Toc200032263"/>
      <w:r>
        <w:t>Uncommenced provisions table</w:t>
      </w:r>
      <w:bookmarkEnd w:id="17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Commerce Regulations Amendment (Fees and Charges) Regulations 2025</w:t>
            </w:r>
            <w:r>
              <w:rPr>
                <w:iCs/>
              </w:rPr>
              <w:t xml:space="preserve"> Pt. 2</w:t>
            </w:r>
          </w:p>
        </w:tc>
        <w:tc>
          <w:tcPr>
            <w:tcW w:w="1276" w:type="dxa"/>
          </w:tcPr>
          <w:p>
            <w:pPr>
              <w:pStyle w:val="nTable"/>
              <w:spacing w:after="40"/>
            </w:pPr>
            <w:r>
              <w:t>SL 2025/89 11 Jun 2025</w:t>
            </w:r>
          </w:p>
        </w:tc>
        <w:tc>
          <w:tcPr>
            <w:tcW w:w="2693" w:type="dxa"/>
          </w:tcPr>
          <w:p>
            <w:pPr>
              <w:pStyle w:val="nTable"/>
              <w:spacing w:after="40"/>
            </w:pPr>
            <w:r>
              <w:t>1 Jul 2025 (see r. 2(b))</w:t>
            </w:r>
          </w:p>
        </w:tc>
      </w:tr>
    </w:tbl>
    <w:p/>
    <w:p>
      <w:pPr>
        <w:sectPr>
          <w:headerReference w:type="even" r:id="rId31"/>
          <w:headerReference w:type="default" r:id="rId32"/>
          <w:pgSz w:w="11907" w:h="16840" w:code="9"/>
          <w:pgMar w:top="2376" w:right="2404" w:bottom="3544" w:left="2404" w:header="720" w:footer="3544" w:gutter="0"/>
          <w:cols w:space="720"/>
          <w:noEndnote/>
          <w:docGrid w:linePitch="326"/>
        </w:sectPr>
      </w:pPr>
    </w:p>
    <w:p>
      <w:pPr>
        <w:pStyle w:val="nHeading2"/>
        <w:rPr>
          <w:sz w:val="28"/>
        </w:rPr>
      </w:pPr>
      <w:bookmarkStart w:id="179" w:name="_Toc200028533"/>
      <w:bookmarkStart w:id="180" w:name="_Toc200028778"/>
      <w:bookmarkStart w:id="181" w:name="_Toc200032264"/>
      <w:r>
        <w:rPr>
          <w:sz w:val="28"/>
        </w:rPr>
        <w:lastRenderedPageBreak/>
        <w:t>Defined terms</w:t>
      </w:r>
      <w:bookmarkEnd w:id="179"/>
      <w:bookmarkEnd w:id="180"/>
      <w:bookmarkEnd w:id="1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lastRenderedPageBreak/>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8" w:name="Compilation"/>
    <w:bookmarkEnd w:id="17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2" w:name="DefinedTerms"/>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515051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17762</Words>
  <Characters>87923</Characters>
  <Application>Microsoft Office Word</Application>
  <DocSecurity>0</DocSecurity>
  <Lines>2585</Lines>
  <Paragraphs>1651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2016 - 00-s0-00</dc:title>
  <dc:subject/>
  <dc:creator/>
  <cp:keywords/>
  <dc:description/>
  <cp:lastModifiedBy>Master Repository Process</cp:lastModifiedBy>
  <cp:revision>4</cp:revision>
  <cp:lastPrinted>2020-10-19T03:07:00Z</cp:lastPrinted>
  <dcterms:created xsi:type="dcterms:W3CDTF">2025-06-10T05:07:00Z</dcterms:created>
  <dcterms:modified xsi:type="dcterms:W3CDTF">2025-06-10T05:07:00Z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11 Jun 2025</vt:lpwstr>
  </property>
  <property fmtid="{D5CDD505-2E9C-101B-9397-08002B2CF9AE}" pid="6" name="Suffix">
    <vt:lpwstr>00-s0-00</vt:lpwstr>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ies>
</file>