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_Toc200107377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_Toc200107378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_Toc200107379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_Toc200107380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_Toc200107381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_Toc200107382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_Toc200107383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_Toc200107384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_Toc200107385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_Toc200107386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_Toc200107387 \h </w:instrText>
      </w:r>
      <w:r>
        <w:fldChar w:fldCharType="separate"/>
      </w:r>
      <w:r>
        <w:t>10</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_Toc200107388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_Toc200107389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_Toc200107390 \h </w:instrText>
      </w:r>
      <w:r>
        <w:fldChar w:fldCharType="separate"/>
      </w:r>
      <w:r>
        <w:t>19</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_Toc200107391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_Toc200107392 \h </w:instrText>
      </w:r>
      <w:r>
        <w:fldChar w:fldCharType="separate"/>
      </w:r>
      <w:r>
        <w:t>21</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_Toc200107393 \h </w:instrText>
      </w:r>
      <w:r>
        <w:fldChar w:fldCharType="separate"/>
      </w:r>
      <w:r>
        <w:t>21</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_Toc200107394 \h </w:instrText>
      </w:r>
      <w:r>
        <w:fldChar w:fldCharType="separate"/>
      </w:r>
      <w:r>
        <w:t>22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_Toc200107395 \h </w:instrText>
      </w:r>
      <w:r>
        <w:fldChar w:fldCharType="separate"/>
      </w:r>
      <w:r>
        <w:t>22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_Toc200107396 \h </w:instrText>
      </w:r>
      <w:r>
        <w:fldChar w:fldCharType="separate"/>
      </w:r>
      <w:r>
        <w:t>23</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_Toc200107397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_Toc200107398 \h </w:instrText>
      </w:r>
      <w:r>
        <w:fldChar w:fldCharType="separate"/>
      </w:r>
      <w:r>
        <w:t>24</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_Toc200107399 \h </w:instrText>
      </w:r>
      <w:r>
        <w:fldChar w:fldCharType="separate"/>
      </w:r>
      <w:r>
        <w:t>26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_Toc200107400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_Toc200107401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_Toc200107402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_Toc200107403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_Toc200107404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_Toc200107405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_Toc200107406 \h </w:instrText>
      </w:r>
      <w:r>
        <w:fldChar w:fldCharType="separate"/>
      </w:r>
      <w:r>
        <w:t>29</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_Toc200107407 \h </w:instrText>
      </w:r>
      <w:r>
        <w:fldChar w:fldCharType="separate"/>
      </w:r>
      <w:r>
        <w:t>29</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_Toc200107408 \h </w:instrText>
      </w:r>
      <w:r>
        <w:fldChar w:fldCharType="separate"/>
      </w:r>
      <w:r>
        <w:t>30</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_Toc200107409 \h </w:instrText>
      </w:r>
      <w:r>
        <w:fldChar w:fldCharType="separate"/>
      </w:r>
      <w:r>
        <w:t>30</w:t>
      </w:r>
      <w:r>
        <w:fldChar w:fldCharType="end"/>
      </w:r>
    </w:p>
    <w:p>
      <w:pPr>
        <w:pStyle w:val="TOC8"/>
        <w:rPr>
          <w:rFonts w:asciiTheme="minorHAnsi" w:eastAsiaTheme="minorEastAsia" w:hAnsiTheme="minorHAnsi" w:cstheme="minorBidi"/>
          <w:szCs w:val="22"/>
        </w:rPr>
      </w:pPr>
      <w:r>
        <w:t>17.</w:t>
      </w:r>
      <w:r>
        <w:tab/>
        <w:t xml:space="preserve">Transitional regulation for </w:t>
      </w:r>
      <w:r>
        <w:rPr>
          <w:i/>
          <w:iCs/>
        </w:rPr>
        <w:t>Real Estate and Business Agents (General) Amendment Regulations 2024</w:t>
      </w:r>
      <w:r>
        <w:tab/>
      </w:r>
      <w:r>
        <w:fldChar w:fldCharType="begin"/>
      </w:r>
      <w:r>
        <w:instrText xml:space="preserve"> PAGEREF _Toc200107410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_Toc200107416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_Toc200107417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_Toc200107418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200107377"/>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200107378"/>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200107379"/>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200107380"/>
      <w:r>
        <w:rPr>
          <w:rStyle w:val="CharSectno"/>
        </w:rPr>
        <w:lastRenderedPageBreak/>
        <w:t>4</w:t>
      </w:r>
      <w:r>
        <w:t>.</w:t>
      </w:r>
      <w:r>
        <w:tab/>
        <w:t>Fees (Sch. 1)</w:t>
      </w:r>
      <w:bookmarkEnd w:id="5"/>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6" w:name="_Toc200107381"/>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7" w:name="_Toc200107382"/>
      <w:r>
        <w:rPr>
          <w:rStyle w:val="CharSectno"/>
        </w:rPr>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lastRenderedPageBreak/>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200107383"/>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lastRenderedPageBreak/>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200107384"/>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lastRenderedPageBreak/>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lastRenderedPageBreak/>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200107385"/>
      <w:r>
        <w:rPr>
          <w:rStyle w:val="CharSectno"/>
        </w:rPr>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200107386"/>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200107387"/>
      <w:r>
        <w:rPr>
          <w:rStyle w:val="CharSectno"/>
        </w:rPr>
        <w:lastRenderedPageBreak/>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lastRenderedPageBreak/>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lastRenderedPageBreak/>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w:t>
            </w:r>
            <w:r>
              <w:rPr>
                <w:sz w:val="22"/>
              </w:rPr>
              <w:lastRenderedPageBreak/>
              <w:t>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lastRenderedPageBreak/>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13" w:name="_Toc200107388"/>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lastRenderedPageBreak/>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lastRenderedPageBreak/>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lastRenderedPageBreak/>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200107389"/>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lastRenderedPageBreak/>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200107390"/>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lastRenderedPageBreak/>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200107391"/>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200107392"/>
      <w:r>
        <w:rPr>
          <w:rStyle w:val="CharSectno"/>
        </w:rPr>
        <w:lastRenderedPageBreak/>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200107393"/>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200107394"/>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200107395"/>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200107396"/>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200107397"/>
      <w:r>
        <w:rPr>
          <w:rStyle w:val="CharSectno"/>
        </w:rPr>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lastRenderedPageBreak/>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200107398"/>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lastRenderedPageBreak/>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lastRenderedPageBreak/>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200107399"/>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200107400"/>
      <w:r>
        <w:rPr>
          <w:rStyle w:val="CharSectno"/>
        </w:rPr>
        <w:lastRenderedPageBreak/>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200107401"/>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200107402"/>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200107403"/>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200107404"/>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200107405"/>
      <w:r>
        <w:rPr>
          <w:rStyle w:val="CharSectno"/>
        </w:rPr>
        <w:lastRenderedPageBreak/>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200107406"/>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200107407"/>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200107408"/>
      <w:r>
        <w:rPr>
          <w:rStyle w:val="CharSectno"/>
        </w:rPr>
        <w:lastRenderedPageBreak/>
        <w:t>15</w:t>
      </w:r>
      <w:r>
        <w:t>.</w:t>
      </w:r>
      <w:r>
        <w:tab/>
        <w:t>Forms (Sch. 2)</w:t>
      </w:r>
      <w:bookmarkEnd w:id="33"/>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200107409"/>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35" w:name="_Toc200107410"/>
      <w:r>
        <w:rPr>
          <w:rStyle w:val="CharSectno"/>
        </w:rPr>
        <w:t>17</w:t>
      </w:r>
      <w:r>
        <w:t>.</w:t>
      </w:r>
      <w:r>
        <w:tab/>
        <w:t xml:space="preserve">Transitional regulation for </w:t>
      </w:r>
      <w:r>
        <w:rPr>
          <w:i/>
          <w:iCs/>
        </w:rPr>
        <w:t>Real Estate and Business Agents (General) Amendment Regulations 2024</w:t>
      </w:r>
      <w:bookmarkEnd w:id="35"/>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w:t>
      </w:r>
      <w:r>
        <w:lastRenderedPageBreak/>
        <w:t>to an application for a licence made, but not decided by the Commissioner, before 2 September 2024.</w:t>
      </w:r>
    </w:p>
    <w:p>
      <w:pPr>
        <w:pStyle w:val="Footnotesection"/>
        <w:keepNext/>
      </w:pPr>
      <w:r>
        <w:tab/>
        <w:t>[Regulation 17 inserted: SL 2024/152 r. 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6" w:name="_Toc200097167"/>
      <w:bookmarkStart w:id="37" w:name="_Toc200097337"/>
      <w:bookmarkStart w:id="38" w:name="_Toc200107411"/>
      <w:r>
        <w:rPr>
          <w:rStyle w:val="CharSchNo"/>
        </w:rPr>
        <w:lastRenderedPageBreak/>
        <w:t>Schedule 1</w:t>
      </w:r>
      <w:r>
        <w:t> — </w:t>
      </w:r>
      <w:r>
        <w:rPr>
          <w:rStyle w:val="CharSchText"/>
        </w:rPr>
        <w:t>Fees</w:t>
      </w:r>
      <w:bookmarkEnd w:id="36"/>
      <w:bookmarkEnd w:id="37"/>
      <w:bookmarkEnd w:id="38"/>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0" w:name="_Toc200097168"/>
      <w:bookmarkStart w:id="41" w:name="_Toc200097338"/>
      <w:bookmarkStart w:id="42" w:name="_Toc200107412"/>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0"/>
      <w:bookmarkEnd w:id="41"/>
      <w:bookmarkEnd w:id="42"/>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3" w:name="_Toc200097169"/>
      <w:bookmarkStart w:id="44" w:name="_Toc200097339"/>
      <w:bookmarkStart w:id="45" w:name="_Toc200107413"/>
      <w:r>
        <w:rPr>
          <w:rStyle w:val="CharSchNo"/>
        </w:rPr>
        <w:lastRenderedPageBreak/>
        <w:t>Schedule 2</w:t>
      </w:r>
      <w:r>
        <w:rPr>
          <w:rStyle w:val="CharSDivNo"/>
        </w:rPr>
        <w:t> </w:t>
      </w:r>
      <w:r>
        <w:t>—</w:t>
      </w:r>
      <w:r>
        <w:rPr>
          <w:rStyle w:val="CharSDivText"/>
        </w:rPr>
        <w:t> </w:t>
      </w:r>
      <w:r>
        <w:rPr>
          <w:rStyle w:val="CharSchText"/>
        </w:rPr>
        <w:t>Forms</w:t>
      </w:r>
      <w:bookmarkEnd w:id="43"/>
      <w:bookmarkEnd w:id="44"/>
      <w:bookmarkEnd w:id="4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6" w:name="_Toc200097170"/>
      <w:bookmarkStart w:id="47" w:name="_Toc200097340"/>
      <w:bookmarkStart w:id="48" w:name="_Toc200107414"/>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6"/>
      <w:bookmarkEnd w:id="47"/>
      <w:bookmarkEnd w:id="48"/>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49" w:name="_Toc200097171"/>
      <w:bookmarkStart w:id="50" w:name="_Toc200097341"/>
      <w:bookmarkStart w:id="51" w:name="_Toc200107415"/>
      <w:r>
        <w:lastRenderedPageBreak/>
        <w:t>Notes</w:t>
      </w:r>
      <w:bookmarkEnd w:id="49"/>
      <w:bookmarkEnd w:id="50"/>
      <w:bookmarkEnd w:id="51"/>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200107416"/>
      <w:r>
        <w:t>Compilation table</w:t>
      </w:r>
      <w:bookmarkEnd w:id="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single" w:sz="4" w:space="0" w:color="auto"/>
            </w:tcBorders>
          </w:tcPr>
          <w:p>
            <w:pPr>
              <w:pStyle w:val="nTable"/>
              <w:spacing w:after="40"/>
              <w:rPr>
                <w:i/>
              </w:rPr>
            </w:pPr>
            <w:r>
              <w:rPr>
                <w:i/>
              </w:rPr>
              <w:lastRenderedPageBreak/>
              <w:t>Real Estate and Business Agents (General) Amendment Regulations 2024</w:t>
            </w:r>
          </w:p>
        </w:tc>
        <w:tc>
          <w:tcPr>
            <w:tcW w:w="1276" w:type="dxa"/>
            <w:tcBorders>
              <w:top w:val="nil"/>
              <w:bottom w:val="single" w:sz="4" w:space="0" w:color="auto"/>
            </w:tcBorders>
          </w:tcPr>
          <w:p>
            <w:pPr>
              <w:pStyle w:val="nTable"/>
              <w:spacing w:after="40"/>
            </w:pPr>
            <w:r>
              <w:t>SL 2024/152 24 Jul 2024</w:t>
            </w:r>
          </w:p>
        </w:tc>
        <w:tc>
          <w:tcPr>
            <w:tcW w:w="2693" w:type="dxa"/>
            <w:tcBorders>
              <w:top w:val="nil"/>
              <w:bottom w:val="single" w:sz="4" w:space="0" w:color="auto"/>
            </w:tcBorders>
          </w:tcPr>
          <w:p>
            <w:pPr>
              <w:pStyle w:val="nTable"/>
              <w:spacing w:after="40"/>
            </w:pPr>
            <w:r>
              <w:t>r. 1 and 2: 24 Jul 2024 (see r. 2(a));</w:t>
            </w:r>
            <w:r>
              <w:br/>
              <w:t>Regulations other than r. 1 and 2: 2 Sep 2024 (see r. 2(b))</w:t>
            </w:r>
          </w:p>
        </w:tc>
      </w:tr>
    </w:tbl>
    <w:p>
      <w:pPr>
        <w:pStyle w:val="nHeading3"/>
      </w:pPr>
      <w:bookmarkStart w:id="53" w:name="_Toc200107417"/>
      <w:r>
        <w:t>Uncommenced provisions table</w:t>
      </w:r>
      <w:bookmarkEnd w:id="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2025</w:t>
            </w:r>
            <w:r>
              <w:rPr>
                <w:iCs/>
              </w:rPr>
              <w:t xml:space="preserve"> Pt. 16</w:t>
            </w:r>
          </w:p>
        </w:tc>
        <w:tc>
          <w:tcPr>
            <w:tcW w:w="1276" w:type="dxa"/>
          </w:tcPr>
          <w:p>
            <w:pPr>
              <w:pStyle w:val="nTable"/>
              <w:spacing w:after="40"/>
            </w:pPr>
            <w:r>
              <w:t>SL 2025/89 11 Jun 2025</w:t>
            </w:r>
          </w:p>
        </w:tc>
        <w:tc>
          <w:tcPr>
            <w:tcW w:w="2693" w:type="dxa"/>
          </w:tcPr>
          <w:p>
            <w:pPr>
              <w:pStyle w:val="nTable"/>
              <w:spacing w:after="40"/>
            </w:pPr>
            <w:r>
              <w:t>1 Jul 2025 (see r. 2(b))</w:t>
            </w:r>
          </w:p>
        </w:tc>
      </w:tr>
    </w:tbl>
    <w:p>
      <w:pPr>
        <w:pStyle w:val="nHeading3"/>
      </w:pPr>
      <w:bookmarkStart w:id="54" w:name="_Toc200107418"/>
      <w:r>
        <w:t>Other notes</w:t>
      </w:r>
      <w:bookmarkEnd w:id="54"/>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56" w:name="_Toc200097174"/>
      <w:bookmarkStart w:id="57" w:name="_Toc200097345"/>
      <w:bookmarkStart w:id="58" w:name="_Toc200107419"/>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CF49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469C6FA" w14:textId="53F2872F" w:rsidR="00E06204" w:rsidRDefault="00033D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4026">
                        <w:rPr>
                          <w:sz w:val="16"/>
                        </w:rPr>
                        <w:t>2025</w:t>
                      </w:r>
                      <w:r>
                        <w:rPr>
                          <w:sz w:val="16"/>
                        </w:rPr>
                        <w:fldChar w:fldCharType="end"/>
                      </w:r>
                      <w:r>
                        <w:rPr>
                          <w:sz w:val="16"/>
                        </w:rPr>
                        <w:t>.</w:t>
                      </w:r>
                    </w:p>
                    <w:p w14:paraId="79035090" w14:textId="77777777" w:rsidR="00E06204" w:rsidRDefault="00033D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36AC29" w14:textId="195247E7" w:rsidR="00E06204" w:rsidRDefault="00033D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4026">
                        <w:rPr>
                          <w:sz w:val="16"/>
                        </w:rPr>
                        <w:t>2025</w:t>
                      </w:r>
                      <w:r>
                        <w:rPr>
                          <w:sz w:val="16"/>
                        </w:rPr>
                        <w:fldChar w:fldCharType="end"/>
                      </w:r>
                      <w:r>
                        <w:rPr>
                          <w:sz w:val="16"/>
                        </w:rPr>
                        <w:t>.</w:t>
                      </w:r>
                    </w:p>
                    <w:p w14:paraId="3F776082" w14:textId="77777777" w:rsidR="00E06204" w:rsidRDefault="00033D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1028"/>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10683</Words>
  <Characters>53310</Characters>
  <Application>Microsoft Office Word</Application>
  <DocSecurity>0</DocSecurity>
  <Lines>2221</Lines>
  <Paragraphs>1361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1979 - 08-ac0-00</dc:title>
  <dc:subject/>
  <dc:creator/>
  <cp:keywords/>
  <dc:description/>
  <cp:lastModifiedBy>Master Repository Process</cp:lastModifiedBy>
  <cp:revision>4</cp:revision>
  <cp:lastPrinted>2014-10-02T03:16:00Z</cp:lastPrinted>
  <dcterms:created xsi:type="dcterms:W3CDTF">2025-06-10T06:11:00Z</dcterms:created>
  <dcterms:modified xsi:type="dcterms:W3CDTF">2025-06-10T06:11:00Z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11 Jun 2025</vt:lpwstr>
  </property>
  <property fmtid="{D5CDD505-2E9C-101B-9397-08002B2CF9AE}" pid="8" name="Suffix">
    <vt:lpwstr>08-ac0-00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