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_Toc200105085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_Toc200105086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_Toc200105087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_Toc200105088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_Toc200105089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_Toc200105090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_Toc200105091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_Toc200105092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_Toc200105093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_Toc200105094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_Toc200105095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_Toc200105099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_Toc200105100 \h </w:instrText>
      </w:r>
      <w:r>
        <w:fldChar w:fldCharType="separate"/>
      </w:r>
      <w:r>
        <w:t>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_Toc200105101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2" w:name="_Toc20010508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20010508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4" w:name="_Toc200105087"/>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5" w:name="_Toc200105088"/>
      <w:r>
        <w:rPr>
          <w:rStyle w:val="CharSectno"/>
        </w:rPr>
        <w:t>3</w:t>
      </w:r>
      <w:r>
        <w:rPr>
          <w:snapToGrid w:val="0"/>
        </w:rPr>
        <w:t>.</w:t>
      </w:r>
      <w:r>
        <w:rPr>
          <w:snapToGrid w:val="0"/>
        </w:rPr>
        <w:tab/>
        <w:t>Prescribed fees, rates and sums</w:t>
      </w:r>
      <w:bookmarkEnd w:id="5"/>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6" w:name="_Toc200105089"/>
      <w:r>
        <w:rPr>
          <w:rStyle w:val="CharSectno"/>
        </w:rPr>
        <w:t>4</w:t>
      </w:r>
      <w:r>
        <w:rPr>
          <w:snapToGrid w:val="0"/>
        </w:rPr>
        <w:t>.</w:t>
      </w:r>
      <w:r>
        <w:rPr>
          <w:snapToGrid w:val="0"/>
        </w:rPr>
        <w:tab/>
        <w:t>Form of instrument of transfer</w:t>
      </w:r>
      <w:bookmarkEnd w:id="6"/>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7" w:name="_Toc200105090"/>
      <w:r>
        <w:rPr>
          <w:rStyle w:val="CharSectno"/>
        </w:rPr>
        <w:t>5</w:t>
      </w:r>
      <w:r>
        <w:rPr>
          <w:snapToGrid w:val="0"/>
        </w:rPr>
        <w:t>.</w:t>
      </w:r>
      <w:r>
        <w:rPr>
          <w:snapToGrid w:val="0"/>
        </w:rPr>
        <w:tab/>
        <w:t>Instrument under Act s. 81(4)(b)</w:t>
      </w:r>
      <w:bookmarkEnd w:id="7"/>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lastRenderedPageBreak/>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8" w:name="_Toc200105091"/>
      <w:r>
        <w:rPr>
          <w:rStyle w:val="CharSectno"/>
        </w:rPr>
        <w:t>8</w:t>
      </w:r>
      <w:r>
        <w:rPr>
          <w:snapToGrid w:val="0"/>
        </w:rPr>
        <w:t>.</w:t>
      </w:r>
      <w:r>
        <w:rPr>
          <w:snapToGrid w:val="0"/>
        </w:rPr>
        <w:tab/>
        <w:t>Royalty value — deductible imposts</w:t>
      </w:r>
      <w:bookmarkEnd w:id="8"/>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w:t>
      </w:r>
      <w:r>
        <w:rPr>
          <w:snapToGrid w:val="0"/>
        </w:rPr>
        <w:lastRenderedPageBreak/>
        <w:t>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9" w:name="_Toc200105092"/>
      <w:r>
        <w:rPr>
          <w:rStyle w:val="CharSectno"/>
        </w:rPr>
        <w:t>9</w:t>
      </w:r>
      <w:r>
        <w:t>.</w:t>
      </w:r>
      <w:r>
        <w:tab/>
        <w:t>Application of Geocentric Datum of Australia</w:t>
      </w:r>
      <w:bookmarkEnd w:id="9"/>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lastRenderedPageBreak/>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0" w:name="_Toc200105093"/>
      <w:r>
        <w:rPr>
          <w:rStyle w:val="CharSectno"/>
        </w:rPr>
        <w:t>10</w:t>
      </w:r>
      <w:r>
        <w:t>.</w:t>
      </w:r>
      <w:r>
        <w:tab/>
        <w:t>Application of GDA to certain instruments</w:t>
      </w:r>
      <w:bookmarkEnd w:id="1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lastRenderedPageBreak/>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1" w:name="_Toc200105094"/>
      <w:r>
        <w:rPr>
          <w:rStyle w:val="CharSectno"/>
        </w:rPr>
        <w:t>11</w:t>
      </w:r>
      <w:r>
        <w:t>.</w:t>
      </w:r>
      <w:r>
        <w:tab/>
        <w:t>Application of Australian Geodetic Datum</w:t>
      </w:r>
      <w:bookmarkEnd w:id="1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 xml:space="preserve">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w:t>
      </w:r>
      <w:r>
        <w:rPr>
          <w:snapToGrid w:val="0"/>
        </w:rPr>
        <w:lastRenderedPageBreak/>
        <w:t>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12" w:name="_Toc200105095"/>
      <w:r>
        <w:rPr>
          <w:rStyle w:val="CharSectno"/>
        </w:rPr>
        <w:t>12</w:t>
      </w:r>
      <w:r>
        <w:t>.</w:t>
      </w:r>
      <w:r>
        <w:tab/>
        <w:t>Transitional provision: operation of r. 3</w:t>
      </w:r>
      <w:bookmarkEnd w:id="1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3" w:name="_Toc200097791"/>
      <w:bookmarkStart w:id="14" w:name="_Toc200098095"/>
      <w:bookmarkStart w:id="15" w:name="_Toc200105096"/>
      <w:r>
        <w:rPr>
          <w:rStyle w:val="CharSchNo"/>
        </w:rPr>
        <w:lastRenderedPageBreak/>
        <w:t>Schedule 1</w:t>
      </w:r>
      <w:r>
        <w:t> — </w:t>
      </w:r>
      <w:r>
        <w:rPr>
          <w:rStyle w:val="CharSchText"/>
        </w:rPr>
        <w:t>Prescribed fees</w:t>
      </w:r>
      <w:bookmarkEnd w:id="13"/>
      <w:bookmarkEnd w:id="14"/>
      <w:bookmarkEnd w:id="15"/>
    </w:p>
    <w:p>
      <w:pPr>
        <w:pStyle w:val="yShoulderClause"/>
      </w:pPr>
      <w:r>
        <w:t>[r. 3(1)]</w:t>
      </w:r>
    </w:p>
    <w:p>
      <w:pPr>
        <w:pStyle w:val="yFootnoteheading"/>
        <w:spacing w:after="60"/>
        <w:ind w:left="1599"/>
      </w:pPr>
      <w:r>
        <w:t>[Heading inserted: SL 2024/97 r.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276"/>
        <w:gridCol w:w="2126"/>
        <w:gridCol w:w="2835"/>
      </w:tblGrid>
      <w:tr>
        <w:trPr>
          <w:cantSplit/>
          <w:tblHeader/>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1</w:t>
            </w:r>
            <w:r>
              <w:rPr>
                <w:b/>
                <w:bCs/>
              </w:rPr>
              <w:br/>
              <w:t>Item</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2</w:t>
            </w:r>
            <w:r>
              <w:rPr>
                <w:b/>
                <w:bCs/>
              </w:rPr>
              <w:br/>
              <w:t>Provision of Act</w:t>
            </w:r>
          </w:p>
        </w:tc>
        <w:tc>
          <w:tcPr>
            <w:tcW w:w="2835"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3</w:t>
            </w:r>
            <w:r>
              <w:rPr>
                <w:b/>
                <w:bCs/>
              </w:rPr>
              <w:br/>
              <w:t>Amount of prescribed fee</w:t>
            </w:r>
            <w:r>
              <w:rPr>
                <w:b/>
                <w:bCs/>
              </w:rPr>
              <w:br/>
              <w:t>($)</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21(1)(f)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24(1)(a)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30(2)(c)</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38A(2)(e)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38CA(2)(d)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38F(2)(d)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41(1)(e)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48(1)(a)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54(2)(d)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60B(2)(d)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60J(2)(d)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7 550.00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64(1)(f)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79(2)</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163.00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79(3)(b)</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156.00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lastRenderedPageBreak/>
              <w:t>17.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86(1)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149.00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87(3)</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142.00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111(2)(d)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141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228.00</w:t>
            </w:r>
          </w:p>
        </w:tc>
      </w:tr>
    </w:tbl>
    <w:p>
      <w:pPr>
        <w:pStyle w:val="yFootnotesection"/>
      </w:pPr>
      <w:r>
        <w:tab/>
        <w:t>[Schedule 1 inserted: SL 2024/97 r. 25.]</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17" w:name="_Toc200097792"/>
      <w:bookmarkStart w:id="18" w:name="_Toc200098096"/>
      <w:bookmarkStart w:id="19" w:name="_Toc200105097"/>
      <w:r>
        <w:rPr>
          <w:rStyle w:val="CharSchNo"/>
        </w:rPr>
        <w:lastRenderedPageBreak/>
        <w:t>Schedule 2</w:t>
      </w:r>
      <w:bookmarkEnd w:id="17"/>
      <w:bookmarkEnd w:id="18"/>
      <w:bookmarkEnd w:id="19"/>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8"/>
          <w:pgSz w:w="11907" w:h="16840" w:code="9"/>
          <w:pgMar w:top="2381" w:right="2409" w:bottom="3543" w:left="2409" w:header="720" w:footer="3544" w:gutter="0"/>
          <w:cols w:space="720"/>
          <w:noEndnote/>
          <w:docGrid w:linePitch="326"/>
        </w:sectPr>
      </w:pPr>
    </w:p>
    <w:p>
      <w:pPr>
        <w:pStyle w:val="nHeading2"/>
      </w:pPr>
      <w:bookmarkStart w:id="20" w:name="_Toc200097793"/>
      <w:bookmarkStart w:id="21" w:name="_Toc200098097"/>
      <w:bookmarkStart w:id="22" w:name="_Toc200105098"/>
      <w:r>
        <w:lastRenderedPageBreak/>
        <w:t>Notes</w:t>
      </w:r>
      <w:bookmarkEnd w:id="20"/>
      <w:bookmarkEnd w:id="21"/>
      <w:bookmarkEnd w:id="22"/>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 w:name="_Toc200105099"/>
      <w:r>
        <w:t>Compilation table</w:t>
      </w:r>
      <w:bookmarkEnd w:id="23"/>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lastRenderedPageBreak/>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lastRenderedPageBreak/>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pPr>
              <w:pStyle w:val="nTable"/>
              <w:spacing w:after="40"/>
            </w:pPr>
            <w:r>
              <w:t>SL 2023/36 5 May 2023</w:t>
            </w:r>
          </w:p>
        </w:tc>
        <w:tc>
          <w:tcPr>
            <w:tcW w:w="2730" w:type="dxa"/>
            <w:gridSpan w:val="2"/>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single" w:sz="4" w:space="0" w:color="auto"/>
            </w:tcBorders>
          </w:tcPr>
          <w:p>
            <w:pPr>
              <w:pStyle w:val="nTable"/>
              <w:spacing w:after="40"/>
            </w:pPr>
            <w:r>
              <w:t>SL 2024/97 12 Jun 2024</w:t>
            </w:r>
          </w:p>
        </w:tc>
        <w:tc>
          <w:tcPr>
            <w:tcW w:w="2730" w:type="dxa"/>
            <w:gridSpan w:val="2"/>
            <w:tcBorders>
              <w:top w:val="nil"/>
              <w:bottom w:val="single" w:sz="4" w:space="0" w:color="auto"/>
            </w:tcBorders>
          </w:tcPr>
          <w:p>
            <w:pPr>
              <w:pStyle w:val="nTable"/>
              <w:spacing w:after="40"/>
            </w:pPr>
            <w:r>
              <w:t>1 Jul 2024 (see r. 2(b))</w:t>
            </w:r>
          </w:p>
        </w:tc>
      </w:tr>
    </w:tbl>
    <w:p>
      <w:pPr>
        <w:pStyle w:val="nHeading3"/>
      </w:pPr>
      <w:bookmarkStart w:id="24" w:name="_Toc200105100"/>
      <w:r>
        <w:lastRenderedPageBreak/>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Mines and Petroleum Regulations Amendment (Fees and Charges) Regulations 2025</w:t>
            </w:r>
            <w:r>
              <w:rPr>
                <w:iCs/>
              </w:rPr>
              <w:t xml:space="preserve"> Pt. 12</w:t>
            </w:r>
          </w:p>
        </w:tc>
        <w:tc>
          <w:tcPr>
            <w:tcW w:w="1276" w:type="dxa"/>
          </w:tcPr>
          <w:p>
            <w:pPr>
              <w:pStyle w:val="nTable"/>
              <w:spacing w:after="40"/>
            </w:pPr>
            <w:r>
              <w:t>SL 2025/90 11 Jun 2025</w:t>
            </w:r>
          </w:p>
        </w:tc>
        <w:tc>
          <w:tcPr>
            <w:tcW w:w="2693" w:type="dxa"/>
          </w:tcPr>
          <w:p>
            <w:pPr>
              <w:pStyle w:val="nTable"/>
              <w:spacing w:after="40"/>
            </w:pPr>
            <w:r>
              <w:t>1 Jul 2025 (see r. 2(b))</w:t>
            </w:r>
          </w:p>
        </w:tc>
      </w:tr>
    </w:tbl>
    <w:p>
      <w:pPr>
        <w:pStyle w:val="nHeading3"/>
      </w:pPr>
      <w:bookmarkStart w:id="25" w:name="_Toc200105101"/>
      <w:r>
        <w:t>Other notes</w:t>
      </w:r>
      <w:bookmarkEnd w:id="25"/>
    </w:p>
    <w:p>
      <w:pPr>
        <w:pStyle w:val="nNote"/>
        <w:spacing w:before="160"/>
      </w:pPr>
      <w:r>
        <w:rPr>
          <w:vertAlign w:val="superscript"/>
        </w:rPr>
        <w:t>1</w:t>
      </w:r>
      <w:r>
        <w:tab/>
        <w:t xml:space="preserve">Commencement day was 16 December 2000 (see </w:t>
      </w:r>
      <w:r>
        <w:rPr>
          <w:i/>
        </w:rPr>
        <w:t>Gazette</w:t>
      </w:r>
      <w:r>
        <w:t xml:space="preserve"> 15 Dec 2000 p. 7201).</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7" w:name="_Toc200097796"/>
      <w:bookmarkStart w:id="28" w:name="_Toc200098101"/>
      <w:bookmarkStart w:id="29" w:name="_Toc200105102"/>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AAF0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1F589CD" w14:textId="72F9AFD5" w:rsidR="003C1DDB" w:rsidRDefault="003900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866F6">
                        <w:rPr>
                          <w:sz w:val="16"/>
                        </w:rPr>
                        <w:t>2025</w:t>
                      </w:r>
                      <w:r>
                        <w:rPr>
                          <w:sz w:val="16"/>
                        </w:rPr>
                        <w:fldChar w:fldCharType="end"/>
                      </w:r>
                      <w:r>
                        <w:rPr>
                          <w:sz w:val="16"/>
                        </w:rPr>
                        <w:t>.</w:t>
                      </w:r>
                    </w:p>
                    <w:p w14:paraId="43B42D94" w14:textId="77777777" w:rsidR="003C1DDB" w:rsidRDefault="003900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4551C5" w14:textId="7A52CBFA" w:rsidR="003C1DDB" w:rsidRDefault="003900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866F6">
                        <w:rPr>
                          <w:sz w:val="16"/>
                        </w:rPr>
                        <w:t>2025</w:t>
                      </w:r>
                      <w:r>
                        <w:rPr>
                          <w:sz w:val="16"/>
                        </w:rPr>
                        <w:fldChar w:fldCharType="end"/>
                      </w:r>
                      <w:r>
                        <w:rPr>
                          <w:sz w:val="16"/>
                        </w:rPr>
                        <w:t>.</w:t>
                      </w:r>
                    </w:p>
                    <w:p w14:paraId="685EDC96" w14:textId="77777777" w:rsidR="003C1DDB" w:rsidRDefault="0039006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102103"/>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 w:name="WAFER_2025060610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03_GUID" w:val="4f1b6516-2e91-4f47-8de8-d919ea0a5a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3526</Words>
  <Characters>17244</Characters>
  <Application>Microsoft Office Word</Application>
  <DocSecurity>0</DocSecurity>
  <Lines>689</Lines>
  <Paragraphs>461</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20309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1990 - 03-q0-00</dc:title>
  <dc:subject/>
  <dc:creator/>
  <cp:keywords/>
  <dc:description/>
  <cp:lastModifiedBy>Master Repository Process</cp:lastModifiedBy>
  <cp:revision>4</cp:revision>
  <cp:lastPrinted>2014-11-25T02:07:00Z</cp:lastPrinted>
  <dcterms:created xsi:type="dcterms:W3CDTF">2025-06-10T07:26:00Z</dcterms:created>
  <dcterms:modified xsi:type="dcterms:W3CDTF">2025-06-10T07:26:00Z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11 Jun 2025</vt:lpwstr>
  </property>
  <property fmtid="{D5CDD505-2E9C-101B-9397-08002B2CF9AE}" pid="8" name="Suffix">
    <vt:lpwstr>03-q0-00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