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Architects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Architects Amendment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_Toc200525788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_Toc200525789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Architects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_Toc200525791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_Toc200525792 \h </w:instrText>
      </w:r>
      <w:r>
        <w:fldChar w:fldCharType="separate"/>
      </w:r>
      <w:r>
        <w:t>3</w:t>
      </w:r>
      <w:r>
        <w:fldChar w:fldCharType="end"/>
      </w:r>
    </w:p>
    <w:p>
      <w:pPr>
        <w:pStyle w:val="TOC8"/>
        <w:rPr>
          <w:rFonts w:asciiTheme="minorHAnsi" w:eastAsiaTheme="minorEastAsia" w:hAnsiTheme="minorHAnsi" w:cstheme="minorBidi"/>
          <w:szCs w:val="22"/>
        </w:rPr>
      </w:pPr>
      <w:r>
        <w:t>5.</w:t>
      </w:r>
      <w:r>
        <w:tab/>
        <w:t>Part 2 heading amended</w:t>
      </w:r>
      <w:r>
        <w:tab/>
      </w:r>
      <w:r>
        <w:fldChar w:fldCharType="begin"/>
      </w:r>
      <w:r>
        <w:instrText xml:space="preserve"> PAGEREF _Toc200525793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_Toc200525794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_Toc200525795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12 amended</w:t>
      </w:r>
      <w:r>
        <w:tab/>
      </w:r>
      <w:r>
        <w:fldChar w:fldCharType="begin"/>
      </w:r>
      <w:r>
        <w:instrText xml:space="preserve"> PAGEREF _Toc200525796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14 amended</w:t>
      </w:r>
      <w:r>
        <w:tab/>
      </w:r>
      <w:r>
        <w:fldChar w:fldCharType="begin"/>
      </w:r>
      <w:r>
        <w:instrText xml:space="preserve"> PAGEREF _Toc200525797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15 amended</w:t>
      </w:r>
      <w:r>
        <w:tab/>
      </w:r>
      <w:r>
        <w:fldChar w:fldCharType="begin"/>
      </w:r>
      <w:r>
        <w:instrText xml:space="preserve"> PAGEREF _Toc200525798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16 amended</w:t>
      </w:r>
      <w:r>
        <w:tab/>
      </w:r>
      <w:r>
        <w:fldChar w:fldCharType="begin"/>
      </w:r>
      <w:r>
        <w:instrText xml:space="preserve"> PAGEREF _Toc200525799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29 amended</w:t>
      </w:r>
      <w:r>
        <w:tab/>
      </w:r>
      <w:r>
        <w:fldChar w:fldCharType="begin"/>
      </w:r>
      <w:r>
        <w:instrText xml:space="preserve"> PAGEREF _Toc200525800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33 amended</w:t>
      </w:r>
      <w:r>
        <w:tab/>
      </w:r>
      <w:r>
        <w:fldChar w:fldCharType="begin"/>
      </w:r>
      <w:r>
        <w:instrText xml:space="preserve"> PAGEREF _Toc200525801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35 amended</w:t>
      </w:r>
      <w:r>
        <w:tab/>
      </w:r>
      <w:r>
        <w:fldChar w:fldCharType="begin"/>
      </w:r>
      <w:r>
        <w:instrText xml:space="preserve"> PAGEREF _Toc200525802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36 amended</w:t>
      </w:r>
      <w:r>
        <w:tab/>
      </w:r>
      <w:r>
        <w:fldChar w:fldCharType="begin"/>
      </w:r>
      <w:r>
        <w:instrText xml:space="preserve"> PAGEREF _Toc200525803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37 amended</w:t>
      </w:r>
      <w:r>
        <w:tab/>
      </w:r>
      <w:r>
        <w:fldChar w:fldCharType="begin"/>
      </w:r>
      <w:r>
        <w:instrText xml:space="preserve"> PAGEREF _Toc200525804 \h </w:instrText>
      </w:r>
      <w:r>
        <w:fldChar w:fldCharType="separate"/>
      </w:r>
      <w:r>
        <w:t>10</w:t>
      </w:r>
      <w:r>
        <w:fldChar w:fldCharType="end"/>
      </w:r>
    </w:p>
    <w:p>
      <w:pPr>
        <w:pStyle w:val="TOC8"/>
        <w:rPr>
          <w:rFonts w:asciiTheme="minorHAnsi" w:eastAsiaTheme="minorEastAsia" w:hAnsiTheme="minorHAnsi" w:cstheme="minorBidi"/>
          <w:szCs w:val="22"/>
        </w:rPr>
      </w:pPr>
      <w:r>
        <w:t>17.</w:t>
      </w:r>
      <w:r>
        <w:tab/>
        <w:t>Section 41 amended</w:t>
      </w:r>
      <w:r>
        <w:tab/>
      </w:r>
      <w:r>
        <w:fldChar w:fldCharType="begin"/>
      </w:r>
      <w:r>
        <w:instrText xml:space="preserve"> PAGEREF _Toc200525805 \h </w:instrText>
      </w:r>
      <w:r>
        <w:fldChar w:fldCharType="separate"/>
      </w:r>
      <w:r>
        <w:t>12</w:t>
      </w:r>
      <w:r>
        <w:fldChar w:fldCharType="end"/>
      </w:r>
    </w:p>
    <w:p>
      <w:pPr>
        <w:pStyle w:val="TOC8"/>
        <w:rPr>
          <w:rFonts w:asciiTheme="minorHAnsi" w:eastAsiaTheme="minorEastAsia" w:hAnsiTheme="minorHAnsi" w:cstheme="minorBidi"/>
          <w:szCs w:val="22"/>
        </w:rPr>
      </w:pPr>
      <w:r>
        <w:t>18.</w:t>
      </w:r>
      <w:r>
        <w:tab/>
        <w:t>Section 44 amended</w:t>
      </w:r>
      <w:r>
        <w:tab/>
      </w:r>
      <w:r>
        <w:fldChar w:fldCharType="begin"/>
      </w:r>
      <w:r>
        <w:instrText xml:space="preserve"> PAGEREF _Toc200525806 \h </w:instrText>
      </w:r>
      <w:r>
        <w:fldChar w:fldCharType="separate"/>
      </w:r>
      <w:r>
        <w:t>12</w:t>
      </w:r>
      <w:r>
        <w:fldChar w:fldCharType="end"/>
      </w:r>
    </w:p>
    <w:p>
      <w:pPr>
        <w:pStyle w:val="TOC8"/>
        <w:rPr>
          <w:rFonts w:asciiTheme="minorHAnsi" w:eastAsiaTheme="minorEastAsia" w:hAnsiTheme="minorHAnsi" w:cstheme="minorBidi"/>
          <w:szCs w:val="22"/>
        </w:rPr>
      </w:pPr>
      <w:r>
        <w:t>19.</w:t>
      </w:r>
      <w:r>
        <w:tab/>
        <w:t>Section 45 amended</w:t>
      </w:r>
      <w:r>
        <w:tab/>
      </w:r>
      <w:r>
        <w:fldChar w:fldCharType="begin"/>
      </w:r>
      <w:r>
        <w:instrText xml:space="preserve"> PAGEREF _Toc200525807 \h </w:instrText>
      </w:r>
      <w:r>
        <w:fldChar w:fldCharType="separate"/>
      </w:r>
      <w:r>
        <w:t>12</w:t>
      </w:r>
      <w:r>
        <w:fldChar w:fldCharType="end"/>
      </w:r>
    </w:p>
    <w:p>
      <w:pPr>
        <w:pStyle w:val="TOC8"/>
        <w:rPr>
          <w:rFonts w:asciiTheme="minorHAnsi" w:eastAsiaTheme="minorEastAsia" w:hAnsiTheme="minorHAnsi" w:cstheme="minorBidi"/>
          <w:szCs w:val="22"/>
        </w:rPr>
      </w:pPr>
      <w:r>
        <w:t>20.</w:t>
      </w:r>
      <w:r>
        <w:tab/>
        <w:t>Section 51 amended</w:t>
      </w:r>
      <w:r>
        <w:tab/>
      </w:r>
      <w:r>
        <w:fldChar w:fldCharType="begin"/>
      </w:r>
      <w:r>
        <w:instrText xml:space="preserve"> PAGEREF _Toc200525808 \h </w:instrText>
      </w:r>
      <w:r>
        <w:fldChar w:fldCharType="separate"/>
      </w:r>
      <w:r>
        <w:t>12</w:t>
      </w:r>
      <w:r>
        <w:fldChar w:fldCharType="end"/>
      </w:r>
    </w:p>
    <w:p>
      <w:pPr>
        <w:pStyle w:val="TOC8"/>
        <w:rPr>
          <w:rFonts w:asciiTheme="minorHAnsi" w:eastAsiaTheme="minorEastAsia" w:hAnsiTheme="minorHAnsi" w:cstheme="minorBidi"/>
          <w:szCs w:val="22"/>
        </w:rPr>
      </w:pPr>
      <w:r>
        <w:t>21.</w:t>
      </w:r>
      <w:r>
        <w:tab/>
        <w:t>Part 8 heading replaced</w:t>
      </w:r>
      <w:r>
        <w:tab/>
      </w:r>
      <w:r>
        <w:fldChar w:fldCharType="begin"/>
      </w:r>
      <w:r>
        <w:instrText xml:space="preserve"> PAGEREF _Toc200525809 \h </w:instrText>
      </w:r>
      <w:r>
        <w:fldChar w:fldCharType="separate"/>
      </w:r>
      <w:r>
        <w:t>13</w:t>
      </w:r>
      <w:r>
        <w:fldChar w:fldCharType="end"/>
      </w:r>
    </w:p>
    <w:p>
      <w:pPr>
        <w:pStyle w:val="TOC3"/>
        <w:tabs>
          <w:tab w:val="right" w:leader="dot" w:pos="7077"/>
        </w:tabs>
        <w:rPr>
          <w:rFonts w:asciiTheme="minorHAnsi" w:eastAsiaTheme="minorEastAsia" w:hAnsiTheme="minorHAnsi" w:cstheme="minorBidi"/>
          <w:b w:val="0"/>
          <w:sz w:val="22"/>
          <w:szCs w:val="22"/>
        </w:rPr>
      </w:pPr>
      <w:r>
        <w:t>Part 8 — Regulations, rules and fee notices</w:t>
      </w:r>
    </w:p>
    <w:p>
      <w:pPr>
        <w:pStyle w:val="TOC8"/>
        <w:rPr>
          <w:rFonts w:asciiTheme="minorHAnsi" w:eastAsiaTheme="minorEastAsia" w:hAnsiTheme="minorHAnsi" w:cstheme="minorBidi"/>
          <w:szCs w:val="22"/>
        </w:rPr>
      </w:pPr>
      <w:r>
        <w:t>22.</w:t>
      </w:r>
      <w:r>
        <w:tab/>
        <w:t>Section 71 amended</w:t>
      </w:r>
      <w:r>
        <w:tab/>
      </w:r>
      <w:r>
        <w:fldChar w:fldCharType="begin"/>
      </w:r>
      <w:r>
        <w:instrText xml:space="preserve"> PAGEREF _Toc200525811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23.</w:t>
      </w:r>
      <w:r>
        <w:tab/>
        <w:t>Section 72A inserted</w:t>
      </w:r>
      <w:r>
        <w:tab/>
      </w:r>
      <w:r>
        <w:fldChar w:fldCharType="begin"/>
      </w:r>
      <w:r>
        <w:instrText xml:space="preserve"> PAGEREF _Toc200525812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72A.</w:t>
      </w:r>
      <w:r>
        <w:rPr>
          <w:noProof/>
        </w:rPr>
        <w:tab/>
        <w:t>Fee notices</w:t>
      </w:r>
      <w:r>
        <w:rPr>
          <w:noProof/>
        </w:rPr>
        <w:tab/>
      </w:r>
      <w:r>
        <w:rPr>
          <w:noProof/>
        </w:rPr>
        <w:fldChar w:fldCharType="begin"/>
      </w:r>
      <w:r>
        <w:rPr>
          <w:noProof/>
        </w:rPr>
        <w:instrText xml:space="preserve"> PAGEREF _Toc200525813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24.</w:t>
      </w:r>
      <w:r>
        <w:tab/>
        <w:t>Section 73A inserted</w:t>
      </w:r>
      <w:r>
        <w:tab/>
      </w:r>
      <w:r>
        <w:fldChar w:fldCharType="begin"/>
      </w:r>
      <w:r>
        <w:instrText xml:space="preserve"> PAGEREF _Toc200525814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73A.</w:t>
      </w:r>
      <w:r>
        <w:rPr>
          <w:noProof/>
        </w:rPr>
        <w:tab/>
        <w:t>Giving notices electronically</w:t>
      </w:r>
      <w:r>
        <w:rPr>
          <w:noProof/>
        </w:rPr>
        <w:tab/>
      </w:r>
      <w:r>
        <w:rPr>
          <w:noProof/>
        </w:rPr>
        <w:fldChar w:fldCharType="begin"/>
      </w:r>
      <w:r>
        <w:rPr>
          <w:noProof/>
        </w:rPr>
        <w:instrText xml:space="preserve"> PAGEREF _Toc200525815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25.</w:t>
      </w:r>
      <w:r>
        <w:tab/>
        <w:t>Section 78 amended</w:t>
      </w:r>
      <w:r>
        <w:tab/>
      </w:r>
      <w:r>
        <w:fldChar w:fldCharType="begin"/>
      </w:r>
      <w:r>
        <w:instrText xml:space="preserve"> PAGEREF _Toc200525816 \h </w:instrText>
      </w:r>
      <w:r>
        <w:fldChar w:fldCharType="separate"/>
      </w:r>
      <w:r>
        <w:t>15</w:t>
      </w:r>
      <w:r>
        <w:fldChar w:fldCharType="end"/>
      </w:r>
    </w:p>
    <w:p>
      <w:pPr>
        <w:pStyle w:val="TOC8"/>
        <w:rPr>
          <w:rFonts w:asciiTheme="minorHAnsi" w:eastAsiaTheme="minorEastAsia" w:hAnsiTheme="minorHAnsi" w:cstheme="minorBidi"/>
          <w:szCs w:val="22"/>
        </w:rPr>
      </w:pPr>
      <w:r>
        <w:t>26.</w:t>
      </w:r>
      <w:r>
        <w:tab/>
        <w:t>Section 79 inserted</w:t>
      </w:r>
      <w:r>
        <w:tab/>
      </w:r>
      <w:r>
        <w:fldChar w:fldCharType="begin"/>
      </w:r>
      <w:r>
        <w:instrText xml:space="preserve"> PAGEREF _Toc200525817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79.</w:t>
      </w:r>
      <w:r>
        <w:rPr>
          <w:noProof/>
        </w:rPr>
        <w:tab/>
        <w:t>Savings and transitional provisions</w:t>
      </w:r>
      <w:r>
        <w:rPr>
          <w:noProof/>
        </w:rPr>
        <w:tab/>
      </w:r>
      <w:r>
        <w:rPr>
          <w:noProof/>
        </w:rPr>
        <w:fldChar w:fldCharType="begin"/>
      </w:r>
      <w:r>
        <w:rPr>
          <w:noProof/>
        </w:rPr>
        <w:instrText xml:space="preserve"> PAGEREF _Toc200525818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27.</w:t>
      </w:r>
      <w:r>
        <w:tab/>
        <w:t>Schedule 1 amended</w:t>
      </w:r>
      <w:r>
        <w:tab/>
      </w:r>
      <w:r>
        <w:fldChar w:fldCharType="begin"/>
      </w:r>
      <w:r>
        <w:instrText xml:space="preserve"> PAGEREF _Toc200525819 \h </w:instrText>
      </w:r>
      <w:r>
        <w:fldChar w:fldCharType="separate"/>
      </w:r>
      <w:r>
        <w:t>16</w:t>
      </w:r>
      <w:r>
        <w:fldChar w:fldCharType="end"/>
      </w:r>
    </w:p>
    <w:p>
      <w:pPr>
        <w:pStyle w:val="TOC8"/>
        <w:rPr>
          <w:rFonts w:asciiTheme="minorHAnsi" w:eastAsiaTheme="minorEastAsia" w:hAnsiTheme="minorHAnsi" w:cstheme="minorBidi"/>
          <w:szCs w:val="22"/>
        </w:rPr>
      </w:pPr>
      <w:r>
        <w:t>28.</w:t>
      </w:r>
      <w:r>
        <w:tab/>
        <w:t>Schedule 2 amended</w:t>
      </w:r>
      <w:r>
        <w:tab/>
      </w:r>
      <w:r>
        <w:fldChar w:fldCharType="begin"/>
      </w:r>
      <w:r>
        <w:instrText xml:space="preserve"> PAGEREF _Toc200525820 \h </w:instrText>
      </w:r>
      <w:r>
        <w:fldChar w:fldCharType="separate"/>
      </w:r>
      <w:r>
        <w:t>16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Provisions for </w:t>
      </w:r>
      <w:r>
        <w:rPr>
          <w:i/>
        </w:rPr>
        <w:t>Architects Act 2004</w:t>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Architects Amendment Act 2025</w:t>
      </w:r>
    </w:p>
    <w:p>
      <w:pPr>
        <w:pStyle w:val="TOC9"/>
        <w:rPr>
          <w:rFonts w:asciiTheme="minorHAnsi" w:eastAsiaTheme="minorEastAsia" w:hAnsiTheme="minorHAnsi" w:cstheme="minorBidi"/>
          <w:noProof/>
          <w:sz w:val="22"/>
          <w:szCs w:val="22"/>
        </w:rPr>
      </w:pPr>
      <w:r>
        <w:rPr>
          <w:noProof/>
        </w:rPr>
        <w:t>12.</w:t>
      </w:r>
      <w:r>
        <w:rPr>
          <w:noProof/>
        </w:rPr>
        <w:tab/>
        <w:t>Change of name of Board</w:t>
      </w:r>
      <w:r>
        <w:rPr>
          <w:noProof/>
        </w:rPr>
        <w:tab/>
      </w:r>
      <w:r>
        <w:rPr>
          <w:noProof/>
        </w:rPr>
        <w:fldChar w:fldCharType="begin"/>
      </w:r>
      <w:r>
        <w:rPr>
          <w:noProof/>
        </w:rPr>
        <w:instrText xml:space="preserve"> PAGEREF _Toc200525823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Transitional regulations</w:t>
      </w:r>
      <w:r>
        <w:rPr>
          <w:noProof/>
        </w:rPr>
        <w:tab/>
      </w:r>
      <w:r>
        <w:rPr>
          <w:noProof/>
        </w:rPr>
        <w:fldChar w:fldCharType="begin"/>
      </w:r>
      <w:r>
        <w:rPr>
          <w:noProof/>
        </w:rPr>
        <w:instrText xml:space="preserve"> PAGEREF _Toc200525824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29.</w:t>
      </w:r>
      <w:r>
        <w:tab/>
        <w:t>Various references to “is to”, “are to” and “is not to” replaced</w:t>
      </w:r>
      <w:r>
        <w:tab/>
      </w:r>
      <w:r>
        <w:fldChar w:fldCharType="begin"/>
      </w:r>
      <w:r>
        <w:instrText xml:space="preserve"> PAGEREF _Toc200525825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30.</w:t>
      </w:r>
      <w:r>
        <w:tab/>
      </w:r>
      <w:r>
        <w:rPr>
          <w:i/>
        </w:rPr>
        <w:t>Building Services (Complaint Resolution and Administration) Act 2011</w:t>
      </w:r>
      <w:r>
        <w:t xml:space="preserve"> amended</w:t>
      </w:r>
      <w:r>
        <w:tab/>
      </w:r>
      <w:r>
        <w:fldChar w:fldCharType="begin"/>
      </w:r>
      <w:r>
        <w:instrText xml:space="preserve"> PAGEREF _Toc200525827 \h </w:instrText>
      </w:r>
      <w:r>
        <w:fldChar w:fldCharType="separate"/>
      </w:r>
      <w:r>
        <w:t>21</w:t>
      </w:r>
      <w:r>
        <w:fldChar w:fldCharType="end"/>
      </w:r>
    </w:p>
    <w:p>
      <w:pPr>
        <w:pStyle w:val="TOC8"/>
        <w:rPr>
          <w:rFonts w:asciiTheme="minorHAnsi" w:eastAsiaTheme="minorEastAsia" w:hAnsiTheme="minorHAnsi" w:cstheme="minorBidi"/>
          <w:szCs w:val="22"/>
        </w:rPr>
      </w:pPr>
      <w:r>
        <w:t>31.</w:t>
      </w:r>
      <w:r>
        <w:tab/>
      </w:r>
      <w:r>
        <w:rPr>
          <w:i/>
        </w:rPr>
        <w:t>Constitution Acts Amendment Act 1899</w:t>
      </w:r>
      <w:r>
        <w:t xml:space="preserve"> amended</w:t>
      </w:r>
      <w:r>
        <w:tab/>
      </w:r>
      <w:r>
        <w:fldChar w:fldCharType="begin"/>
      </w:r>
      <w:r>
        <w:instrText xml:space="preserve"> PAGEREF _Toc200525828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i/>
        </w:rPr>
        <w:t>Sentencing Act 1995</w:t>
      </w:r>
      <w:r>
        <w:t xml:space="preserve"> amended</w:t>
      </w:r>
      <w:r>
        <w:tab/>
      </w:r>
      <w:r>
        <w:fldChar w:fldCharType="begin"/>
      </w:r>
      <w:r>
        <w:instrText xml:space="preserve"> PAGEREF _Toc200525829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Architects Amendment Act 2025</w:t>
      </w:r>
    </w:p>
    <w:p>
      <w:pPr>
        <w:pStyle w:val="ABillFor"/>
        <w:pBdr>
          <w:top w:val="single" w:sz="4" w:space="6" w:color="auto"/>
          <w:bottom w:val="single" w:sz="4" w:space="6" w:color="auto"/>
        </w:pBdr>
        <w:spacing w:before="0" w:after="240"/>
        <w:ind w:left="2551" w:right="2551"/>
      </w:pPr>
      <w:bookmarkStart w:id="2" w:name="BillCited"/>
      <w:bookmarkEnd w:id="2"/>
      <w:r>
        <w:t>No. 2 of 2025</w:t>
      </w:r>
    </w:p>
    <w:p>
      <w:pPr>
        <w:pStyle w:val="LongTitle"/>
      </w:pPr>
      <w:r>
        <w:t xml:space="preserve">An Act to amend the </w:t>
      </w:r>
      <w:r>
        <w:rPr>
          <w:i/>
          <w:iCs/>
        </w:rPr>
        <w:t>Architects Act 2004</w:t>
      </w:r>
      <w:r>
        <w:t xml:space="preserve"> and to make consequential amendments to various written laws.</w:t>
      </w:r>
    </w:p>
    <w:p>
      <w:pPr>
        <w:pStyle w:val="AssentDate"/>
        <w:spacing w:before="240" w:after="480"/>
      </w:pPr>
      <w:r>
        <w:t>[</w:t>
      </w:r>
      <w:r>
        <w:rPr>
          <w:i/>
        </w:rPr>
        <w:t>Assented to 10 June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525308"/>
      <w:bookmarkStart w:id="4" w:name="_Toc200525362"/>
      <w:bookmarkStart w:id="5" w:name="_Toc200525470"/>
      <w:bookmarkStart w:id="6" w:name="_Toc20052578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00525788"/>
      <w:r>
        <w:rPr>
          <w:rStyle w:val="CharSectno"/>
        </w:rPr>
        <w:t>1</w:t>
      </w:r>
      <w:r>
        <w:t>.</w:t>
      </w:r>
      <w:r>
        <w:tab/>
        <w:t>Short title</w:t>
      </w:r>
      <w:bookmarkEnd w:id="7"/>
    </w:p>
    <w:p>
      <w:pPr>
        <w:pStyle w:val="Subsection"/>
      </w:pPr>
      <w:r>
        <w:tab/>
      </w:r>
      <w:r>
        <w:tab/>
        <w:t>This is the</w:t>
      </w:r>
      <w:r>
        <w:rPr>
          <w:i/>
        </w:rPr>
        <w:t xml:space="preserve"> Architects Amendment Act 2025</w:t>
      </w:r>
      <w:r>
        <w:t>.</w:t>
      </w:r>
    </w:p>
    <w:p>
      <w:pPr>
        <w:pStyle w:val="Heading5"/>
      </w:pPr>
      <w:bookmarkStart w:id="8" w:name="_Toc200525789"/>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2"/>
      </w:pPr>
      <w:bookmarkStart w:id="9" w:name="_Toc200525311"/>
      <w:bookmarkStart w:id="10" w:name="_Toc200525365"/>
      <w:bookmarkStart w:id="11" w:name="_Toc200525473"/>
      <w:bookmarkStart w:id="12" w:name="_Toc200525790"/>
      <w:r>
        <w:rPr>
          <w:rStyle w:val="CharPartNo"/>
        </w:rPr>
        <w:lastRenderedPageBreak/>
        <w:t>Part 2</w:t>
      </w:r>
      <w:r>
        <w:rPr>
          <w:rStyle w:val="CharDivNo"/>
        </w:rPr>
        <w:t> </w:t>
      </w:r>
      <w:r>
        <w:t>—</w:t>
      </w:r>
      <w:r>
        <w:rPr>
          <w:rStyle w:val="CharDivText"/>
        </w:rPr>
        <w:t> </w:t>
      </w:r>
      <w:r>
        <w:rPr>
          <w:rStyle w:val="CharPartText"/>
          <w:i/>
          <w:iCs/>
        </w:rPr>
        <w:t>Architects Act 2004</w:t>
      </w:r>
      <w:r>
        <w:rPr>
          <w:rStyle w:val="CharPartText"/>
        </w:rPr>
        <w:t xml:space="preserve"> amended</w:t>
      </w:r>
      <w:bookmarkEnd w:id="9"/>
      <w:bookmarkEnd w:id="10"/>
      <w:bookmarkEnd w:id="11"/>
      <w:bookmarkEnd w:id="12"/>
    </w:p>
    <w:p>
      <w:pPr>
        <w:pStyle w:val="Heading5"/>
        <w:rPr>
          <w:snapToGrid w:val="0"/>
        </w:rPr>
      </w:pPr>
      <w:bookmarkStart w:id="13" w:name="_Toc200525791"/>
      <w:r>
        <w:rPr>
          <w:rStyle w:val="CharSectno"/>
        </w:rPr>
        <w:t>3</w:t>
      </w:r>
      <w:r>
        <w:rPr>
          <w:snapToGrid w:val="0"/>
        </w:rPr>
        <w:t>.</w:t>
      </w:r>
      <w:r>
        <w:rPr>
          <w:snapToGrid w:val="0"/>
        </w:rPr>
        <w:tab/>
        <w:t>Act amended</w:t>
      </w:r>
      <w:bookmarkEnd w:id="13"/>
    </w:p>
    <w:p>
      <w:pPr>
        <w:pStyle w:val="Subsection"/>
      </w:pPr>
      <w:r>
        <w:tab/>
      </w:r>
      <w:r>
        <w:tab/>
        <w:t xml:space="preserve">This Part amends the </w:t>
      </w:r>
      <w:r>
        <w:rPr>
          <w:i/>
        </w:rPr>
        <w:t>Architects Act 2004</w:t>
      </w:r>
      <w:r>
        <w:rPr>
          <w:iCs/>
        </w:rPr>
        <w:t>.</w:t>
      </w:r>
    </w:p>
    <w:p>
      <w:pPr>
        <w:pStyle w:val="Heading5"/>
      </w:pPr>
      <w:bookmarkStart w:id="14" w:name="_Toc200525792"/>
      <w:r>
        <w:rPr>
          <w:rStyle w:val="CharSectno"/>
        </w:rPr>
        <w:t>4</w:t>
      </w:r>
      <w:r>
        <w:t>.</w:t>
      </w:r>
      <w:r>
        <w:tab/>
        <w:t>Section 4 amended</w:t>
      </w:r>
      <w:bookmarkEnd w:id="14"/>
    </w:p>
    <w:p>
      <w:pPr>
        <w:pStyle w:val="Subsection"/>
      </w:pPr>
      <w:r>
        <w:tab/>
        <w:t>(1)</w:t>
      </w:r>
      <w:r>
        <w:tab/>
        <w:t>In section 4(1) insert in alphabetical order:</w:t>
      </w:r>
    </w:p>
    <w:p>
      <w:pPr>
        <w:pStyle w:val="BlankOpen"/>
      </w:pPr>
    </w:p>
    <w:p>
      <w:pPr>
        <w:pStyle w:val="zDefstart"/>
      </w:pPr>
      <w:r>
        <w:tab/>
      </w:r>
      <w:r>
        <w:rPr>
          <w:rStyle w:val="CharDefText"/>
        </w:rPr>
        <w:t>authorised person</w:t>
      </w:r>
      <w:r>
        <w:t xml:space="preserve">, in relation to an investigation under section 12, means — </w:t>
      </w:r>
    </w:p>
    <w:p>
      <w:pPr>
        <w:pStyle w:val="zDefpara"/>
      </w:pPr>
      <w:r>
        <w:tab/>
        <w:t>(a)</w:t>
      </w:r>
      <w:r>
        <w:tab/>
        <w:t>the Board; and</w:t>
      </w:r>
    </w:p>
    <w:p>
      <w:pPr>
        <w:pStyle w:val="zDefpara"/>
      </w:pPr>
      <w:r>
        <w:tab/>
        <w:t>(b)</w:t>
      </w:r>
      <w:r>
        <w:tab/>
        <w:t>a person appointed as an investigator under section 12(3);</w:t>
      </w:r>
    </w:p>
    <w:p>
      <w:pPr>
        <w:pStyle w:val="zDefstart"/>
      </w:pPr>
      <w:r>
        <w:tab/>
      </w:r>
      <w:r>
        <w:rPr>
          <w:rStyle w:val="CharDefText"/>
        </w:rPr>
        <w:t>fee</w:t>
      </w:r>
      <w:r>
        <w:t xml:space="preserve"> means a fee of an amount determined by the Board under section 72A(1);</w:t>
      </w:r>
    </w:p>
    <w:p>
      <w:pPr>
        <w:pStyle w:val="BlankClose"/>
      </w:pPr>
    </w:p>
    <w:p>
      <w:pPr>
        <w:pStyle w:val="Subsection"/>
      </w:pPr>
      <w:r>
        <w:tab/>
        <w:t>(2)</w:t>
      </w:r>
      <w:r>
        <w:tab/>
        <w:t xml:space="preserve">In section 4(1) in the definition of </w:t>
      </w:r>
      <w:r>
        <w:rPr>
          <w:b/>
          <w:i/>
        </w:rPr>
        <w:t>Board</w:t>
      </w:r>
      <w:r>
        <w:t xml:space="preserve"> after “Architects” insert:</w:t>
      </w:r>
    </w:p>
    <w:p>
      <w:pPr>
        <w:pStyle w:val="BlankOpen"/>
      </w:pPr>
    </w:p>
    <w:p>
      <w:pPr>
        <w:pStyle w:val="Subsection"/>
      </w:pPr>
      <w:r>
        <w:tab/>
      </w:r>
      <w:r>
        <w:tab/>
        <w:t>Registration</w:t>
      </w:r>
    </w:p>
    <w:p>
      <w:pPr>
        <w:pStyle w:val="BlankClose"/>
      </w:pPr>
    </w:p>
    <w:p>
      <w:pPr>
        <w:pStyle w:val="Heading5"/>
      </w:pPr>
      <w:bookmarkStart w:id="15" w:name="_Toc200525793"/>
      <w:r>
        <w:rPr>
          <w:rStyle w:val="CharSectno"/>
        </w:rPr>
        <w:t>5</w:t>
      </w:r>
      <w:r>
        <w:t>.</w:t>
      </w:r>
      <w:r>
        <w:tab/>
        <w:t>Part 2 heading amended</w:t>
      </w:r>
      <w:bookmarkEnd w:id="15"/>
    </w:p>
    <w:p>
      <w:pPr>
        <w:pStyle w:val="Subsection"/>
      </w:pPr>
      <w:r>
        <w:tab/>
      </w:r>
      <w:r>
        <w:tab/>
        <w:t>In the heading to Part 2 after “</w:t>
      </w:r>
      <w:r>
        <w:rPr>
          <w:b/>
          <w:sz w:val="30"/>
        </w:rPr>
        <w:t>Architects</w:t>
      </w:r>
      <w:r>
        <w:t>” insert:</w:t>
      </w:r>
    </w:p>
    <w:p>
      <w:pPr>
        <w:pStyle w:val="BlankOpen"/>
      </w:pPr>
    </w:p>
    <w:p>
      <w:pPr>
        <w:pStyle w:val="Subsection"/>
        <w:rPr>
          <w:b/>
          <w:sz w:val="30"/>
        </w:rPr>
      </w:pPr>
      <w:r>
        <w:tab/>
      </w:r>
      <w:r>
        <w:tab/>
      </w:r>
      <w:r>
        <w:rPr>
          <w:b/>
          <w:sz w:val="30"/>
        </w:rPr>
        <w:t>Registration</w:t>
      </w:r>
    </w:p>
    <w:p>
      <w:pPr>
        <w:pStyle w:val="BlankClose"/>
      </w:pPr>
    </w:p>
    <w:p>
      <w:pPr>
        <w:pStyle w:val="Heading5"/>
      </w:pPr>
      <w:bookmarkStart w:id="16" w:name="_Toc200525794"/>
      <w:r>
        <w:rPr>
          <w:rStyle w:val="CharSectno"/>
        </w:rPr>
        <w:lastRenderedPageBreak/>
        <w:t>6</w:t>
      </w:r>
      <w:r>
        <w:t>.</w:t>
      </w:r>
      <w:r>
        <w:tab/>
        <w:t>Section 5 amended</w:t>
      </w:r>
      <w:bookmarkEnd w:id="16"/>
    </w:p>
    <w:p>
      <w:pPr>
        <w:pStyle w:val="Subsection"/>
        <w:keepNext/>
      </w:pPr>
      <w:r>
        <w:tab/>
      </w:r>
      <w:r>
        <w:tab/>
        <w:t>In section 5(1) after “Architects” insert:</w:t>
      </w:r>
    </w:p>
    <w:p>
      <w:pPr>
        <w:pStyle w:val="BlankOpen"/>
      </w:pPr>
    </w:p>
    <w:p>
      <w:pPr>
        <w:pStyle w:val="Subsection"/>
      </w:pPr>
      <w:r>
        <w:tab/>
      </w:r>
      <w:r>
        <w:tab/>
        <w:t>Registration</w:t>
      </w:r>
    </w:p>
    <w:p>
      <w:pPr>
        <w:pStyle w:val="BlankClose"/>
      </w:pPr>
    </w:p>
    <w:p>
      <w:pPr>
        <w:pStyle w:val="Heading5"/>
      </w:pPr>
      <w:bookmarkStart w:id="17" w:name="_Toc200525795"/>
      <w:r>
        <w:rPr>
          <w:rStyle w:val="CharSectno"/>
        </w:rPr>
        <w:t>7</w:t>
      </w:r>
      <w:r>
        <w:t>.</w:t>
      </w:r>
      <w:r>
        <w:tab/>
        <w:t>Section 10 amended</w:t>
      </w:r>
      <w:bookmarkEnd w:id="17"/>
    </w:p>
    <w:p>
      <w:pPr>
        <w:pStyle w:val="Subsection"/>
      </w:pPr>
      <w:r>
        <w:tab/>
      </w:r>
      <w:r>
        <w:tab/>
        <w:t>After section 10(d) insert:</w:t>
      </w:r>
    </w:p>
    <w:p>
      <w:pPr>
        <w:pStyle w:val="BlankOpen"/>
      </w:pPr>
    </w:p>
    <w:p>
      <w:pPr>
        <w:pStyle w:val="zIndenta"/>
      </w:pPr>
      <w:r>
        <w:tab/>
        <w:t>(da)</w:t>
      </w:r>
      <w:r>
        <w:tab/>
        <w:t>to determine the amounts of fees under section 72A;</w:t>
      </w:r>
    </w:p>
    <w:p>
      <w:pPr>
        <w:pStyle w:val="BlankClose"/>
      </w:pPr>
    </w:p>
    <w:p>
      <w:pPr>
        <w:pStyle w:val="Heading5"/>
      </w:pPr>
      <w:bookmarkStart w:id="18" w:name="_Toc200525796"/>
      <w:r>
        <w:rPr>
          <w:rStyle w:val="CharSectno"/>
        </w:rPr>
        <w:t>8</w:t>
      </w:r>
      <w:r>
        <w:t>.</w:t>
      </w:r>
      <w:r>
        <w:tab/>
        <w:t>Section 12 amended</w:t>
      </w:r>
      <w:bookmarkEnd w:id="18"/>
    </w:p>
    <w:p>
      <w:pPr>
        <w:pStyle w:val="Subsection"/>
      </w:pPr>
      <w:r>
        <w:tab/>
        <w:t>(1)</w:t>
      </w:r>
      <w:r>
        <w:tab/>
        <w:t>In section 12(1) delete “may” and insert:</w:t>
      </w:r>
    </w:p>
    <w:p>
      <w:pPr>
        <w:pStyle w:val="BlankOpen"/>
      </w:pPr>
    </w:p>
    <w:p>
      <w:pPr>
        <w:pStyle w:val="Subsection"/>
      </w:pPr>
      <w:r>
        <w:tab/>
      </w:r>
      <w:r>
        <w:tab/>
        <w:t>may, on receiving a complaint or on the Board’s own initiative,</w:t>
      </w:r>
    </w:p>
    <w:p>
      <w:pPr>
        <w:pStyle w:val="BlankClose"/>
      </w:pPr>
    </w:p>
    <w:p>
      <w:pPr>
        <w:pStyle w:val="Subsection"/>
      </w:pPr>
      <w:r>
        <w:tab/>
        <w:t>(2)</w:t>
      </w:r>
      <w:r>
        <w:tab/>
        <w:t>In section 12(4):</w:t>
      </w:r>
    </w:p>
    <w:p>
      <w:pPr>
        <w:pStyle w:val="Indenta"/>
      </w:pPr>
      <w:r>
        <w:tab/>
        <w:t>(a)</w:t>
      </w:r>
      <w:r>
        <w:tab/>
        <w:t>delete “The investigator may —” and insert:</w:t>
      </w:r>
    </w:p>
    <w:p>
      <w:pPr>
        <w:pStyle w:val="BlankOpen"/>
      </w:pPr>
    </w:p>
    <w:p>
      <w:pPr>
        <w:pStyle w:val="Indenta"/>
      </w:pPr>
      <w:r>
        <w:tab/>
      </w:r>
      <w:r>
        <w:tab/>
        <w:t xml:space="preserve">An authorised person may, for the purposes of an investigation — </w:t>
      </w:r>
    </w:p>
    <w:p>
      <w:pPr>
        <w:pStyle w:val="BlankClose"/>
      </w:pPr>
    </w:p>
    <w:p>
      <w:pPr>
        <w:pStyle w:val="Indenta"/>
      </w:pPr>
      <w:r>
        <w:tab/>
        <w:t>(b)</w:t>
      </w:r>
      <w:r>
        <w:tab/>
        <w:t>in paragraph (a)(i) delete “investigator” (each occurrence) and insert:</w:t>
      </w:r>
    </w:p>
    <w:p>
      <w:pPr>
        <w:pStyle w:val="BlankOpen"/>
      </w:pPr>
    </w:p>
    <w:p>
      <w:pPr>
        <w:pStyle w:val="Indenta"/>
      </w:pPr>
      <w:r>
        <w:tab/>
      </w:r>
      <w:r>
        <w:tab/>
        <w:t>authorised person</w:t>
      </w:r>
    </w:p>
    <w:p>
      <w:pPr>
        <w:pStyle w:val="BlankClose"/>
      </w:pPr>
    </w:p>
    <w:p>
      <w:pPr>
        <w:pStyle w:val="Indenta"/>
        <w:keepNext/>
      </w:pPr>
      <w:r>
        <w:lastRenderedPageBreak/>
        <w:tab/>
        <w:t>(c)</w:t>
      </w:r>
      <w:r>
        <w:tab/>
        <w:t>in paragraph (b) delete “investigator; and” and insert:</w:t>
      </w:r>
    </w:p>
    <w:p>
      <w:pPr>
        <w:pStyle w:val="BlankOpen"/>
      </w:pPr>
    </w:p>
    <w:p>
      <w:pPr>
        <w:pStyle w:val="Indenta"/>
        <w:keepNext/>
      </w:pPr>
      <w:r>
        <w:tab/>
      </w:r>
      <w:r>
        <w:tab/>
        <w:t>authorised person; and</w:t>
      </w:r>
    </w:p>
    <w:p>
      <w:pPr>
        <w:pStyle w:val="BlankClose"/>
      </w:pPr>
    </w:p>
    <w:p>
      <w:pPr>
        <w:pStyle w:val="Indenta"/>
      </w:pPr>
      <w:r>
        <w:tab/>
        <w:t>(d)</w:t>
      </w:r>
      <w:r>
        <w:tab/>
        <w:t>in paragraph (c) delete “enter” and insert:</w:t>
      </w:r>
    </w:p>
    <w:p>
      <w:pPr>
        <w:pStyle w:val="BlankOpen"/>
      </w:pPr>
    </w:p>
    <w:p>
      <w:pPr>
        <w:pStyle w:val="Indenta"/>
      </w:pPr>
      <w:r>
        <w:tab/>
      </w:r>
      <w:r>
        <w:tab/>
        <w:t>if the authorised person is an investigator — enter</w:t>
      </w:r>
    </w:p>
    <w:p>
      <w:pPr>
        <w:pStyle w:val="BlankClose"/>
      </w:pPr>
    </w:p>
    <w:p>
      <w:pPr>
        <w:pStyle w:val="Subsection"/>
      </w:pPr>
      <w:r>
        <w:tab/>
        <w:t>(3)</w:t>
      </w:r>
      <w:r>
        <w:tab/>
        <w:t>In section 12(5)(c)(iv) delete “investigator” and insert:</w:t>
      </w:r>
    </w:p>
    <w:p>
      <w:pPr>
        <w:pStyle w:val="BlankOpen"/>
      </w:pPr>
    </w:p>
    <w:p>
      <w:pPr>
        <w:pStyle w:val="Subsection"/>
      </w:pPr>
      <w:r>
        <w:tab/>
      </w:r>
      <w:r>
        <w:tab/>
        <w:t>authorised person</w:t>
      </w:r>
    </w:p>
    <w:p>
      <w:pPr>
        <w:pStyle w:val="BlankClose"/>
      </w:pPr>
    </w:p>
    <w:p>
      <w:pPr>
        <w:pStyle w:val="Subsection"/>
      </w:pPr>
      <w:r>
        <w:tab/>
        <w:t>(4)</w:t>
      </w:r>
      <w:r>
        <w:tab/>
        <w:t>In section 12(7) delete “investigator” (each occurrence) and insert:</w:t>
      </w:r>
    </w:p>
    <w:p>
      <w:pPr>
        <w:pStyle w:val="BlankOpen"/>
      </w:pPr>
    </w:p>
    <w:p>
      <w:pPr>
        <w:pStyle w:val="Subsection"/>
      </w:pPr>
      <w:r>
        <w:tab/>
      </w:r>
      <w:r>
        <w:tab/>
        <w:t>authorised person</w:t>
      </w:r>
    </w:p>
    <w:p>
      <w:pPr>
        <w:pStyle w:val="BlankClose"/>
      </w:pPr>
    </w:p>
    <w:p>
      <w:pPr>
        <w:pStyle w:val="Subsection"/>
      </w:pPr>
      <w:r>
        <w:tab/>
        <w:t>(5)</w:t>
      </w:r>
      <w:r>
        <w:tab/>
        <w:t>In section 12(8) delete “is to state that he or she” and insert:</w:t>
      </w:r>
    </w:p>
    <w:p>
      <w:pPr>
        <w:pStyle w:val="BlankOpen"/>
      </w:pPr>
    </w:p>
    <w:p>
      <w:pPr>
        <w:pStyle w:val="Subsection"/>
      </w:pPr>
      <w:r>
        <w:tab/>
      </w:r>
      <w:r>
        <w:tab/>
        <w:t>must state that the person</w:t>
      </w:r>
    </w:p>
    <w:p>
      <w:pPr>
        <w:pStyle w:val="BlankClose"/>
      </w:pPr>
    </w:p>
    <w:p>
      <w:pPr>
        <w:pStyle w:val="Subsection"/>
      </w:pPr>
      <w:r>
        <w:tab/>
        <w:t>(6)</w:t>
      </w:r>
      <w:r>
        <w:tab/>
        <w:t>In section 12(9)(b) delete “he or she is” and insert:</w:t>
      </w:r>
    </w:p>
    <w:p>
      <w:pPr>
        <w:pStyle w:val="BlankOpen"/>
      </w:pPr>
    </w:p>
    <w:p>
      <w:pPr>
        <w:pStyle w:val="Subsection"/>
      </w:pPr>
      <w:r>
        <w:tab/>
      </w:r>
      <w:r>
        <w:tab/>
        <w:t>they are</w:t>
      </w:r>
    </w:p>
    <w:p>
      <w:pPr>
        <w:pStyle w:val="BlankClose"/>
      </w:pPr>
    </w:p>
    <w:p>
      <w:pPr>
        <w:pStyle w:val="SectAltNote"/>
      </w:pPr>
      <w:r>
        <w:tab/>
        <w:t>Note: The heading to amended section 12 is to read:</w:t>
      </w:r>
    </w:p>
    <w:p>
      <w:pPr>
        <w:pStyle w:val="SectAltHeading"/>
      </w:pPr>
      <w:r>
        <w:tab/>
      </w:r>
      <w:r>
        <w:tab/>
        <w:t>Investigations</w:t>
      </w:r>
    </w:p>
    <w:p>
      <w:pPr>
        <w:pStyle w:val="Heading5"/>
      </w:pPr>
      <w:bookmarkStart w:id="19" w:name="_Toc200525797"/>
      <w:r>
        <w:rPr>
          <w:rStyle w:val="CharSectno"/>
        </w:rPr>
        <w:lastRenderedPageBreak/>
        <w:t>9</w:t>
      </w:r>
      <w:r>
        <w:t>.</w:t>
      </w:r>
      <w:r>
        <w:tab/>
        <w:t>Section 14 amended</w:t>
      </w:r>
      <w:bookmarkEnd w:id="19"/>
    </w:p>
    <w:p>
      <w:pPr>
        <w:pStyle w:val="Subsection"/>
        <w:keepNext/>
      </w:pPr>
      <w:r>
        <w:tab/>
      </w:r>
      <w:r>
        <w:tab/>
        <w:t>In section 14(2) delete “investigator” (each occurrence) and insert:</w:t>
      </w:r>
    </w:p>
    <w:p>
      <w:pPr>
        <w:pStyle w:val="BlankOpen"/>
      </w:pPr>
    </w:p>
    <w:p>
      <w:pPr>
        <w:pStyle w:val="Subsection"/>
      </w:pPr>
      <w:r>
        <w:tab/>
      </w:r>
      <w:r>
        <w:tab/>
        <w:t>authorised person</w:t>
      </w:r>
    </w:p>
    <w:p>
      <w:pPr>
        <w:pStyle w:val="BlankClose"/>
      </w:pPr>
    </w:p>
    <w:p>
      <w:pPr>
        <w:pStyle w:val="Heading5"/>
      </w:pPr>
      <w:bookmarkStart w:id="20" w:name="_Toc200525798"/>
      <w:r>
        <w:rPr>
          <w:rStyle w:val="CharSectno"/>
        </w:rPr>
        <w:t>10</w:t>
      </w:r>
      <w:r>
        <w:t>.</w:t>
      </w:r>
      <w:r>
        <w:tab/>
        <w:t>Section 15 amended</w:t>
      </w:r>
      <w:bookmarkEnd w:id="20"/>
    </w:p>
    <w:p>
      <w:pPr>
        <w:pStyle w:val="Subsection"/>
      </w:pPr>
      <w:r>
        <w:tab/>
      </w:r>
      <w:r>
        <w:tab/>
        <w:t>In section 15 delete “investigator in the exercise of his or her” and insert:</w:t>
      </w:r>
    </w:p>
    <w:p>
      <w:pPr>
        <w:pStyle w:val="BlankOpen"/>
      </w:pPr>
    </w:p>
    <w:p>
      <w:pPr>
        <w:pStyle w:val="Subsection"/>
      </w:pPr>
      <w:r>
        <w:tab/>
      </w:r>
      <w:r>
        <w:tab/>
        <w:t>authorised person in the exercise of their</w:t>
      </w:r>
    </w:p>
    <w:p>
      <w:pPr>
        <w:pStyle w:val="BlankClose"/>
      </w:pPr>
    </w:p>
    <w:p>
      <w:pPr>
        <w:pStyle w:val="SectAltNote"/>
      </w:pPr>
      <w:r>
        <w:tab/>
        <w:t>Note: The heading to amended section 15 is to read:</w:t>
      </w:r>
    </w:p>
    <w:p>
      <w:pPr>
        <w:pStyle w:val="SectAltHeading"/>
      </w:pPr>
      <w:r>
        <w:tab/>
      </w:r>
      <w:r>
        <w:tab/>
        <w:t>Obstructing authorised persons</w:t>
      </w:r>
    </w:p>
    <w:p>
      <w:pPr>
        <w:pStyle w:val="Heading5"/>
      </w:pPr>
      <w:bookmarkStart w:id="21" w:name="_Toc200525799"/>
      <w:r>
        <w:rPr>
          <w:rStyle w:val="CharSectno"/>
        </w:rPr>
        <w:t>11</w:t>
      </w:r>
      <w:r>
        <w:t>.</w:t>
      </w:r>
      <w:r>
        <w:tab/>
        <w:t>Section 16 amended</w:t>
      </w:r>
      <w:bookmarkEnd w:id="21"/>
    </w:p>
    <w:p>
      <w:pPr>
        <w:pStyle w:val="Subsection"/>
      </w:pPr>
      <w:r>
        <w:tab/>
        <w:t>(1)</w:t>
      </w:r>
      <w:r>
        <w:tab/>
        <w:t xml:space="preserve">In section 16(1): </w:t>
      </w:r>
    </w:p>
    <w:p>
      <w:pPr>
        <w:pStyle w:val="Indenta"/>
      </w:pPr>
      <w:r>
        <w:tab/>
        <w:t>(a)</w:t>
      </w:r>
      <w:r>
        <w:tab/>
        <w:t>delete “The” and insert:</w:t>
      </w:r>
    </w:p>
    <w:p>
      <w:pPr>
        <w:pStyle w:val="BlankOpen"/>
      </w:pPr>
    </w:p>
    <w:p>
      <w:pPr>
        <w:pStyle w:val="Indenta"/>
      </w:pPr>
      <w:r>
        <w:tab/>
      </w:r>
      <w:r>
        <w:tab/>
        <w:t xml:space="preserve">Subject to subsection (6), the </w:t>
      </w:r>
    </w:p>
    <w:p>
      <w:pPr>
        <w:pStyle w:val="BlankClose"/>
      </w:pPr>
    </w:p>
    <w:p>
      <w:pPr>
        <w:pStyle w:val="Indenta"/>
      </w:pPr>
      <w:r>
        <w:tab/>
        <w:t>(b)</w:t>
      </w:r>
      <w:r>
        <w:tab/>
        <w:t>in paragraph (c) delete “Registrar” and insert:</w:t>
      </w:r>
    </w:p>
    <w:p>
      <w:pPr>
        <w:pStyle w:val="BlankOpen"/>
      </w:pPr>
    </w:p>
    <w:p>
      <w:pPr>
        <w:pStyle w:val="Indenta"/>
      </w:pPr>
      <w:r>
        <w:tab/>
      </w:r>
      <w:r>
        <w:tab/>
        <w:t>registrar</w:t>
      </w:r>
    </w:p>
    <w:p>
      <w:pPr>
        <w:pStyle w:val="BlankClose"/>
      </w:pPr>
    </w:p>
    <w:p>
      <w:pPr>
        <w:pStyle w:val="Subsection"/>
      </w:pPr>
      <w:r>
        <w:tab/>
        <w:t>(2)</w:t>
      </w:r>
      <w:r>
        <w:tab/>
        <w:t>Delete section 16(6) and insert:</w:t>
      </w:r>
    </w:p>
    <w:p>
      <w:pPr>
        <w:pStyle w:val="BlankOpen"/>
      </w:pPr>
    </w:p>
    <w:p>
      <w:pPr>
        <w:pStyle w:val="zSubsection"/>
      </w:pPr>
      <w:r>
        <w:tab/>
        <w:t>(6)</w:t>
      </w:r>
      <w:r>
        <w:tab/>
        <w:t xml:space="preserve">This section does not apply to — </w:t>
      </w:r>
    </w:p>
    <w:p>
      <w:pPr>
        <w:pStyle w:val="zIndenta"/>
      </w:pPr>
      <w:r>
        <w:tab/>
        <w:t>(a)</w:t>
      </w:r>
      <w:r>
        <w:tab/>
        <w:t>the determination of fee amounts under section 72A; or</w:t>
      </w:r>
    </w:p>
    <w:p>
      <w:pPr>
        <w:pStyle w:val="zIndenta"/>
        <w:keepNext/>
      </w:pPr>
      <w:r>
        <w:lastRenderedPageBreak/>
        <w:tab/>
        <w:t>(b)</w:t>
      </w:r>
      <w:r>
        <w:tab/>
        <w:t>the execution of documents.</w:t>
      </w:r>
    </w:p>
    <w:p>
      <w:pPr>
        <w:pStyle w:val="zPermNoteHeading"/>
      </w:pPr>
      <w:r>
        <w:tab/>
        <w:t>Note for this subsection:</w:t>
      </w:r>
    </w:p>
    <w:p>
      <w:pPr>
        <w:pStyle w:val="zPermNoteText"/>
      </w:pPr>
      <w:r>
        <w:tab/>
      </w:r>
      <w:r>
        <w:tab/>
        <w:t>Authority to execute documents on behalf of the Board can be given under section 23.</w:t>
      </w:r>
    </w:p>
    <w:p>
      <w:pPr>
        <w:pStyle w:val="BlankClose"/>
      </w:pPr>
    </w:p>
    <w:p>
      <w:pPr>
        <w:pStyle w:val="Heading5"/>
      </w:pPr>
      <w:bookmarkStart w:id="22" w:name="_Toc200525800"/>
      <w:r>
        <w:rPr>
          <w:rStyle w:val="CharSectno"/>
        </w:rPr>
        <w:t>12</w:t>
      </w:r>
      <w:r>
        <w:t>.</w:t>
      </w:r>
      <w:r>
        <w:tab/>
        <w:t>Section 29 amended</w:t>
      </w:r>
      <w:bookmarkEnd w:id="22"/>
    </w:p>
    <w:p>
      <w:pPr>
        <w:pStyle w:val="Subsection"/>
      </w:pPr>
      <w:r>
        <w:tab/>
      </w:r>
      <w:r>
        <w:tab/>
        <w:t>In section 29 delete “A natural person is to be registered” and insert:</w:t>
      </w:r>
    </w:p>
    <w:p>
      <w:pPr>
        <w:pStyle w:val="BlankOpen"/>
      </w:pPr>
    </w:p>
    <w:p>
      <w:pPr>
        <w:pStyle w:val="Subsection"/>
      </w:pPr>
      <w:r>
        <w:tab/>
      </w:r>
      <w:r>
        <w:tab/>
        <w:t>The Board must register a natural person</w:t>
      </w:r>
    </w:p>
    <w:p>
      <w:pPr>
        <w:pStyle w:val="BlankClose"/>
      </w:pPr>
    </w:p>
    <w:p>
      <w:pPr>
        <w:pStyle w:val="Heading5"/>
      </w:pPr>
      <w:bookmarkStart w:id="23" w:name="_Toc200525801"/>
      <w:r>
        <w:rPr>
          <w:rStyle w:val="CharSectno"/>
        </w:rPr>
        <w:t>13</w:t>
      </w:r>
      <w:r>
        <w:t>.</w:t>
      </w:r>
      <w:r>
        <w:tab/>
        <w:t>Section 33 amended</w:t>
      </w:r>
      <w:bookmarkEnd w:id="23"/>
    </w:p>
    <w:p>
      <w:pPr>
        <w:pStyle w:val="Subsection"/>
      </w:pPr>
      <w:r>
        <w:tab/>
        <w:t>(1)</w:t>
      </w:r>
      <w:r>
        <w:tab/>
        <w:t>In section 33(1):</w:t>
      </w:r>
    </w:p>
    <w:p>
      <w:pPr>
        <w:pStyle w:val="Indenta"/>
      </w:pPr>
      <w:r>
        <w:tab/>
        <w:t>(a)</w:t>
      </w:r>
      <w:r>
        <w:tab/>
        <w:t>delete paragraph (a) and insert:</w:t>
      </w:r>
    </w:p>
    <w:p>
      <w:pPr>
        <w:pStyle w:val="BlankOpen"/>
      </w:pPr>
    </w:p>
    <w:p>
      <w:pPr>
        <w:pStyle w:val="zIndenta"/>
      </w:pPr>
      <w:r>
        <w:tab/>
        <w:t>(a)</w:t>
      </w:r>
      <w:r>
        <w:tab/>
        <w:t>made in accordance with the regulations; and</w:t>
      </w:r>
    </w:p>
    <w:p>
      <w:pPr>
        <w:pStyle w:val="BlankClose"/>
      </w:pPr>
    </w:p>
    <w:p>
      <w:pPr>
        <w:pStyle w:val="Indenta"/>
      </w:pPr>
      <w:r>
        <w:tab/>
        <w:t>(b)</w:t>
      </w:r>
      <w:r>
        <w:tab/>
        <w:t>in paragraph (b)(i) delete “fee prescribed by the regulations in relation to the applicant; and” and insert:</w:t>
      </w:r>
    </w:p>
    <w:p>
      <w:pPr>
        <w:pStyle w:val="BlankOpen"/>
      </w:pPr>
    </w:p>
    <w:p>
      <w:pPr>
        <w:pStyle w:val="Indenta"/>
      </w:pPr>
      <w:r>
        <w:tab/>
      </w:r>
      <w:r>
        <w:tab/>
        <w:t>fee; and</w:t>
      </w:r>
    </w:p>
    <w:p>
      <w:pPr>
        <w:pStyle w:val="BlankClose"/>
      </w:pPr>
    </w:p>
    <w:p>
      <w:pPr>
        <w:pStyle w:val="Indenta"/>
      </w:pPr>
      <w:r>
        <w:tab/>
        <w:t>(c)</w:t>
      </w:r>
      <w:r>
        <w:tab/>
        <w:t>in paragraph (b)(ii) delete “(whichever is relevant) prescribed by the regulations in relation to the applicant.” and insert:</w:t>
      </w:r>
    </w:p>
    <w:p>
      <w:pPr>
        <w:pStyle w:val="BlankOpen"/>
      </w:pPr>
    </w:p>
    <w:p>
      <w:pPr>
        <w:pStyle w:val="Indenta"/>
      </w:pPr>
      <w:r>
        <w:tab/>
      </w:r>
      <w:r>
        <w:tab/>
        <w:t>(as is relevant).</w:t>
      </w:r>
    </w:p>
    <w:p>
      <w:pPr>
        <w:pStyle w:val="BlankClose"/>
      </w:pPr>
    </w:p>
    <w:p>
      <w:pPr>
        <w:pStyle w:val="Subsection"/>
        <w:keepNext/>
      </w:pPr>
      <w:r>
        <w:lastRenderedPageBreak/>
        <w:tab/>
        <w:t>(2)</w:t>
      </w:r>
      <w:r>
        <w:tab/>
        <w:t>In section 33(4)(b) delete “fees or disbursements” and insert:</w:t>
      </w:r>
    </w:p>
    <w:p>
      <w:pPr>
        <w:pStyle w:val="BlankOpen"/>
      </w:pPr>
    </w:p>
    <w:p>
      <w:pPr>
        <w:pStyle w:val="Subsection"/>
      </w:pPr>
      <w:r>
        <w:tab/>
      </w:r>
      <w:r>
        <w:tab/>
        <w:t>costs</w:t>
      </w:r>
    </w:p>
    <w:p>
      <w:pPr>
        <w:pStyle w:val="BlankClose"/>
      </w:pPr>
    </w:p>
    <w:p>
      <w:pPr>
        <w:pStyle w:val="Heading5"/>
        <w:tabs>
          <w:tab w:val="center" w:pos="3543"/>
        </w:tabs>
      </w:pPr>
      <w:bookmarkStart w:id="24" w:name="_Toc200525802"/>
      <w:r>
        <w:rPr>
          <w:rStyle w:val="CharSectno"/>
        </w:rPr>
        <w:t>14</w:t>
      </w:r>
      <w:r>
        <w:t>.</w:t>
      </w:r>
      <w:r>
        <w:tab/>
        <w:t>Section 35 amended</w:t>
      </w:r>
      <w:bookmarkEnd w:id="24"/>
    </w:p>
    <w:p>
      <w:pPr>
        <w:pStyle w:val="Subsection"/>
        <w:keepNext/>
      </w:pPr>
      <w:r>
        <w:tab/>
      </w:r>
      <w:r>
        <w:tab/>
        <w:t xml:space="preserve">In section 35: </w:t>
      </w:r>
    </w:p>
    <w:p>
      <w:pPr>
        <w:pStyle w:val="Indenta"/>
        <w:keepNext/>
      </w:pPr>
      <w:r>
        <w:tab/>
        <w:t>(a)</w:t>
      </w:r>
      <w:r>
        <w:tab/>
        <w:t>delete “31 December in the year in” and insert:</w:t>
      </w:r>
    </w:p>
    <w:p>
      <w:pPr>
        <w:pStyle w:val="BlankOpen"/>
      </w:pPr>
    </w:p>
    <w:p>
      <w:pPr>
        <w:pStyle w:val="Indenta"/>
      </w:pPr>
      <w:r>
        <w:tab/>
      </w:r>
      <w:r>
        <w:tab/>
        <w:t xml:space="preserve">the next 30 June following the day on </w:t>
      </w:r>
    </w:p>
    <w:p>
      <w:pPr>
        <w:pStyle w:val="BlankClose"/>
      </w:pPr>
    </w:p>
    <w:p>
      <w:pPr>
        <w:pStyle w:val="Indenta"/>
      </w:pPr>
      <w:r>
        <w:tab/>
        <w:t>(b)</w:t>
      </w:r>
      <w:r>
        <w:tab/>
        <w:t>delete “for a longer period” and insert:</w:t>
      </w:r>
    </w:p>
    <w:p>
      <w:pPr>
        <w:pStyle w:val="BlankOpen"/>
      </w:pPr>
    </w:p>
    <w:p>
      <w:pPr>
        <w:pStyle w:val="Indenta"/>
      </w:pPr>
      <w:r>
        <w:tab/>
      </w:r>
      <w:r>
        <w:tab/>
        <w:t>until a later date</w:t>
      </w:r>
    </w:p>
    <w:p>
      <w:pPr>
        <w:pStyle w:val="BlankClose"/>
      </w:pPr>
    </w:p>
    <w:p>
      <w:pPr>
        <w:pStyle w:val="Heading5"/>
      </w:pPr>
      <w:bookmarkStart w:id="25" w:name="_Toc200525803"/>
      <w:r>
        <w:rPr>
          <w:rStyle w:val="CharSectno"/>
        </w:rPr>
        <w:t>15</w:t>
      </w:r>
      <w:r>
        <w:t>.</w:t>
      </w:r>
      <w:r>
        <w:tab/>
        <w:t>Section 36 amended</w:t>
      </w:r>
      <w:bookmarkEnd w:id="25"/>
    </w:p>
    <w:p>
      <w:pPr>
        <w:pStyle w:val="Subsection"/>
      </w:pPr>
      <w:r>
        <w:tab/>
        <w:t>(1)</w:t>
      </w:r>
      <w:r>
        <w:tab/>
        <w:t>Delete section 36(1) and insert:</w:t>
      </w:r>
    </w:p>
    <w:p>
      <w:pPr>
        <w:pStyle w:val="BlankOpen"/>
      </w:pPr>
    </w:p>
    <w:p>
      <w:pPr>
        <w:pStyle w:val="zSubsection"/>
      </w:pPr>
      <w:r>
        <w:tab/>
        <w:t>(1)</w:t>
      </w:r>
      <w:r>
        <w:tab/>
        <w:t>A registered person or a licensed corporation may apply to the Board in accordance with the regulations to renew their registration or licence until the next 30 June following the day on which it would cease to have effect, if not renewed, or until a later date that is prescribed by the regulations.</w:t>
      </w:r>
    </w:p>
    <w:p>
      <w:pPr>
        <w:pStyle w:val="BlankClose"/>
      </w:pPr>
    </w:p>
    <w:p>
      <w:pPr>
        <w:pStyle w:val="Subsection"/>
        <w:keepNext/>
      </w:pPr>
      <w:r>
        <w:lastRenderedPageBreak/>
        <w:tab/>
        <w:t>(2)</w:t>
      </w:r>
      <w:r>
        <w:tab/>
        <w:t>In section 36(2):</w:t>
      </w:r>
    </w:p>
    <w:p>
      <w:pPr>
        <w:pStyle w:val="Indenta"/>
        <w:keepNext/>
      </w:pPr>
      <w:r>
        <w:tab/>
        <w:t>(a)</w:t>
      </w:r>
      <w:r>
        <w:tab/>
        <w:t>delete “The registration of a person is to be renewed” and insert:</w:t>
      </w:r>
    </w:p>
    <w:p>
      <w:pPr>
        <w:pStyle w:val="BlankOpen"/>
      </w:pPr>
    </w:p>
    <w:p>
      <w:pPr>
        <w:pStyle w:val="Indenta"/>
        <w:keepNext/>
      </w:pPr>
      <w:r>
        <w:tab/>
      </w:r>
      <w:r>
        <w:tab/>
        <w:t xml:space="preserve">On an application for renewal of a person’s registration, the Board must renew the registration </w:t>
      </w:r>
    </w:p>
    <w:p>
      <w:pPr>
        <w:pStyle w:val="BlankClose"/>
      </w:pPr>
    </w:p>
    <w:p>
      <w:pPr>
        <w:pStyle w:val="Indenta"/>
        <w:keepNext/>
      </w:pPr>
      <w:r>
        <w:tab/>
        <w:t>(b)</w:t>
      </w:r>
      <w:r>
        <w:tab/>
        <w:t>delete paragraph (b) and insert:</w:t>
      </w:r>
    </w:p>
    <w:p>
      <w:pPr>
        <w:pStyle w:val="BlankOpen"/>
      </w:pPr>
    </w:p>
    <w:p>
      <w:pPr>
        <w:pStyle w:val="zIndenta"/>
        <w:keepNext/>
      </w:pPr>
      <w:r>
        <w:tab/>
        <w:t>(b)</w:t>
      </w:r>
      <w:r>
        <w:tab/>
        <w:t>the person pays, in accordance with the regulations —</w:t>
      </w:r>
    </w:p>
    <w:p>
      <w:pPr>
        <w:pStyle w:val="zIndenti"/>
      </w:pPr>
      <w:r>
        <w:tab/>
        <w:t>(i)</w:t>
      </w:r>
      <w:r>
        <w:tab/>
        <w:t>the renewal fee; and</w:t>
      </w:r>
    </w:p>
    <w:p>
      <w:pPr>
        <w:pStyle w:val="zIndenti"/>
      </w:pPr>
      <w:r>
        <w:tab/>
        <w:t>(ii)</w:t>
      </w:r>
      <w:r>
        <w:tab/>
        <w:t>if the regulations provide that an additional fee is payable — the additional fee.</w:t>
      </w:r>
    </w:p>
    <w:p>
      <w:pPr>
        <w:pStyle w:val="BlankClose"/>
      </w:pPr>
    </w:p>
    <w:p>
      <w:pPr>
        <w:pStyle w:val="Subsection"/>
      </w:pPr>
      <w:r>
        <w:tab/>
        <w:t>(3)</w:t>
      </w:r>
      <w:r>
        <w:tab/>
        <w:t>In section 36(3):</w:t>
      </w:r>
    </w:p>
    <w:p>
      <w:pPr>
        <w:pStyle w:val="Indenta"/>
      </w:pPr>
      <w:r>
        <w:tab/>
        <w:t>(a)</w:t>
      </w:r>
      <w:r>
        <w:tab/>
        <w:t>delete “The licence of a corporation is to be renewed” and insert:</w:t>
      </w:r>
    </w:p>
    <w:p>
      <w:pPr>
        <w:pStyle w:val="BlankOpen"/>
      </w:pPr>
    </w:p>
    <w:p>
      <w:pPr>
        <w:pStyle w:val="Indenta"/>
      </w:pPr>
      <w:r>
        <w:tab/>
      </w:r>
      <w:r>
        <w:tab/>
        <w:t xml:space="preserve">On an application for renewal of a corporation’s licence, the Board must renew the licence </w:t>
      </w:r>
    </w:p>
    <w:p>
      <w:pPr>
        <w:pStyle w:val="BlankClose"/>
      </w:pPr>
    </w:p>
    <w:p>
      <w:pPr>
        <w:pStyle w:val="Indenta"/>
      </w:pPr>
      <w:r>
        <w:tab/>
        <w:t>(b)</w:t>
      </w:r>
      <w:r>
        <w:tab/>
        <w:t>delete paragraph (c) and insert:</w:t>
      </w:r>
    </w:p>
    <w:p>
      <w:pPr>
        <w:pStyle w:val="BlankOpen"/>
      </w:pPr>
    </w:p>
    <w:p>
      <w:pPr>
        <w:pStyle w:val="zIndenta"/>
      </w:pPr>
      <w:r>
        <w:tab/>
        <w:t>(c)</w:t>
      </w:r>
      <w:r>
        <w:tab/>
        <w:t>the corporation pays, in accordance with the regulations —</w:t>
      </w:r>
    </w:p>
    <w:p>
      <w:pPr>
        <w:pStyle w:val="zIndenti"/>
      </w:pPr>
      <w:r>
        <w:tab/>
        <w:t>(i)</w:t>
      </w:r>
      <w:r>
        <w:tab/>
        <w:t>the renewal fee; and</w:t>
      </w:r>
    </w:p>
    <w:p>
      <w:pPr>
        <w:pStyle w:val="zIndenti"/>
      </w:pPr>
      <w:r>
        <w:tab/>
        <w:t>(ii)</w:t>
      </w:r>
      <w:r>
        <w:tab/>
        <w:t>if the regulations provide that an additional fee is payable — the additional fee.</w:t>
      </w:r>
    </w:p>
    <w:p>
      <w:pPr>
        <w:pStyle w:val="BlankClose"/>
      </w:pPr>
    </w:p>
    <w:p>
      <w:pPr>
        <w:pStyle w:val="Subsection"/>
        <w:keepNext/>
      </w:pPr>
      <w:r>
        <w:lastRenderedPageBreak/>
        <w:tab/>
        <w:t>(4)</w:t>
      </w:r>
      <w:r>
        <w:tab/>
        <w:t>In section 36(4) delete “The Board” and insert:</w:t>
      </w:r>
    </w:p>
    <w:p>
      <w:pPr>
        <w:pStyle w:val="BlankOpen"/>
      </w:pPr>
    </w:p>
    <w:p>
      <w:pPr>
        <w:pStyle w:val="Subsection"/>
      </w:pPr>
      <w:r>
        <w:tab/>
      </w:r>
      <w:r>
        <w:tab/>
        <w:t>In considering an application for renewal, the Board</w:t>
      </w:r>
    </w:p>
    <w:p>
      <w:pPr>
        <w:pStyle w:val="BlankClose"/>
      </w:pPr>
    </w:p>
    <w:p>
      <w:pPr>
        <w:pStyle w:val="Heading5"/>
      </w:pPr>
      <w:bookmarkStart w:id="26" w:name="_Toc200525804"/>
      <w:r>
        <w:rPr>
          <w:rStyle w:val="CharSectno"/>
        </w:rPr>
        <w:t>16</w:t>
      </w:r>
      <w:r>
        <w:t>.</w:t>
      </w:r>
      <w:r>
        <w:tab/>
        <w:t>Section 37 amended</w:t>
      </w:r>
      <w:bookmarkEnd w:id="26"/>
    </w:p>
    <w:p>
      <w:pPr>
        <w:pStyle w:val="Subsection"/>
        <w:keepNext/>
      </w:pPr>
      <w:r>
        <w:tab/>
        <w:t>(1)</w:t>
      </w:r>
      <w:r>
        <w:tab/>
        <w:t>In section 37(1):</w:t>
      </w:r>
    </w:p>
    <w:p>
      <w:pPr>
        <w:pStyle w:val="Indenta"/>
      </w:pPr>
      <w:r>
        <w:tab/>
        <w:t>(a)</w:t>
      </w:r>
      <w:r>
        <w:tab/>
        <w:t>delete the passage that begins with “A registered” and ends with “regulations — ” and insert:</w:t>
      </w:r>
    </w:p>
    <w:p>
      <w:pPr>
        <w:pStyle w:val="BlankOpen"/>
      </w:pPr>
    </w:p>
    <w:p>
      <w:pPr>
        <w:pStyle w:val="Indenta"/>
      </w:pPr>
      <w:r>
        <w:tab/>
      </w:r>
      <w:r>
        <w:tab/>
        <w:t xml:space="preserve">If a registered person or a licensed corporation does not make a renewal application and pay the applicable fee or fees on or before a day prescribed by the regulations — </w:t>
      </w:r>
    </w:p>
    <w:p>
      <w:pPr>
        <w:pStyle w:val="BlankClose"/>
      </w:pPr>
    </w:p>
    <w:p>
      <w:pPr>
        <w:pStyle w:val="Indenta"/>
      </w:pPr>
      <w:r>
        <w:tab/>
        <w:t>(b)</w:t>
      </w:r>
      <w:r>
        <w:tab/>
        <w:t>in paragraph (b) delete “may” and insert:</w:t>
      </w:r>
    </w:p>
    <w:p>
      <w:pPr>
        <w:pStyle w:val="BlankOpen"/>
      </w:pPr>
    </w:p>
    <w:p>
      <w:pPr>
        <w:pStyle w:val="Indenta"/>
      </w:pPr>
      <w:r>
        <w:tab/>
      </w:r>
      <w:r>
        <w:tab/>
        <w:t>must</w:t>
      </w:r>
    </w:p>
    <w:p>
      <w:pPr>
        <w:pStyle w:val="BlankClose"/>
      </w:pPr>
    </w:p>
    <w:p>
      <w:pPr>
        <w:pStyle w:val="Subsection"/>
      </w:pPr>
      <w:r>
        <w:tab/>
        <w:t>(2)</w:t>
      </w:r>
      <w:r>
        <w:tab/>
        <w:t>Delete section 37(2) and insert:</w:t>
      </w:r>
    </w:p>
    <w:p>
      <w:pPr>
        <w:pStyle w:val="BlankOpen"/>
      </w:pPr>
    </w:p>
    <w:p>
      <w:pPr>
        <w:pStyle w:val="zSubsection"/>
      </w:pPr>
      <w:r>
        <w:tab/>
        <w:t>(2)</w:t>
      </w:r>
      <w:r>
        <w:tab/>
        <w:t>A person or corporation whose name is removed from the register under subsection (1) may apply to the Board in accordance with the regulations to have the name of the person or corporation restored to the register.</w:t>
      </w:r>
    </w:p>
    <w:p>
      <w:pPr>
        <w:pStyle w:val="zSubsection"/>
        <w:keepNext/>
      </w:pPr>
      <w:r>
        <w:tab/>
        <w:t>(2A)</w:t>
      </w:r>
      <w:r>
        <w:tab/>
        <w:t xml:space="preserve">On an application under subsection (2), the Board may direct the registrar to restore the name of the person or corporation to the register if — </w:t>
      </w:r>
    </w:p>
    <w:p>
      <w:pPr>
        <w:pStyle w:val="zIndenta"/>
      </w:pPr>
      <w:r>
        <w:tab/>
        <w:t>(a)</w:t>
      </w:r>
      <w:r>
        <w:tab/>
        <w:t>the Board is satisfied as to the matters set out in section 36(2)(a) or (3)(a) and (b) (as is relevant); and</w:t>
      </w:r>
    </w:p>
    <w:p>
      <w:pPr>
        <w:pStyle w:val="zIndenta"/>
        <w:keepNext/>
      </w:pPr>
      <w:r>
        <w:lastRenderedPageBreak/>
        <w:tab/>
        <w:t>(b)</w:t>
      </w:r>
      <w:r>
        <w:tab/>
        <w:t xml:space="preserve">the person or corporation pays — </w:t>
      </w:r>
    </w:p>
    <w:p>
      <w:pPr>
        <w:pStyle w:val="zIndenti"/>
      </w:pPr>
      <w:r>
        <w:tab/>
        <w:t>(i)</w:t>
      </w:r>
      <w:r>
        <w:tab/>
        <w:t>all fees that are in arrears; and</w:t>
      </w:r>
    </w:p>
    <w:p>
      <w:pPr>
        <w:pStyle w:val="zIndenti"/>
      </w:pPr>
      <w:r>
        <w:tab/>
        <w:t>(ii)</w:t>
      </w:r>
      <w:r>
        <w:tab/>
        <w:t>all fees that would be in arrears if the person had continued to be registered or the corporation had continued to be licensed; and</w:t>
      </w:r>
    </w:p>
    <w:p>
      <w:pPr>
        <w:pStyle w:val="zIndenti"/>
      </w:pPr>
      <w:r>
        <w:tab/>
        <w:t>(iii)</w:t>
      </w:r>
      <w:r>
        <w:tab/>
        <w:t>if the regulations provide that an additional fee is payable — the additional fee.</w:t>
      </w:r>
    </w:p>
    <w:p>
      <w:pPr>
        <w:pStyle w:val="BlankClose"/>
      </w:pPr>
    </w:p>
    <w:p>
      <w:pPr>
        <w:pStyle w:val="Subsection"/>
      </w:pPr>
      <w:r>
        <w:tab/>
        <w:t>(3)</w:t>
      </w:r>
      <w:r>
        <w:tab/>
        <w:t>In section 37(3) delete “(2)” and insert:</w:t>
      </w:r>
    </w:p>
    <w:p>
      <w:pPr>
        <w:pStyle w:val="BlankOpen"/>
      </w:pPr>
    </w:p>
    <w:p>
      <w:pPr>
        <w:pStyle w:val="Subsection"/>
      </w:pPr>
      <w:r>
        <w:tab/>
      </w:r>
      <w:r>
        <w:tab/>
        <w:t>(2A)</w:t>
      </w:r>
    </w:p>
    <w:p>
      <w:pPr>
        <w:pStyle w:val="BlankClose"/>
      </w:pPr>
    </w:p>
    <w:p>
      <w:pPr>
        <w:pStyle w:val="Subsection"/>
      </w:pPr>
      <w:r>
        <w:tab/>
        <w:t>(4)</w:t>
      </w:r>
      <w:r>
        <w:tab/>
        <w:t>In section 37(4) delete “is to send to the address of a registered person or licenced corporation recorded in the register,” and insert:</w:t>
      </w:r>
    </w:p>
    <w:p>
      <w:pPr>
        <w:pStyle w:val="BlankOpen"/>
      </w:pPr>
    </w:p>
    <w:p>
      <w:pPr>
        <w:pStyle w:val="Subsection"/>
      </w:pPr>
      <w:r>
        <w:tab/>
      </w:r>
      <w:r>
        <w:tab/>
        <w:t>must give a registered person or licensed corporation,</w:t>
      </w:r>
    </w:p>
    <w:p>
      <w:pPr>
        <w:pStyle w:val="BlankClose"/>
      </w:pPr>
    </w:p>
    <w:p>
      <w:pPr>
        <w:pStyle w:val="Subsection"/>
      </w:pPr>
      <w:r>
        <w:tab/>
        <w:t>(5)</w:t>
      </w:r>
      <w:r>
        <w:tab/>
        <w:t>In section 37(5) delete “in arrear,” and insert:</w:t>
      </w:r>
    </w:p>
    <w:p>
      <w:pPr>
        <w:pStyle w:val="BlankOpen"/>
      </w:pPr>
    </w:p>
    <w:p>
      <w:pPr>
        <w:pStyle w:val="Subsection"/>
      </w:pPr>
      <w:r>
        <w:tab/>
      </w:r>
      <w:r>
        <w:tab/>
        <w:t>in arrears,</w:t>
      </w:r>
    </w:p>
    <w:p>
      <w:pPr>
        <w:pStyle w:val="BlankClose"/>
      </w:pPr>
    </w:p>
    <w:p>
      <w:pPr>
        <w:pStyle w:val="SectAltNote"/>
      </w:pPr>
      <w:r>
        <w:tab/>
        <w:t>Note: The heading to amended section 37 is to read:</w:t>
      </w:r>
    </w:p>
    <w:p>
      <w:pPr>
        <w:pStyle w:val="SectAltHeading"/>
      </w:pPr>
      <w:r>
        <w:tab/>
      </w:r>
      <w:r>
        <w:tab/>
        <w:t>Non</w:t>
      </w:r>
      <w:r>
        <w:noBreakHyphen/>
        <w:t>renewal of registrations and licences</w:t>
      </w:r>
    </w:p>
    <w:p>
      <w:pPr>
        <w:pStyle w:val="Heading5"/>
      </w:pPr>
      <w:bookmarkStart w:id="27" w:name="_Toc200525805"/>
      <w:r>
        <w:rPr>
          <w:rStyle w:val="CharSectno"/>
        </w:rPr>
        <w:lastRenderedPageBreak/>
        <w:t>17</w:t>
      </w:r>
      <w:r>
        <w:t>.</w:t>
      </w:r>
      <w:r>
        <w:tab/>
        <w:t>Section 41 amended</w:t>
      </w:r>
      <w:bookmarkEnd w:id="27"/>
    </w:p>
    <w:p>
      <w:pPr>
        <w:pStyle w:val="Subsection"/>
        <w:keepNext/>
      </w:pPr>
      <w:r>
        <w:tab/>
      </w:r>
      <w:r>
        <w:tab/>
        <w:t>In section 41(1) after “registered” insert:</w:t>
      </w:r>
    </w:p>
    <w:p>
      <w:pPr>
        <w:pStyle w:val="BlankOpen"/>
      </w:pPr>
    </w:p>
    <w:p>
      <w:pPr>
        <w:pStyle w:val="Subsection"/>
        <w:keepNext/>
      </w:pPr>
      <w:r>
        <w:tab/>
      </w:r>
      <w:r>
        <w:tab/>
        <w:t>or licensed</w:t>
      </w:r>
    </w:p>
    <w:p>
      <w:pPr>
        <w:pStyle w:val="BlankClose"/>
      </w:pPr>
    </w:p>
    <w:p>
      <w:pPr>
        <w:pStyle w:val="Heading5"/>
      </w:pPr>
      <w:bookmarkStart w:id="28" w:name="_Toc200525806"/>
      <w:r>
        <w:rPr>
          <w:rStyle w:val="CharSectno"/>
        </w:rPr>
        <w:t>18</w:t>
      </w:r>
      <w:r>
        <w:t>.</w:t>
      </w:r>
      <w:r>
        <w:tab/>
        <w:t>Section 44 amended</w:t>
      </w:r>
      <w:bookmarkEnd w:id="28"/>
    </w:p>
    <w:p>
      <w:pPr>
        <w:pStyle w:val="Subsection"/>
        <w:keepNext/>
      </w:pPr>
      <w:r>
        <w:tab/>
        <w:t>(1)</w:t>
      </w:r>
      <w:r>
        <w:tab/>
        <w:t>In section 44(2) delete “the fee prescribed by the regulations,” and insert:</w:t>
      </w:r>
    </w:p>
    <w:p>
      <w:pPr>
        <w:pStyle w:val="BlankOpen"/>
      </w:pPr>
    </w:p>
    <w:p>
      <w:pPr>
        <w:pStyle w:val="Subsection"/>
      </w:pPr>
      <w:r>
        <w:tab/>
      </w:r>
      <w:r>
        <w:tab/>
        <w:t>the applicable fee,</w:t>
      </w:r>
    </w:p>
    <w:p>
      <w:pPr>
        <w:pStyle w:val="BlankClose"/>
      </w:pPr>
    </w:p>
    <w:p>
      <w:pPr>
        <w:pStyle w:val="Subsection"/>
      </w:pPr>
      <w:r>
        <w:tab/>
        <w:t>(2)</w:t>
      </w:r>
      <w:r>
        <w:tab/>
        <w:t>In section 44(3)(b) delete “for the” (1</w:t>
      </w:r>
      <w:r>
        <w:rPr>
          <w:vertAlign w:val="superscript"/>
        </w:rPr>
        <w:t>st</w:t>
      </w:r>
      <w:r>
        <w:t xml:space="preserve"> occurrence).</w:t>
      </w:r>
    </w:p>
    <w:p>
      <w:pPr>
        <w:pStyle w:val="Heading5"/>
      </w:pPr>
      <w:bookmarkStart w:id="29" w:name="_Toc200525807"/>
      <w:r>
        <w:rPr>
          <w:rStyle w:val="CharSectno"/>
        </w:rPr>
        <w:t>19</w:t>
      </w:r>
      <w:r>
        <w:t>.</w:t>
      </w:r>
      <w:r>
        <w:tab/>
        <w:t>Section 45 amended</w:t>
      </w:r>
      <w:bookmarkEnd w:id="29"/>
    </w:p>
    <w:p>
      <w:pPr>
        <w:pStyle w:val="Subsection"/>
      </w:pPr>
      <w:r>
        <w:tab/>
      </w:r>
      <w:r>
        <w:tab/>
        <w:t>In section 45 delete “the fee prescribed by the regulations, is to” and insert:</w:t>
      </w:r>
    </w:p>
    <w:p>
      <w:pPr>
        <w:pStyle w:val="BlankOpen"/>
      </w:pPr>
    </w:p>
    <w:p>
      <w:pPr>
        <w:pStyle w:val="Subsection"/>
      </w:pPr>
      <w:r>
        <w:tab/>
      </w:r>
      <w:r>
        <w:tab/>
        <w:t>the applicable fee, must</w:t>
      </w:r>
    </w:p>
    <w:p>
      <w:pPr>
        <w:pStyle w:val="BlankClose"/>
      </w:pPr>
    </w:p>
    <w:p>
      <w:pPr>
        <w:pStyle w:val="Heading5"/>
      </w:pPr>
      <w:bookmarkStart w:id="30" w:name="_Toc200525808"/>
      <w:r>
        <w:rPr>
          <w:rStyle w:val="CharSectno"/>
        </w:rPr>
        <w:t>20</w:t>
      </w:r>
      <w:r>
        <w:t>.</w:t>
      </w:r>
      <w:r>
        <w:tab/>
        <w:t>Section 51 amended</w:t>
      </w:r>
      <w:bookmarkEnd w:id="30"/>
    </w:p>
    <w:p>
      <w:pPr>
        <w:pStyle w:val="Subsection"/>
        <w:keepNext/>
      </w:pPr>
      <w:r>
        <w:tab/>
        <w:t>(1)</w:t>
      </w:r>
      <w:r>
        <w:tab/>
        <w:t>In section 51(2) delete “the fee prescribed by the regulations” and insert:</w:t>
      </w:r>
    </w:p>
    <w:p>
      <w:pPr>
        <w:pStyle w:val="BlankOpen"/>
      </w:pPr>
    </w:p>
    <w:p>
      <w:pPr>
        <w:pStyle w:val="Subsection"/>
      </w:pPr>
      <w:r>
        <w:tab/>
      </w:r>
      <w:r>
        <w:tab/>
        <w:t>the applicable fee</w:t>
      </w:r>
    </w:p>
    <w:p>
      <w:pPr>
        <w:pStyle w:val="BlankClose"/>
      </w:pPr>
    </w:p>
    <w:p>
      <w:pPr>
        <w:pStyle w:val="Subsection"/>
        <w:keepNext/>
      </w:pPr>
      <w:r>
        <w:lastRenderedPageBreak/>
        <w:tab/>
        <w:t>(2)</w:t>
      </w:r>
      <w:r>
        <w:tab/>
        <w:t>In section 51(5) delete “the fee prescribed by the regulations for the purposes of this subsection.” and insert:</w:t>
      </w:r>
    </w:p>
    <w:p>
      <w:pPr>
        <w:pStyle w:val="BlankOpen"/>
      </w:pPr>
    </w:p>
    <w:p>
      <w:pPr>
        <w:pStyle w:val="Subsection"/>
        <w:keepNext/>
      </w:pPr>
      <w:r>
        <w:tab/>
      </w:r>
      <w:r>
        <w:tab/>
        <w:t>the applicable fee.</w:t>
      </w:r>
    </w:p>
    <w:p>
      <w:pPr>
        <w:pStyle w:val="BlankClose"/>
      </w:pPr>
    </w:p>
    <w:p>
      <w:pPr>
        <w:pStyle w:val="Heading5"/>
      </w:pPr>
      <w:bookmarkStart w:id="31" w:name="_Toc200525809"/>
      <w:r>
        <w:rPr>
          <w:rStyle w:val="CharSectno"/>
        </w:rPr>
        <w:t>21</w:t>
      </w:r>
      <w:r>
        <w:t>.</w:t>
      </w:r>
      <w:r>
        <w:tab/>
        <w:t>Part 8 heading replaced</w:t>
      </w:r>
      <w:bookmarkEnd w:id="31"/>
    </w:p>
    <w:p>
      <w:pPr>
        <w:pStyle w:val="Subsection"/>
        <w:keepNext/>
      </w:pPr>
      <w:r>
        <w:tab/>
      </w:r>
      <w:r>
        <w:tab/>
        <w:t>Delete the heading to Part 8 and insert:</w:t>
      </w:r>
    </w:p>
    <w:p>
      <w:pPr>
        <w:pStyle w:val="BlankOpen"/>
        <w:rPr>
          <w:sz w:val="20"/>
          <w:szCs w:val="20"/>
        </w:rPr>
      </w:pPr>
    </w:p>
    <w:p>
      <w:pPr>
        <w:pStyle w:val="zHeading2"/>
      </w:pPr>
      <w:bookmarkStart w:id="32" w:name="_Toc200525331"/>
      <w:bookmarkStart w:id="33" w:name="_Toc200525385"/>
      <w:bookmarkStart w:id="34" w:name="_Toc200525493"/>
      <w:bookmarkStart w:id="35" w:name="_Toc200525810"/>
      <w:r>
        <w:t>Part 8 — Regulations, rules and fee notices</w:t>
      </w:r>
      <w:bookmarkEnd w:id="32"/>
      <w:bookmarkEnd w:id="33"/>
      <w:bookmarkEnd w:id="34"/>
      <w:bookmarkEnd w:id="35"/>
    </w:p>
    <w:p>
      <w:pPr>
        <w:pStyle w:val="BlankClose"/>
      </w:pPr>
    </w:p>
    <w:p>
      <w:pPr>
        <w:pStyle w:val="Heading5"/>
      </w:pPr>
      <w:bookmarkStart w:id="36" w:name="_Toc200525811"/>
      <w:r>
        <w:rPr>
          <w:rStyle w:val="CharSectno"/>
        </w:rPr>
        <w:t>22</w:t>
      </w:r>
      <w:r>
        <w:t>.</w:t>
      </w:r>
      <w:r>
        <w:tab/>
        <w:t>Section 71 amended</w:t>
      </w:r>
      <w:bookmarkEnd w:id="36"/>
    </w:p>
    <w:p>
      <w:pPr>
        <w:pStyle w:val="Subsection"/>
        <w:keepNext/>
      </w:pPr>
      <w:r>
        <w:tab/>
        <w:t>(1)</w:t>
      </w:r>
      <w:r>
        <w:tab/>
        <w:t>In section 71(2):</w:t>
      </w:r>
    </w:p>
    <w:p>
      <w:pPr>
        <w:pStyle w:val="Indenta"/>
      </w:pPr>
      <w:r>
        <w:tab/>
        <w:t>(a)</w:t>
      </w:r>
      <w:r>
        <w:tab/>
        <w:t>delete paragraph (c) and insert:</w:t>
      </w:r>
    </w:p>
    <w:p>
      <w:pPr>
        <w:pStyle w:val="BlankOpen"/>
      </w:pPr>
    </w:p>
    <w:p>
      <w:pPr>
        <w:pStyle w:val="zIndenta"/>
      </w:pPr>
      <w:r>
        <w:tab/>
        <w:t>(c)</w:t>
      </w:r>
      <w:r>
        <w:tab/>
        <w:t xml:space="preserve">making provision relating to registration, licences and renewals, including the following — </w:t>
      </w:r>
    </w:p>
    <w:p>
      <w:pPr>
        <w:pStyle w:val="zIndenti"/>
      </w:pPr>
      <w:r>
        <w:tab/>
        <w:t>(i)</w:t>
      </w:r>
      <w:r>
        <w:tab/>
        <w:t>the obtaining of the Board’s preliminary advice or direction in relation to a proposed application and for the recovery of the Board’s costs in relation to giving the advice or direction;</w:t>
      </w:r>
    </w:p>
    <w:p>
      <w:pPr>
        <w:pStyle w:val="zIndenti"/>
      </w:pPr>
      <w:r>
        <w:tab/>
        <w:t>(ii)</w:t>
      </w:r>
      <w:r>
        <w:tab/>
        <w:t>the date in each year by which a renewal application may be made;</w:t>
      </w:r>
    </w:p>
    <w:p>
      <w:pPr>
        <w:pStyle w:val="zIndenti"/>
      </w:pPr>
      <w:r>
        <w:tab/>
        <w:t>(iii)</w:t>
      </w:r>
      <w:r>
        <w:tab/>
        <w:t>the date in each year by which the renewal fee must be paid;</w:t>
      </w:r>
    </w:p>
    <w:p>
      <w:pPr>
        <w:pStyle w:val="zIndenti"/>
      </w:pPr>
      <w:r>
        <w:tab/>
        <w:t>(iv)</w:t>
      </w:r>
      <w:r>
        <w:tab/>
        <w:t xml:space="preserve">the circumstances in which, and conditions on which, a renewal application may be made, or the renewal fee may be paid, after the due date, </w:t>
      </w:r>
      <w:r>
        <w:lastRenderedPageBreak/>
        <w:t>including a condition requiring the payment of an additional renewal fee;</w:t>
      </w:r>
    </w:p>
    <w:p>
      <w:pPr>
        <w:pStyle w:val="BlankClose"/>
      </w:pPr>
    </w:p>
    <w:p>
      <w:pPr>
        <w:pStyle w:val="Indenta"/>
      </w:pPr>
      <w:r>
        <w:tab/>
        <w:t>(b)</w:t>
      </w:r>
      <w:r>
        <w:tab/>
        <w:t>in paragraph (f) delete “provisions” and insert:</w:t>
      </w:r>
    </w:p>
    <w:p>
      <w:pPr>
        <w:pStyle w:val="BlankOpen"/>
        <w:rPr>
          <w:sz w:val="20"/>
          <w:szCs w:val="20"/>
        </w:rPr>
      </w:pPr>
    </w:p>
    <w:p>
      <w:pPr>
        <w:pStyle w:val="Indenta"/>
      </w:pPr>
      <w:r>
        <w:tab/>
      </w:r>
      <w:r>
        <w:tab/>
        <w:t>provision</w:t>
      </w:r>
    </w:p>
    <w:p>
      <w:pPr>
        <w:pStyle w:val="BlankClose"/>
      </w:pPr>
    </w:p>
    <w:p>
      <w:pPr>
        <w:pStyle w:val="Indenta"/>
      </w:pPr>
      <w:r>
        <w:tab/>
        <w:t>(c)</w:t>
      </w:r>
      <w:r>
        <w:tab/>
        <w:t>in paragraph (j) delete “prescribing the fees to be paid for the purposes of this Act” and insert:</w:t>
      </w:r>
    </w:p>
    <w:p>
      <w:pPr>
        <w:pStyle w:val="BlankOpen"/>
      </w:pPr>
    </w:p>
    <w:p>
      <w:pPr>
        <w:pStyle w:val="Indenta"/>
      </w:pPr>
      <w:r>
        <w:tab/>
      </w:r>
      <w:r>
        <w:tab/>
        <w:t xml:space="preserve">providing for fees to be paid for the purposes of this Act and prescribing the circumstances in which they are payable </w:t>
      </w:r>
    </w:p>
    <w:p>
      <w:pPr>
        <w:pStyle w:val="BlankClose"/>
      </w:pPr>
    </w:p>
    <w:p>
      <w:pPr>
        <w:pStyle w:val="Subsection"/>
      </w:pPr>
      <w:r>
        <w:tab/>
        <w:t>(2)</w:t>
      </w:r>
      <w:r>
        <w:tab/>
        <w:t>After section 71(2) insert:</w:t>
      </w:r>
    </w:p>
    <w:p>
      <w:pPr>
        <w:pStyle w:val="BlankOpen"/>
      </w:pPr>
    </w:p>
    <w:p>
      <w:pPr>
        <w:pStyle w:val="zSubsection"/>
      </w:pPr>
      <w:r>
        <w:tab/>
        <w:t>(2A)</w:t>
      </w:r>
      <w:r>
        <w:tab/>
        <w:t>Regulations cannot prescribe the amounts of the fees for which this Act or the regulations provide.</w:t>
      </w:r>
    </w:p>
    <w:p>
      <w:pPr>
        <w:pStyle w:val="BlankClose"/>
      </w:pPr>
    </w:p>
    <w:p>
      <w:pPr>
        <w:pStyle w:val="Heading5"/>
      </w:pPr>
      <w:bookmarkStart w:id="37" w:name="_Toc200525812"/>
      <w:r>
        <w:rPr>
          <w:rStyle w:val="CharSectno"/>
        </w:rPr>
        <w:t>23</w:t>
      </w:r>
      <w:r>
        <w:t>.</w:t>
      </w:r>
      <w:r>
        <w:tab/>
        <w:t>Section 72A inserted</w:t>
      </w:r>
      <w:bookmarkEnd w:id="37"/>
    </w:p>
    <w:p>
      <w:pPr>
        <w:pStyle w:val="Subsection"/>
      </w:pPr>
      <w:r>
        <w:tab/>
      </w:r>
      <w:r>
        <w:tab/>
        <w:t>At the end of Part 8 insert:</w:t>
      </w:r>
    </w:p>
    <w:p>
      <w:pPr>
        <w:pStyle w:val="BlankOpen"/>
      </w:pPr>
    </w:p>
    <w:p>
      <w:pPr>
        <w:pStyle w:val="zHeading5"/>
      </w:pPr>
      <w:bookmarkStart w:id="38" w:name="_Toc200525813"/>
      <w:r>
        <w:t>72A.</w:t>
      </w:r>
      <w:r>
        <w:tab/>
        <w:t>Fee notices</w:t>
      </w:r>
      <w:bookmarkEnd w:id="38"/>
    </w:p>
    <w:p>
      <w:pPr>
        <w:pStyle w:val="zSubsection"/>
      </w:pPr>
      <w:r>
        <w:tab/>
        <w:t>(1)</w:t>
      </w:r>
      <w:r>
        <w:tab/>
        <w:t>The Board must, by written notice published on a website maintained by or on behalf of the Board, determine the amounts of the fees for which this Act or the regulations provide.</w:t>
      </w:r>
    </w:p>
    <w:p>
      <w:pPr>
        <w:pStyle w:val="zSubsection"/>
      </w:pPr>
      <w:r>
        <w:tab/>
        <w:t>(2)</w:t>
      </w:r>
      <w:r>
        <w:tab/>
        <w:t xml:space="preserve">In determining the amounts of fees under subsection (1), the Board must ensure that the fees expected to be received by the Board do not exceed the </w:t>
      </w:r>
      <w:r>
        <w:lastRenderedPageBreak/>
        <w:t>costs and expenses expected to be incurred by the Board in performing its functions.</w:t>
      </w:r>
    </w:p>
    <w:p>
      <w:pPr>
        <w:pStyle w:val="zSubsection"/>
      </w:pPr>
      <w:r>
        <w:tab/>
        <w:t>(3)</w:t>
      </w:r>
      <w:r>
        <w:tab/>
        <w:t xml:space="preserve">A notice under this section is not subsidiary legislation for the purposes of the </w:t>
      </w:r>
      <w:r>
        <w:rPr>
          <w:i/>
        </w:rPr>
        <w:t>Interpretation Act 1984</w:t>
      </w:r>
      <w:r>
        <w:t>.</w:t>
      </w:r>
    </w:p>
    <w:p>
      <w:pPr>
        <w:pStyle w:val="zSubsection"/>
      </w:pPr>
      <w:r>
        <w:tab/>
        <w:t>(4)</w:t>
      </w:r>
      <w:r>
        <w:tab/>
        <w:t xml:space="preserve">The </w:t>
      </w:r>
      <w:r>
        <w:rPr>
          <w:i/>
        </w:rPr>
        <w:t>Interpretation Act 1984</w:t>
      </w:r>
      <w:r>
        <w:t xml:space="preserve"> section 43 (other than subsection (6)) applies to a notice under this section as if it were subsidiary legislation.</w:t>
      </w:r>
    </w:p>
    <w:p>
      <w:pPr>
        <w:pStyle w:val="zSubsection"/>
      </w:pPr>
      <w:r>
        <w:tab/>
        <w:t>(5)</w:t>
      </w:r>
      <w:r>
        <w:tab/>
        <w:t>This section does not permit the Board to require the payment of a fee not provided for in this Act or the regulations.</w:t>
      </w:r>
    </w:p>
    <w:p>
      <w:pPr>
        <w:pStyle w:val="BlankClose"/>
      </w:pPr>
    </w:p>
    <w:p>
      <w:pPr>
        <w:pStyle w:val="Heading5"/>
      </w:pPr>
      <w:bookmarkStart w:id="39" w:name="_Toc200525814"/>
      <w:r>
        <w:rPr>
          <w:rStyle w:val="CharSectno"/>
        </w:rPr>
        <w:t>24</w:t>
      </w:r>
      <w:r>
        <w:t>.</w:t>
      </w:r>
      <w:r>
        <w:tab/>
        <w:t>Section 73A inserted</w:t>
      </w:r>
      <w:bookmarkEnd w:id="39"/>
    </w:p>
    <w:p>
      <w:pPr>
        <w:pStyle w:val="Subsection"/>
      </w:pPr>
      <w:r>
        <w:tab/>
      </w:r>
      <w:r>
        <w:tab/>
        <w:t>After section 73 insert:</w:t>
      </w:r>
    </w:p>
    <w:p>
      <w:pPr>
        <w:pStyle w:val="BlankOpen"/>
      </w:pPr>
    </w:p>
    <w:p>
      <w:pPr>
        <w:pStyle w:val="zHeading5"/>
      </w:pPr>
      <w:bookmarkStart w:id="40" w:name="_Toc200525815"/>
      <w:r>
        <w:t>73A.</w:t>
      </w:r>
      <w:r>
        <w:tab/>
        <w:t>Giving notices electronically</w:t>
      </w:r>
      <w:bookmarkEnd w:id="40"/>
    </w:p>
    <w:p>
      <w:pPr>
        <w:pStyle w:val="zSubsection"/>
      </w:pPr>
      <w:r>
        <w:tab/>
      </w:r>
      <w:r>
        <w:tab/>
        <w:t xml:space="preserve">Without limiting the </w:t>
      </w:r>
      <w:r>
        <w:rPr>
          <w:i/>
        </w:rPr>
        <w:t>Interpretation Act 1984</w:t>
      </w:r>
      <w:r>
        <w:t xml:space="preserve"> sections 75 and 76, a notice required or permitted under this Act to be given by the Board to a person may be given by emailing it to an email address provided by the person.</w:t>
      </w:r>
    </w:p>
    <w:p>
      <w:pPr>
        <w:pStyle w:val="BlankClose"/>
      </w:pPr>
    </w:p>
    <w:p>
      <w:pPr>
        <w:pStyle w:val="Heading5"/>
      </w:pPr>
      <w:bookmarkStart w:id="41" w:name="_Toc200525816"/>
      <w:r>
        <w:rPr>
          <w:rStyle w:val="CharSectno"/>
        </w:rPr>
        <w:t>25</w:t>
      </w:r>
      <w:r>
        <w:t>.</w:t>
      </w:r>
      <w:r>
        <w:tab/>
        <w:t>Section 78 amended</w:t>
      </w:r>
      <w:bookmarkEnd w:id="41"/>
    </w:p>
    <w:p>
      <w:pPr>
        <w:pStyle w:val="Subsection"/>
      </w:pPr>
      <w:r>
        <w:tab/>
      </w:r>
      <w:r>
        <w:tab/>
        <w:t>Delete section 78(3).</w:t>
      </w:r>
    </w:p>
    <w:p>
      <w:pPr>
        <w:pStyle w:val="SectAltNote"/>
      </w:pPr>
      <w:r>
        <w:tab/>
        <w:t>Note: The heading to amended section 78 is to read:</w:t>
      </w:r>
    </w:p>
    <w:p>
      <w:pPr>
        <w:pStyle w:val="SectAltHeading"/>
      </w:pPr>
      <w:r>
        <w:tab/>
      </w:r>
      <w:r>
        <w:tab/>
        <w:t xml:space="preserve">Repeal of </w:t>
      </w:r>
      <w:r>
        <w:rPr>
          <w:i/>
          <w:iCs/>
        </w:rPr>
        <w:t>Architects Act 1921</w:t>
      </w:r>
    </w:p>
    <w:p>
      <w:pPr>
        <w:pStyle w:val="Heading5"/>
      </w:pPr>
      <w:bookmarkStart w:id="42" w:name="_Toc200525817"/>
      <w:r>
        <w:rPr>
          <w:rStyle w:val="CharSectno"/>
        </w:rPr>
        <w:lastRenderedPageBreak/>
        <w:t>26</w:t>
      </w:r>
      <w:r>
        <w:t>.</w:t>
      </w:r>
      <w:r>
        <w:tab/>
        <w:t>Section 79 inserted</w:t>
      </w:r>
      <w:bookmarkEnd w:id="42"/>
    </w:p>
    <w:p>
      <w:pPr>
        <w:pStyle w:val="Subsection"/>
        <w:keepNext/>
      </w:pPr>
      <w:r>
        <w:tab/>
      </w:r>
      <w:r>
        <w:tab/>
        <w:t>After section 78 insert:</w:t>
      </w:r>
    </w:p>
    <w:p>
      <w:pPr>
        <w:pStyle w:val="BlankOpen"/>
      </w:pPr>
    </w:p>
    <w:p>
      <w:pPr>
        <w:pStyle w:val="zHeading5"/>
      </w:pPr>
      <w:bookmarkStart w:id="43" w:name="_Toc200525818"/>
      <w:r>
        <w:t>79.</w:t>
      </w:r>
      <w:r>
        <w:tab/>
        <w:t>Savings and transitional provisions</w:t>
      </w:r>
      <w:bookmarkEnd w:id="43"/>
    </w:p>
    <w:p>
      <w:pPr>
        <w:pStyle w:val="zSubsection"/>
      </w:pPr>
      <w:r>
        <w:tab/>
        <w:t>(1)</w:t>
      </w:r>
      <w:r>
        <w:tab/>
        <w:t>Schedule 2 Division 1 has effect in relation to the repeal effected by section 78(1).</w:t>
      </w:r>
    </w:p>
    <w:p>
      <w:pPr>
        <w:pStyle w:val="zSubsection"/>
      </w:pPr>
      <w:r>
        <w:tab/>
        <w:t>(2)</w:t>
      </w:r>
      <w:r>
        <w:tab/>
        <w:t xml:space="preserve">Schedule 2 Division 2 has effect in relation to the amendments made by the </w:t>
      </w:r>
      <w:r>
        <w:rPr>
          <w:i/>
        </w:rPr>
        <w:t>Architects Amendment Act 2025</w:t>
      </w:r>
      <w:r>
        <w:t>.</w:t>
      </w:r>
    </w:p>
    <w:p>
      <w:pPr>
        <w:pStyle w:val="BlankClose"/>
      </w:pPr>
    </w:p>
    <w:p>
      <w:pPr>
        <w:pStyle w:val="Heading5"/>
      </w:pPr>
      <w:bookmarkStart w:id="44" w:name="_Toc200525819"/>
      <w:r>
        <w:rPr>
          <w:rStyle w:val="CharSectno"/>
        </w:rPr>
        <w:t>27</w:t>
      </w:r>
      <w:r>
        <w:t>.</w:t>
      </w:r>
      <w:r>
        <w:tab/>
        <w:t>Schedule 1 amended</w:t>
      </w:r>
      <w:bookmarkEnd w:id="44"/>
    </w:p>
    <w:p>
      <w:pPr>
        <w:pStyle w:val="Subsection"/>
      </w:pPr>
      <w:r>
        <w:tab/>
        <w:t>(1)</w:t>
      </w:r>
      <w:r>
        <w:tab/>
        <w:t>In Schedule 1 clause 4(4) delete “</w:t>
      </w:r>
      <w:r>
        <w:rPr>
          <w:sz w:val="22"/>
          <w:szCs w:val="22"/>
        </w:rPr>
        <w:t>is to perform</w:t>
      </w:r>
      <w:r>
        <w:t>” and insert:</w:t>
      </w:r>
    </w:p>
    <w:p>
      <w:pPr>
        <w:pStyle w:val="BlankOpen"/>
      </w:pPr>
    </w:p>
    <w:p>
      <w:pPr>
        <w:pStyle w:val="Subsection"/>
        <w:rPr>
          <w:sz w:val="22"/>
          <w:szCs w:val="22"/>
        </w:rPr>
      </w:pPr>
      <w:r>
        <w:tab/>
      </w:r>
      <w:r>
        <w:tab/>
      </w:r>
      <w:r>
        <w:rPr>
          <w:sz w:val="22"/>
          <w:szCs w:val="22"/>
        </w:rPr>
        <w:t>performs</w:t>
      </w:r>
    </w:p>
    <w:p>
      <w:pPr>
        <w:pStyle w:val="BlankClose"/>
      </w:pPr>
    </w:p>
    <w:p>
      <w:pPr>
        <w:pStyle w:val="Subsection"/>
      </w:pPr>
      <w:r>
        <w:tab/>
        <w:t>(2)</w:t>
      </w:r>
      <w:r>
        <w:tab/>
        <w:t>In Schedule 1 clause 6(2) and (3) delete “</w:t>
      </w:r>
      <w:r>
        <w:rPr>
          <w:sz w:val="22"/>
          <w:szCs w:val="22"/>
        </w:rPr>
        <w:t>is to act</w:t>
      </w:r>
      <w:r>
        <w:t>” and insert:</w:t>
      </w:r>
    </w:p>
    <w:p>
      <w:pPr>
        <w:pStyle w:val="BlankOpen"/>
      </w:pPr>
    </w:p>
    <w:p>
      <w:pPr>
        <w:pStyle w:val="Subsection"/>
        <w:rPr>
          <w:sz w:val="22"/>
          <w:szCs w:val="22"/>
        </w:rPr>
      </w:pPr>
      <w:r>
        <w:tab/>
      </w:r>
      <w:r>
        <w:tab/>
      </w:r>
      <w:r>
        <w:rPr>
          <w:sz w:val="22"/>
          <w:szCs w:val="22"/>
        </w:rPr>
        <w:t>acts</w:t>
      </w:r>
    </w:p>
    <w:p>
      <w:pPr>
        <w:pStyle w:val="BlankClose"/>
      </w:pPr>
    </w:p>
    <w:p>
      <w:pPr>
        <w:pStyle w:val="Heading5"/>
      </w:pPr>
      <w:bookmarkStart w:id="45" w:name="_Toc200525820"/>
      <w:r>
        <w:rPr>
          <w:rStyle w:val="CharSectno"/>
        </w:rPr>
        <w:t>28</w:t>
      </w:r>
      <w:r>
        <w:t>.</w:t>
      </w:r>
      <w:r>
        <w:tab/>
        <w:t>Schedule 2 amended</w:t>
      </w:r>
      <w:bookmarkEnd w:id="45"/>
    </w:p>
    <w:p>
      <w:pPr>
        <w:pStyle w:val="Subsection"/>
      </w:pPr>
      <w:r>
        <w:tab/>
        <w:t>(1)</w:t>
      </w:r>
      <w:r>
        <w:tab/>
        <w:t>Delete the reference after the heading to Schedule 2 and insert:</w:t>
      </w:r>
    </w:p>
    <w:p>
      <w:pPr>
        <w:pStyle w:val="BlankOpen"/>
      </w:pPr>
    </w:p>
    <w:p>
      <w:pPr>
        <w:pStyle w:val="Subsection"/>
        <w:rPr>
          <w:sz w:val="22"/>
          <w:szCs w:val="22"/>
        </w:rPr>
      </w:pPr>
      <w:r>
        <w:rPr>
          <w:sz w:val="22"/>
          <w:szCs w:val="22"/>
        </w:rPr>
        <w:tab/>
      </w:r>
      <w:r>
        <w:rPr>
          <w:sz w:val="22"/>
          <w:szCs w:val="22"/>
        </w:rPr>
        <w:tab/>
        <w:t>[s. 79]</w:t>
      </w:r>
    </w:p>
    <w:p>
      <w:pPr>
        <w:pStyle w:val="BlankClose"/>
      </w:pPr>
    </w:p>
    <w:p>
      <w:pPr>
        <w:pStyle w:val="Subsection"/>
      </w:pPr>
      <w:r>
        <w:tab/>
        <w:t>(2)</w:t>
      </w:r>
      <w:r>
        <w:tab/>
        <w:t>At the beginning of Schedule 2 insert:</w:t>
      </w:r>
    </w:p>
    <w:p>
      <w:pPr>
        <w:pStyle w:val="BlankOpen"/>
      </w:pPr>
    </w:p>
    <w:p>
      <w:pPr>
        <w:pStyle w:val="zyHeading3"/>
      </w:pPr>
      <w:bookmarkStart w:id="46" w:name="_Toc200525342"/>
      <w:bookmarkStart w:id="47" w:name="_Toc200525396"/>
      <w:bookmarkStart w:id="48" w:name="_Toc200525504"/>
      <w:bookmarkStart w:id="49" w:name="_Toc200525821"/>
      <w:r>
        <w:t xml:space="preserve">Division 1 — Provisions for </w:t>
      </w:r>
      <w:r>
        <w:rPr>
          <w:i/>
        </w:rPr>
        <w:t>Architects Act 2004</w:t>
      </w:r>
      <w:bookmarkEnd w:id="46"/>
      <w:bookmarkEnd w:id="47"/>
      <w:bookmarkEnd w:id="48"/>
      <w:bookmarkEnd w:id="49"/>
    </w:p>
    <w:p>
      <w:pPr>
        <w:pStyle w:val="BlankClose"/>
      </w:pPr>
    </w:p>
    <w:p>
      <w:pPr>
        <w:pStyle w:val="Subsection"/>
      </w:pPr>
      <w:r>
        <w:lastRenderedPageBreak/>
        <w:tab/>
        <w:t>(3)</w:t>
      </w:r>
      <w:r>
        <w:tab/>
        <w:t>In Schedule 2 clause 1 delete “</w:t>
      </w:r>
      <w:r>
        <w:rPr>
          <w:sz w:val="22"/>
          <w:szCs w:val="22"/>
        </w:rPr>
        <w:t xml:space="preserve">this Schedule — </w:t>
      </w:r>
      <w:r>
        <w:t>” and insert:</w:t>
      </w:r>
    </w:p>
    <w:p>
      <w:pPr>
        <w:pStyle w:val="BlankOpen"/>
      </w:pPr>
    </w:p>
    <w:p>
      <w:pPr>
        <w:pStyle w:val="Subsection"/>
        <w:rPr>
          <w:sz w:val="22"/>
          <w:szCs w:val="22"/>
        </w:rPr>
      </w:pPr>
      <w:r>
        <w:tab/>
      </w:r>
      <w:r>
        <w:tab/>
      </w:r>
      <w:r>
        <w:rPr>
          <w:sz w:val="22"/>
          <w:szCs w:val="22"/>
        </w:rPr>
        <w:t xml:space="preserve">this Division — </w:t>
      </w:r>
    </w:p>
    <w:p>
      <w:pPr>
        <w:pStyle w:val="BlankClose"/>
      </w:pPr>
    </w:p>
    <w:p>
      <w:pPr>
        <w:pStyle w:val="Subsection"/>
      </w:pPr>
      <w:r>
        <w:tab/>
        <w:t>(4)</w:t>
      </w:r>
      <w:r>
        <w:tab/>
        <w:t>In Schedule 2 clauses 2 and 11 delete “</w:t>
      </w:r>
      <w:r>
        <w:rPr>
          <w:sz w:val="22"/>
          <w:szCs w:val="22"/>
        </w:rPr>
        <w:t>this Schedule</w:t>
      </w:r>
      <w:r>
        <w:t>” and insert:</w:t>
      </w:r>
    </w:p>
    <w:p>
      <w:pPr>
        <w:pStyle w:val="BlankOpen"/>
      </w:pPr>
    </w:p>
    <w:p>
      <w:pPr>
        <w:pStyle w:val="Subsection"/>
        <w:rPr>
          <w:sz w:val="22"/>
          <w:szCs w:val="22"/>
        </w:rPr>
      </w:pPr>
      <w:r>
        <w:tab/>
      </w:r>
      <w:r>
        <w:tab/>
      </w:r>
      <w:r>
        <w:rPr>
          <w:sz w:val="22"/>
          <w:szCs w:val="22"/>
        </w:rPr>
        <w:t>this Division</w:t>
      </w:r>
    </w:p>
    <w:p>
      <w:pPr>
        <w:pStyle w:val="BlankClose"/>
      </w:pPr>
    </w:p>
    <w:p>
      <w:pPr>
        <w:pStyle w:val="Subsection"/>
        <w:keepNext/>
      </w:pPr>
      <w:r>
        <w:tab/>
        <w:t>(5)</w:t>
      </w:r>
      <w:r>
        <w:tab/>
        <w:t>At the end of Schedule 2 insert:</w:t>
      </w:r>
    </w:p>
    <w:p>
      <w:pPr>
        <w:pStyle w:val="BlankOpen"/>
      </w:pPr>
    </w:p>
    <w:p>
      <w:pPr>
        <w:pStyle w:val="zyHeading3"/>
      </w:pPr>
      <w:bookmarkStart w:id="50" w:name="_Toc200525343"/>
      <w:bookmarkStart w:id="51" w:name="_Toc200525397"/>
      <w:bookmarkStart w:id="52" w:name="_Toc200525505"/>
      <w:bookmarkStart w:id="53" w:name="_Toc200525822"/>
      <w:r>
        <w:t xml:space="preserve">Division 2 — Provisions for </w:t>
      </w:r>
      <w:r>
        <w:rPr>
          <w:i/>
        </w:rPr>
        <w:t>Architects Amendment Act 2025</w:t>
      </w:r>
      <w:bookmarkEnd w:id="50"/>
      <w:bookmarkEnd w:id="51"/>
      <w:bookmarkEnd w:id="52"/>
      <w:bookmarkEnd w:id="53"/>
    </w:p>
    <w:p>
      <w:pPr>
        <w:pStyle w:val="zyHeading5"/>
      </w:pPr>
      <w:bookmarkStart w:id="54" w:name="_Toc200525823"/>
      <w:r>
        <w:t>12.</w:t>
      </w:r>
      <w:r>
        <w:tab/>
        <w:t>Change of name of Board</w:t>
      </w:r>
      <w:bookmarkEnd w:id="54"/>
    </w:p>
    <w:p>
      <w:pPr>
        <w:pStyle w:val="zySubsection"/>
      </w:pPr>
      <w:r>
        <w:tab/>
        <w:t>(1)</w:t>
      </w:r>
      <w:r>
        <w:tab/>
        <w:t xml:space="preserve">In this clause — </w:t>
      </w:r>
    </w:p>
    <w:p>
      <w:pPr>
        <w:pStyle w:val="zyDefstart"/>
      </w:pPr>
      <w:r>
        <w:tab/>
      </w:r>
      <w:r>
        <w:rPr>
          <w:rStyle w:val="CharDefText"/>
        </w:rPr>
        <w:t>commencement day</w:t>
      </w:r>
      <w:r>
        <w:t xml:space="preserve"> means the day on which the </w:t>
      </w:r>
      <w:r>
        <w:rPr>
          <w:i/>
        </w:rPr>
        <w:t>Architects Amendment Act 2025</w:t>
      </w:r>
      <w:r>
        <w:t xml:space="preserve"> section 6 comes into operation.</w:t>
      </w:r>
    </w:p>
    <w:p>
      <w:pPr>
        <w:pStyle w:val="zySubsection"/>
      </w:pPr>
      <w:r>
        <w:tab/>
        <w:t>(2)</w:t>
      </w:r>
      <w:r>
        <w:tab/>
        <w:t xml:space="preserve">The change of name of the Board effected by the </w:t>
      </w:r>
      <w:r>
        <w:rPr>
          <w:i/>
        </w:rPr>
        <w:t>Architects Amendment Act 2025</w:t>
      </w:r>
      <w:r>
        <w:t xml:space="preserve"> section 6 does not — </w:t>
      </w:r>
    </w:p>
    <w:p>
      <w:pPr>
        <w:pStyle w:val="zyIndenta"/>
      </w:pPr>
      <w:r>
        <w:tab/>
        <w:t>(a)</w:t>
      </w:r>
      <w:r>
        <w:tab/>
        <w:t>affect the identity or continuity of the Board; or</w:t>
      </w:r>
    </w:p>
    <w:p>
      <w:pPr>
        <w:pStyle w:val="zyIndenta"/>
      </w:pPr>
      <w:r>
        <w:tab/>
        <w:t>(b)</w:t>
      </w:r>
      <w:r>
        <w:tab/>
        <w:t>affect the property, rights or liabilities of the Board; or</w:t>
      </w:r>
    </w:p>
    <w:p>
      <w:pPr>
        <w:pStyle w:val="zyIndenta"/>
      </w:pPr>
      <w:r>
        <w:tab/>
        <w:t>(c)</w:t>
      </w:r>
      <w:r>
        <w:tab/>
        <w:t>make any legal proceedings by or against the Board defective.</w:t>
      </w:r>
    </w:p>
    <w:p>
      <w:pPr>
        <w:pStyle w:val="zySubsection"/>
      </w:pPr>
      <w:r>
        <w:tab/>
        <w:t>(3)</w:t>
      </w:r>
      <w:r>
        <w:tab/>
        <w:t>On and after commencement day, any legal proceedings that could have been continued or commenced by or against the Board in its former name may be continued or commenced by or against the Board in its new name.</w:t>
      </w:r>
    </w:p>
    <w:p>
      <w:pPr>
        <w:pStyle w:val="zyHeading5"/>
      </w:pPr>
      <w:bookmarkStart w:id="55" w:name="_Toc200525824"/>
      <w:r>
        <w:t>13.</w:t>
      </w:r>
      <w:r>
        <w:tab/>
        <w:t>Transitional regulations</w:t>
      </w:r>
      <w:bookmarkEnd w:id="55"/>
    </w:p>
    <w:p>
      <w:pPr>
        <w:pStyle w:val="zySubsection"/>
      </w:pPr>
      <w:r>
        <w:tab/>
        <w:t>(1)</w:t>
      </w:r>
      <w:r>
        <w:tab/>
        <w:t xml:space="preserve">In this clause — </w:t>
      </w:r>
    </w:p>
    <w:p>
      <w:pPr>
        <w:pStyle w:val="zyDefstart"/>
      </w:pPr>
      <w:r>
        <w:tab/>
      </w:r>
      <w:r>
        <w:rPr>
          <w:rStyle w:val="CharDefText"/>
        </w:rPr>
        <w:t>specified</w:t>
      </w:r>
      <w:r>
        <w:t xml:space="preserve"> means specified or described in transitional regulations;</w:t>
      </w:r>
    </w:p>
    <w:p>
      <w:pPr>
        <w:pStyle w:val="zyDefstart"/>
      </w:pPr>
      <w:r>
        <w:lastRenderedPageBreak/>
        <w:tab/>
      </w:r>
      <w:r>
        <w:rPr>
          <w:rStyle w:val="CharDefText"/>
        </w:rPr>
        <w:t>transitional matter</w:t>
      </w:r>
      <w:r>
        <w:t xml:space="preserve"> means a matter or issue of a transitional, savings or application nature.</w:t>
      </w:r>
    </w:p>
    <w:p>
      <w:pPr>
        <w:pStyle w:val="zySubsection"/>
      </w:pPr>
      <w:r>
        <w:tab/>
        <w:t>(2)</w:t>
      </w:r>
      <w:r>
        <w:tab/>
        <w:t xml:space="preserve">Regulations may prescribe anything required, necessary or convenient to be prescribed in relation to a transitional matter in connection with the enactment of, or any amendment made by, the </w:t>
      </w:r>
      <w:r>
        <w:rPr>
          <w:i/>
        </w:rPr>
        <w:t>Architects Amendment Act 2025</w:t>
      </w:r>
      <w:r>
        <w:t>.</w:t>
      </w:r>
    </w:p>
    <w:p>
      <w:pPr>
        <w:pStyle w:val="zySubsection"/>
        <w:keepNext/>
      </w:pPr>
      <w:r>
        <w:tab/>
        <w:t>(3)</w:t>
      </w:r>
      <w:r>
        <w:tab/>
        <w:t xml:space="preserve">Without limiting subclause (2), transitional regulations may provide for specified provisions of this Act or another written law — </w:t>
      </w:r>
    </w:p>
    <w:p>
      <w:pPr>
        <w:pStyle w:val="zyIndenta"/>
      </w:pPr>
      <w:r>
        <w:tab/>
        <w:t>(a)</w:t>
      </w:r>
      <w:r>
        <w:tab/>
        <w:t>not to apply to, or in relation to, a specified matter or thing; or</w:t>
      </w:r>
    </w:p>
    <w:p>
      <w:pPr>
        <w:pStyle w:val="zyIndenta"/>
      </w:pPr>
      <w:r>
        <w:tab/>
        <w:t>(b)</w:t>
      </w:r>
      <w:r>
        <w:tab/>
        <w:t>to apply with specified modifications to, or in relation to, a specified matter or thing.</w:t>
      </w:r>
    </w:p>
    <w:p>
      <w:pPr>
        <w:pStyle w:val="BlankClose"/>
      </w:pPr>
    </w:p>
    <w:p>
      <w:pPr>
        <w:pStyle w:val="Heading5"/>
      </w:pPr>
      <w:bookmarkStart w:id="56" w:name="_Toc200525825"/>
      <w:r>
        <w:rPr>
          <w:rStyle w:val="CharSectno"/>
        </w:rPr>
        <w:t>29</w:t>
      </w:r>
      <w:r>
        <w:t>.</w:t>
      </w:r>
      <w:r>
        <w:tab/>
        <w:t>Various references to “is to”, “are to” and “is not to” replaced</w:t>
      </w:r>
      <w:bookmarkEnd w:id="56"/>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jc w:val="center"/>
        </w:trPr>
        <w:tc>
          <w:tcPr>
            <w:tcW w:w="2268" w:type="dxa"/>
          </w:tcPr>
          <w:p>
            <w:pPr>
              <w:pStyle w:val="TableAm"/>
            </w:pPr>
            <w:r>
              <w:t>s. 7(2), (3) and (4)</w:t>
            </w:r>
          </w:p>
          <w:p>
            <w:pPr>
              <w:pStyle w:val="TableAm"/>
            </w:pPr>
            <w:r>
              <w:t>s. 12(5), (6), (7) and (9)</w:t>
            </w:r>
          </w:p>
          <w:p>
            <w:pPr>
              <w:pStyle w:val="TableAm"/>
            </w:pPr>
            <w:r>
              <w:t>s. 17(1)</w:t>
            </w:r>
          </w:p>
          <w:p>
            <w:pPr>
              <w:pStyle w:val="TableAm"/>
            </w:pPr>
            <w:r>
              <w:t>s. 20(1), (4), (6) and (7)</w:t>
            </w:r>
          </w:p>
          <w:p>
            <w:pPr>
              <w:pStyle w:val="TableAm"/>
            </w:pPr>
            <w:r>
              <w:t>s. 21(3)</w:t>
            </w:r>
          </w:p>
          <w:p>
            <w:pPr>
              <w:pStyle w:val="TableAm"/>
            </w:pPr>
            <w:r>
              <w:t>s. 23(3)</w:t>
            </w:r>
          </w:p>
          <w:p>
            <w:pPr>
              <w:pStyle w:val="TableAm"/>
            </w:pPr>
            <w:r>
              <w:t>s. 26(1)</w:t>
            </w:r>
          </w:p>
          <w:p>
            <w:pPr>
              <w:pStyle w:val="TableAm"/>
            </w:pPr>
            <w:r>
              <w:lastRenderedPageBreak/>
              <w:t>s. 28(1), (2), (4) and (5)</w:t>
            </w:r>
          </w:p>
          <w:p>
            <w:pPr>
              <w:pStyle w:val="TableAm"/>
            </w:pPr>
            <w:r>
              <w:t>s. 33(1), (2) and (5)</w:t>
            </w:r>
          </w:p>
          <w:p>
            <w:pPr>
              <w:pStyle w:val="TableAm"/>
            </w:pPr>
            <w:r>
              <w:t>s. 38(1), (3) and (4)</w:t>
            </w:r>
          </w:p>
          <w:p>
            <w:pPr>
              <w:pStyle w:val="TableAm"/>
            </w:pPr>
            <w:r>
              <w:t>s. 39(1), (3) and (4)</w:t>
            </w:r>
          </w:p>
          <w:p>
            <w:pPr>
              <w:pStyle w:val="TableAm"/>
            </w:pPr>
            <w:r>
              <w:t>s. 40(4)</w:t>
            </w:r>
          </w:p>
          <w:p>
            <w:pPr>
              <w:pStyle w:val="TableAm"/>
            </w:pPr>
            <w:r>
              <w:t>s. 42(1) and (2)</w:t>
            </w:r>
          </w:p>
          <w:p>
            <w:pPr>
              <w:pStyle w:val="TableAm"/>
            </w:pPr>
            <w:r>
              <w:t>s. 43(1) and (3)</w:t>
            </w:r>
          </w:p>
          <w:p>
            <w:pPr>
              <w:pStyle w:val="TableAm"/>
            </w:pPr>
            <w:r>
              <w:t>s. 44(1)</w:t>
            </w:r>
          </w:p>
          <w:p>
            <w:pPr>
              <w:pStyle w:val="TableAm"/>
            </w:pPr>
            <w:r>
              <w:t>s. 46</w:t>
            </w:r>
          </w:p>
          <w:p>
            <w:pPr>
              <w:pStyle w:val="TableAm"/>
            </w:pPr>
            <w:r>
              <w:t>s. 47(2)</w:t>
            </w:r>
          </w:p>
          <w:p>
            <w:pPr>
              <w:pStyle w:val="TableAm"/>
            </w:pPr>
            <w:r>
              <w:t>s. 48(1) and (2)</w:t>
            </w:r>
          </w:p>
          <w:p>
            <w:pPr>
              <w:pStyle w:val="TableAm"/>
            </w:pPr>
            <w:r>
              <w:t>s. 51(2) and (5)</w:t>
            </w:r>
          </w:p>
          <w:p>
            <w:pPr>
              <w:pStyle w:val="TableAm"/>
            </w:pPr>
            <w:r>
              <w:t>s. 59(2)</w:t>
            </w:r>
          </w:p>
          <w:p>
            <w:pPr>
              <w:pStyle w:val="TableAm"/>
            </w:pPr>
            <w:r>
              <w:t>s. 61(1)</w:t>
            </w:r>
          </w:p>
          <w:p>
            <w:pPr>
              <w:pStyle w:val="TableAm"/>
            </w:pPr>
            <w:r>
              <w:t>s. 62(2)</w:t>
            </w:r>
          </w:p>
          <w:p>
            <w:pPr>
              <w:pStyle w:val="TableAm"/>
            </w:pPr>
            <w:r>
              <w:t>s. 71(2)(i)</w:t>
            </w:r>
          </w:p>
          <w:p>
            <w:pPr>
              <w:pStyle w:val="TableAm"/>
            </w:pPr>
            <w:r>
              <w:t>s. 81(1) and (2)</w:t>
            </w:r>
          </w:p>
        </w:tc>
        <w:tc>
          <w:tcPr>
            <w:tcW w:w="2268" w:type="dxa"/>
          </w:tcPr>
          <w:p>
            <w:pPr>
              <w:pStyle w:val="TableAm"/>
            </w:pPr>
            <w:r>
              <w:lastRenderedPageBreak/>
              <w:t>is to</w:t>
            </w:r>
            <w:r>
              <w:br/>
              <w:t>(each occurrence)</w:t>
            </w:r>
          </w:p>
        </w:tc>
        <w:tc>
          <w:tcPr>
            <w:tcW w:w="2268" w:type="dxa"/>
          </w:tcPr>
          <w:p>
            <w:pPr>
              <w:pStyle w:val="TableAm"/>
            </w:pPr>
            <w:r>
              <w:t>must</w:t>
            </w:r>
          </w:p>
        </w:tc>
      </w:tr>
      <w:tr>
        <w:trPr>
          <w:jc w:val="center"/>
        </w:trPr>
        <w:tc>
          <w:tcPr>
            <w:tcW w:w="2268" w:type="dxa"/>
          </w:tcPr>
          <w:p>
            <w:pPr>
              <w:pStyle w:val="TableAm"/>
            </w:pPr>
            <w:r>
              <w:t>s. 7(1)</w:t>
            </w:r>
          </w:p>
          <w:p>
            <w:pPr>
              <w:pStyle w:val="TableAm"/>
            </w:pPr>
            <w:r>
              <w:t>s. 26(2)</w:t>
            </w:r>
          </w:p>
          <w:p>
            <w:pPr>
              <w:pStyle w:val="TableAm"/>
            </w:pPr>
            <w:r>
              <w:t>s. 27</w:t>
            </w:r>
          </w:p>
          <w:p>
            <w:pPr>
              <w:pStyle w:val="TableAm"/>
            </w:pPr>
            <w:r>
              <w:t>s. 75(2)</w:t>
            </w:r>
          </w:p>
        </w:tc>
        <w:tc>
          <w:tcPr>
            <w:tcW w:w="2268" w:type="dxa"/>
          </w:tcPr>
          <w:p>
            <w:pPr>
              <w:pStyle w:val="TableAm"/>
            </w:pPr>
            <w:r>
              <w:t>are to</w:t>
            </w:r>
            <w:r>
              <w:br/>
              <w:t xml:space="preserve">(each occurrence) </w:t>
            </w:r>
          </w:p>
          <w:p>
            <w:pPr>
              <w:pStyle w:val="TableAm"/>
            </w:pPr>
          </w:p>
        </w:tc>
        <w:tc>
          <w:tcPr>
            <w:tcW w:w="2268" w:type="dxa"/>
          </w:tcPr>
          <w:p>
            <w:pPr>
              <w:pStyle w:val="TableAm"/>
            </w:pPr>
            <w:r>
              <w:t>must</w:t>
            </w:r>
          </w:p>
        </w:tc>
      </w:tr>
      <w:tr>
        <w:trPr>
          <w:jc w:val="center"/>
        </w:trPr>
        <w:tc>
          <w:tcPr>
            <w:tcW w:w="2268" w:type="dxa"/>
          </w:tcPr>
          <w:p>
            <w:pPr>
              <w:pStyle w:val="TableAm"/>
              <w:keepNext/>
              <w:keepLines/>
            </w:pPr>
            <w:r>
              <w:lastRenderedPageBreak/>
              <w:t>s. 12(2)</w:t>
            </w:r>
          </w:p>
          <w:p>
            <w:pPr>
              <w:pStyle w:val="TableAm"/>
              <w:keepNext/>
              <w:keepLines/>
            </w:pPr>
            <w:r>
              <w:t>s. 47(3)</w:t>
            </w:r>
          </w:p>
          <w:p>
            <w:pPr>
              <w:pStyle w:val="TableAm"/>
              <w:keepNext/>
              <w:keepLines/>
            </w:pPr>
            <w:r>
              <w:t>s. 59(7)</w:t>
            </w:r>
          </w:p>
        </w:tc>
        <w:tc>
          <w:tcPr>
            <w:tcW w:w="2268" w:type="dxa"/>
          </w:tcPr>
          <w:p>
            <w:pPr>
              <w:pStyle w:val="TableAm"/>
              <w:keepNext/>
              <w:keepLines/>
            </w:pPr>
            <w:r>
              <w:t>is not to</w:t>
            </w:r>
          </w:p>
        </w:tc>
        <w:tc>
          <w:tcPr>
            <w:tcW w:w="2268" w:type="dxa"/>
          </w:tcPr>
          <w:p>
            <w:pPr>
              <w:pStyle w:val="TableAm"/>
              <w:keepNext/>
              <w:keepLines/>
            </w:pPr>
            <w:r>
              <w:t>must not</w:t>
            </w:r>
          </w:p>
        </w:tc>
      </w:tr>
      <w:tr>
        <w:trPr>
          <w:jc w:val="center"/>
        </w:trPr>
        <w:tc>
          <w:tcPr>
            <w:tcW w:w="2268" w:type="dxa"/>
          </w:tcPr>
          <w:p>
            <w:pPr>
              <w:pStyle w:val="TableAm"/>
            </w:pPr>
            <w:r>
              <w:t>Sch. 1 cl. 2</w:t>
            </w:r>
          </w:p>
          <w:p>
            <w:pPr>
              <w:pStyle w:val="TableAm"/>
            </w:pPr>
            <w:r>
              <w:t>Sch. 1 cl. 9(1)</w:t>
            </w:r>
          </w:p>
          <w:p>
            <w:pPr>
              <w:pStyle w:val="TableAm"/>
            </w:pPr>
            <w:r>
              <w:t>Sch. 1 cl. 13</w:t>
            </w:r>
          </w:p>
          <w:p>
            <w:pPr>
              <w:pStyle w:val="TableAm"/>
            </w:pPr>
            <w:r>
              <w:t>Sch. 1 cl. 18(2)</w:t>
            </w:r>
          </w:p>
        </w:tc>
        <w:tc>
          <w:tcPr>
            <w:tcW w:w="2268" w:type="dxa"/>
          </w:tcPr>
          <w:p>
            <w:pPr>
              <w:pStyle w:val="TableAm"/>
            </w:pPr>
            <w:r>
              <w:rPr>
                <w:sz w:val="22"/>
                <w:szCs w:val="22"/>
              </w:rPr>
              <w:t>is to</w:t>
            </w:r>
          </w:p>
        </w:tc>
        <w:tc>
          <w:tcPr>
            <w:tcW w:w="2268" w:type="dxa"/>
          </w:tcPr>
          <w:p>
            <w:pPr>
              <w:pStyle w:val="TableAm"/>
              <w:rPr>
                <w:sz w:val="22"/>
                <w:szCs w:val="22"/>
              </w:rPr>
            </w:pPr>
            <w:r>
              <w:rPr>
                <w:sz w:val="22"/>
                <w:szCs w:val="22"/>
              </w:rPr>
              <w:t>must</w:t>
            </w:r>
          </w:p>
        </w:tc>
      </w:tr>
      <w:tr>
        <w:trPr>
          <w:cantSplit/>
          <w:jc w:val="center"/>
        </w:trPr>
        <w:tc>
          <w:tcPr>
            <w:tcW w:w="2268" w:type="dxa"/>
          </w:tcPr>
          <w:p>
            <w:pPr>
              <w:pStyle w:val="TableAm"/>
            </w:pPr>
            <w:r>
              <w:t>Sch. 1 cl. 6(2) and (3)</w:t>
            </w:r>
          </w:p>
        </w:tc>
        <w:tc>
          <w:tcPr>
            <w:tcW w:w="2268" w:type="dxa"/>
          </w:tcPr>
          <w:p>
            <w:pPr>
              <w:pStyle w:val="TableAm"/>
            </w:pPr>
            <w:r>
              <w:rPr>
                <w:sz w:val="22"/>
              </w:rPr>
              <w:t>is to</w:t>
            </w:r>
            <w:r>
              <w:rPr>
                <w:sz w:val="22"/>
              </w:rPr>
              <w:br/>
            </w:r>
            <w:r>
              <w:rPr>
                <w:szCs w:val="24"/>
              </w:rPr>
              <w:t>(2</w:t>
            </w:r>
            <w:r>
              <w:rPr>
                <w:szCs w:val="24"/>
                <w:vertAlign w:val="superscript"/>
              </w:rPr>
              <w:t xml:space="preserve">nd </w:t>
            </w:r>
            <w:r>
              <w:rPr>
                <w:szCs w:val="24"/>
              </w:rPr>
              <w:t>occurrence)</w:t>
            </w:r>
          </w:p>
        </w:tc>
        <w:tc>
          <w:tcPr>
            <w:tcW w:w="2268" w:type="dxa"/>
          </w:tcPr>
          <w:p>
            <w:pPr>
              <w:pStyle w:val="TableAm"/>
              <w:rPr>
                <w:sz w:val="22"/>
              </w:rPr>
            </w:pPr>
            <w:r>
              <w:rPr>
                <w:sz w:val="22"/>
              </w:rPr>
              <w:t>must</w:t>
            </w:r>
          </w:p>
        </w:tc>
      </w:tr>
      <w:tr>
        <w:trPr>
          <w:jc w:val="center"/>
        </w:trPr>
        <w:tc>
          <w:tcPr>
            <w:tcW w:w="2268" w:type="dxa"/>
          </w:tcPr>
          <w:p>
            <w:pPr>
              <w:pStyle w:val="TableAm"/>
            </w:pPr>
            <w:r>
              <w:t>Sch. 1 cl. 7</w:t>
            </w:r>
          </w:p>
        </w:tc>
        <w:tc>
          <w:tcPr>
            <w:tcW w:w="2268" w:type="dxa"/>
          </w:tcPr>
          <w:p>
            <w:pPr>
              <w:pStyle w:val="TableAm"/>
              <w:rPr>
                <w:sz w:val="22"/>
                <w:szCs w:val="22"/>
              </w:rPr>
            </w:pPr>
            <w:r>
              <w:rPr>
                <w:sz w:val="22"/>
                <w:szCs w:val="22"/>
              </w:rPr>
              <w:t>is to</w:t>
            </w:r>
          </w:p>
        </w:tc>
        <w:tc>
          <w:tcPr>
            <w:tcW w:w="2268" w:type="dxa"/>
          </w:tcPr>
          <w:p>
            <w:pPr>
              <w:pStyle w:val="TableAm"/>
              <w:rPr>
                <w:sz w:val="22"/>
                <w:szCs w:val="22"/>
              </w:rPr>
            </w:pPr>
            <w:r>
              <w:rPr>
                <w:sz w:val="22"/>
                <w:szCs w:val="22"/>
              </w:rPr>
              <w:t>can</w:t>
            </w:r>
          </w:p>
        </w:tc>
      </w:tr>
      <w:tr>
        <w:trPr>
          <w:jc w:val="center"/>
        </w:trPr>
        <w:tc>
          <w:tcPr>
            <w:tcW w:w="2268" w:type="dxa"/>
          </w:tcPr>
          <w:p>
            <w:pPr>
              <w:pStyle w:val="TableAm"/>
            </w:pPr>
            <w:r>
              <w:t>Sch. 1 cl. 4(1)</w:t>
            </w:r>
          </w:p>
          <w:p>
            <w:pPr>
              <w:pStyle w:val="TableAm"/>
            </w:pPr>
            <w:r>
              <w:t>Sch. 1 cl. 9(2)</w:t>
            </w:r>
          </w:p>
        </w:tc>
        <w:tc>
          <w:tcPr>
            <w:tcW w:w="2268" w:type="dxa"/>
          </w:tcPr>
          <w:p>
            <w:pPr>
              <w:pStyle w:val="TableAm"/>
              <w:rPr>
                <w:sz w:val="22"/>
                <w:szCs w:val="22"/>
              </w:rPr>
            </w:pPr>
            <w:r>
              <w:rPr>
                <w:sz w:val="22"/>
                <w:szCs w:val="22"/>
              </w:rPr>
              <w:t>are to</w:t>
            </w:r>
          </w:p>
        </w:tc>
        <w:tc>
          <w:tcPr>
            <w:tcW w:w="2268" w:type="dxa"/>
          </w:tcPr>
          <w:p>
            <w:pPr>
              <w:pStyle w:val="TableAm"/>
              <w:rPr>
                <w:sz w:val="22"/>
                <w:szCs w:val="22"/>
              </w:rPr>
            </w:pPr>
            <w:r>
              <w:rPr>
                <w:sz w:val="22"/>
                <w:szCs w:val="22"/>
              </w:rPr>
              <w:t>must</w:t>
            </w:r>
          </w:p>
        </w:tc>
      </w:tr>
    </w:tbl>
    <w:p>
      <w:pPr>
        <w:pStyle w:val="Heading2"/>
      </w:pPr>
      <w:bookmarkStart w:id="57" w:name="_Toc200525347"/>
      <w:bookmarkStart w:id="58" w:name="_Toc200525401"/>
      <w:bookmarkStart w:id="59" w:name="_Toc200525509"/>
      <w:bookmarkStart w:id="60" w:name="_Toc200525826"/>
      <w:r>
        <w:rPr>
          <w:rStyle w:val="CharPartNo"/>
        </w:rPr>
        <w:lastRenderedPageBreak/>
        <w:t>Part 3</w:t>
      </w:r>
      <w:r>
        <w:rPr>
          <w:rStyle w:val="CharDivNo"/>
        </w:rPr>
        <w:t> </w:t>
      </w:r>
      <w:r>
        <w:t>—</w:t>
      </w:r>
      <w:r>
        <w:rPr>
          <w:rStyle w:val="CharDivText"/>
        </w:rPr>
        <w:t> </w:t>
      </w:r>
      <w:r>
        <w:rPr>
          <w:rStyle w:val="CharPartText"/>
        </w:rPr>
        <w:t>Consequential amendments</w:t>
      </w:r>
      <w:bookmarkEnd w:id="57"/>
      <w:bookmarkEnd w:id="58"/>
      <w:bookmarkEnd w:id="59"/>
      <w:bookmarkEnd w:id="60"/>
    </w:p>
    <w:p>
      <w:pPr>
        <w:pStyle w:val="Heading5"/>
      </w:pPr>
      <w:bookmarkStart w:id="61" w:name="_Toc200525827"/>
      <w:r>
        <w:rPr>
          <w:rStyle w:val="CharSectno"/>
        </w:rPr>
        <w:t>30</w:t>
      </w:r>
      <w:r>
        <w:t>.</w:t>
      </w:r>
      <w:r>
        <w:tab/>
      </w:r>
      <w:r>
        <w:rPr>
          <w:i/>
        </w:rPr>
        <w:t>Building Services (Complaint Resolution and Administration) Act 2011</w:t>
      </w:r>
      <w:r>
        <w:t xml:space="preserve"> amended</w:t>
      </w:r>
      <w:bookmarkEnd w:id="61"/>
    </w:p>
    <w:p>
      <w:pPr>
        <w:pStyle w:val="Subsection"/>
      </w:pPr>
      <w:r>
        <w:tab/>
        <w:t>(1)</w:t>
      </w:r>
      <w:r>
        <w:tab/>
        <w:t xml:space="preserve">This section amends the </w:t>
      </w:r>
      <w:r>
        <w:rPr>
          <w:i/>
        </w:rPr>
        <w:t>Building Services (Complaint Resolution and Administration) Act 2011</w:t>
      </w:r>
      <w:r>
        <w:t>.</w:t>
      </w:r>
    </w:p>
    <w:p>
      <w:pPr>
        <w:pStyle w:val="Subsection"/>
      </w:pPr>
      <w:r>
        <w:tab/>
        <w:t>(2)</w:t>
      </w:r>
      <w:r>
        <w:tab/>
        <w:t xml:space="preserve">In section 3 in the definition of </w:t>
      </w:r>
      <w:r>
        <w:rPr>
          <w:b/>
          <w:i/>
        </w:rPr>
        <w:t>vocational regulatory body</w:t>
      </w:r>
      <w:r>
        <w:t xml:space="preserve"> paragraph (a) before “Board” insert:</w:t>
      </w:r>
    </w:p>
    <w:p>
      <w:pPr>
        <w:pStyle w:val="BlankOpen"/>
      </w:pPr>
    </w:p>
    <w:p>
      <w:pPr>
        <w:pStyle w:val="Subsection"/>
      </w:pPr>
      <w:r>
        <w:tab/>
      </w:r>
      <w:r>
        <w:tab/>
        <w:t>Registration</w:t>
      </w:r>
    </w:p>
    <w:p>
      <w:pPr>
        <w:pStyle w:val="BlankClose"/>
      </w:pPr>
    </w:p>
    <w:p>
      <w:pPr>
        <w:pStyle w:val="Heading5"/>
      </w:pPr>
      <w:bookmarkStart w:id="62" w:name="_Toc200525828"/>
      <w:r>
        <w:rPr>
          <w:rStyle w:val="CharSectno"/>
        </w:rPr>
        <w:t>31</w:t>
      </w:r>
      <w:r>
        <w:t>.</w:t>
      </w:r>
      <w:r>
        <w:tab/>
      </w:r>
      <w:r>
        <w:rPr>
          <w:i/>
        </w:rPr>
        <w:t>Constitution Acts Amendment Act 1899</w:t>
      </w:r>
      <w:r>
        <w:t xml:space="preserve"> amended</w:t>
      </w:r>
      <w:bookmarkEnd w:id="62"/>
    </w:p>
    <w:p>
      <w:pPr>
        <w:pStyle w:val="Subsection"/>
      </w:pPr>
      <w:r>
        <w:tab/>
        <w:t>(1)</w:t>
      </w:r>
      <w:r>
        <w:tab/>
        <w:t xml:space="preserve">This section amends the </w:t>
      </w:r>
      <w:r>
        <w:rPr>
          <w:i/>
        </w:rPr>
        <w:t>Constitution Acts Amendment Act 1899</w:t>
      </w:r>
      <w:r>
        <w:t>.</w:t>
      </w:r>
    </w:p>
    <w:p>
      <w:pPr>
        <w:pStyle w:val="Subsection"/>
      </w:pPr>
      <w:r>
        <w:tab/>
        <w:t>(2)</w:t>
      </w:r>
      <w:r>
        <w:tab/>
        <w:t>In Schedule V Part 3 in the item relating to The Architects Board of Western Australia before “Board” insert:</w:t>
      </w:r>
    </w:p>
    <w:p>
      <w:pPr>
        <w:pStyle w:val="BlankOpen"/>
      </w:pPr>
    </w:p>
    <w:p>
      <w:pPr>
        <w:pStyle w:val="Subsection"/>
        <w:rPr>
          <w:sz w:val="22"/>
        </w:rPr>
      </w:pPr>
      <w:r>
        <w:tab/>
      </w:r>
      <w:r>
        <w:tab/>
      </w:r>
      <w:r>
        <w:rPr>
          <w:sz w:val="22"/>
        </w:rPr>
        <w:t>Registration</w:t>
      </w:r>
    </w:p>
    <w:p>
      <w:pPr>
        <w:pStyle w:val="BlankClose"/>
      </w:pPr>
    </w:p>
    <w:p>
      <w:pPr>
        <w:pStyle w:val="Heading5"/>
      </w:pPr>
      <w:bookmarkStart w:id="63" w:name="_Toc200525829"/>
      <w:r>
        <w:rPr>
          <w:rStyle w:val="CharSectno"/>
        </w:rPr>
        <w:t>32</w:t>
      </w:r>
      <w:r>
        <w:t>.</w:t>
      </w:r>
      <w:r>
        <w:tab/>
      </w:r>
      <w:r>
        <w:rPr>
          <w:i/>
        </w:rPr>
        <w:t>Sentencing Act 1995</w:t>
      </w:r>
      <w:r>
        <w:t xml:space="preserve"> amended</w:t>
      </w:r>
      <w:bookmarkEnd w:id="63"/>
    </w:p>
    <w:p>
      <w:pPr>
        <w:pStyle w:val="Subsection"/>
      </w:pPr>
      <w:r>
        <w:tab/>
        <w:t>(1)</w:t>
      </w:r>
      <w:r>
        <w:tab/>
        <w:t xml:space="preserve">This section amends the </w:t>
      </w:r>
      <w:r>
        <w:rPr>
          <w:i/>
        </w:rPr>
        <w:t>Sentencing Act 1995</w:t>
      </w:r>
      <w:r>
        <w:t>.</w:t>
      </w:r>
    </w:p>
    <w:p>
      <w:pPr>
        <w:pStyle w:val="Subsection"/>
      </w:pPr>
      <w:r>
        <w:tab/>
        <w:t>(2)</w:t>
      </w:r>
      <w:r>
        <w:tab/>
        <w:t xml:space="preserve">In Schedule 1 in the item relating to the </w:t>
      </w:r>
      <w:r>
        <w:rPr>
          <w:i/>
        </w:rPr>
        <w:t>Architects Act </w:t>
      </w:r>
      <w:r>
        <w:rPr>
          <w:i/>
          <w:iCs/>
        </w:rPr>
        <w:t>2004</w:t>
      </w:r>
      <w:r>
        <w:t xml:space="preserve"> before “Board” insert:</w:t>
      </w:r>
    </w:p>
    <w:p>
      <w:pPr>
        <w:pStyle w:val="BlankOpen"/>
      </w:pPr>
    </w:p>
    <w:p>
      <w:pPr>
        <w:pStyle w:val="Subsection"/>
        <w:rPr>
          <w:sz w:val="22"/>
        </w:rPr>
      </w:pPr>
      <w:r>
        <w:tab/>
      </w:r>
      <w:r>
        <w:tab/>
      </w:r>
      <w:r>
        <w:rPr>
          <w:sz w:val="22"/>
        </w:rPr>
        <w:t>Registration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Architects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11090609"/>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718150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8150912_GUID" w:val="47990044-2689-4d26-95eb-fd7caad416ae"/>
    <w:docVar w:name="WAFER_20240718150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50931_GUID" w:val="4e7ebb20-55bb-44ed-84cf-361e7c4089ef"/>
    <w:docVar w:name="WAFER_20240801141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1141234_GUID" w:val="aea3b7e5-e778-414c-bb66-cb97fffe97f3"/>
    <w:docVar w:name="WAFER_2024091617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173957_GUID" w:val="28d18d24-e5ed-4ff9-9147-15339044230f"/>
    <w:docVar w:name="WAFER_20240916175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916175337_GUID" w:val="cd9900ef-64ee-4925-9192-4f7211543db0"/>
    <w:docVar w:name="WAFER_2025061109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1090609_GUID" w:val="d10f15f4-4afd-4eef-8e2f-7ba289c44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48F5000-444D-49AC-A6A2-E13A29F5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2936</Words>
  <Characters>14211</Characters>
  <Application>Microsoft Office Word</Application>
  <DocSecurity>0</DocSecurity>
  <Lines>676</Lines>
  <Paragraphs>451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Amendment Act 2025 - 00-00-00</dc:title>
  <dc:subject/>
  <dc:creator/>
  <cp:keywords/>
  <dc:description/>
  <cp:lastModifiedBy>Master Repository Process</cp:lastModifiedBy>
  <cp:revision>4</cp:revision>
  <cp:lastPrinted>2025-06-10T08:56:00Z</cp:lastPrinted>
  <dcterms:created xsi:type="dcterms:W3CDTF">2025-06-11T01:24:00Z</dcterms:created>
  <dcterms:modified xsi:type="dcterms:W3CDTF">2025-06-11T01:24:00Z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2025</vt:lpwstr>
  </property>
  <property fmtid="{D5CDD505-2E9C-101B-9397-08002B2CF9AE}" pid="3" name="DocumentType">
    <vt:lpwstr>Act</vt:lpwstr>
  </property>
  <property fmtid="{D5CDD505-2E9C-101B-9397-08002B2CF9AE}" pid="4" name="AsAtDate">
    <vt:lpwstr>10 Jun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2 of 2025</vt:lpwstr>
  </property>
  <property fmtid="{D5CDD505-2E9C-101B-9397-08002B2CF9AE}" pid="8" name="CommencementDate">
    <vt:lpwstr>20250610</vt:lpwstr>
  </property>
  <property fmtid="{D5CDD505-2E9C-101B-9397-08002B2CF9AE}" pid="9" name="CommencementAsAt">
    <vt:filetime>2025-06-09T16:00:00Z</vt:filetime>
  </property>
  <property fmtid="{D5CDD505-2E9C-101B-9397-08002B2CF9AE}" pid="10" name="CommencementYear">
    <vt:lpwstr>2025</vt:lpwstr>
  </property>
</Properties>
</file>