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_Toc200524699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_Toc200524700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_Toc200524701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_Toc200524702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_Toc200524703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_Toc200524704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_Toc200524707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_Toc200524708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_Toc200524709 \h </w:instrText>
      </w:r>
      <w:r>
        <w:fldChar w:fldCharType="separate"/>
      </w:r>
      <w:r>
        <w:t>9</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_Toc200524710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_Toc200524712 \h </w:instrText>
      </w:r>
      <w:r>
        <w:fldChar w:fldCharType="separate"/>
      </w:r>
      <w:r>
        <w:t>12</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_Toc200524713 \h </w:instrText>
      </w:r>
      <w:r>
        <w:fldChar w:fldCharType="separate"/>
      </w:r>
      <w:r>
        <w:t>12</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_Toc200524714 \h </w:instrText>
      </w:r>
      <w:r>
        <w:fldChar w:fldCharType="separate"/>
      </w:r>
      <w:r>
        <w:t>12</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_Toc200524715 \h </w:instrText>
      </w:r>
      <w:r>
        <w:fldChar w:fldCharType="separate"/>
      </w:r>
      <w:r>
        <w:t>13</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_Toc200524716 \h </w:instrText>
      </w:r>
      <w:r>
        <w:fldChar w:fldCharType="separate"/>
      </w:r>
      <w:r>
        <w:t>15</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_Toc200524717 \h </w:instrText>
      </w:r>
      <w:r>
        <w:fldChar w:fldCharType="separate"/>
      </w:r>
      <w:r>
        <w:t>15</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_Toc200524718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_Toc200524720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_Toc200524721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_Toc200524722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_Toc200524723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_Toc200524726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 </w:t>
      </w:r>
      <w:r>
        <w:rPr>
          <w:vertAlign w:val="superscript"/>
        </w:rPr>
        <w:t>M</w:t>
      </w:r>
      <w:r>
        <w:tab/>
      </w:r>
      <w:r>
        <w:fldChar w:fldCharType="begin"/>
      </w:r>
      <w:r>
        <w:instrText xml:space="preserve"> PAGEREF _Toc200524728 \h </w:instrText>
      </w:r>
      <w:r>
        <w:fldChar w:fldCharType="separate"/>
      </w:r>
      <w:r>
        <w:t>19</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_Toc200524729 \h </w:instrText>
      </w:r>
      <w:r>
        <w:fldChar w:fldCharType="separate"/>
      </w:r>
      <w:r>
        <w:t>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_Toc200524730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_Toc200524731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_Toc200524732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_Toc200524733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_Toc200524735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_Toc200524736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_Toc200524737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_Toc200524738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_Toc200524740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_Toc200524741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_Toc200524742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_Toc200524743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_Toc200524745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_Toc200524746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_Toc200524747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_Toc200524748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_Toc200524750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_Toc200524751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_Toc200524752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_Toc200524755 \h </w:instrText>
      </w:r>
      <w:r>
        <w:fldChar w:fldCharType="separate"/>
      </w:r>
      <w:r>
        <w:t>31</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_Toc200524756 \h </w:instrText>
      </w:r>
      <w:r>
        <w:fldChar w:fldCharType="separate"/>
      </w:r>
      <w:r>
        <w:t>32</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_Toc200524757 \h </w:instrText>
      </w:r>
      <w:r>
        <w:fldChar w:fldCharType="separate"/>
      </w:r>
      <w:r>
        <w:t>33</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_Toc200524758 \h </w:instrText>
      </w:r>
      <w:r>
        <w:fldChar w:fldCharType="separate"/>
      </w:r>
      <w:r>
        <w:t>34</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_Toc200524759 \h </w:instrText>
      </w:r>
      <w:r>
        <w:fldChar w:fldCharType="separate"/>
      </w:r>
      <w:r>
        <w:t>35</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_Toc200524760 \h </w:instrText>
      </w:r>
      <w:r>
        <w:fldChar w:fldCharType="separate"/>
      </w:r>
      <w:r>
        <w:t>35</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_Toc200524761 \h </w:instrText>
      </w:r>
      <w:r>
        <w:fldChar w:fldCharType="separate"/>
      </w:r>
      <w:r>
        <w:t>36</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_Toc200524762 \h </w:instrText>
      </w:r>
      <w:r>
        <w:fldChar w:fldCharType="separate"/>
      </w:r>
      <w:r>
        <w:t>37</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_Toc200524763 \h </w:instrText>
      </w:r>
      <w:r>
        <w:fldChar w:fldCharType="separate"/>
      </w:r>
      <w:r>
        <w:t>41</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_Toc200524764 \h </w:instrText>
      </w:r>
      <w:r>
        <w:fldChar w:fldCharType="separate"/>
      </w:r>
      <w:r>
        <w:t>43</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_Toc200524765 \h </w:instrText>
      </w:r>
      <w:r>
        <w:fldChar w:fldCharType="separate"/>
      </w:r>
      <w:r>
        <w:t>43</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_Toc200524766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_Toc200524768 \h </w:instrText>
      </w:r>
      <w:r>
        <w:fldChar w:fldCharType="separate"/>
      </w:r>
      <w:r>
        <w:t>45</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_Toc200524769 \h </w:instrText>
      </w:r>
      <w:r>
        <w:fldChar w:fldCharType="separate"/>
      </w:r>
      <w:r>
        <w:t>45</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_Toc200524770 \h </w:instrText>
      </w:r>
      <w:r>
        <w:fldChar w:fldCharType="separate"/>
      </w:r>
      <w:r>
        <w:t>46</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_Toc200524771 \h </w:instrText>
      </w:r>
      <w:r>
        <w:fldChar w:fldCharType="separate"/>
      </w:r>
      <w:r>
        <w:t>47</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_Toc200524772 \h </w:instrText>
      </w:r>
      <w:r>
        <w:fldChar w:fldCharType="separate"/>
      </w:r>
      <w:r>
        <w:t>49</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_Toc200524773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 </w:t>
      </w:r>
      <w:r>
        <w:rPr>
          <w:snapToGrid w:val="0"/>
          <w:vertAlign w:val="superscript"/>
        </w:rPr>
        <w:t>M</w:t>
      </w:r>
      <w:r>
        <w:tab/>
      </w:r>
      <w:r>
        <w:fldChar w:fldCharType="begin"/>
      </w:r>
      <w:r>
        <w:instrText xml:space="preserve"> PAGEREF _Toc200524775 \h </w:instrText>
      </w:r>
      <w:r>
        <w:fldChar w:fldCharType="separate"/>
      </w:r>
      <w:r>
        <w:t>51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_Toc200524776 \h </w:instrText>
      </w:r>
      <w:r>
        <w:fldChar w:fldCharType="separate"/>
      </w:r>
      <w:r>
        <w:t>51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_Toc200524777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_Toc200524778 \h </w:instrText>
      </w:r>
      <w:r>
        <w:fldChar w:fldCharType="separate"/>
      </w:r>
      <w:r>
        <w:t>52</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_Toc200524779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_Toc200524780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_Toc200524782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_Toc200524783 \h </w:instrText>
      </w:r>
      <w:r>
        <w:fldChar w:fldCharType="separate"/>
      </w:r>
      <w:r>
        <w:t>57</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_Toc200524784 \h </w:instrText>
      </w:r>
      <w:r>
        <w:fldChar w:fldCharType="separate"/>
      </w:r>
      <w:r>
        <w:t>58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_Toc200524785 \h </w:instrText>
      </w:r>
      <w:r>
        <w:fldChar w:fldCharType="separate"/>
      </w:r>
      <w:r>
        <w:t>59</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_Toc200524786 \h </w:instrText>
      </w:r>
      <w:r>
        <w:fldChar w:fldCharType="separate"/>
      </w:r>
      <w:r>
        <w:t>60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_Toc200524787 \h </w:instrText>
      </w:r>
      <w:r>
        <w:fldChar w:fldCharType="separate"/>
      </w:r>
      <w:r>
        <w:t>61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_Toc200524788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_Toc200524790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_Toc200524792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_Toc200524793 \h </w:instrText>
      </w:r>
      <w:r>
        <w:fldChar w:fldCharType="separate"/>
      </w:r>
      <w:r>
        <w:t>66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_Toc200524794 \h </w:instrText>
      </w:r>
      <w:r>
        <w:fldChar w:fldCharType="separate"/>
      </w:r>
      <w:r>
        <w:t>66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_Toc200524795 \h </w:instrText>
      </w:r>
      <w:r>
        <w:fldChar w:fldCharType="separate"/>
      </w:r>
      <w:r>
        <w:t>67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_Toc200524796 \h </w:instrText>
      </w:r>
      <w:r>
        <w:fldChar w:fldCharType="separate"/>
      </w:r>
      <w:r>
        <w:t>67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_Toc200524797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_Toc200524799 \h </w:instrText>
      </w:r>
      <w:r>
        <w:fldChar w:fldCharType="separate"/>
      </w:r>
      <w:r>
        <w:t>71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_Toc200524800 \h </w:instrText>
      </w:r>
      <w:r>
        <w:fldChar w:fldCharType="separate"/>
      </w:r>
      <w:r>
        <w:t>71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_Toc200524801 \h </w:instrText>
      </w:r>
      <w:r>
        <w:fldChar w:fldCharType="separate"/>
      </w:r>
      <w:r>
        <w:t>72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_Toc200524802 \h </w:instrText>
      </w:r>
      <w:r>
        <w:fldChar w:fldCharType="separate"/>
      </w:r>
      <w:r>
        <w:t>72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_Toc200524803 \h </w:instrText>
      </w:r>
      <w:r>
        <w:fldChar w:fldCharType="separate"/>
      </w:r>
      <w:r>
        <w:t>72</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_Toc200524804 \h </w:instrText>
      </w:r>
      <w:r>
        <w:fldChar w:fldCharType="separate"/>
      </w:r>
      <w:r>
        <w:t>73</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_Toc200524805 \h </w:instrText>
      </w:r>
      <w:r>
        <w:fldChar w:fldCharType="separate"/>
      </w:r>
      <w:r>
        <w:t>74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_Toc200524806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_Toc200524807 \h </w:instrText>
      </w:r>
      <w:r>
        <w:fldChar w:fldCharType="separate"/>
      </w:r>
      <w:r>
        <w:t>76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_Toc200524808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_Toc200524810 \h </w:instrText>
      </w:r>
      <w:r>
        <w:fldChar w:fldCharType="separate"/>
      </w:r>
      <w:r>
        <w:t>80</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_Toc200524811 \h </w:instrText>
      </w:r>
      <w:r>
        <w:fldChar w:fldCharType="separate"/>
      </w:r>
      <w:r>
        <w:t>80</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_Toc200524812 \h </w:instrText>
      </w:r>
      <w:r>
        <w:fldChar w:fldCharType="separate"/>
      </w:r>
      <w:r>
        <w:t>80</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_Toc200524813 \h </w:instrText>
      </w:r>
      <w:r>
        <w:fldChar w:fldCharType="separate"/>
      </w:r>
      <w:r>
        <w:t>82</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_Toc200524814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_Toc200524816 \h </w:instrText>
      </w:r>
      <w:r>
        <w:fldChar w:fldCharType="separate"/>
      </w:r>
      <w:r>
        <w:t>85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_Toc200524817 \h </w:instrText>
      </w:r>
      <w:r>
        <w:fldChar w:fldCharType="separate"/>
      </w:r>
      <w:r>
        <w:t>85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_Toc200524818 \h </w:instrText>
      </w:r>
      <w:r>
        <w:fldChar w:fldCharType="separate"/>
      </w:r>
      <w:r>
        <w:t>86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_Toc200524819 \h </w:instrText>
      </w:r>
      <w:r>
        <w:fldChar w:fldCharType="separate"/>
      </w:r>
      <w:r>
        <w:t>86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_Toc200524820 \h </w:instrText>
      </w:r>
      <w:r>
        <w:fldChar w:fldCharType="separate"/>
      </w:r>
      <w:r>
        <w:t>87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_Toc200524821 \h </w:instrText>
      </w:r>
      <w:r>
        <w:fldChar w:fldCharType="separate"/>
      </w:r>
      <w:r>
        <w:t>88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_Toc200524822 \h </w:instrText>
      </w:r>
      <w:r>
        <w:fldChar w:fldCharType="separate"/>
      </w:r>
      <w:r>
        <w:t>89</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_Toc200524823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_Toc200524825 \h </w:instrText>
      </w:r>
      <w:r>
        <w:fldChar w:fldCharType="separate"/>
      </w:r>
      <w:r>
        <w:t>93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_Toc200524826 \h </w:instrText>
      </w:r>
      <w:r>
        <w:fldChar w:fldCharType="separate"/>
      </w:r>
      <w:r>
        <w:t>93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_Toc200524827 \h </w:instrText>
      </w:r>
      <w:r>
        <w:fldChar w:fldCharType="separate"/>
      </w:r>
      <w:r>
        <w:t>94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_Toc200524828 \h </w:instrText>
      </w:r>
      <w:r>
        <w:fldChar w:fldCharType="separate"/>
      </w:r>
      <w:r>
        <w:t>94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_Toc200524829 \h </w:instrText>
      </w:r>
      <w:r>
        <w:fldChar w:fldCharType="separate"/>
      </w:r>
      <w:r>
        <w:t>95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_Toc200524830 \h </w:instrText>
      </w:r>
      <w:r>
        <w:fldChar w:fldCharType="separate"/>
      </w:r>
      <w:r>
        <w:t>96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_Toc200524831 \h </w:instrText>
      </w:r>
      <w:r>
        <w:fldChar w:fldCharType="separate"/>
      </w:r>
      <w:r>
        <w:t>97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_Toc200524832 \h </w:instrText>
      </w:r>
      <w:r>
        <w:fldChar w:fldCharType="separate"/>
      </w:r>
      <w:r>
        <w:t>98</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_Toc200524833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_Toc200524835 \h </w:instrText>
      </w:r>
      <w:r>
        <w:fldChar w:fldCharType="separate"/>
      </w:r>
      <w:r>
        <w:t>105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_Toc200524836 \h </w:instrText>
      </w:r>
      <w:r>
        <w:fldChar w:fldCharType="separate"/>
      </w:r>
      <w:r>
        <w:t>105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_Toc200524837 \h </w:instrText>
      </w:r>
      <w:r>
        <w:fldChar w:fldCharType="separate"/>
      </w:r>
      <w:r>
        <w:t>106</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_Toc200524838 \h </w:instrText>
      </w:r>
      <w:r>
        <w:fldChar w:fldCharType="separate"/>
      </w:r>
      <w:r>
        <w:t>107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_Toc200524839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_Toc200524842 \h </w:instrText>
      </w:r>
      <w:r>
        <w:fldChar w:fldCharType="separate"/>
      </w:r>
      <w:r>
        <w:t>111</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_Toc200524843 \h </w:instrText>
      </w:r>
      <w:r>
        <w:fldChar w:fldCharType="separate"/>
      </w:r>
      <w:r>
        <w:t>112</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_Toc200524844 \h </w:instrText>
      </w:r>
      <w:r>
        <w:fldChar w:fldCharType="separate"/>
      </w:r>
      <w:r>
        <w:t>112</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_Toc200524845 \h </w:instrText>
      </w:r>
      <w:r>
        <w:fldChar w:fldCharType="separate"/>
      </w:r>
      <w:r>
        <w:t>113</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_Toc200524846 \h </w:instrText>
      </w:r>
      <w:r>
        <w:fldChar w:fldCharType="separate"/>
      </w:r>
      <w:r>
        <w:t>113</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_Toc200524847 \h </w:instrText>
      </w:r>
      <w:r>
        <w:fldChar w:fldCharType="separate"/>
      </w:r>
      <w:r>
        <w:t>115</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_Toc200524848 \h </w:instrText>
      </w:r>
      <w:r>
        <w:fldChar w:fldCharType="separate"/>
      </w:r>
      <w:r>
        <w:t>116</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_Toc200524849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_Toc200524851 \h </w:instrText>
      </w:r>
      <w:r>
        <w:fldChar w:fldCharType="separate"/>
      </w:r>
      <w:r>
        <w:t>122</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_Toc200524852 \h </w:instrText>
      </w:r>
      <w:r>
        <w:fldChar w:fldCharType="separate"/>
      </w:r>
      <w:r>
        <w:t>123</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_Toc200524853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_Toc200524855 \h </w:instrText>
      </w:r>
      <w:r>
        <w:fldChar w:fldCharType="separate"/>
      </w:r>
      <w:r>
        <w:t>126</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_Toc200524856 \h </w:instrText>
      </w:r>
      <w:r>
        <w:fldChar w:fldCharType="separate"/>
      </w:r>
      <w:r>
        <w:t>126</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_Toc200524857 \h </w:instrText>
      </w:r>
      <w:r>
        <w:fldChar w:fldCharType="separate"/>
      </w:r>
      <w:r>
        <w:t>126</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_Toc200524858 \h </w:instrText>
      </w:r>
      <w:r>
        <w:fldChar w:fldCharType="separate"/>
      </w:r>
      <w:r>
        <w:t>127</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_Toc200524859 \h </w:instrText>
      </w:r>
      <w:r>
        <w:fldChar w:fldCharType="separate"/>
      </w:r>
      <w:r>
        <w:t>128</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_Toc200524860 \h </w:instrText>
      </w:r>
      <w:r>
        <w:fldChar w:fldCharType="separate"/>
      </w:r>
      <w:r>
        <w:t>129</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_Toc200524861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_Toc200524863 \h </w:instrText>
      </w:r>
      <w:r>
        <w:fldChar w:fldCharType="separate"/>
      </w:r>
      <w:r>
        <w:t>131</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_Toc200524864 \h </w:instrText>
      </w:r>
      <w:r>
        <w:fldChar w:fldCharType="separate"/>
      </w:r>
      <w:r>
        <w:t>131</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_Toc200524865 \h </w:instrText>
      </w:r>
      <w:r>
        <w:fldChar w:fldCharType="separate"/>
      </w:r>
      <w:r>
        <w:t>132</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_Toc200524866 \h </w:instrText>
      </w:r>
      <w:r>
        <w:fldChar w:fldCharType="separate"/>
      </w:r>
      <w:r>
        <w:t>132</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_Toc200524867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_Toc200524870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_Toc200524872 \h </w:instrText>
      </w:r>
      <w:r>
        <w:fldChar w:fldCharType="separate"/>
      </w:r>
      <w:r>
        <w:t>136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_Toc200524873 \h </w:instrText>
      </w:r>
      <w:r>
        <w:fldChar w:fldCharType="separate"/>
      </w:r>
      <w:r>
        <w:t>137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_Toc200524874 \h </w:instrText>
      </w:r>
      <w:r>
        <w:fldChar w:fldCharType="separate"/>
      </w:r>
      <w:r>
        <w:t>137</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_Toc200524875 \h </w:instrText>
      </w:r>
      <w:r>
        <w:fldChar w:fldCharType="separate"/>
      </w:r>
      <w:r>
        <w:t>139</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_Toc200524876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_Toc200524878 \h </w:instrText>
      </w:r>
      <w:r>
        <w:fldChar w:fldCharType="separate"/>
      </w:r>
      <w:r>
        <w:t>142</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_Toc200524879 \h </w:instrText>
      </w:r>
      <w:r>
        <w:fldChar w:fldCharType="separate"/>
      </w:r>
      <w:r>
        <w:t>142</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_Toc200524880 \h </w:instrText>
      </w:r>
      <w:r>
        <w:fldChar w:fldCharType="separate"/>
      </w:r>
      <w:r>
        <w:t>143</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_Toc200524881 \h </w:instrText>
      </w:r>
      <w:r>
        <w:fldChar w:fldCharType="separate"/>
      </w:r>
      <w:r>
        <w:t>145</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_Toc200524882 \h </w:instrText>
      </w:r>
      <w:r>
        <w:fldChar w:fldCharType="separate"/>
      </w:r>
      <w:r>
        <w:t>146</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_Toc200524883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_Toc200524885 \h </w:instrText>
      </w:r>
      <w:r>
        <w:fldChar w:fldCharType="separate"/>
      </w:r>
      <w:r>
        <w:t>147</w:t>
      </w:r>
      <w:r>
        <w:fldChar w:fldCharType="end"/>
      </w:r>
    </w:p>
    <w:p>
      <w:pPr>
        <w:pStyle w:val="TOC8"/>
        <w:rPr>
          <w:rFonts w:asciiTheme="minorHAnsi" w:eastAsiaTheme="minorEastAsia" w:hAnsiTheme="minorHAnsi" w:cstheme="minorBidi"/>
          <w:szCs w:val="22"/>
        </w:rPr>
      </w:pPr>
      <w:r>
        <w:t>97A.</w:t>
      </w:r>
      <w:r>
        <w:tab/>
      </w:r>
      <w:r>
        <w:rPr>
          <w:bCs/>
        </w:rPr>
        <w:t xml:space="preserve">Declaration of serious offence for purposes of </w:t>
      </w:r>
      <w:r>
        <w:rPr>
          <w:bCs/>
          <w:i/>
        </w:rPr>
        <w:t>High Risk Serious Offenders Act 2020</w:t>
      </w:r>
      <w:r>
        <w:rPr>
          <w:bCs/>
        </w:rPr>
        <w:t xml:space="preserve"> and </w:t>
      </w:r>
      <w:r>
        <w:rPr>
          <w:bCs/>
          <w:i/>
        </w:rPr>
        <w:t>Sentence Administration Act 2003</w:t>
      </w:r>
      <w:r>
        <w:rPr>
          <w:bCs/>
        </w:rPr>
        <w:t xml:space="preserve"> Part 5A</w:t>
      </w:r>
      <w:r>
        <w:tab/>
      </w:r>
      <w:r>
        <w:fldChar w:fldCharType="begin"/>
      </w:r>
      <w:r>
        <w:instrText xml:space="preserve"> PAGEREF _Toc200524886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_Toc200524888 \h </w:instrText>
      </w:r>
      <w:r>
        <w:fldChar w:fldCharType="separate"/>
      </w:r>
      <w:r>
        <w:t>150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_Toc200524889 \h </w:instrText>
      </w:r>
      <w:r>
        <w:fldChar w:fldCharType="separate"/>
      </w:r>
      <w:r>
        <w:t>151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_Toc200524890 \h </w:instrText>
      </w:r>
      <w:r>
        <w:fldChar w:fldCharType="separate"/>
      </w:r>
      <w:r>
        <w:t>151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_Toc200524891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_Toc200524894 \h </w:instrText>
      </w:r>
      <w:r>
        <w:fldChar w:fldCharType="separate"/>
      </w:r>
      <w:r>
        <w:t>152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_Toc200524895 \h </w:instrText>
      </w:r>
      <w:r>
        <w:fldChar w:fldCharType="separate"/>
      </w:r>
      <w:r>
        <w:t>152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_Toc200524896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_Toc200524898 \h </w:instrText>
      </w:r>
      <w:r>
        <w:fldChar w:fldCharType="separate"/>
      </w:r>
      <w:r>
        <w:t>152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r>
      <w:r>
        <w:t>Disqualification and suspension of firearm authority</w:t>
      </w:r>
      <w:r>
        <w:tab/>
      </w:r>
      <w:r>
        <w:fldChar w:fldCharType="begin"/>
      </w:r>
      <w:r>
        <w:instrText xml:space="preserve"> PAGEREF _Toc200524899 \h </w:instrText>
      </w:r>
      <w:r>
        <w:fldChar w:fldCharType="separate"/>
      </w:r>
      <w:r>
        <w:t>154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_Toc200524900 \h </w:instrText>
      </w:r>
      <w:r>
        <w:fldChar w:fldCharType="separate"/>
      </w:r>
      <w:r>
        <w:t>156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_Toc200524901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_Toc200524904 \h </w:instrText>
      </w:r>
      <w:r>
        <w:fldChar w:fldCharType="separate"/>
      </w:r>
      <w:r>
        <w:t>159</w:t>
      </w:r>
      <w:r>
        <w:fldChar w:fldCharType="end"/>
      </w:r>
    </w:p>
    <w:p>
      <w:pPr>
        <w:pStyle w:val="TOC8"/>
        <w:rPr>
          <w:rFonts w:asciiTheme="minorHAnsi" w:eastAsiaTheme="minorEastAsia" w:hAnsiTheme="minorHAnsi" w:cstheme="minorBidi"/>
          <w:szCs w:val="22"/>
        </w:rPr>
      </w:pPr>
      <w:r>
        <w:lastRenderedPageBreak/>
        <w:t>110</w:t>
      </w:r>
      <w:r>
        <w:rPr>
          <w:snapToGrid w:val="0"/>
        </w:rPr>
        <w:t>.</w:t>
      </w:r>
      <w:r>
        <w:rPr>
          <w:snapToGrid w:val="0"/>
        </w:rPr>
        <w:tab/>
        <w:t>General provisions</w:t>
      </w:r>
      <w:r>
        <w:tab/>
      </w:r>
      <w:r>
        <w:fldChar w:fldCharType="begin"/>
      </w:r>
      <w:r>
        <w:instrText xml:space="preserve"> PAGEREF _Toc200524905 \h </w:instrText>
      </w:r>
      <w:r>
        <w:fldChar w:fldCharType="separate"/>
      </w:r>
      <w:r>
        <w:t>159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_Toc200524906 \h </w:instrText>
      </w:r>
      <w:r>
        <w:fldChar w:fldCharType="separate"/>
      </w:r>
      <w:r>
        <w:t>159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_Toc200524907 \h </w:instrText>
      </w:r>
      <w:r>
        <w:fldChar w:fldCharType="separate"/>
      </w:r>
      <w:r>
        <w:t>160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_Toc200524908 \h </w:instrText>
      </w:r>
      <w:r>
        <w:fldChar w:fldCharType="separate"/>
      </w:r>
      <w:r>
        <w:t>161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_Toc200524909 \h </w:instrText>
      </w:r>
      <w:r>
        <w:fldChar w:fldCharType="separate"/>
      </w:r>
      <w:r>
        <w:t>161</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_Toc200524910 \h </w:instrText>
      </w:r>
      <w:r>
        <w:fldChar w:fldCharType="separate"/>
      </w:r>
      <w:r>
        <w:t>161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_Toc200524911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_Toc200524913 \h </w:instrText>
      </w:r>
      <w:r>
        <w:fldChar w:fldCharType="separate"/>
      </w:r>
      <w:r>
        <w:t>162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_Toc200524914 \h </w:instrText>
      </w:r>
      <w:r>
        <w:fldChar w:fldCharType="separate"/>
      </w:r>
      <w:r>
        <w:t>163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_Toc200524915 \h </w:instrText>
      </w:r>
      <w:r>
        <w:fldChar w:fldCharType="separate"/>
      </w:r>
      <w:r>
        <w:t>163</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_Toc200524916 \h </w:instrText>
      </w:r>
      <w:r>
        <w:fldChar w:fldCharType="separate"/>
      </w:r>
      <w:r>
        <w:t>164</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_Toc200524917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_Toc200524919 \h </w:instrText>
      </w:r>
      <w:r>
        <w:fldChar w:fldCharType="separate"/>
      </w:r>
      <w:r>
        <w:t>165</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_Toc200524920 \h </w:instrText>
      </w:r>
      <w:r>
        <w:fldChar w:fldCharType="separate"/>
      </w:r>
      <w:r>
        <w:t>166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_Toc200524921 \h </w:instrText>
      </w:r>
      <w:r>
        <w:fldChar w:fldCharType="separate"/>
      </w:r>
      <w:r>
        <w:t>166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_Toc200524922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_Toc200524925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_Toc200524927 \h </w:instrText>
      </w:r>
      <w:r>
        <w:fldChar w:fldCharType="separate"/>
      </w:r>
      <w:r>
        <w:t>168</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_Toc200524928 \h </w:instrText>
      </w:r>
      <w:r>
        <w:fldChar w:fldCharType="separate"/>
      </w:r>
      <w:r>
        <w:t>169</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_Toc200524929 \h </w:instrText>
      </w:r>
      <w:r>
        <w:fldChar w:fldCharType="separate"/>
      </w:r>
      <w:r>
        <w:t>169</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_Toc200524930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_Toc200524932 \h </w:instrText>
      </w:r>
      <w:r>
        <w:fldChar w:fldCharType="separate"/>
      </w:r>
      <w:r>
        <w:t>169</w:t>
      </w:r>
      <w:r>
        <w:fldChar w:fldCharType="end"/>
      </w:r>
    </w:p>
    <w:p>
      <w:pPr>
        <w:pStyle w:val="TOC8"/>
        <w:rPr>
          <w:rFonts w:asciiTheme="minorHAnsi" w:eastAsiaTheme="minorEastAsia" w:hAnsiTheme="minorHAnsi" w:cstheme="minorBidi"/>
          <w:szCs w:val="22"/>
        </w:rPr>
      </w:pPr>
      <w:r>
        <w:lastRenderedPageBreak/>
        <w:t>124E.</w:t>
      </w:r>
      <w:r>
        <w:tab/>
        <w:t>Serial family violence offenders</w:t>
      </w:r>
      <w:r>
        <w:tab/>
      </w:r>
      <w:r>
        <w:fldChar w:fldCharType="begin"/>
      </w:r>
      <w:r>
        <w:instrText xml:space="preserve"> PAGEREF _Toc200524933 \h </w:instrText>
      </w:r>
      <w:r>
        <w:fldChar w:fldCharType="separate"/>
      </w:r>
      <w:r>
        <w:t>170</w:t>
      </w:r>
      <w:r>
        <w:fldChar w:fldCharType="end"/>
      </w:r>
    </w:p>
    <w:p>
      <w:pPr>
        <w:pStyle w:val="TOC8"/>
        <w:rPr>
          <w:rFonts w:asciiTheme="minorHAnsi" w:eastAsiaTheme="minorEastAsia" w:hAnsiTheme="minorHAnsi" w:cstheme="minorBidi"/>
          <w:szCs w:val="22"/>
        </w:rPr>
      </w:pPr>
      <w:r>
        <w:t>124F.</w:t>
      </w:r>
      <w:r>
        <w:tab/>
        <w:t>Serial family violence offender declaration — related matters</w:t>
      </w:r>
      <w:r>
        <w:tab/>
      </w:r>
      <w:r>
        <w:fldChar w:fldCharType="begin"/>
      </w:r>
      <w:r>
        <w:instrText xml:space="preserve"> PAGEREF _Toc200524934 \h </w:instrText>
      </w:r>
      <w:r>
        <w:fldChar w:fldCharType="separate"/>
      </w:r>
      <w:r>
        <w:t>172</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_Toc200524935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_Toc200524938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_Toc200524940 \h </w:instrText>
      </w:r>
      <w:r>
        <w:fldChar w:fldCharType="separate"/>
      </w:r>
      <w:r>
        <w:t>176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_Toc200524941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_Toc200524943 \h </w:instrText>
      </w:r>
      <w:r>
        <w:fldChar w:fldCharType="separate"/>
      </w:r>
      <w:r>
        <w:t>177</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_Toc200524944 \h </w:instrText>
      </w:r>
      <w:r>
        <w:fldChar w:fldCharType="separate"/>
      </w:r>
      <w:r>
        <w:t>178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_Toc200524945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_Toc200524947 \h </w:instrText>
      </w:r>
      <w:r>
        <w:fldChar w:fldCharType="separate"/>
      </w:r>
      <w:r>
        <w:t>181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_Toc200524948 \h </w:instrText>
      </w:r>
      <w:r>
        <w:fldChar w:fldCharType="separate"/>
      </w:r>
      <w:r>
        <w:t>182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_Toc200524949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_Toc200524951 \h </w:instrText>
      </w:r>
      <w:r>
        <w:fldChar w:fldCharType="separate"/>
      </w:r>
      <w:r>
        <w:t>184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_Toc200524952 \h </w:instrText>
      </w:r>
      <w:r>
        <w:fldChar w:fldCharType="separate"/>
      </w:r>
      <w:r>
        <w:t>185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_Toc200524953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_Toc200524955 \h </w:instrText>
      </w:r>
      <w:r>
        <w:fldChar w:fldCharType="separate"/>
      </w:r>
      <w:r>
        <w:t>186</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_Toc200524956 \h </w:instrText>
      </w:r>
      <w:r>
        <w:fldChar w:fldCharType="separate"/>
      </w:r>
      <w:r>
        <w:t>186</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_Toc200524957 \h </w:instrText>
      </w:r>
      <w:r>
        <w:fldChar w:fldCharType="separate"/>
      </w:r>
      <w:r>
        <w:t>187</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_Toc200524958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136E.</w:t>
      </w:r>
      <w:r>
        <w:tab/>
        <w:t>Court to deal with application to amend or cancel community order</w:t>
      </w:r>
      <w:r>
        <w:tab/>
      </w:r>
      <w:r>
        <w:fldChar w:fldCharType="begin"/>
      </w:r>
      <w:r>
        <w:instrText xml:space="preserve"> PAGEREF _Toc200524959 \h </w:instrText>
      </w:r>
      <w:r>
        <w:fldChar w:fldCharType="separate"/>
      </w:r>
      <w:r>
        <w:t>188</w:t>
      </w:r>
      <w:r>
        <w:fldChar w:fldCharType="end"/>
      </w:r>
    </w:p>
    <w:p>
      <w:pPr>
        <w:pStyle w:val="TOC8"/>
        <w:rPr>
          <w:rFonts w:asciiTheme="minorHAnsi" w:eastAsiaTheme="minorEastAsia" w:hAnsiTheme="minorHAnsi" w:cstheme="minorBidi"/>
          <w:szCs w:val="22"/>
        </w:rPr>
      </w:pPr>
      <w:r>
        <w:t>136F.</w:t>
      </w:r>
      <w:r>
        <w:tab/>
        <w:t>Court to deal with proceedings for breaches</w:t>
      </w:r>
      <w:r>
        <w:tab/>
      </w:r>
      <w:r>
        <w:fldChar w:fldCharType="begin"/>
      </w:r>
      <w:r>
        <w:instrText xml:space="preserve"> PAGEREF _Toc200524960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_Toc200524962 \h </w:instrText>
      </w:r>
      <w:r>
        <w:fldChar w:fldCharType="separate"/>
      </w:r>
      <w:r>
        <w:t>189</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_Toc200524963 \h </w:instrText>
      </w:r>
      <w:r>
        <w:fldChar w:fldCharType="separate"/>
      </w:r>
      <w:r>
        <w:t>189</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_Toc200524964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_Toc200524966 \h </w:instrText>
      </w:r>
      <w:r>
        <w:fldChar w:fldCharType="separate"/>
      </w:r>
      <w:r>
        <w:t>191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_Toc200524967 \h </w:instrText>
      </w:r>
      <w:r>
        <w:fldChar w:fldCharType="separate"/>
      </w:r>
      <w:r>
        <w:t>191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_Toc200524968 \h </w:instrText>
      </w:r>
      <w:r>
        <w:fldChar w:fldCharType="separate"/>
      </w:r>
      <w:r>
        <w:t>191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_Toc200524969 \h </w:instrText>
      </w:r>
      <w:r>
        <w:fldChar w:fldCharType="separate"/>
      </w:r>
      <w:r>
        <w:t>191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_Toc200524970 \h </w:instrText>
      </w:r>
      <w:r>
        <w:fldChar w:fldCharType="separate"/>
      </w:r>
      <w:r>
        <w:t>192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_Toc200524971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_Toc200524973 \h </w:instrText>
      </w:r>
      <w:r>
        <w:fldChar w:fldCharType="separate"/>
      </w:r>
      <w:r>
        <w:t>194</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_Toc200524974 \h </w:instrText>
      </w:r>
      <w:r>
        <w:fldChar w:fldCharType="separate"/>
      </w:r>
      <w:r>
        <w:t>194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_Toc200524975 \h </w:instrText>
      </w:r>
      <w:r>
        <w:fldChar w:fldCharType="separate"/>
      </w:r>
      <w:r>
        <w:t>195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_Toc200524976 \h </w:instrText>
      </w:r>
      <w:r>
        <w:fldChar w:fldCharType="separate"/>
      </w:r>
      <w:r>
        <w:t>195</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_Toc200524977 \h </w:instrText>
      </w:r>
      <w:r>
        <w:fldChar w:fldCharType="separate"/>
      </w:r>
      <w:r>
        <w:t>195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_Toc200524978 \h </w:instrText>
      </w:r>
      <w:r>
        <w:fldChar w:fldCharType="separate"/>
      </w:r>
      <w:r>
        <w:t>196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_Toc200524979 \h </w:instrText>
      </w:r>
      <w:r>
        <w:fldChar w:fldCharType="separate"/>
      </w:r>
      <w:r>
        <w:t>196</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_Toc200524980 \h </w:instrText>
      </w:r>
      <w:r>
        <w:fldChar w:fldCharType="separate"/>
      </w:r>
      <w:r>
        <w:t>196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_Toc200524981 \h </w:instrText>
      </w:r>
      <w:r>
        <w:fldChar w:fldCharType="separate"/>
      </w:r>
      <w:r>
        <w:t>197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_Toc200524982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_Toc200524984 \h </w:instrText>
      </w:r>
      <w:r>
        <w:fldChar w:fldCharType="separate"/>
      </w:r>
      <w:r>
        <w:t>198</w:t>
      </w:r>
      <w:r>
        <w:fldChar w:fldCharType="end"/>
      </w:r>
    </w:p>
    <w:p>
      <w:pPr>
        <w:pStyle w:val="TOC8"/>
        <w:rPr>
          <w:rFonts w:asciiTheme="minorHAnsi" w:eastAsiaTheme="minorEastAsia" w:hAnsiTheme="minorHAnsi" w:cstheme="minorBidi"/>
          <w:szCs w:val="22"/>
        </w:rPr>
      </w:pPr>
      <w:r>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_Toc200524985 \h </w:instrText>
      </w:r>
      <w:r>
        <w:fldChar w:fldCharType="separate"/>
      </w:r>
      <w:r>
        <w:t>198</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_Toc200524986 \h </w:instrText>
      </w:r>
      <w:r>
        <w:fldChar w:fldCharType="separate"/>
      </w:r>
      <w:r>
        <w:t>199</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_Toc200524987 \h </w:instrText>
      </w:r>
      <w:r>
        <w:fldChar w:fldCharType="separate"/>
      </w:r>
      <w:r>
        <w:t>199</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_Toc200524988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_Toc200524994 \h </w:instrText>
      </w:r>
      <w:r>
        <w:fldChar w:fldCharType="separate"/>
      </w:r>
      <w:r>
        <w:t>222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_Toc200524995 \h </w:instrText>
      </w:r>
      <w:r>
        <w:fldChar w:fldCharType="separate"/>
      </w:r>
      <w:r>
        <w:t>231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_Toc200524996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2" w:name="_Toc200459717"/>
      <w:bookmarkStart w:id="3" w:name="_Toc200460017"/>
      <w:bookmarkStart w:id="4" w:name="_Toc20052469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20052469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6" w:name="_Toc200524700"/>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7" w:name="_Toc200524701"/>
      <w:r>
        <w:rPr>
          <w:rStyle w:val="CharSectno"/>
        </w:rPr>
        <w:t>3</w:t>
      </w:r>
      <w:r>
        <w:rPr>
          <w:snapToGrid w:val="0"/>
        </w:rPr>
        <w:t>.</w:t>
      </w:r>
      <w:r>
        <w:rPr>
          <w:snapToGrid w:val="0"/>
        </w:rPr>
        <w:tab/>
        <w:t>Application of this Act</w:t>
      </w:r>
      <w:bookmarkEnd w:id="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8" w:name="_Toc200524702"/>
      <w:r>
        <w:rPr>
          <w:rStyle w:val="CharSectno"/>
        </w:rPr>
        <w:t>4A</w:t>
      </w:r>
      <w:r>
        <w:t>.</w:t>
      </w:r>
      <w:r>
        <w:tab/>
      </w:r>
      <w:r>
        <w:rPr>
          <w:i/>
        </w:rPr>
        <w:t>Courts and Tribunals (Electronic Processes Facilitation) Act 2013</w:t>
      </w:r>
      <w:r>
        <w:t xml:space="preserve"> Part 2 applies</w:t>
      </w:r>
      <w:bookmarkEnd w:id="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9" w:name="_Toc200524703"/>
      <w:r>
        <w:rPr>
          <w:rStyle w:val="CharSectno"/>
        </w:rPr>
        <w:lastRenderedPageBreak/>
        <w:t>4</w:t>
      </w:r>
      <w:r>
        <w:rPr>
          <w:snapToGrid w:val="0"/>
        </w:rPr>
        <w:t>.</w:t>
      </w:r>
      <w:r>
        <w:rPr>
          <w:snapToGrid w:val="0"/>
        </w:rPr>
        <w:tab/>
        <w:t>Terms used</w:t>
      </w:r>
      <w:bookmarkEnd w:id="9"/>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lastRenderedPageBreak/>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 or</w:t>
      </w:r>
    </w:p>
    <w:p>
      <w:pPr>
        <w:pStyle w:val="Indenta"/>
      </w:pPr>
      <w:r>
        <w:tab/>
        <w:t>(d)</w:t>
      </w:r>
      <w:r>
        <w:tab/>
        <w:t xml:space="preserve">one of whom is a child who — </w:t>
      </w:r>
    </w:p>
    <w:p>
      <w:pPr>
        <w:pStyle w:val="Defsubpara"/>
      </w:pPr>
      <w:r>
        <w:tab/>
        <w:t>(i)</w:t>
      </w:r>
      <w:r>
        <w:tab/>
        <w:t>ordinarily resides, or resided, with the other person; or</w:t>
      </w:r>
    </w:p>
    <w:p>
      <w:pPr>
        <w:pStyle w:val="Defsubpara"/>
      </w:pPr>
      <w:r>
        <w:tab/>
        <w:t>(ii)</w:t>
      </w:r>
      <w:r>
        <w:tab/>
        <w:t xml:space="preserve">regularly resides or stays, or resided or stayed, with the other person; </w:t>
      </w:r>
    </w:p>
    <w:p>
      <w:pPr>
        <w:pStyle w:val="Defpara"/>
        <w:rPr>
          <w:rStyle w:val="DraftersNotes"/>
          <w:b w:val="0"/>
          <w:i w:val="0"/>
        </w:rPr>
      </w:pPr>
      <w:r>
        <w:tab/>
      </w:r>
      <w:r>
        <w:tab/>
        <w:t>or</w:t>
      </w:r>
    </w:p>
    <w:p>
      <w:pPr>
        <w:pStyle w:val="Defpara"/>
      </w:pPr>
      <w:r>
        <w:tab/>
        <w:t>(e)</w:t>
      </w:r>
      <w:r>
        <w:tab/>
        <w:t>one of whom is, or was, a child of whom the other person is a guardian;</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 (category A)</w:t>
      </w:r>
      <w:r>
        <w:t xml:space="preserve"> means an offence where the offender and the victim are in a designated family relationship with each other at the time of the commission of the offence and the offence is an offence against </w:t>
      </w:r>
      <w:r>
        <w:rPr>
          <w:i/>
        </w:rPr>
        <w:t>The Criminal Code</w:t>
      </w:r>
      <w:r>
        <w:t xml:space="preserve"> section 221BD, 279, 280, 281, 283, 292, 293, 294, 297, 298, 300, 301, 304, 313, 317, 317A, 323, 324, 325, 326, 328, 332, 333, 338A, 338B, 338C, 338E or 444;</w:t>
      </w:r>
    </w:p>
    <w:p>
      <w:pPr>
        <w:pStyle w:val="Defstart"/>
      </w:pPr>
      <w:r>
        <w:tab/>
      </w:r>
      <w:r>
        <w:rPr>
          <w:rStyle w:val="CharDefText"/>
        </w:rPr>
        <w:t>family violence offence (category B)</w:t>
      </w:r>
      <w:r>
        <w:t xml:space="preserve"> means an offence where the offender and the victim are in a designated family relationship with each other at the time of the commission of the offence and the offence is — </w:t>
      </w:r>
    </w:p>
    <w:p>
      <w:pPr>
        <w:pStyle w:val="Defpara"/>
      </w:pPr>
      <w:r>
        <w:tab/>
        <w:t>(a)</w:t>
      </w:r>
      <w:r>
        <w:tab/>
        <w:t xml:space="preserve">an offence against the </w:t>
      </w:r>
      <w:r>
        <w:rPr>
          <w:i/>
        </w:rPr>
        <w:t>Restraining Orders Act 1997</w:t>
      </w:r>
      <w:r>
        <w:t xml:space="preserve"> section 61(1) or (1A); or</w:t>
      </w:r>
    </w:p>
    <w:p>
      <w:pPr>
        <w:pStyle w:val="Defpara"/>
      </w:pPr>
      <w:r>
        <w:tab/>
        <w:t>(b)</w:t>
      </w:r>
      <w:r>
        <w:tab/>
        <w:t xml:space="preserve">an offence against </w:t>
      </w:r>
      <w:r>
        <w:rPr>
          <w:i/>
        </w:rPr>
        <w:t>The Criminal Code</w:t>
      </w:r>
      <w:r>
        <w:t xml:space="preserve"> section 221BD, 279, 280, 281, 283, 292, 293, 294, 297, 298, 300, 301, </w:t>
      </w:r>
      <w:r>
        <w:lastRenderedPageBreak/>
        <w:t>304, 313, 317, 317A, 323, 324, 325, 326, 328, 332, 333, 338A, 338B, 338C, 338E or 444;</w:t>
      </w:r>
    </w:p>
    <w:p>
      <w:pPr>
        <w:pStyle w:val="Defstart"/>
      </w:pPr>
      <w:r>
        <w:tab/>
      </w:r>
      <w:r>
        <w:rPr>
          <w:rStyle w:val="CharDefText"/>
        </w:rPr>
        <w:t>family violence restraining order</w:t>
      </w:r>
      <w:r>
        <w:t xml:space="preserve"> has the meaning given in the </w:t>
      </w:r>
      <w:r>
        <w:rPr>
          <w:i/>
        </w:rPr>
        <w:t>Restraining Orders Act 1997</w:t>
      </w:r>
      <w:r>
        <w:t xml:space="preserve"> section 3(1);</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lastRenderedPageBreak/>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keepNext/>
      </w:pPr>
      <w:r>
        <w:lastRenderedPageBreak/>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 No. 28 of 2024 s. 61.]</w:t>
      </w:r>
    </w:p>
    <w:p>
      <w:pPr>
        <w:pStyle w:val="Heading5"/>
        <w:rPr>
          <w:snapToGrid w:val="0"/>
        </w:rPr>
      </w:pPr>
      <w:bookmarkStart w:id="10" w:name="_Toc200524704"/>
      <w:r>
        <w:rPr>
          <w:rStyle w:val="CharSectno"/>
        </w:rPr>
        <w:t>5</w:t>
      </w:r>
      <w:r>
        <w:rPr>
          <w:snapToGrid w:val="0"/>
        </w:rPr>
        <w:t>.</w:t>
      </w:r>
      <w:r>
        <w:rPr>
          <w:snapToGrid w:val="0"/>
        </w:rPr>
        <w:tab/>
        <w:t>Civil liability not affected</w:t>
      </w:r>
      <w:bookmarkEnd w:id="10"/>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1" w:name="_Toc200459724"/>
      <w:bookmarkStart w:id="12" w:name="_Toc200460024"/>
      <w:bookmarkStart w:id="13" w:name="_Toc200524705"/>
      <w:r>
        <w:rPr>
          <w:rStyle w:val="CharPartNo"/>
        </w:rPr>
        <w:lastRenderedPageBreak/>
        <w:t>Part 2</w:t>
      </w:r>
      <w:r>
        <w:t> — </w:t>
      </w:r>
      <w:r>
        <w:rPr>
          <w:rStyle w:val="CharPartText"/>
        </w:rPr>
        <w:t>General matters</w:t>
      </w:r>
      <w:bookmarkEnd w:id="11"/>
      <w:bookmarkEnd w:id="12"/>
      <w:bookmarkEnd w:id="13"/>
    </w:p>
    <w:p>
      <w:pPr>
        <w:pStyle w:val="Heading3"/>
      </w:pPr>
      <w:bookmarkStart w:id="14" w:name="_Toc200459725"/>
      <w:bookmarkStart w:id="15" w:name="_Toc200460025"/>
      <w:bookmarkStart w:id="16" w:name="_Toc200524706"/>
      <w:r>
        <w:rPr>
          <w:rStyle w:val="CharDivNo"/>
        </w:rPr>
        <w:t>Division 1</w:t>
      </w:r>
      <w:r>
        <w:rPr>
          <w:snapToGrid w:val="0"/>
        </w:rPr>
        <w:t> — </w:t>
      </w:r>
      <w:r>
        <w:rPr>
          <w:rStyle w:val="CharDivText"/>
        </w:rPr>
        <w:t>Sentencing principles</w:t>
      </w:r>
      <w:bookmarkEnd w:id="14"/>
      <w:bookmarkEnd w:id="15"/>
      <w:bookmarkEnd w:id="16"/>
    </w:p>
    <w:p>
      <w:pPr>
        <w:pStyle w:val="Heading5"/>
        <w:rPr>
          <w:snapToGrid w:val="0"/>
        </w:rPr>
      </w:pPr>
      <w:bookmarkStart w:id="17" w:name="_Toc200524707"/>
      <w:r>
        <w:rPr>
          <w:rStyle w:val="CharSectno"/>
        </w:rPr>
        <w:t>6</w:t>
      </w:r>
      <w:r>
        <w:rPr>
          <w:snapToGrid w:val="0"/>
        </w:rPr>
        <w:t>.</w:t>
      </w:r>
      <w:r>
        <w:rPr>
          <w:snapToGrid w:val="0"/>
        </w:rPr>
        <w:tab/>
        <w:t>Principles of sentencing</w:t>
      </w:r>
      <w:bookmarkEnd w:id="17"/>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18" w:name="_Toc200524708"/>
      <w:r>
        <w:rPr>
          <w:rStyle w:val="CharSectno"/>
        </w:rPr>
        <w:lastRenderedPageBreak/>
        <w:t>7</w:t>
      </w:r>
      <w:r>
        <w:rPr>
          <w:snapToGrid w:val="0"/>
        </w:rPr>
        <w:t>.</w:t>
      </w:r>
      <w:r>
        <w:rPr>
          <w:snapToGrid w:val="0"/>
        </w:rPr>
        <w:tab/>
        <w:t>Aggravating factors</w:t>
      </w:r>
      <w:bookmarkEnd w:id="1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9" w:name="_Toc200524709"/>
      <w:r>
        <w:rPr>
          <w:rStyle w:val="CharSectno"/>
        </w:rPr>
        <w:t>8</w:t>
      </w:r>
      <w:r>
        <w:rPr>
          <w:snapToGrid w:val="0"/>
        </w:rPr>
        <w:t>.</w:t>
      </w:r>
      <w:r>
        <w:rPr>
          <w:snapToGrid w:val="0"/>
        </w:rPr>
        <w:tab/>
        <w:t>Mitigating factors</w:t>
      </w:r>
      <w:bookmarkEnd w:id="19"/>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lastRenderedPageBreak/>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20" w:name="_Toc200524710"/>
      <w:r>
        <w:rPr>
          <w:rStyle w:val="CharSectno"/>
        </w:rPr>
        <w:lastRenderedPageBreak/>
        <w:t>9AA</w:t>
      </w:r>
      <w:r>
        <w:t>.</w:t>
      </w:r>
      <w:r>
        <w:tab/>
        <w:t>Plea of guilty, sentence may be reduced in case of</w:t>
      </w:r>
      <w:bookmarkEnd w:id="20"/>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1" w:name="_Toc200459730"/>
      <w:bookmarkStart w:id="22" w:name="_Toc200460030"/>
      <w:bookmarkStart w:id="23" w:name="_Toc200524711"/>
      <w:r>
        <w:rPr>
          <w:rStyle w:val="CharDivNo"/>
        </w:rPr>
        <w:lastRenderedPageBreak/>
        <w:t>Division 2A</w:t>
      </w:r>
      <w:r>
        <w:t> — </w:t>
      </w:r>
      <w:r>
        <w:rPr>
          <w:rStyle w:val="CharDivText"/>
        </w:rPr>
        <w:t>Sentencing where declared criminal organisations involved</w:t>
      </w:r>
      <w:bookmarkEnd w:id="21"/>
      <w:bookmarkEnd w:id="22"/>
      <w:bookmarkEnd w:id="23"/>
    </w:p>
    <w:p>
      <w:pPr>
        <w:pStyle w:val="Footnoteheading"/>
      </w:pPr>
      <w:r>
        <w:tab/>
        <w:t>[Heading inserted: No. 49 of 2012 s. 181(2).]</w:t>
      </w:r>
    </w:p>
    <w:p>
      <w:pPr>
        <w:pStyle w:val="Heading5"/>
      </w:pPr>
      <w:bookmarkStart w:id="24" w:name="_Toc200524712"/>
      <w:r>
        <w:rPr>
          <w:rStyle w:val="CharSectno"/>
        </w:rPr>
        <w:t>9A</w:t>
      </w:r>
      <w:r>
        <w:t>.</w:t>
      </w:r>
      <w:r>
        <w:tab/>
        <w:t>Terms used</w:t>
      </w:r>
      <w:bookmarkEnd w:id="24"/>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25" w:name="_Toc200524713"/>
      <w:r>
        <w:rPr>
          <w:rStyle w:val="CharSectno"/>
        </w:rPr>
        <w:t>9B</w:t>
      </w:r>
      <w:r>
        <w:t>.</w:t>
      </w:r>
      <w:r>
        <w:tab/>
        <w:t>Application of this Division</w:t>
      </w:r>
      <w:bookmarkEnd w:id="25"/>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26" w:name="_Toc200524714"/>
      <w:r>
        <w:rPr>
          <w:rStyle w:val="CharSectno"/>
        </w:rPr>
        <w:t>9C</w:t>
      </w:r>
      <w:r>
        <w:t>.</w:t>
      </w:r>
      <w:r>
        <w:tab/>
        <w:t>Principal objectives of sentencing for offences where declared criminal organisation involved</w:t>
      </w:r>
      <w:bookmarkEnd w:id="26"/>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lastRenderedPageBreak/>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27" w:name="_Toc200524715"/>
      <w:r>
        <w:rPr>
          <w:rStyle w:val="CharSectno"/>
        </w:rPr>
        <w:t>9D</w:t>
      </w:r>
      <w:r>
        <w:t>.</w:t>
      </w:r>
      <w:r>
        <w:tab/>
        <w:t>Mandatory minimum sentences where declared criminal organisation involved</w:t>
      </w:r>
      <w:bookmarkEnd w:id="27"/>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lastRenderedPageBreak/>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lastRenderedPageBreak/>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28" w:name="_Toc200524716"/>
      <w:r>
        <w:rPr>
          <w:rStyle w:val="CharSectno"/>
        </w:rPr>
        <w:t>9E</w:t>
      </w:r>
      <w:r>
        <w:t>.</w:t>
      </w:r>
      <w:r>
        <w:tab/>
        <w:t>Section 9D not applicable to persons aged under 18</w:t>
      </w:r>
      <w:bookmarkEnd w:id="28"/>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29" w:name="_Toc200524717"/>
      <w:r>
        <w:rPr>
          <w:rStyle w:val="CharSectno"/>
        </w:rPr>
        <w:t>9F</w:t>
      </w:r>
      <w:r>
        <w:t>.</w:t>
      </w:r>
      <w:r>
        <w:tab/>
        <w:t>Further provisions relating to mandatory minimum sentences imposed under section 9D</w:t>
      </w:r>
      <w:bookmarkEnd w:id="29"/>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0" w:name="_Toc200524718"/>
      <w:r>
        <w:rPr>
          <w:rStyle w:val="CharSectno"/>
        </w:rPr>
        <w:lastRenderedPageBreak/>
        <w:t>9G</w:t>
      </w:r>
      <w:r>
        <w:t>.</w:t>
      </w:r>
      <w:r>
        <w:tab/>
        <w:t>Eligibility for parole</w:t>
      </w:r>
      <w:bookmarkEnd w:id="30"/>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31" w:name="_Toc200459738"/>
      <w:bookmarkStart w:id="32" w:name="_Toc200460038"/>
      <w:bookmarkStart w:id="33" w:name="_Toc200524719"/>
      <w:r>
        <w:rPr>
          <w:rStyle w:val="CharDivNo"/>
        </w:rPr>
        <w:t>Division 2</w:t>
      </w:r>
      <w:r>
        <w:rPr>
          <w:snapToGrid w:val="0"/>
        </w:rPr>
        <w:t> — </w:t>
      </w:r>
      <w:r>
        <w:rPr>
          <w:rStyle w:val="CharDivText"/>
        </w:rPr>
        <w:t>Miscellaneous</w:t>
      </w:r>
      <w:bookmarkEnd w:id="31"/>
      <w:bookmarkEnd w:id="32"/>
      <w:bookmarkEnd w:id="33"/>
    </w:p>
    <w:p>
      <w:pPr>
        <w:pStyle w:val="Heading5"/>
        <w:rPr>
          <w:snapToGrid w:val="0"/>
        </w:rPr>
      </w:pPr>
      <w:bookmarkStart w:id="34" w:name="_Toc200524720"/>
      <w:r>
        <w:rPr>
          <w:rStyle w:val="CharSectno"/>
        </w:rPr>
        <w:t>9</w:t>
      </w:r>
      <w:r>
        <w:rPr>
          <w:snapToGrid w:val="0"/>
        </w:rPr>
        <w:t>.</w:t>
      </w:r>
      <w:r>
        <w:rPr>
          <w:snapToGrid w:val="0"/>
        </w:rPr>
        <w:tab/>
        <w:t>Statutory penalty, effect of</w:t>
      </w:r>
      <w:bookmarkEnd w:id="34"/>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lastRenderedPageBreak/>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35" w:name="_Toc200524721"/>
      <w:r>
        <w:rPr>
          <w:rStyle w:val="CharSectno"/>
        </w:rPr>
        <w:lastRenderedPageBreak/>
        <w:t>10</w:t>
      </w:r>
      <w:r>
        <w:rPr>
          <w:snapToGrid w:val="0"/>
        </w:rPr>
        <w:t>.</w:t>
      </w:r>
      <w:r>
        <w:rPr>
          <w:snapToGrid w:val="0"/>
        </w:rPr>
        <w:tab/>
        <w:t>Change of statutory penalty, effect of</w:t>
      </w:r>
      <w:bookmarkEnd w:id="3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6" w:name="_Toc200524722"/>
      <w:r>
        <w:rPr>
          <w:rStyle w:val="CharSectno"/>
        </w:rPr>
        <w:t>11</w:t>
      </w:r>
      <w:r>
        <w:rPr>
          <w:snapToGrid w:val="0"/>
        </w:rPr>
        <w:t>.</w:t>
      </w:r>
      <w:r>
        <w:rPr>
          <w:snapToGrid w:val="0"/>
        </w:rPr>
        <w:tab/>
        <w:t>Person not to be sentenced twice on same evidence</w:t>
      </w:r>
      <w:bookmarkEnd w:id="3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7" w:name="_Toc200524723"/>
      <w:r>
        <w:rPr>
          <w:rStyle w:val="CharSectno"/>
        </w:rPr>
        <w:t>12</w:t>
      </w:r>
      <w:r>
        <w:rPr>
          <w:snapToGrid w:val="0"/>
        </w:rPr>
        <w:t>.</w:t>
      </w:r>
      <w:r>
        <w:rPr>
          <w:snapToGrid w:val="0"/>
        </w:rPr>
        <w:tab/>
        <w:t>Common law bonds abolished</w:t>
      </w:r>
      <w:bookmarkEnd w:id="3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8" w:name="_Toc200459743"/>
      <w:bookmarkStart w:id="39" w:name="_Toc200460043"/>
      <w:bookmarkStart w:id="40" w:name="_Toc200524724"/>
      <w:r>
        <w:rPr>
          <w:rStyle w:val="CharPartNo"/>
        </w:rPr>
        <w:lastRenderedPageBreak/>
        <w:t>Part 3</w:t>
      </w:r>
      <w:r>
        <w:t> — </w:t>
      </w:r>
      <w:r>
        <w:rPr>
          <w:rStyle w:val="CharPartText"/>
        </w:rPr>
        <w:t>Matters preliminary to sentencing</w:t>
      </w:r>
      <w:bookmarkEnd w:id="38"/>
      <w:bookmarkEnd w:id="39"/>
      <w:bookmarkEnd w:id="40"/>
    </w:p>
    <w:p>
      <w:pPr>
        <w:pStyle w:val="Heading3"/>
      </w:pPr>
      <w:bookmarkStart w:id="41" w:name="_Toc200459744"/>
      <w:bookmarkStart w:id="42" w:name="_Toc200460044"/>
      <w:bookmarkStart w:id="43" w:name="_Toc200524725"/>
      <w:r>
        <w:rPr>
          <w:rStyle w:val="CharDivNo"/>
        </w:rPr>
        <w:t>Division 1</w:t>
      </w:r>
      <w:r>
        <w:rPr>
          <w:snapToGrid w:val="0"/>
        </w:rPr>
        <w:t> — </w:t>
      </w:r>
      <w:r>
        <w:rPr>
          <w:rStyle w:val="CharDivText"/>
        </w:rPr>
        <w:t>Preliminary</w:t>
      </w:r>
      <w:bookmarkEnd w:id="41"/>
      <w:bookmarkEnd w:id="42"/>
      <w:bookmarkEnd w:id="43"/>
    </w:p>
    <w:p>
      <w:pPr>
        <w:pStyle w:val="Heading5"/>
        <w:rPr>
          <w:snapToGrid w:val="0"/>
        </w:rPr>
      </w:pPr>
      <w:bookmarkStart w:id="44" w:name="_Toc200524726"/>
      <w:r>
        <w:rPr>
          <w:rStyle w:val="CharSectno"/>
        </w:rPr>
        <w:t>13</w:t>
      </w:r>
      <w:r>
        <w:rPr>
          <w:snapToGrid w:val="0"/>
        </w:rPr>
        <w:t>.</w:t>
      </w:r>
      <w:r>
        <w:rPr>
          <w:snapToGrid w:val="0"/>
        </w:rPr>
        <w:tab/>
        <w:t>Term used: victim</w:t>
      </w:r>
      <w:bookmarkEnd w:id="44"/>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45" w:name="_Toc200459746"/>
      <w:bookmarkStart w:id="46" w:name="_Toc200460046"/>
      <w:bookmarkStart w:id="47" w:name="_Toc200524727"/>
      <w:r>
        <w:rPr>
          <w:rStyle w:val="CharDivNo"/>
        </w:rPr>
        <w:t>Division 2</w:t>
      </w:r>
      <w:r>
        <w:rPr>
          <w:snapToGrid w:val="0"/>
        </w:rPr>
        <w:t> — </w:t>
      </w:r>
      <w:r>
        <w:rPr>
          <w:rStyle w:val="CharDivText"/>
        </w:rPr>
        <w:t>General</w:t>
      </w:r>
      <w:bookmarkEnd w:id="45"/>
      <w:bookmarkEnd w:id="46"/>
      <w:bookmarkEnd w:id="47"/>
    </w:p>
    <w:p>
      <w:pPr>
        <w:pStyle w:val="Heading5"/>
        <w:spacing w:before="240"/>
        <w:rPr>
          <w:snapToGrid w:val="0"/>
        </w:rPr>
      </w:pPr>
      <w:bookmarkStart w:id="48" w:name="_Toc200524728"/>
      <w:r>
        <w:rPr>
          <w:rStyle w:val="CharSectno"/>
        </w:rPr>
        <w:t>14</w:t>
      </w:r>
      <w:r>
        <w:rPr>
          <w:snapToGrid w:val="0"/>
        </w:rPr>
        <w:t>.</w:t>
      </w:r>
      <w:r>
        <w:rPr>
          <w:snapToGrid w:val="0"/>
        </w:rPr>
        <w:tab/>
        <w:t>Offender to be present for sentencing </w:t>
      </w:r>
      <w:r>
        <w:rPr>
          <w:vertAlign w:val="superscript"/>
        </w:rPr>
        <w:t>2M</w:t>
      </w:r>
      <w:bookmarkEnd w:id="48"/>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 xml:space="preserve">Despite subsection (1), a court may sentence an offender in his or her absence if the offender is in custody and the proceedings, </w:t>
      </w:r>
      <w:r>
        <w:rPr>
          <w:snapToGrid w:val="0"/>
        </w:rPr>
        <w:lastRenderedPageBreak/>
        <w:t>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49" w:name="_Toc200524729"/>
      <w:r>
        <w:rPr>
          <w:rStyle w:val="CharSectno"/>
        </w:rPr>
        <w:t>14A</w:t>
      </w:r>
      <w:r>
        <w:t>.</w:t>
      </w:r>
      <w:r>
        <w:tab/>
        <w:t>Video link, use of for sentencing</w:t>
      </w:r>
      <w:bookmarkEnd w:id="49"/>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lastRenderedPageBreak/>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tab/>
        <w:t>Modified by the COVID-19 Response and Economic Recovery Omnibus Act 2020 (34 of 2020) Part. 4 Division 4 Subdivision 1: See endnote 2M.]</w:t>
      </w:r>
    </w:p>
    <w:p>
      <w:pPr>
        <w:pStyle w:val="Heading5"/>
        <w:keepLines w:val="0"/>
        <w:rPr>
          <w:snapToGrid w:val="0"/>
        </w:rPr>
      </w:pPr>
      <w:bookmarkStart w:id="50" w:name="_Toc200524730"/>
      <w:r>
        <w:rPr>
          <w:rStyle w:val="CharSectno"/>
        </w:rPr>
        <w:t>15</w:t>
      </w:r>
      <w:r>
        <w:rPr>
          <w:snapToGrid w:val="0"/>
        </w:rPr>
        <w:t>.</w:t>
      </w:r>
      <w:r>
        <w:rPr>
          <w:snapToGrid w:val="0"/>
        </w:rPr>
        <w:tab/>
        <w:t>Court may inform itself as it thinks fit</w:t>
      </w:r>
      <w:bookmarkEnd w:id="50"/>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51" w:name="_Toc200524731"/>
      <w:r>
        <w:rPr>
          <w:rStyle w:val="CharSectno"/>
        </w:rPr>
        <w:t>16</w:t>
      </w:r>
      <w:r>
        <w:rPr>
          <w:snapToGrid w:val="0"/>
        </w:rPr>
        <w:t>.</w:t>
      </w:r>
      <w:r>
        <w:rPr>
          <w:snapToGrid w:val="0"/>
        </w:rPr>
        <w:tab/>
        <w:t>Adjourning sentencing</w:t>
      </w:r>
      <w:bookmarkEnd w:id="51"/>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 xml:space="preserve">Criminal Property </w:t>
      </w:r>
      <w:r>
        <w:rPr>
          <w:i/>
        </w:rPr>
        <w:lastRenderedPageBreak/>
        <w:t>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52" w:name="_Toc200524732"/>
      <w:r>
        <w:rPr>
          <w:rStyle w:val="CharSectno"/>
        </w:rPr>
        <w:t>17</w:t>
      </w:r>
      <w:r>
        <w:rPr>
          <w:snapToGrid w:val="0"/>
        </w:rPr>
        <w:t>.</w:t>
      </w:r>
      <w:r>
        <w:rPr>
          <w:snapToGrid w:val="0"/>
        </w:rPr>
        <w:tab/>
        <w:t>Court’s powers on adjourning</w:t>
      </w:r>
      <w:bookmarkEnd w:id="52"/>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53" w:name="_Toc200524733"/>
      <w:r>
        <w:rPr>
          <w:rStyle w:val="CharSectno"/>
        </w:rPr>
        <w:t>18</w:t>
      </w:r>
      <w:r>
        <w:rPr>
          <w:snapToGrid w:val="0"/>
        </w:rPr>
        <w:t>.</w:t>
      </w:r>
      <w:r>
        <w:rPr>
          <w:snapToGrid w:val="0"/>
        </w:rPr>
        <w:tab/>
        <w:t>Committal for sentence</w:t>
      </w:r>
      <w:bookmarkEnd w:id="53"/>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54" w:name="_Toc200459753"/>
      <w:bookmarkStart w:id="55" w:name="_Toc200460053"/>
      <w:bookmarkStart w:id="56" w:name="_Toc200524734"/>
      <w:r>
        <w:rPr>
          <w:rStyle w:val="CharDivNo"/>
        </w:rPr>
        <w:lastRenderedPageBreak/>
        <w:t>Division 3</w:t>
      </w:r>
      <w:r>
        <w:rPr>
          <w:snapToGrid w:val="0"/>
        </w:rPr>
        <w:t> — </w:t>
      </w:r>
      <w:r>
        <w:rPr>
          <w:rStyle w:val="CharDivText"/>
        </w:rPr>
        <w:t>Information about the offender</w:t>
      </w:r>
      <w:bookmarkEnd w:id="54"/>
      <w:bookmarkEnd w:id="55"/>
      <w:bookmarkEnd w:id="56"/>
    </w:p>
    <w:p>
      <w:pPr>
        <w:pStyle w:val="Heading5"/>
        <w:rPr>
          <w:snapToGrid w:val="0"/>
        </w:rPr>
      </w:pPr>
      <w:bookmarkStart w:id="57" w:name="_Toc200524735"/>
      <w:r>
        <w:rPr>
          <w:rStyle w:val="CharSectno"/>
        </w:rPr>
        <w:t>20</w:t>
      </w:r>
      <w:r>
        <w:rPr>
          <w:snapToGrid w:val="0"/>
        </w:rPr>
        <w:t>.</w:t>
      </w:r>
      <w:r>
        <w:rPr>
          <w:snapToGrid w:val="0"/>
        </w:rPr>
        <w:tab/>
        <w:t>Pre</w:t>
      </w:r>
      <w:r>
        <w:rPr>
          <w:snapToGrid w:val="0"/>
        </w:rPr>
        <w:noBreakHyphen/>
        <w:t>sentence report, court may order</w:t>
      </w:r>
      <w:bookmarkEnd w:id="57"/>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58" w:name="_Toc200524736"/>
      <w:r>
        <w:rPr>
          <w:rStyle w:val="CharSectno"/>
        </w:rPr>
        <w:t>21</w:t>
      </w:r>
      <w:r>
        <w:rPr>
          <w:snapToGrid w:val="0"/>
        </w:rPr>
        <w:t>.</w:t>
      </w:r>
      <w:r>
        <w:rPr>
          <w:snapToGrid w:val="0"/>
        </w:rPr>
        <w:tab/>
        <w:t>Pre</w:t>
      </w:r>
      <w:r>
        <w:rPr>
          <w:snapToGrid w:val="0"/>
        </w:rPr>
        <w:noBreakHyphen/>
        <w:t>sentence report, content of</w:t>
      </w:r>
      <w:bookmarkEnd w:id="5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lastRenderedPageBreak/>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59" w:name="_Toc200524737"/>
      <w:r>
        <w:rPr>
          <w:rStyle w:val="CharSectno"/>
        </w:rPr>
        <w:t>22</w:t>
      </w:r>
      <w:r>
        <w:rPr>
          <w:snapToGrid w:val="0"/>
        </w:rPr>
        <w:t>.</w:t>
      </w:r>
      <w:r>
        <w:rPr>
          <w:snapToGrid w:val="0"/>
        </w:rPr>
        <w:tab/>
        <w:t>Pre</w:t>
      </w:r>
      <w:r>
        <w:rPr>
          <w:snapToGrid w:val="0"/>
        </w:rPr>
        <w:noBreakHyphen/>
        <w:t>sentence report, preparation of</w:t>
      </w:r>
      <w:bookmarkEnd w:id="59"/>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60" w:name="_Toc200524738"/>
      <w:r>
        <w:rPr>
          <w:rStyle w:val="CharSectno"/>
        </w:rPr>
        <w:t>23</w:t>
      </w:r>
      <w:r>
        <w:rPr>
          <w:snapToGrid w:val="0"/>
        </w:rPr>
        <w:t>.</w:t>
      </w:r>
      <w:r>
        <w:rPr>
          <w:snapToGrid w:val="0"/>
        </w:rPr>
        <w:tab/>
        <w:t>Offender’s time in custody etc., information about</w:t>
      </w:r>
      <w:bookmarkEnd w:id="60"/>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 xml:space="preserve">If when an offender is being sentenced, he or she is already serving or sentenced to serve a term or terms of imprisonment, </w:t>
      </w:r>
      <w:r>
        <w:rPr>
          <w:snapToGrid w:val="0"/>
        </w:rPr>
        <w:lastRenderedPageBreak/>
        <w:t>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61" w:name="_Toc200459758"/>
      <w:bookmarkStart w:id="62" w:name="_Toc200460058"/>
      <w:bookmarkStart w:id="63" w:name="_Toc200524739"/>
      <w:r>
        <w:rPr>
          <w:rStyle w:val="CharDivNo"/>
        </w:rPr>
        <w:t>Division 4</w:t>
      </w:r>
      <w:r>
        <w:rPr>
          <w:snapToGrid w:val="0"/>
        </w:rPr>
        <w:t> — </w:t>
      </w:r>
      <w:r>
        <w:rPr>
          <w:rStyle w:val="CharDivText"/>
        </w:rPr>
        <w:t>Information about victims etc.</w:t>
      </w:r>
      <w:bookmarkEnd w:id="61"/>
      <w:bookmarkEnd w:id="62"/>
      <w:bookmarkEnd w:id="63"/>
    </w:p>
    <w:p>
      <w:pPr>
        <w:pStyle w:val="Heading5"/>
      </w:pPr>
      <w:bookmarkStart w:id="64" w:name="_Toc200524740"/>
      <w:r>
        <w:rPr>
          <w:rStyle w:val="CharSectno"/>
        </w:rPr>
        <w:t>23A</w:t>
      </w:r>
      <w:r>
        <w:t>.</w:t>
      </w:r>
      <w:r>
        <w:tab/>
        <w:t>Terms used</w:t>
      </w:r>
      <w:bookmarkEnd w:id="64"/>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lastRenderedPageBreak/>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lastRenderedPageBreak/>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65" w:name="_Toc200524741"/>
      <w:r>
        <w:rPr>
          <w:rStyle w:val="CharSectno"/>
        </w:rPr>
        <w:t>24</w:t>
      </w:r>
      <w:r>
        <w:rPr>
          <w:snapToGrid w:val="0"/>
        </w:rPr>
        <w:t>.</w:t>
      </w:r>
      <w:r>
        <w:rPr>
          <w:snapToGrid w:val="0"/>
        </w:rPr>
        <w:tab/>
        <w:t>Victim impact statement, who may give</w:t>
      </w:r>
      <w:bookmarkEnd w:id="6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6" w:name="_Toc200524742"/>
      <w:r>
        <w:rPr>
          <w:rStyle w:val="CharSectno"/>
        </w:rPr>
        <w:t>25</w:t>
      </w:r>
      <w:r>
        <w:rPr>
          <w:snapToGrid w:val="0"/>
        </w:rPr>
        <w:t>.</w:t>
      </w:r>
      <w:r>
        <w:rPr>
          <w:snapToGrid w:val="0"/>
        </w:rPr>
        <w:tab/>
        <w:t>Victim impact statement, content of</w:t>
      </w:r>
      <w:bookmarkEnd w:id="66"/>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67" w:name="_Toc200524743"/>
      <w:r>
        <w:rPr>
          <w:rStyle w:val="CharSectno"/>
        </w:rPr>
        <w:t>26</w:t>
      </w:r>
      <w:r>
        <w:rPr>
          <w:snapToGrid w:val="0"/>
        </w:rPr>
        <w:t>.</w:t>
      </w:r>
      <w:r>
        <w:rPr>
          <w:snapToGrid w:val="0"/>
        </w:rPr>
        <w:tab/>
        <w:t>Court’s functions in relation to victim impact statement</w:t>
      </w:r>
      <w:bookmarkEnd w:id="6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 xml:space="preserve">A court must, after imposing a sentence of imprisonment on an offender, make available to the Prisoners Review Board a copy </w:t>
      </w:r>
      <w:r>
        <w:lastRenderedPageBreak/>
        <w:t>of any victim impact statement given to the court under section 24.</w:t>
      </w:r>
    </w:p>
    <w:p>
      <w:pPr>
        <w:pStyle w:val="Footnotesection"/>
      </w:pPr>
      <w:r>
        <w:tab/>
        <w:t>[Section 26 amended: No. 45 of 2016 s. 55.]</w:t>
      </w:r>
    </w:p>
    <w:p>
      <w:pPr>
        <w:pStyle w:val="Heading3"/>
      </w:pPr>
      <w:bookmarkStart w:id="68" w:name="_Toc200459763"/>
      <w:bookmarkStart w:id="69" w:name="_Toc200460063"/>
      <w:bookmarkStart w:id="70" w:name="_Toc200524744"/>
      <w:r>
        <w:rPr>
          <w:rStyle w:val="CharDivNo"/>
        </w:rPr>
        <w:t>Division 5</w:t>
      </w:r>
      <w:r>
        <w:rPr>
          <w:snapToGrid w:val="0"/>
        </w:rPr>
        <w:t> — </w:t>
      </w:r>
      <w:r>
        <w:rPr>
          <w:rStyle w:val="CharDivText"/>
        </w:rPr>
        <w:t>Mediation</w:t>
      </w:r>
      <w:bookmarkEnd w:id="68"/>
      <w:bookmarkEnd w:id="69"/>
      <w:bookmarkEnd w:id="70"/>
    </w:p>
    <w:p>
      <w:pPr>
        <w:pStyle w:val="Heading5"/>
        <w:rPr>
          <w:snapToGrid w:val="0"/>
        </w:rPr>
      </w:pPr>
      <w:bookmarkStart w:id="71" w:name="_Toc200524745"/>
      <w:r>
        <w:rPr>
          <w:rStyle w:val="CharSectno"/>
        </w:rPr>
        <w:t>27</w:t>
      </w:r>
      <w:r>
        <w:rPr>
          <w:snapToGrid w:val="0"/>
        </w:rPr>
        <w:t>.</w:t>
      </w:r>
      <w:r>
        <w:rPr>
          <w:snapToGrid w:val="0"/>
        </w:rPr>
        <w:tab/>
        <w:t>Mediation report, court may order and receive</w:t>
      </w:r>
      <w:bookmarkEnd w:id="71"/>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72" w:name="_Toc200524746"/>
      <w:r>
        <w:rPr>
          <w:rStyle w:val="CharSectno"/>
        </w:rPr>
        <w:t>28</w:t>
      </w:r>
      <w:r>
        <w:rPr>
          <w:snapToGrid w:val="0"/>
        </w:rPr>
        <w:t>.</w:t>
      </w:r>
      <w:r>
        <w:rPr>
          <w:snapToGrid w:val="0"/>
        </w:rPr>
        <w:tab/>
        <w:t>Mediation report, content of</w:t>
      </w:r>
      <w:bookmarkEnd w:id="72"/>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73" w:name="_Toc200524747"/>
      <w:r>
        <w:rPr>
          <w:rStyle w:val="CharSectno"/>
        </w:rPr>
        <w:t>29</w:t>
      </w:r>
      <w:r>
        <w:rPr>
          <w:snapToGrid w:val="0"/>
        </w:rPr>
        <w:t>.</w:t>
      </w:r>
      <w:r>
        <w:rPr>
          <w:snapToGrid w:val="0"/>
        </w:rPr>
        <w:tab/>
        <w:t>Mediation report, preparation of</w:t>
      </w:r>
      <w:bookmarkEnd w:id="73"/>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lastRenderedPageBreak/>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74" w:name="_Toc200524748"/>
      <w:r>
        <w:rPr>
          <w:rStyle w:val="CharSectno"/>
        </w:rPr>
        <w:t>30</w:t>
      </w:r>
      <w:r>
        <w:rPr>
          <w:snapToGrid w:val="0"/>
        </w:rPr>
        <w:t>.</w:t>
      </w:r>
      <w:r>
        <w:rPr>
          <w:snapToGrid w:val="0"/>
        </w:rPr>
        <w:tab/>
        <w:t>Mediation report, court’s powers as to</w:t>
      </w:r>
      <w:bookmarkEnd w:id="74"/>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75" w:name="_Toc200459768"/>
      <w:bookmarkStart w:id="76" w:name="_Toc200460068"/>
      <w:bookmarkStart w:id="77" w:name="_Toc200524749"/>
      <w:r>
        <w:rPr>
          <w:rStyle w:val="CharDivNo"/>
        </w:rPr>
        <w:t>Division 6</w:t>
      </w:r>
      <w:r>
        <w:rPr>
          <w:snapToGrid w:val="0"/>
        </w:rPr>
        <w:t> — </w:t>
      </w:r>
      <w:r>
        <w:rPr>
          <w:rStyle w:val="CharDivText"/>
        </w:rPr>
        <w:t>Other pending charges</w:t>
      </w:r>
      <w:bookmarkEnd w:id="75"/>
      <w:bookmarkEnd w:id="76"/>
      <w:bookmarkEnd w:id="77"/>
    </w:p>
    <w:p>
      <w:pPr>
        <w:pStyle w:val="Heading5"/>
        <w:rPr>
          <w:snapToGrid w:val="0"/>
        </w:rPr>
      </w:pPr>
      <w:bookmarkStart w:id="78" w:name="_Toc200524750"/>
      <w:r>
        <w:rPr>
          <w:rStyle w:val="CharSectno"/>
        </w:rPr>
        <w:t>31</w:t>
      </w:r>
      <w:r>
        <w:rPr>
          <w:snapToGrid w:val="0"/>
        </w:rPr>
        <w:t>.</w:t>
      </w:r>
      <w:r>
        <w:rPr>
          <w:snapToGrid w:val="0"/>
        </w:rPr>
        <w:tab/>
        <w:t>Term used: pending charge</w:t>
      </w:r>
      <w:bookmarkEnd w:id="78"/>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79" w:name="_Toc200524751"/>
      <w:r>
        <w:rPr>
          <w:rStyle w:val="CharSectno"/>
        </w:rPr>
        <w:t>32</w:t>
      </w:r>
      <w:r>
        <w:rPr>
          <w:snapToGrid w:val="0"/>
        </w:rPr>
        <w:t>.</w:t>
      </w:r>
      <w:r>
        <w:rPr>
          <w:snapToGrid w:val="0"/>
        </w:rPr>
        <w:tab/>
        <w:t>Pending charges, offender may request court to deal with</w:t>
      </w:r>
      <w:bookmarkEnd w:id="79"/>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lastRenderedPageBreak/>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80" w:name="_Toc200524752"/>
      <w:r>
        <w:rPr>
          <w:rStyle w:val="CharSectno"/>
        </w:rPr>
        <w:t>33</w:t>
      </w:r>
      <w:r>
        <w:rPr>
          <w:snapToGrid w:val="0"/>
        </w:rPr>
        <w:t>.</w:t>
      </w:r>
      <w:r>
        <w:rPr>
          <w:snapToGrid w:val="0"/>
        </w:rPr>
        <w:tab/>
        <w:t>Pending charges, court may deal with</w:t>
      </w:r>
      <w:bookmarkEnd w:id="8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81" w:name="_Toc200459772"/>
      <w:bookmarkStart w:id="82" w:name="_Toc200460072"/>
      <w:bookmarkStart w:id="83" w:name="_Toc200524753"/>
      <w:r>
        <w:rPr>
          <w:rStyle w:val="CharPartNo"/>
        </w:rPr>
        <w:lastRenderedPageBreak/>
        <w:t>Part 3A</w:t>
      </w:r>
      <w:r>
        <w:t> — </w:t>
      </w:r>
      <w:r>
        <w:rPr>
          <w:rStyle w:val="CharPartText"/>
        </w:rPr>
        <w:t>Pre</w:t>
      </w:r>
      <w:r>
        <w:rPr>
          <w:rStyle w:val="CharPartText"/>
        </w:rPr>
        <w:noBreakHyphen/>
        <w:t>sentence order</w:t>
      </w:r>
      <w:bookmarkEnd w:id="81"/>
      <w:bookmarkEnd w:id="82"/>
      <w:bookmarkEnd w:id="83"/>
    </w:p>
    <w:p>
      <w:pPr>
        <w:pStyle w:val="Footnoteheading"/>
        <w:tabs>
          <w:tab w:val="left" w:pos="851"/>
        </w:tabs>
      </w:pPr>
      <w:r>
        <w:tab/>
        <w:t>[Heading inserted: No. 50 of 2003 s. 6.]</w:t>
      </w:r>
    </w:p>
    <w:p>
      <w:pPr>
        <w:pStyle w:val="Heading3"/>
      </w:pPr>
      <w:bookmarkStart w:id="84" w:name="_Toc200459773"/>
      <w:bookmarkStart w:id="85" w:name="_Toc200460073"/>
      <w:bookmarkStart w:id="86" w:name="_Toc200524754"/>
      <w:r>
        <w:rPr>
          <w:rStyle w:val="CharDivNo"/>
        </w:rPr>
        <w:t>Division 1</w:t>
      </w:r>
      <w:r>
        <w:t> — </w:t>
      </w:r>
      <w:r>
        <w:rPr>
          <w:rStyle w:val="CharDivText"/>
        </w:rPr>
        <w:t>General</w:t>
      </w:r>
      <w:bookmarkEnd w:id="84"/>
      <w:bookmarkEnd w:id="85"/>
      <w:bookmarkEnd w:id="86"/>
    </w:p>
    <w:p>
      <w:pPr>
        <w:pStyle w:val="Footnoteheading"/>
        <w:tabs>
          <w:tab w:val="left" w:pos="851"/>
        </w:tabs>
      </w:pPr>
      <w:r>
        <w:tab/>
        <w:t>[Heading inserted: No. 50 of 2003 s. 6.]</w:t>
      </w:r>
    </w:p>
    <w:p>
      <w:pPr>
        <w:pStyle w:val="Heading5"/>
        <w:spacing w:before="240"/>
      </w:pPr>
      <w:bookmarkStart w:id="87" w:name="_Toc200524755"/>
      <w:r>
        <w:rPr>
          <w:rStyle w:val="CharSectno"/>
        </w:rPr>
        <w:t>33A</w:t>
      </w:r>
      <w:r>
        <w:t>.</w:t>
      </w:r>
      <w:r>
        <w:tab/>
        <w:t>When PSO may be made</w:t>
      </w:r>
      <w:bookmarkEnd w:id="87"/>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88" w:name="_Toc200524756"/>
      <w:r>
        <w:rPr>
          <w:rStyle w:val="CharSectno"/>
        </w:rPr>
        <w:t>33B</w:t>
      </w:r>
      <w:r>
        <w:t>.</w:t>
      </w:r>
      <w:r>
        <w:tab/>
        <w:t>PSO, nature of</w:t>
      </w:r>
      <w:bookmarkEnd w:id="8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lastRenderedPageBreak/>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89" w:name="_Toc200524757"/>
      <w:r>
        <w:rPr>
          <w:rStyle w:val="CharSectno"/>
        </w:rPr>
        <w:t>33C</w:t>
      </w:r>
      <w:r>
        <w:t>.</w:t>
      </w:r>
      <w:r>
        <w:tab/>
        <w:t>Making a PSO</w:t>
      </w:r>
      <w:bookmarkEnd w:id="89"/>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lastRenderedPageBreak/>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90" w:name="_Toc200524758"/>
      <w:r>
        <w:rPr>
          <w:rStyle w:val="CharSectno"/>
        </w:rPr>
        <w:t>33D</w:t>
      </w:r>
      <w:r>
        <w:t>.</w:t>
      </w:r>
      <w:r>
        <w:tab/>
        <w:t>PSO, standard obligations of</w:t>
      </w:r>
      <w:bookmarkEnd w:id="90"/>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91" w:name="_Toc200524759"/>
      <w:r>
        <w:rPr>
          <w:rStyle w:val="CharSectno"/>
        </w:rPr>
        <w:lastRenderedPageBreak/>
        <w:t>33E</w:t>
      </w:r>
      <w:r>
        <w:t>.</w:t>
      </w:r>
      <w:r>
        <w:tab/>
        <w:t>PSO, primary requirements of</w:t>
      </w:r>
      <w:bookmarkEnd w:id="91"/>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92" w:name="_Toc200524760"/>
      <w:r>
        <w:rPr>
          <w:rStyle w:val="CharSectno"/>
        </w:rPr>
        <w:t>33F</w:t>
      </w:r>
      <w:r>
        <w:t>.</w:t>
      </w:r>
      <w:r>
        <w:tab/>
        <w:t>Supervision requirement</w:t>
      </w:r>
      <w:bookmarkEnd w:id="9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lastRenderedPageBreak/>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93" w:name="_Toc200524761"/>
      <w:r>
        <w:rPr>
          <w:rStyle w:val="CharSectno"/>
        </w:rPr>
        <w:t>33G</w:t>
      </w:r>
      <w:r>
        <w:t>.</w:t>
      </w:r>
      <w:r>
        <w:tab/>
        <w:t>Programme requirement</w:t>
      </w:r>
      <w:bookmarkEnd w:id="93"/>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lastRenderedPageBreak/>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94" w:name="_Toc200524762"/>
      <w:r>
        <w:rPr>
          <w:rStyle w:val="CharSectno"/>
        </w:rPr>
        <w:t>33H</w:t>
      </w:r>
      <w:r>
        <w:t>.</w:t>
      </w:r>
      <w:r>
        <w:tab/>
        <w:t>Curfew requirement</w:t>
      </w:r>
      <w:bookmarkEnd w:id="94"/>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 xml:space="preserve">The term of a curfew requirement must be set by the court when it imposes the requirement; but the requirement must not be imposed so as to result in a curfew requirement being in force, </w:t>
      </w:r>
      <w:r>
        <w:lastRenderedPageBreak/>
        <w:t>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 xml:space="preserve">Without limiting the means by which the offender may be kept under surveillance or monitored, a speciality court or a CCO </w:t>
      </w:r>
      <w:r>
        <w:lastRenderedPageBreak/>
        <w:t>may, for the purposes of subsection (2)(b), order an offender to do 1 or more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Indenta"/>
      </w:pPr>
      <w:r>
        <w:tab/>
        <w:t>(c)</w:t>
      </w:r>
      <w:r>
        <w:tab/>
        <w:t>charge the approved electronic monitoring device so as to ensure the device is at all times operational;</w:t>
      </w:r>
    </w:p>
    <w:p>
      <w:pPr>
        <w:pStyle w:val="Indenta"/>
      </w:pPr>
      <w:r>
        <w:tab/>
        <w:t>(d)</w:t>
      </w:r>
      <w:r>
        <w:tab/>
        <w:t>not enter 1 or more areas of the State stated in a written notice given to the offender by the speciality court or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Penalty for this subsection: imprisonment for 3 years and a fine of $36 000.</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lastRenderedPageBreak/>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33H inserted: No. 50 of 2003 s. 6; amended: No. 27 of 2004 s. 6(4); No. 65 of 2006 s. 49; No. 13 of 2020 s. 5; No. 28 of 2024 s. 62.]</w:t>
      </w:r>
    </w:p>
    <w:p>
      <w:pPr>
        <w:pStyle w:val="Heading5"/>
      </w:pPr>
      <w:bookmarkStart w:id="95" w:name="_Toc200524763"/>
      <w:r>
        <w:rPr>
          <w:rStyle w:val="CharSectno"/>
        </w:rPr>
        <w:lastRenderedPageBreak/>
        <w:t>33HA</w:t>
      </w:r>
      <w:r>
        <w:t>.</w:t>
      </w:r>
      <w:r>
        <w:tab/>
        <w:t>Electronic monitoring requirement</w:t>
      </w:r>
      <w:bookmarkEnd w:id="95"/>
    </w:p>
    <w:p>
      <w:pPr>
        <w:pStyle w:val="Subsection"/>
        <w:keepNext/>
      </w:pPr>
      <w:r>
        <w:tab/>
        <w:t>(1)</w:t>
      </w:r>
      <w:r>
        <w:tab/>
        <w:t xml:space="preserve">This section applies if — </w:t>
      </w:r>
    </w:p>
    <w:p>
      <w:pPr>
        <w:pStyle w:val="Indenta"/>
        <w:keepNext/>
      </w:pPr>
      <w:r>
        <w:tab/>
        <w:t>(a)</w:t>
      </w:r>
      <w:r>
        <w:tab/>
        <w:t xml:space="preserve">an offence in respect of which a PSO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 PSO may apply is a family violence offence (category B) and the offender is a serial family violence offender.</w:t>
      </w:r>
    </w:p>
    <w:p>
      <w:pPr>
        <w:pStyle w:val="Subsection"/>
      </w:pPr>
      <w:r>
        <w:tab/>
        <w:t>(2)</w:t>
      </w:r>
      <w:r>
        <w:tab/>
        <w:t xml:space="preserve">For the purposes of subsection (1)(b), an offender is a serial family violence offender whether the offender was so declared by — </w:t>
      </w:r>
    </w:p>
    <w:p>
      <w:pPr>
        <w:pStyle w:val="Indenta"/>
      </w:pPr>
      <w:r>
        <w:tab/>
        <w:t>(a)</w:t>
      </w:r>
      <w:r>
        <w:tab/>
        <w:t>the court referred to in subsection (3) at the time of the offender’s conviction for the family violence offence (category B); or</w:t>
      </w:r>
    </w:p>
    <w:p>
      <w:pPr>
        <w:pStyle w:val="Indenta"/>
      </w:pPr>
      <w:r>
        <w:tab/>
        <w:t>(b)</w:t>
      </w:r>
      <w:r>
        <w:tab/>
        <w:t>another court.</w:t>
      </w:r>
    </w:p>
    <w:p>
      <w:pPr>
        <w:pStyle w:val="Subsection"/>
      </w:pPr>
      <w:r>
        <w:tab/>
        <w:t>(3)</w:t>
      </w:r>
      <w:r>
        <w:tab/>
        <w:t xml:space="preserve">If this section applies and a court makes a PSO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tab/>
        <w:t>(4)</w:t>
      </w:r>
      <w:r>
        <w:tab/>
        <w:t>The purpose of electronic monitoring of an offender subject to a PSO is to enable the location of the offender to be monitored.</w:t>
      </w:r>
    </w:p>
    <w:p>
      <w:pPr>
        <w:pStyle w:val="Subsection"/>
      </w:pPr>
      <w:r>
        <w:tab/>
        <w:t>(5)</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lastRenderedPageBreak/>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(5A)</w:t>
      </w:r>
      <w:r>
        <w:tab/>
        <w:t>A person given a direction under subsection (5)(a), (b) or (c) must comply with the direction.</w:t>
      </w:r>
    </w:p>
    <w:p>
      <w:pPr>
        <w:pStyle w:val="Penstart"/>
      </w:pPr>
      <w:r>
        <w:tab/>
        <w:t>Penalty for this subsection: imprisonment for 3 years and a fine of $36 000.</w:t>
      </w:r>
    </w:p>
    <w:p>
      <w:pPr>
        <w:pStyle w:val="Subsection"/>
      </w:pPr>
      <w:r>
        <w:tab/>
        <w:t>(5B)</w:t>
      </w:r>
      <w:r>
        <w:tab/>
        <w:t>A person given a direction under subsection (5)(d) must comply with the direction, unless the person has a reasonable excuse.</w:t>
      </w:r>
    </w:p>
    <w:p>
      <w:pPr>
        <w:pStyle w:val="Penstart"/>
      </w:pPr>
      <w:r>
        <w:tab/>
        <w:t>Penalty for this subsection: imprisonment for 3 years and a fine of $36 000.</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(5A) or (5B).</w:t>
      </w:r>
    </w:p>
    <w:p>
      <w:pPr>
        <w:pStyle w:val="Footnotesection"/>
      </w:pPr>
      <w:r>
        <w:tab/>
        <w:t>[Section 33HA inserted: No. 30 of 2020 s. 16; amended: No. 28 of 2024 s. 63.]</w:t>
      </w:r>
    </w:p>
    <w:p>
      <w:pPr>
        <w:pStyle w:val="Heading5"/>
      </w:pPr>
      <w:bookmarkStart w:id="96" w:name="_Toc200524764"/>
      <w:r>
        <w:rPr>
          <w:rStyle w:val="CharSectno"/>
        </w:rPr>
        <w:lastRenderedPageBreak/>
        <w:t>33I</w:t>
      </w:r>
      <w:r>
        <w:t>.</w:t>
      </w:r>
      <w:r>
        <w:tab/>
        <w:t>Performance reports about offenders on PSOs</w:t>
      </w:r>
      <w:bookmarkEnd w:id="9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97" w:name="_Toc200524765"/>
      <w:r>
        <w:rPr>
          <w:rStyle w:val="CharSectno"/>
        </w:rPr>
        <w:t>33J</w:t>
      </w:r>
      <w:r>
        <w:t>.</w:t>
      </w:r>
      <w:r>
        <w:tab/>
        <w:t>Sentencing day, offender to be sentenced on etc.</w:t>
      </w:r>
      <w:bookmarkEnd w:id="97"/>
    </w:p>
    <w:p>
      <w:pPr>
        <w:pStyle w:val="Subsection"/>
      </w:pPr>
      <w:r>
        <w:tab/>
        <w:t>(1)</w:t>
      </w:r>
      <w:r>
        <w:tab/>
        <w:t>When an offender appears before the court —</w:t>
      </w:r>
    </w:p>
    <w:p>
      <w:pPr>
        <w:pStyle w:val="Indenta"/>
      </w:pPr>
      <w:r>
        <w:tab/>
        <w:t>(a)</w:t>
      </w:r>
      <w:r>
        <w:tab/>
        <w:t>on the sentencing day specified in the PSO; or</w:t>
      </w:r>
    </w:p>
    <w:p>
      <w:pPr>
        <w:pStyle w:val="Indenta"/>
        <w:keepNext/>
        <w:rPr>
          <w:shd w:val="clear" w:color="808080" w:fill="auto"/>
        </w:rPr>
      </w:pPr>
      <w:r>
        <w:lastRenderedPageBreak/>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98" w:name="_Toc200524766"/>
      <w:r>
        <w:rPr>
          <w:rStyle w:val="CharSectno"/>
        </w:rPr>
        <w:t>33K</w:t>
      </w:r>
      <w:r>
        <w:t>.</w:t>
      </w:r>
      <w:r>
        <w:tab/>
        <w:t>Sentencing offender after PSO</w:t>
      </w:r>
      <w:bookmarkEnd w:id="9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99" w:name="_Toc200459786"/>
      <w:bookmarkStart w:id="100" w:name="_Toc200460086"/>
      <w:bookmarkStart w:id="101" w:name="_Toc200524767"/>
      <w:r>
        <w:rPr>
          <w:rStyle w:val="CharDivNo"/>
        </w:rPr>
        <w:lastRenderedPageBreak/>
        <w:t>Division 2</w:t>
      </w:r>
      <w:r>
        <w:t> — </w:t>
      </w:r>
      <w:r>
        <w:rPr>
          <w:rStyle w:val="CharDivText"/>
        </w:rPr>
        <w:t>Amending and enforcing PSOs</w:t>
      </w:r>
      <w:bookmarkEnd w:id="99"/>
      <w:bookmarkEnd w:id="100"/>
      <w:bookmarkEnd w:id="101"/>
    </w:p>
    <w:p>
      <w:pPr>
        <w:pStyle w:val="Footnoteheading"/>
        <w:keepNext/>
        <w:keepLines/>
      </w:pPr>
      <w:r>
        <w:tab/>
        <w:t>[Heading inserted: No. 50 of 2003 s. 6.]</w:t>
      </w:r>
    </w:p>
    <w:p>
      <w:pPr>
        <w:pStyle w:val="Heading5"/>
      </w:pPr>
      <w:bookmarkStart w:id="102" w:name="_Toc200524768"/>
      <w:r>
        <w:rPr>
          <w:rStyle w:val="CharSectno"/>
        </w:rPr>
        <w:t>33L</w:t>
      </w:r>
      <w:r>
        <w:t>.</w:t>
      </w:r>
      <w:r>
        <w:tab/>
        <w:t>Term used: requirement</w:t>
      </w:r>
      <w:bookmarkEnd w:id="102"/>
    </w:p>
    <w:p>
      <w:pPr>
        <w:pStyle w:val="Subsection"/>
        <w:keepNext/>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03" w:name="_Toc200524769"/>
      <w:r>
        <w:rPr>
          <w:rStyle w:val="CharSectno"/>
        </w:rPr>
        <w:t>33M</w:t>
      </w:r>
      <w:r>
        <w:t>.</w:t>
      </w:r>
      <w:r>
        <w:tab/>
        <w:t>Application to amend or cancel PSO</w:t>
      </w:r>
      <w:bookmarkEnd w:id="10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keepNext/>
      </w:pPr>
      <w:r>
        <w:lastRenderedPageBreak/>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04" w:name="_Toc200524770"/>
      <w:r>
        <w:rPr>
          <w:rStyle w:val="CharSectno"/>
        </w:rPr>
        <w:t>33N</w:t>
      </w:r>
      <w:r>
        <w:t>.</w:t>
      </w:r>
      <w:r>
        <w:tab/>
        <w:t>Court may confirm, amend or cancel PSO</w:t>
      </w:r>
      <w:bookmarkEnd w:id="10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lastRenderedPageBreak/>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05" w:name="_Toc200524771"/>
      <w:r>
        <w:rPr>
          <w:rStyle w:val="CharSectno"/>
        </w:rPr>
        <w:t>33O</w:t>
      </w:r>
      <w:r>
        <w:t>.</w:t>
      </w:r>
      <w:r>
        <w:tab/>
        <w:t>Re</w:t>
      </w:r>
      <w:r>
        <w:noBreakHyphen/>
        <w:t>offending while subject to PSO, consequences of</w:t>
      </w:r>
      <w:bookmarkEnd w:id="10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lastRenderedPageBreak/>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lastRenderedPageBreak/>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06" w:name="_Toc200524772"/>
      <w:r>
        <w:rPr>
          <w:rStyle w:val="CharSectno"/>
        </w:rPr>
        <w:t>33P</w:t>
      </w:r>
      <w:r>
        <w:t>.</w:t>
      </w:r>
      <w:r>
        <w:tab/>
        <w:t>Breach etc. of PSO, powers of CEO (corrections) and court</w:t>
      </w:r>
      <w:bookmarkEnd w:id="10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keepNext/>
      </w:pPr>
      <w:r>
        <w:lastRenderedPageBreak/>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07" w:name="_Toc200524773"/>
      <w:r>
        <w:rPr>
          <w:rStyle w:val="CharSectno"/>
        </w:rPr>
        <w:t>33Q</w:t>
      </w:r>
      <w:r>
        <w:t>.</w:t>
      </w:r>
      <w:r>
        <w:tab/>
        <w:t>Facilitation of proof</w:t>
      </w:r>
      <w:bookmarkEnd w:id="10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08" w:name="_Toc200459793"/>
      <w:bookmarkStart w:id="109" w:name="_Toc200460093"/>
      <w:bookmarkStart w:id="110" w:name="_Toc200524774"/>
      <w:r>
        <w:rPr>
          <w:rStyle w:val="CharPartNo"/>
        </w:rPr>
        <w:lastRenderedPageBreak/>
        <w:t>Part 4</w:t>
      </w:r>
      <w:r>
        <w:rPr>
          <w:rStyle w:val="CharDivNo"/>
        </w:rPr>
        <w:t> </w:t>
      </w:r>
      <w:r>
        <w:t>—</w:t>
      </w:r>
      <w:r>
        <w:rPr>
          <w:rStyle w:val="CharDivText"/>
        </w:rPr>
        <w:t> </w:t>
      </w:r>
      <w:r>
        <w:rPr>
          <w:rStyle w:val="CharPartText"/>
        </w:rPr>
        <w:t>The sentencing process</w:t>
      </w:r>
      <w:bookmarkEnd w:id="108"/>
      <w:bookmarkEnd w:id="109"/>
      <w:bookmarkEnd w:id="110"/>
    </w:p>
    <w:p>
      <w:pPr>
        <w:pStyle w:val="Heading5"/>
        <w:rPr>
          <w:snapToGrid w:val="0"/>
        </w:rPr>
      </w:pPr>
      <w:bookmarkStart w:id="111" w:name="_Toc200524775"/>
      <w:r>
        <w:rPr>
          <w:rStyle w:val="CharSectno"/>
        </w:rPr>
        <w:t>34</w:t>
      </w:r>
      <w:r>
        <w:rPr>
          <w:snapToGrid w:val="0"/>
        </w:rPr>
        <w:t>.</w:t>
      </w:r>
      <w:r>
        <w:rPr>
          <w:snapToGrid w:val="0"/>
        </w:rPr>
        <w:tab/>
        <w:t>Explanation of sentence </w:t>
      </w:r>
      <w:r>
        <w:rPr>
          <w:snapToGrid w:val="0"/>
          <w:vertAlign w:val="superscript"/>
        </w:rPr>
        <w:t>2M</w:t>
      </w:r>
      <w:bookmarkEnd w:id="11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12" w:name="_Toc200524776"/>
      <w:r>
        <w:rPr>
          <w:rStyle w:val="CharSectno"/>
        </w:rPr>
        <w:t>35</w:t>
      </w:r>
      <w:r>
        <w:rPr>
          <w:snapToGrid w:val="0"/>
        </w:rPr>
        <w:t>.</w:t>
      </w:r>
      <w:r>
        <w:rPr>
          <w:snapToGrid w:val="0"/>
        </w:rPr>
        <w:tab/>
        <w:t>Reasons for imprisonment to be given in some cases</w:t>
      </w:r>
      <w:bookmarkEnd w:id="11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13" w:name="_Toc200524777"/>
      <w:r>
        <w:rPr>
          <w:rStyle w:val="CharSectno"/>
        </w:rPr>
        <w:t>36</w:t>
      </w:r>
      <w:r>
        <w:rPr>
          <w:snapToGrid w:val="0"/>
        </w:rPr>
        <w:t>.</w:t>
      </w:r>
      <w:r>
        <w:rPr>
          <w:snapToGrid w:val="0"/>
        </w:rPr>
        <w:tab/>
        <w:t>Warrant of commitment to be issued if imprisonment imposed</w:t>
      </w:r>
      <w:bookmarkEnd w:id="11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14" w:name="_Toc200524778"/>
      <w:r>
        <w:rPr>
          <w:rStyle w:val="CharSectno"/>
        </w:rPr>
        <w:t>37</w:t>
      </w:r>
      <w:r>
        <w:rPr>
          <w:snapToGrid w:val="0"/>
        </w:rPr>
        <w:t>.</w:t>
      </w:r>
      <w:r>
        <w:rPr>
          <w:snapToGrid w:val="0"/>
        </w:rPr>
        <w:tab/>
        <w:t>Correction of sentence</w:t>
      </w:r>
      <w:bookmarkEnd w:id="11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15" w:name="_Toc200524779"/>
      <w:r>
        <w:rPr>
          <w:rStyle w:val="CharSectno"/>
        </w:rPr>
        <w:t>37A</w:t>
      </w:r>
      <w:r>
        <w:t>.</w:t>
      </w:r>
      <w:r>
        <w:tab/>
        <w:t>Offender reneging on promise to assist authorities may be re</w:t>
      </w:r>
      <w:r>
        <w:noBreakHyphen/>
        <w:t>sentenced</w:t>
      </w:r>
      <w:bookmarkEnd w:id="115"/>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16" w:name="_Toc200524780"/>
      <w:r>
        <w:rPr>
          <w:rStyle w:val="CharSectno"/>
        </w:rPr>
        <w:t>38</w:t>
      </w:r>
      <w:r>
        <w:rPr>
          <w:snapToGrid w:val="0"/>
        </w:rPr>
        <w:t>.</w:t>
      </w:r>
      <w:r>
        <w:rPr>
          <w:snapToGrid w:val="0"/>
        </w:rPr>
        <w:tab/>
        <w:t>Imprisonment by JPs, magistrate to review</w:t>
      </w:r>
      <w:bookmarkEnd w:id="116"/>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17" w:name="_Toc200459800"/>
      <w:bookmarkStart w:id="118" w:name="_Toc200460100"/>
      <w:bookmarkStart w:id="119" w:name="_Toc200524781"/>
      <w:r>
        <w:rPr>
          <w:rStyle w:val="CharPartNo"/>
        </w:rPr>
        <w:lastRenderedPageBreak/>
        <w:t>Part 5</w:t>
      </w:r>
      <w:r>
        <w:rPr>
          <w:rStyle w:val="CharDivNo"/>
        </w:rPr>
        <w:t> </w:t>
      </w:r>
      <w:r>
        <w:t>—</w:t>
      </w:r>
      <w:r>
        <w:rPr>
          <w:rStyle w:val="CharDivText"/>
        </w:rPr>
        <w:t> </w:t>
      </w:r>
      <w:r>
        <w:rPr>
          <w:rStyle w:val="CharPartText"/>
        </w:rPr>
        <w:t>Sentencing options</w:t>
      </w:r>
      <w:bookmarkEnd w:id="117"/>
      <w:bookmarkEnd w:id="118"/>
      <w:bookmarkEnd w:id="119"/>
    </w:p>
    <w:p>
      <w:pPr>
        <w:pStyle w:val="Heading5"/>
        <w:rPr>
          <w:snapToGrid w:val="0"/>
        </w:rPr>
      </w:pPr>
      <w:bookmarkStart w:id="120" w:name="_Toc200524782"/>
      <w:r>
        <w:rPr>
          <w:rStyle w:val="CharSectno"/>
        </w:rPr>
        <w:t>39</w:t>
      </w:r>
      <w:r>
        <w:rPr>
          <w:snapToGrid w:val="0"/>
        </w:rPr>
        <w:t>.</w:t>
      </w:r>
      <w:r>
        <w:rPr>
          <w:snapToGrid w:val="0"/>
        </w:rPr>
        <w:tab/>
        <w:t>Natural person, sentences for</w:t>
      </w:r>
      <w:bookmarkEnd w:id="12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121" w:name="_Toc200524783"/>
      <w:r>
        <w:rPr>
          <w:rStyle w:val="CharSectno"/>
        </w:rPr>
        <w:t>40</w:t>
      </w:r>
      <w:r>
        <w:rPr>
          <w:snapToGrid w:val="0"/>
        </w:rPr>
        <w:t>.</w:t>
      </w:r>
      <w:r>
        <w:rPr>
          <w:snapToGrid w:val="0"/>
        </w:rPr>
        <w:tab/>
        <w:t>Body corporate, sentences for</w:t>
      </w:r>
      <w:bookmarkEnd w:id="121"/>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lastRenderedPageBreak/>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22" w:name="_Toc200524784"/>
      <w:r>
        <w:rPr>
          <w:rStyle w:val="CharSectno"/>
        </w:rPr>
        <w:t>41</w:t>
      </w:r>
      <w:r>
        <w:rPr>
          <w:snapToGrid w:val="0"/>
        </w:rPr>
        <w:t>.</w:t>
      </w:r>
      <w:r>
        <w:rPr>
          <w:snapToGrid w:val="0"/>
        </w:rPr>
        <w:tab/>
        <w:t>If statutory penalty is imprisonment only: sentencing options</w:t>
      </w:r>
      <w:bookmarkEnd w:id="122"/>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 xml:space="preserve">If the statutory penalty for the offence is such that imprisonment must be imposed, then despite subsection (2) the court must impose a term of imprisonment in accordance with the statutory </w:t>
      </w:r>
      <w:r>
        <w:lastRenderedPageBreak/>
        <w:t>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23" w:name="_Toc200524785"/>
      <w:r>
        <w:rPr>
          <w:rStyle w:val="CharSectno"/>
        </w:rPr>
        <w:t>42</w:t>
      </w:r>
      <w:r>
        <w:rPr>
          <w:snapToGrid w:val="0"/>
        </w:rPr>
        <w:t>.</w:t>
      </w:r>
      <w:r>
        <w:rPr>
          <w:snapToGrid w:val="0"/>
        </w:rPr>
        <w:tab/>
        <w:t>If statutory penalty is imprisonment and fine: sentencing options</w:t>
      </w:r>
      <w:bookmarkEnd w:id="123"/>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lastRenderedPageBreak/>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24" w:name="_Toc200524786"/>
      <w:r>
        <w:rPr>
          <w:rStyle w:val="CharSectno"/>
        </w:rPr>
        <w:t>43</w:t>
      </w:r>
      <w:r>
        <w:t>.</w:t>
      </w:r>
      <w:r>
        <w:tab/>
        <w:t>If statutory penalty is imprisonment or fine: sentencing options</w:t>
      </w:r>
      <w:bookmarkEnd w:id="12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lastRenderedPageBreak/>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25" w:name="_Toc200524787"/>
      <w:r>
        <w:rPr>
          <w:rStyle w:val="CharSectno"/>
        </w:rPr>
        <w:t>44</w:t>
      </w:r>
      <w:r>
        <w:rPr>
          <w:snapToGrid w:val="0"/>
        </w:rPr>
        <w:t>.</w:t>
      </w:r>
      <w:r>
        <w:rPr>
          <w:snapToGrid w:val="0"/>
        </w:rPr>
        <w:tab/>
        <w:t>If statutory penalty is fine only: sentencing options</w:t>
      </w:r>
      <w:bookmarkEnd w:id="125"/>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26" w:name="_Toc200524788"/>
      <w:r>
        <w:rPr>
          <w:rStyle w:val="CharSectno"/>
        </w:rPr>
        <w:lastRenderedPageBreak/>
        <w:t>45</w:t>
      </w:r>
      <w:r>
        <w:rPr>
          <w:snapToGrid w:val="0"/>
        </w:rPr>
        <w:t>.</w:t>
      </w:r>
      <w:r>
        <w:rPr>
          <w:snapToGrid w:val="0"/>
        </w:rPr>
        <w:tab/>
        <w:t>Spent conviction order, making and effect of</w:t>
      </w:r>
      <w:bookmarkEnd w:id="12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lastRenderedPageBreak/>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lastRenderedPageBreak/>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127" w:name="_Toc200459808"/>
      <w:bookmarkStart w:id="128" w:name="_Toc200460108"/>
      <w:bookmarkStart w:id="129" w:name="_Toc200524789"/>
      <w:r>
        <w:rPr>
          <w:rStyle w:val="CharPartNo"/>
        </w:rPr>
        <w:lastRenderedPageBreak/>
        <w:t>Part 6</w:t>
      </w:r>
      <w:r>
        <w:rPr>
          <w:rStyle w:val="CharDivNo"/>
        </w:rPr>
        <w:t> </w:t>
      </w:r>
      <w:r>
        <w:t>—</w:t>
      </w:r>
      <w:r>
        <w:rPr>
          <w:rStyle w:val="CharDivText"/>
        </w:rPr>
        <w:t> </w:t>
      </w:r>
      <w:r>
        <w:rPr>
          <w:rStyle w:val="CharPartText"/>
        </w:rPr>
        <w:t>Release of offender without sentence</w:t>
      </w:r>
      <w:bookmarkEnd w:id="127"/>
      <w:bookmarkEnd w:id="128"/>
      <w:bookmarkEnd w:id="129"/>
    </w:p>
    <w:p>
      <w:pPr>
        <w:pStyle w:val="Heading5"/>
        <w:rPr>
          <w:snapToGrid w:val="0"/>
        </w:rPr>
      </w:pPr>
      <w:bookmarkStart w:id="130" w:name="_Toc200524790"/>
      <w:r>
        <w:rPr>
          <w:rStyle w:val="CharSectno"/>
        </w:rPr>
        <w:t>46</w:t>
      </w:r>
      <w:r>
        <w:rPr>
          <w:snapToGrid w:val="0"/>
        </w:rPr>
        <w:t>.</w:t>
      </w:r>
      <w:r>
        <w:rPr>
          <w:snapToGrid w:val="0"/>
        </w:rPr>
        <w:tab/>
        <w:t>Release without sentence</w:t>
      </w:r>
      <w:bookmarkEnd w:id="13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31" w:name="_Toc200459810"/>
      <w:bookmarkStart w:id="132" w:name="_Toc200460110"/>
      <w:bookmarkStart w:id="133" w:name="_Toc200524791"/>
      <w:r>
        <w:rPr>
          <w:rStyle w:val="CharPartNo"/>
        </w:rPr>
        <w:lastRenderedPageBreak/>
        <w:t>Part 7</w:t>
      </w:r>
      <w:r>
        <w:rPr>
          <w:rStyle w:val="CharDivNo"/>
        </w:rPr>
        <w:t> </w:t>
      </w:r>
      <w:r>
        <w:t>—</w:t>
      </w:r>
      <w:r>
        <w:rPr>
          <w:rStyle w:val="CharDivText"/>
        </w:rPr>
        <w:t> </w:t>
      </w:r>
      <w:r>
        <w:rPr>
          <w:rStyle w:val="CharPartText"/>
        </w:rPr>
        <w:t>Conditional release order</w:t>
      </w:r>
      <w:bookmarkEnd w:id="131"/>
      <w:bookmarkEnd w:id="132"/>
      <w:bookmarkEnd w:id="133"/>
    </w:p>
    <w:p>
      <w:pPr>
        <w:pStyle w:val="Heading5"/>
        <w:rPr>
          <w:snapToGrid w:val="0"/>
        </w:rPr>
      </w:pPr>
      <w:bookmarkStart w:id="134" w:name="_Toc200524792"/>
      <w:r>
        <w:rPr>
          <w:rStyle w:val="CharSectno"/>
        </w:rPr>
        <w:t>47</w:t>
      </w:r>
      <w:r>
        <w:rPr>
          <w:snapToGrid w:val="0"/>
        </w:rPr>
        <w:t>.</w:t>
      </w:r>
      <w:r>
        <w:rPr>
          <w:snapToGrid w:val="0"/>
        </w:rPr>
        <w:tab/>
        <w:t>When CRO may be imposed</w:t>
      </w:r>
      <w:bookmarkEnd w:id="13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35" w:name="_Toc200524793"/>
      <w:r>
        <w:rPr>
          <w:rStyle w:val="CharSectno"/>
        </w:rPr>
        <w:t>48</w:t>
      </w:r>
      <w:r>
        <w:rPr>
          <w:snapToGrid w:val="0"/>
        </w:rPr>
        <w:t>.</w:t>
      </w:r>
      <w:r>
        <w:rPr>
          <w:snapToGrid w:val="0"/>
        </w:rPr>
        <w:tab/>
        <w:t>CRO, nature of</w:t>
      </w:r>
      <w:bookmarkEnd w:id="13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6" w:name="_Toc200524794"/>
      <w:r>
        <w:rPr>
          <w:rStyle w:val="CharSectno"/>
        </w:rPr>
        <w:t>49</w:t>
      </w:r>
      <w:r>
        <w:rPr>
          <w:snapToGrid w:val="0"/>
        </w:rPr>
        <w:t>.</w:t>
      </w:r>
      <w:r>
        <w:rPr>
          <w:snapToGrid w:val="0"/>
        </w:rPr>
        <w:tab/>
        <w:t>CRO, requirements of</w:t>
      </w:r>
      <w:bookmarkEnd w:id="13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37" w:name="_Toc200524795"/>
      <w:r>
        <w:rPr>
          <w:rStyle w:val="CharSectno"/>
        </w:rPr>
        <w:t>50</w:t>
      </w:r>
      <w:r>
        <w:rPr>
          <w:snapToGrid w:val="0"/>
        </w:rPr>
        <w:t>.</w:t>
      </w:r>
      <w:r>
        <w:rPr>
          <w:snapToGrid w:val="0"/>
        </w:rPr>
        <w:tab/>
        <w:t>Court may direct offender to re</w:t>
      </w:r>
      <w:r>
        <w:rPr>
          <w:snapToGrid w:val="0"/>
        </w:rPr>
        <w:noBreakHyphen/>
        <w:t>appear</w:t>
      </w:r>
      <w:bookmarkEnd w:id="137"/>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38" w:name="_Toc200524796"/>
      <w:r>
        <w:rPr>
          <w:rStyle w:val="CharSectno"/>
        </w:rPr>
        <w:t>51</w:t>
      </w:r>
      <w:r>
        <w:rPr>
          <w:snapToGrid w:val="0"/>
        </w:rPr>
        <w:t>.</w:t>
      </w:r>
      <w:r>
        <w:rPr>
          <w:snapToGrid w:val="0"/>
        </w:rPr>
        <w:tab/>
        <w:t>Ensuring compliance with CRO</w:t>
      </w:r>
      <w:bookmarkEnd w:id="13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39" w:name="_Toc200524797"/>
      <w:r>
        <w:rPr>
          <w:rStyle w:val="CharSectno"/>
        </w:rPr>
        <w:lastRenderedPageBreak/>
        <w:t>52</w:t>
      </w:r>
      <w:r>
        <w:rPr>
          <w:snapToGrid w:val="0"/>
        </w:rPr>
        <w:t>.</w:t>
      </w:r>
      <w:r>
        <w:rPr>
          <w:snapToGrid w:val="0"/>
        </w:rPr>
        <w:tab/>
        <w:t>Enforcing CRO</w:t>
      </w:r>
      <w:bookmarkEnd w:id="139"/>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40" w:name="_Toc200459817"/>
      <w:bookmarkStart w:id="141" w:name="_Toc200460117"/>
      <w:bookmarkStart w:id="142" w:name="_Toc200524798"/>
      <w:r>
        <w:rPr>
          <w:rStyle w:val="CharPartNo"/>
        </w:rPr>
        <w:lastRenderedPageBreak/>
        <w:t>Part 8</w:t>
      </w:r>
      <w:r>
        <w:rPr>
          <w:rStyle w:val="CharDivNo"/>
        </w:rPr>
        <w:t> </w:t>
      </w:r>
      <w:r>
        <w:t>—</w:t>
      </w:r>
      <w:r>
        <w:rPr>
          <w:rStyle w:val="CharDivText"/>
        </w:rPr>
        <w:t> </w:t>
      </w:r>
      <w:r>
        <w:rPr>
          <w:rStyle w:val="CharPartText"/>
        </w:rPr>
        <w:t>Fine</w:t>
      </w:r>
      <w:bookmarkEnd w:id="140"/>
      <w:bookmarkEnd w:id="141"/>
      <w:bookmarkEnd w:id="142"/>
    </w:p>
    <w:p>
      <w:pPr>
        <w:pStyle w:val="Heading5"/>
        <w:spacing w:before="180"/>
        <w:rPr>
          <w:snapToGrid w:val="0"/>
        </w:rPr>
      </w:pPr>
      <w:bookmarkStart w:id="143" w:name="_Toc200524799"/>
      <w:r>
        <w:rPr>
          <w:rStyle w:val="CharSectno"/>
        </w:rPr>
        <w:t>53</w:t>
      </w:r>
      <w:r>
        <w:rPr>
          <w:snapToGrid w:val="0"/>
        </w:rPr>
        <w:t>.</w:t>
      </w:r>
      <w:r>
        <w:rPr>
          <w:snapToGrid w:val="0"/>
        </w:rPr>
        <w:tab/>
        <w:t>Considerations when imposing fine</w:t>
      </w:r>
      <w:bookmarkEnd w:id="14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44" w:name="_Toc200524800"/>
      <w:r>
        <w:rPr>
          <w:rStyle w:val="CharSectno"/>
        </w:rPr>
        <w:t>54</w:t>
      </w:r>
      <w:r>
        <w:rPr>
          <w:snapToGrid w:val="0"/>
        </w:rPr>
        <w:t>.</w:t>
      </w:r>
      <w:r>
        <w:rPr>
          <w:snapToGrid w:val="0"/>
        </w:rPr>
        <w:tab/>
        <w:t>One fine for 2 or more offences</w:t>
      </w:r>
      <w:bookmarkEnd w:id="14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145" w:name="_Toc200524801"/>
      <w:r>
        <w:rPr>
          <w:rStyle w:val="CharSectno"/>
        </w:rPr>
        <w:lastRenderedPageBreak/>
        <w:t>55</w:t>
      </w:r>
      <w:r>
        <w:rPr>
          <w:snapToGrid w:val="0"/>
        </w:rPr>
        <w:t>.</w:t>
      </w:r>
      <w:r>
        <w:rPr>
          <w:snapToGrid w:val="0"/>
        </w:rPr>
        <w:tab/>
        <w:t>Apportionment of fine between joint offenders</w:t>
      </w:r>
      <w:bookmarkEnd w:id="14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46" w:name="_Toc200524802"/>
      <w:r>
        <w:rPr>
          <w:rStyle w:val="CharSectno"/>
        </w:rPr>
        <w:t>56</w:t>
      </w:r>
      <w:r>
        <w:rPr>
          <w:snapToGrid w:val="0"/>
        </w:rPr>
        <w:t>.</w:t>
      </w:r>
      <w:r>
        <w:rPr>
          <w:snapToGrid w:val="0"/>
        </w:rPr>
        <w:tab/>
        <w:t>Assault victim may be awarded fine</w:t>
      </w:r>
      <w:bookmarkEnd w:id="14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47" w:name="_Toc200524803"/>
      <w:r>
        <w:rPr>
          <w:rStyle w:val="CharSectno"/>
        </w:rPr>
        <w:t>57</w:t>
      </w:r>
      <w:r>
        <w:rPr>
          <w:snapToGrid w:val="0"/>
        </w:rPr>
        <w:t>.</w:t>
      </w:r>
      <w:r>
        <w:rPr>
          <w:snapToGrid w:val="0"/>
        </w:rPr>
        <w:tab/>
        <w:t>Enforcement of fine</w:t>
      </w:r>
      <w:bookmarkEnd w:id="14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48" w:name="_Toc200524804"/>
      <w:r>
        <w:rPr>
          <w:rStyle w:val="CharSectno"/>
        </w:rPr>
        <w:lastRenderedPageBreak/>
        <w:t>57A</w:t>
      </w:r>
      <w:r>
        <w:t>.</w:t>
      </w:r>
      <w:r>
        <w:tab/>
        <w:t>Enforcement of fine by means of WDO</w:t>
      </w:r>
      <w:bookmarkEnd w:id="14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 xml:space="preserve">the likelihood of the offender having the means to pay referred to in paragraph (a), or personal property </w:t>
      </w:r>
      <w:r>
        <w:lastRenderedPageBreak/>
        <w:t>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49" w:name="_Toc200524805"/>
      <w:r>
        <w:rPr>
          <w:rStyle w:val="CharSectno"/>
        </w:rPr>
        <w:t>57B</w:t>
      </w:r>
      <w:r>
        <w:t>.</w:t>
      </w:r>
      <w:r>
        <w:tab/>
        <w:t>Court may cancel s. 57A order on application of Fines Enforcement Registrar</w:t>
      </w:r>
      <w:bookmarkEnd w:id="14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lastRenderedPageBreak/>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50" w:name="_Toc200524806"/>
      <w:r>
        <w:rPr>
          <w:rStyle w:val="CharSectno"/>
        </w:rPr>
        <w:t>58</w:t>
      </w:r>
      <w:r>
        <w:rPr>
          <w:snapToGrid w:val="0"/>
        </w:rPr>
        <w:t>.</w:t>
      </w:r>
      <w:r>
        <w:rPr>
          <w:snapToGrid w:val="0"/>
        </w:rPr>
        <w:tab/>
        <w:t>Imprisonment until fine paid</w:t>
      </w:r>
      <w:bookmarkEnd w:id="15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lastRenderedPageBreak/>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51" w:name="_Toc200524807"/>
      <w:r>
        <w:rPr>
          <w:rStyle w:val="CharSectno"/>
        </w:rPr>
        <w:t>59</w:t>
      </w:r>
      <w:r>
        <w:rPr>
          <w:snapToGrid w:val="0"/>
        </w:rPr>
        <w:t>.</w:t>
      </w:r>
      <w:r>
        <w:rPr>
          <w:snapToGrid w:val="0"/>
        </w:rPr>
        <w:tab/>
        <w:t>Imprisonment if fine not paid</w:t>
      </w:r>
      <w:bookmarkEnd w:id="15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lastRenderedPageBreak/>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lastRenderedPageBreak/>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152" w:name="_Toc200524808"/>
      <w:r>
        <w:rPr>
          <w:rStyle w:val="CharSectno"/>
        </w:rPr>
        <w:t>60</w:t>
      </w:r>
      <w:r>
        <w:rPr>
          <w:snapToGrid w:val="0"/>
        </w:rPr>
        <w:t>.</w:t>
      </w:r>
      <w:r>
        <w:rPr>
          <w:snapToGrid w:val="0"/>
        </w:rPr>
        <w:tab/>
        <w:t>Application of fine etc.</w:t>
      </w:r>
      <w:bookmarkEnd w:id="15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lastRenderedPageBreak/>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53" w:name="_Toc200459828"/>
      <w:bookmarkStart w:id="154" w:name="_Toc200460128"/>
      <w:bookmarkStart w:id="155" w:name="_Toc200524809"/>
      <w:r>
        <w:rPr>
          <w:rStyle w:val="CharPartNo"/>
        </w:rPr>
        <w:lastRenderedPageBreak/>
        <w:t>Part 8A</w:t>
      </w:r>
      <w:r>
        <w:t> — </w:t>
      </w:r>
      <w:r>
        <w:rPr>
          <w:rStyle w:val="CharPartText"/>
        </w:rPr>
        <w:t>Suspended fine</w:t>
      </w:r>
      <w:bookmarkEnd w:id="153"/>
      <w:bookmarkEnd w:id="154"/>
      <w:bookmarkEnd w:id="155"/>
    </w:p>
    <w:p>
      <w:pPr>
        <w:pStyle w:val="Footnoteheading"/>
      </w:pPr>
      <w:r>
        <w:tab/>
        <w:t>[Heading inserted: No. 45 of 2016 s. 52.]</w:t>
      </w:r>
    </w:p>
    <w:p>
      <w:pPr>
        <w:pStyle w:val="Heading5"/>
      </w:pPr>
      <w:bookmarkStart w:id="156" w:name="_Toc200524810"/>
      <w:r>
        <w:rPr>
          <w:rStyle w:val="CharSectno"/>
        </w:rPr>
        <w:t>60A</w:t>
      </w:r>
      <w:r>
        <w:t>.</w:t>
      </w:r>
      <w:r>
        <w:tab/>
        <w:t>When fine may be suspended</w:t>
      </w:r>
      <w:bookmarkEnd w:id="156"/>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57" w:name="_Toc200524811"/>
      <w:r>
        <w:rPr>
          <w:rStyle w:val="CharSectno"/>
        </w:rPr>
        <w:t>60B</w:t>
      </w:r>
      <w:r>
        <w:t>.</w:t>
      </w:r>
      <w:r>
        <w:tab/>
        <w:t>Effect of suspending fine</w:t>
      </w:r>
      <w:bookmarkEnd w:id="157"/>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58" w:name="_Toc200524812"/>
      <w:r>
        <w:rPr>
          <w:rStyle w:val="CharSectno"/>
        </w:rPr>
        <w:t>60C</w:t>
      </w:r>
      <w:r>
        <w:t>.</w:t>
      </w:r>
      <w:r>
        <w:tab/>
        <w:t>Re</w:t>
      </w:r>
      <w:r>
        <w:noBreakHyphen/>
        <w:t>offender may be dealt with or committed</w:t>
      </w:r>
      <w:bookmarkEnd w:id="158"/>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59" w:name="_Toc200524813"/>
      <w:r>
        <w:rPr>
          <w:rStyle w:val="CharSectno"/>
        </w:rPr>
        <w:lastRenderedPageBreak/>
        <w:t>60D</w:t>
      </w:r>
      <w:r>
        <w:t>.</w:t>
      </w:r>
      <w:r>
        <w:tab/>
        <w:t>Alleging re</w:t>
      </w:r>
      <w:r>
        <w:noBreakHyphen/>
        <w:t>offending in court</w:t>
      </w:r>
      <w:bookmarkEnd w:id="159"/>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60" w:name="_Toc200524814"/>
      <w:r>
        <w:rPr>
          <w:rStyle w:val="CharSectno"/>
        </w:rPr>
        <w:lastRenderedPageBreak/>
        <w:t>60E</w:t>
      </w:r>
      <w:r>
        <w:t>.</w:t>
      </w:r>
      <w:r>
        <w:tab/>
        <w:t>How re</w:t>
      </w:r>
      <w:r>
        <w:noBreakHyphen/>
        <w:t>offender to be dealt with</w:t>
      </w:r>
      <w:bookmarkEnd w:id="160"/>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lastRenderedPageBreak/>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61" w:name="_Toc200459834"/>
      <w:bookmarkStart w:id="162" w:name="_Toc200460134"/>
      <w:bookmarkStart w:id="163" w:name="_Toc200524815"/>
      <w:r>
        <w:rPr>
          <w:rStyle w:val="CharPartNo"/>
        </w:rPr>
        <w:lastRenderedPageBreak/>
        <w:t>Part 9</w:t>
      </w:r>
      <w:r>
        <w:rPr>
          <w:rStyle w:val="CharDivNo"/>
        </w:rPr>
        <w:t> </w:t>
      </w:r>
      <w:r>
        <w:t>—</w:t>
      </w:r>
      <w:r>
        <w:rPr>
          <w:rStyle w:val="CharDivText"/>
        </w:rPr>
        <w:t> </w:t>
      </w:r>
      <w:r>
        <w:rPr>
          <w:rStyle w:val="CharPartText"/>
        </w:rPr>
        <w:t>Community based order</w:t>
      </w:r>
      <w:bookmarkEnd w:id="161"/>
      <w:bookmarkEnd w:id="162"/>
      <w:bookmarkEnd w:id="163"/>
    </w:p>
    <w:p>
      <w:pPr>
        <w:pStyle w:val="Heading5"/>
        <w:rPr>
          <w:snapToGrid w:val="0"/>
        </w:rPr>
      </w:pPr>
      <w:bookmarkStart w:id="164" w:name="_Toc200524816"/>
      <w:r>
        <w:rPr>
          <w:rStyle w:val="CharSectno"/>
        </w:rPr>
        <w:t>61</w:t>
      </w:r>
      <w:r>
        <w:rPr>
          <w:snapToGrid w:val="0"/>
        </w:rPr>
        <w:t>.</w:t>
      </w:r>
      <w:r>
        <w:rPr>
          <w:snapToGrid w:val="0"/>
        </w:rPr>
        <w:tab/>
        <w:t>Pre</w:t>
      </w:r>
      <w:r>
        <w:rPr>
          <w:snapToGrid w:val="0"/>
        </w:rPr>
        <w:noBreakHyphen/>
        <w:t>sentence report optional before imposing CBO</w:t>
      </w:r>
      <w:bookmarkEnd w:id="164"/>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65" w:name="_Toc200524817"/>
      <w:r>
        <w:rPr>
          <w:rStyle w:val="CharSectno"/>
        </w:rPr>
        <w:t>62</w:t>
      </w:r>
      <w:r>
        <w:rPr>
          <w:snapToGrid w:val="0"/>
        </w:rPr>
        <w:t>.</w:t>
      </w:r>
      <w:r>
        <w:rPr>
          <w:snapToGrid w:val="0"/>
        </w:rPr>
        <w:tab/>
        <w:t>CBO, nature of</w:t>
      </w:r>
      <w:bookmarkEnd w:id="165"/>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66" w:name="_Toc200524818"/>
      <w:r>
        <w:rPr>
          <w:rStyle w:val="CharSectno"/>
        </w:rPr>
        <w:t>63</w:t>
      </w:r>
      <w:r>
        <w:rPr>
          <w:snapToGrid w:val="0"/>
        </w:rPr>
        <w:t>.</w:t>
      </w:r>
      <w:r>
        <w:rPr>
          <w:snapToGrid w:val="0"/>
        </w:rPr>
        <w:tab/>
        <w:t>CBO, standard obligations of</w:t>
      </w:r>
      <w:bookmarkEnd w:id="16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67" w:name="_Toc200524819"/>
      <w:r>
        <w:rPr>
          <w:rStyle w:val="CharSectno"/>
        </w:rPr>
        <w:t>64</w:t>
      </w:r>
      <w:r>
        <w:rPr>
          <w:snapToGrid w:val="0"/>
        </w:rPr>
        <w:t>.</w:t>
      </w:r>
      <w:r>
        <w:rPr>
          <w:snapToGrid w:val="0"/>
        </w:rPr>
        <w:tab/>
        <w:t>CBO, primary requirements of</w:t>
      </w:r>
      <w:bookmarkEnd w:id="16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68" w:name="_Toc200524820"/>
      <w:r>
        <w:rPr>
          <w:rStyle w:val="CharSectno"/>
        </w:rPr>
        <w:lastRenderedPageBreak/>
        <w:t>65</w:t>
      </w:r>
      <w:r>
        <w:rPr>
          <w:snapToGrid w:val="0"/>
        </w:rPr>
        <w:t>.</w:t>
      </w:r>
      <w:r>
        <w:rPr>
          <w:snapToGrid w:val="0"/>
        </w:rPr>
        <w:tab/>
        <w:t>Supervision requirement</w:t>
      </w:r>
      <w:bookmarkEnd w:id="16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69" w:name="_Toc200524821"/>
      <w:r>
        <w:rPr>
          <w:rStyle w:val="CharSectno"/>
        </w:rPr>
        <w:lastRenderedPageBreak/>
        <w:t>66</w:t>
      </w:r>
      <w:r>
        <w:rPr>
          <w:snapToGrid w:val="0"/>
        </w:rPr>
        <w:t>.</w:t>
      </w:r>
      <w:r>
        <w:rPr>
          <w:snapToGrid w:val="0"/>
        </w:rPr>
        <w:tab/>
        <w:t>Programme requirement</w:t>
      </w:r>
      <w:bookmarkEnd w:id="169"/>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70" w:name="_Toc200524822"/>
      <w:r>
        <w:rPr>
          <w:rStyle w:val="CharSectno"/>
        </w:rPr>
        <w:t>67</w:t>
      </w:r>
      <w:r>
        <w:rPr>
          <w:snapToGrid w:val="0"/>
        </w:rPr>
        <w:t>.</w:t>
      </w:r>
      <w:r>
        <w:rPr>
          <w:snapToGrid w:val="0"/>
        </w:rPr>
        <w:tab/>
        <w:t>Community service requirement</w:t>
      </w:r>
      <w:bookmarkEnd w:id="170"/>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lastRenderedPageBreak/>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171" w:name="_Toc200524823"/>
      <w:r>
        <w:rPr>
          <w:rStyle w:val="CharSectno"/>
        </w:rPr>
        <w:t>67A</w:t>
      </w:r>
      <w:r>
        <w:t>.</w:t>
      </w:r>
      <w:r>
        <w:tab/>
        <w:t>Electronic monitoring requirement</w:t>
      </w:r>
      <w:bookmarkEnd w:id="171"/>
    </w:p>
    <w:p>
      <w:pPr>
        <w:pStyle w:val="Subsection"/>
      </w:pPr>
      <w:r>
        <w:tab/>
        <w:t>(1)</w:t>
      </w:r>
      <w:r>
        <w:tab/>
        <w:t xml:space="preserve">This section applies if — </w:t>
      </w:r>
    </w:p>
    <w:p>
      <w:pPr>
        <w:pStyle w:val="Indenta"/>
      </w:pPr>
      <w:r>
        <w:tab/>
        <w:t>(a)</w:t>
      </w:r>
      <w:r>
        <w:tab/>
        <w:t xml:space="preserve">an offence in respect of which a CBO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 CBO may apply is a family violence offence (category B) and the offender is a serial family violence offender.</w:t>
      </w:r>
    </w:p>
    <w:p>
      <w:pPr>
        <w:pStyle w:val="Subsection"/>
      </w:pPr>
      <w:r>
        <w:tab/>
        <w:t>(2)</w:t>
      </w:r>
      <w:r>
        <w:tab/>
        <w:t xml:space="preserve">For the purposes of subsection (1)(b), an offender is a serial family violence offender whether the offender was so declared by — </w:t>
      </w:r>
    </w:p>
    <w:p>
      <w:pPr>
        <w:pStyle w:val="Indenta"/>
      </w:pPr>
      <w:r>
        <w:tab/>
        <w:t>(a)</w:t>
      </w:r>
      <w:r>
        <w:tab/>
        <w:t>the court referred to in subsection (3) at the time of the offender’s conviction for the family violence offence (category B); or</w:t>
      </w:r>
    </w:p>
    <w:p>
      <w:pPr>
        <w:pStyle w:val="Indenta"/>
      </w:pPr>
      <w:r>
        <w:tab/>
        <w:t>(b)</w:t>
      </w:r>
      <w:r>
        <w:tab/>
        <w:t>another court.</w:t>
      </w:r>
    </w:p>
    <w:p>
      <w:pPr>
        <w:pStyle w:val="Subsection"/>
      </w:pPr>
      <w:r>
        <w:tab/>
        <w:t>(3)</w:t>
      </w:r>
      <w:r>
        <w:tab/>
        <w:t xml:space="preserve">If this section applies and a court makes a CBO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lastRenderedPageBreak/>
        <w:tab/>
        <w:t>(4)</w:t>
      </w:r>
      <w:r>
        <w:tab/>
        <w:t>The purpose of electronic monitoring of an offender subject to a CBO is to enable the location of the offender to be monitored.</w:t>
      </w:r>
    </w:p>
    <w:p>
      <w:pPr>
        <w:pStyle w:val="Ednotesubsection"/>
      </w:pPr>
      <w:r>
        <w:tab/>
        <w:t>[(5)</w:t>
      </w:r>
      <w:r>
        <w:tab/>
        <w:t>deleted]</w:t>
      </w:r>
    </w:p>
    <w:p>
      <w:pPr>
        <w:pStyle w:val="Subsection"/>
      </w:pPr>
      <w:r>
        <w:tab/>
        <w:t>(6)</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(6A)</w:t>
      </w:r>
      <w:r>
        <w:tab/>
        <w:t>A person given a direction under subsection (6)(a), (b) or (c) must comply with the direction.</w:t>
      </w:r>
    </w:p>
    <w:p>
      <w:pPr>
        <w:pStyle w:val="Penstart"/>
      </w:pPr>
      <w:r>
        <w:tab/>
        <w:t>Penalty for this subsection: imprisonment for 3 years and a fine of $36 000.</w:t>
      </w:r>
    </w:p>
    <w:p>
      <w:pPr>
        <w:pStyle w:val="Subsection"/>
      </w:pPr>
      <w:r>
        <w:tab/>
        <w:t>(6B)</w:t>
      </w:r>
      <w:r>
        <w:tab/>
        <w:t>A person given a direction under subsection (6)(d) must comply with the direction, unless the person has a reasonable excuse.</w:t>
      </w:r>
    </w:p>
    <w:p>
      <w:pPr>
        <w:pStyle w:val="Penstart"/>
      </w:pPr>
      <w:r>
        <w:tab/>
        <w:t>Penalty for this subsection: imprisonment for 3 years and a fine of $36 000.</w:t>
      </w:r>
    </w:p>
    <w:p>
      <w:pPr>
        <w:pStyle w:val="Subsection"/>
      </w:pPr>
      <w:r>
        <w:tab/>
        <w:t>(7)</w:t>
      </w:r>
      <w:r>
        <w:tab/>
        <w:t>The term of an electronic monitoring requirement must be set by the court when it imposes the requirement.</w:t>
      </w:r>
    </w:p>
    <w:p>
      <w:pPr>
        <w:pStyle w:val="Subsection"/>
        <w:keepNext/>
      </w:pPr>
      <w:r>
        <w:lastRenderedPageBreak/>
        <w:tab/>
        <w:t>(8)</w:t>
      </w:r>
      <w:r>
        <w:tab/>
        <w:t>An electronic monitoring requirement ceases to be in force when its term ends, or when the CBO ceases to be in force, whichever happens first.</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(6A) or (6B).</w:t>
      </w:r>
    </w:p>
    <w:p>
      <w:pPr>
        <w:pStyle w:val="Footnotesection"/>
      </w:pPr>
      <w:r>
        <w:tab/>
        <w:t>[Section 67A inserted: No. 30 of 2020 s. 21; amended: No. 28 of 2024 s. 64.]</w:t>
      </w:r>
    </w:p>
    <w:p>
      <w:pPr>
        <w:pStyle w:val="Ednotesection"/>
      </w:pPr>
      <w:r>
        <w:t>[</w:t>
      </w:r>
      <w:r>
        <w:rPr>
          <w:b/>
          <w:bCs/>
        </w:rPr>
        <w:t>68A.</w:t>
      </w:r>
      <w:r>
        <w:tab/>
        <w:t>Modifications to be applied in order to give effect to Cross</w:t>
      </w:r>
      <w:r>
        <w:noBreakHyphen/>
        <w:t>border Justice Act 2008: section inserted 1 Nov 2009. See endnote 1M.]</w:t>
      </w:r>
    </w:p>
    <w:p>
      <w:pPr>
        <w:pStyle w:val="Heading2"/>
      </w:pPr>
      <w:bookmarkStart w:id="172" w:name="_Toc200459843"/>
      <w:bookmarkStart w:id="173" w:name="_Toc200460143"/>
      <w:bookmarkStart w:id="174" w:name="_Toc200524824"/>
      <w:r>
        <w:rPr>
          <w:rStyle w:val="CharPartNo"/>
        </w:rPr>
        <w:lastRenderedPageBreak/>
        <w:t>Part 10</w:t>
      </w:r>
      <w:r>
        <w:rPr>
          <w:rStyle w:val="CharDivNo"/>
        </w:rPr>
        <w:t> </w:t>
      </w:r>
      <w:r>
        <w:t>—</w:t>
      </w:r>
      <w:r>
        <w:rPr>
          <w:rStyle w:val="CharDivText"/>
        </w:rPr>
        <w:t> </w:t>
      </w:r>
      <w:r>
        <w:rPr>
          <w:rStyle w:val="CharPartText"/>
        </w:rPr>
        <w:t>Intensive supervision order</w:t>
      </w:r>
      <w:bookmarkEnd w:id="172"/>
      <w:bookmarkEnd w:id="173"/>
      <w:bookmarkEnd w:id="174"/>
    </w:p>
    <w:p>
      <w:pPr>
        <w:pStyle w:val="Heading5"/>
        <w:rPr>
          <w:snapToGrid w:val="0"/>
        </w:rPr>
      </w:pPr>
      <w:bookmarkStart w:id="175" w:name="_Toc200524825"/>
      <w:r>
        <w:rPr>
          <w:rStyle w:val="CharSectno"/>
        </w:rPr>
        <w:t>68</w:t>
      </w:r>
      <w:r>
        <w:rPr>
          <w:snapToGrid w:val="0"/>
        </w:rPr>
        <w:t>.</w:t>
      </w:r>
      <w:r>
        <w:rPr>
          <w:snapToGrid w:val="0"/>
        </w:rPr>
        <w:tab/>
        <w:t>Pre</w:t>
      </w:r>
      <w:r>
        <w:rPr>
          <w:snapToGrid w:val="0"/>
        </w:rPr>
        <w:noBreakHyphen/>
        <w:t>sentence report mandatory before imposing ISO</w:t>
      </w:r>
      <w:bookmarkEnd w:id="175"/>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76" w:name="_Toc200524826"/>
      <w:r>
        <w:rPr>
          <w:rStyle w:val="CharSectno"/>
        </w:rPr>
        <w:t>69</w:t>
      </w:r>
      <w:r>
        <w:rPr>
          <w:snapToGrid w:val="0"/>
        </w:rPr>
        <w:t>.</w:t>
      </w:r>
      <w:r>
        <w:rPr>
          <w:snapToGrid w:val="0"/>
        </w:rPr>
        <w:tab/>
        <w:t>ISO, nature of</w:t>
      </w:r>
      <w:bookmarkEnd w:id="17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lastRenderedPageBreak/>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77" w:name="_Toc200524827"/>
      <w:r>
        <w:rPr>
          <w:rStyle w:val="CharSectno"/>
        </w:rPr>
        <w:t>70</w:t>
      </w:r>
      <w:r>
        <w:rPr>
          <w:snapToGrid w:val="0"/>
        </w:rPr>
        <w:t>.</w:t>
      </w:r>
      <w:r>
        <w:rPr>
          <w:snapToGrid w:val="0"/>
        </w:rPr>
        <w:tab/>
        <w:t>ISO, standard obligations of</w:t>
      </w:r>
      <w:bookmarkEnd w:id="177"/>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78" w:name="_Toc200524828"/>
      <w:r>
        <w:rPr>
          <w:rStyle w:val="CharSectno"/>
        </w:rPr>
        <w:t>71</w:t>
      </w:r>
      <w:r>
        <w:rPr>
          <w:snapToGrid w:val="0"/>
        </w:rPr>
        <w:t>.</w:t>
      </w:r>
      <w:r>
        <w:rPr>
          <w:snapToGrid w:val="0"/>
        </w:rPr>
        <w:tab/>
        <w:t>Supervision requirement</w:t>
      </w:r>
      <w:bookmarkEnd w:id="17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lastRenderedPageBreak/>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79" w:name="_Toc200524829"/>
      <w:r>
        <w:rPr>
          <w:rStyle w:val="CharSectno"/>
        </w:rPr>
        <w:t>72</w:t>
      </w:r>
      <w:r>
        <w:rPr>
          <w:snapToGrid w:val="0"/>
        </w:rPr>
        <w:t>.</w:t>
      </w:r>
      <w:r>
        <w:rPr>
          <w:snapToGrid w:val="0"/>
        </w:rPr>
        <w:tab/>
        <w:t>ISO, primary requirements of</w:t>
      </w:r>
      <w:bookmarkEnd w:id="179"/>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180" w:name="_Toc200524830"/>
      <w:r>
        <w:rPr>
          <w:rStyle w:val="CharSectno"/>
        </w:rPr>
        <w:lastRenderedPageBreak/>
        <w:t>73</w:t>
      </w:r>
      <w:r>
        <w:rPr>
          <w:snapToGrid w:val="0"/>
        </w:rPr>
        <w:t>.</w:t>
      </w:r>
      <w:r>
        <w:rPr>
          <w:snapToGrid w:val="0"/>
        </w:rPr>
        <w:tab/>
        <w:t>Programme requirement</w:t>
      </w:r>
      <w:bookmarkEnd w:id="180"/>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181" w:name="_Toc200524831"/>
      <w:r>
        <w:rPr>
          <w:rStyle w:val="CharSectno"/>
        </w:rPr>
        <w:t>74</w:t>
      </w:r>
      <w:r>
        <w:rPr>
          <w:snapToGrid w:val="0"/>
        </w:rPr>
        <w:t>.</w:t>
      </w:r>
      <w:r>
        <w:rPr>
          <w:snapToGrid w:val="0"/>
        </w:rPr>
        <w:tab/>
        <w:t>Community service requirement</w:t>
      </w:r>
      <w:bookmarkEnd w:id="18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 xml:space="preserve">A community service requirement ceases to be in force when the offender finishes working the hours set to the satisfaction of </w:t>
      </w:r>
      <w:r>
        <w:rPr>
          <w:snapToGrid w:val="0"/>
        </w:rPr>
        <w:lastRenderedPageBreak/>
        <w:t>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tab/>
        <w:t>Modifications to be applied in order to give effect to Cross</w:t>
      </w:r>
      <w:r>
        <w:noBreakHyphen/>
        <w:t>border Justice Act 2008: section inserted 1 Nov 2009. See endnote 1M.]</w:t>
      </w:r>
    </w:p>
    <w:p>
      <w:pPr>
        <w:pStyle w:val="Heading5"/>
        <w:keepLines w:val="0"/>
        <w:rPr>
          <w:snapToGrid w:val="0"/>
        </w:rPr>
      </w:pPr>
      <w:bookmarkStart w:id="182" w:name="_Toc200524832"/>
      <w:r>
        <w:rPr>
          <w:rStyle w:val="CharSectno"/>
        </w:rPr>
        <w:t>75</w:t>
      </w:r>
      <w:r>
        <w:rPr>
          <w:snapToGrid w:val="0"/>
        </w:rPr>
        <w:t>.</w:t>
      </w:r>
      <w:r>
        <w:rPr>
          <w:snapToGrid w:val="0"/>
        </w:rPr>
        <w:tab/>
        <w:t>Curfew requirement</w:t>
      </w:r>
      <w:bookmarkEnd w:id="182"/>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lastRenderedPageBreak/>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lastRenderedPageBreak/>
        <w:tab/>
        <w:t>(b)</w:t>
      </w:r>
      <w:r>
        <w:tab/>
        <w:t>to permit the installation of an approved electronic monitoring device at the place where the offender resides; or</w:t>
      </w:r>
    </w:p>
    <w:p>
      <w:pPr>
        <w:pStyle w:val="Indenta"/>
      </w:pPr>
      <w:r>
        <w:tab/>
        <w:t>(c)</w:t>
      </w:r>
      <w:r>
        <w:tab/>
        <w:t>to charge the approved electronic monitoring device so as to ensure the device is at all times operational; or</w:t>
      </w:r>
    </w:p>
    <w:p>
      <w:pPr>
        <w:pStyle w:val="Indenta"/>
      </w:pPr>
      <w:r>
        <w:tab/>
        <w:t>(d)</w:t>
      </w:r>
      <w:r>
        <w:tab/>
        <w:t>to not enter 1 or more areas of the State stated in a written notice given to the offender by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Penalty for this subsection: imprisonment for 3 years and a fine of $36 000.</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lastRenderedPageBreak/>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75 amended: No. 50 of 2003 s. 25; No. 27 of 2004 s. 6(4); No. 65 of 2006 s. 49; No. 45 of 2016 s. 67; No. 13 of 2020 s. 7; No. 28 of 2024 s. 65.]</w:t>
      </w:r>
    </w:p>
    <w:p>
      <w:pPr>
        <w:pStyle w:val="Heading5"/>
      </w:pPr>
      <w:bookmarkStart w:id="183" w:name="_Toc200524833"/>
      <w:r>
        <w:rPr>
          <w:rStyle w:val="CharSectno"/>
        </w:rPr>
        <w:t>76A</w:t>
      </w:r>
      <w:r>
        <w:t>.</w:t>
      </w:r>
      <w:r>
        <w:tab/>
        <w:t>Electronic monitoring requirement</w:t>
      </w:r>
      <w:bookmarkEnd w:id="183"/>
    </w:p>
    <w:p>
      <w:pPr>
        <w:pStyle w:val="Subsection"/>
      </w:pPr>
      <w:r>
        <w:tab/>
        <w:t>(1)</w:t>
      </w:r>
      <w:r>
        <w:tab/>
        <w:t xml:space="preserve">The purpose of electronic monitoring of an offender — </w:t>
      </w:r>
    </w:p>
    <w:p>
      <w:pPr>
        <w:pStyle w:val="Indenta"/>
      </w:pPr>
      <w:r>
        <w:tab/>
        <w:t>(a)</w:t>
      </w:r>
      <w:r>
        <w:tab/>
        <w:t xml:space="preserve">under subsection (2) is to enable the location of the offender to be monitored where the offender presents a high risk to — </w:t>
      </w:r>
    </w:p>
    <w:p>
      <w:pPr>
        <w:pStyle w:val="Indenti"/>
      </w:pPr>
      <w:r>
        <w:tab/>
        <w:t>(i)</w:t>
      </w:r>
      <w:r>
        <w:tab/>
        <w:t>a person; or</w:t>
      </w:r>
    </w:p>
    <w:p>
      <w:pPr>
        <w:pStyle w:val="Indenti"/>
      </w:pPr>
      <w:r>
        <w:tab/>
        <w:t>(ii)</w:t>
      </w:r>
      <w:r>
        <w:tab/>
        <w:t>a group of persons; or</w:t>
      </w:r>
    </w:p>
    <w:p>
      <w:pPr>
        <w:pStyle w:val="Indenti"/>
      </w:pPr>
      <w:r>
        <w:tab/>
        <w:t>(iii)</w:t>
      </w:r>
      <w:r>
        <w:tab/>
        <w:t xml:space="preserve">the community more generally; </w:t>
      </w:r>
    </w:p>
    <w:p>
      <w:pPr>
        <w:pStyle w:val="Indenta"/>
      </w:pPr>
      <w:r>
        <w:tab/>
      </w:r>
      <w:r>
        <w:tab/>
        <w:t>and</w:t>
      </w:r>
    </w:p>
    <w:p>
      <w:pPr>
        <w:pStyle w:val="Indenta"/>
      </w:pPr>
      <w:r>
        <w:lastRenderedPageBreak/>
        <w:tab/>
        <w:t>(b)</w:t>
      </w:r>
      <w:r>
        <w:tab/>
        <w:t>under subsection (2C) is to enable the location of the offender to be monitored.</w:t>
      </w:r>
    </w:p>
    <w:p>
      <w:pPr>
        <w:pStyle w:val="Ednotesubsection"/>
      </w:pPr>
      <w:r>
        <w:tab/>
        <w:t>[(1A)</w:t>
      </w:r>
      <w:r>
        <w:tab/>
        <w:t>deleted]</w:t>
      </w:r>
    </w:p>
    <w:p>
      <w:pPr>
        <w:pStyle w:val="Subsection"/>
      </w:pPr>
      <w:r>
        <w:tab/>
        <w:t>(2)</w:t>
      </w:r>
      <w:r>
        <w:tab/>
        <w:t xml:space="preserve">If a court considers that electronic monitoring should occur in a particular case, other than a case referred to in subsection (2A), the court may impose a requirement (an </w:t>
      </w:r>
      <w:r>
        <w:rPr>
          <w:rStyle w:val="CharDefText"/>
        </w:rPr>
        <w:t>electronic monitoring requirement</w:t>
      </w:r>
      <w:r>
        <w:t>) under this section.</w:t>
      </w:r>
    </w:p>
    <w:p>
      <w:pPr>
        <w:pStyle w:val="Subsection"/>
      </w:pPr>
      <w:r>
        <w:tab/>
        <w:t>(2A)</w:t>
      </w:r>
      <w:r>
        <w:tab/>
        <w:t xml:space="preserve">Subsection (2C) applies if — </w:t>
      </w:r>
    </w:p>
    <w:p>
      <w:pPr>
        <w:pStyle w:val="Indenta"/>
      </w:pPr>
      <w:r>
        <w:tab/>
        <w:t>(a)</w:t>
      </w:r>
      <w:r>
        <w:tab/>
        <w:t xml:space="preserve">an offence in respect of which an ISO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an ISO may apply is a family violence offence (category B) and the offender is a serial family violence offender.</w:t>
      </w:r>
    </w:p>
    <w:p>
      <w:pPr>
        <w:pStyle w:val="Subsection"/>
      </w:pPr>
      <w:r>
        <w:tab/>
        <w:t>(2B)</w:t>
      </w:r>
      <w:r>
        <w:tab/>
        <w:t xml:space="preserve">For the purposes of subsection (2A)(b), an offender is a serial family violence offender whether the offender was so declared by — </w:t>
      </w:r>
    </w:p>
    <w:p>
      <w:pPr>
        <w:pStyle w:val="Indenta"/>
      </w:pPr>
      <w:r>
        <w:tab/>
        <w:t>(a)</w:t>
      </w:r>
      <w:r>
        <w:tab/>
        <w:t>the court referred to in subsection (2C) at the time of the offender’s conviction for the family violence offence (category B); or</w:t>
      </w:r>
    </w:p>
    <w:p>
      <w:pPr>
        <w:pStyle w:val="Indenta"/>
      </w:pPr>
      <w:r>
        <w:tab/>
        <w:t>(b)</w:t>
      </w:r>
      <w:r>
        <w:tab/>
        <w:t>another court.</w:t>
      </w:r>
    </w:p>
    <w:p>
      <w:pPr>
        <w:pStyle w:val="Subsection"/>
      </w:pPr>
      <w:r>
        <w:tab/>
        <w:t>(2C)</w:t>
      </w:r>
      <w:r>
        <w:tab/>
        <w:t xml:space="preserve">If subsection (2A) applies and a court makes an ISO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lastRenderedPageBreak/>
        <w:tab/>
        <w:t>(3)</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(3A)</w:t>
      </w:r>
      <w:r>
        <w:tab/>
        <w:t>A person given a direction under subsection (3)(a), (b) or (c) must comply with the direction.</w:t>
      </w:r>
    </w:p>
    <w:p>
      <w:pPr>
        <w:pStyle w:val="Penstart"/>
      </w:pPr>
      <w:r>
        <w:tab/>
        <w:t>Penalty for this subsection: imprisonment for 3 years and a fine of $36 000.</w:t>
      </w:r>
    </w:p>
    <w:p>
      <w:pPr>
        <w:pStyle w:val="Subsection"/>
      </w:pPr>
      <w:r>
        <w:tab/>
        <w:t>(3B)</w:t>
      </w:r>
      <w:r>
        <w:tab/>
        <w:t>A person given a direction subsection (3)(d) must comply with the direction, unless the person has a reasonable excuse.</w:t>
      </w:r>
    </w:p>
    <w:p>
      <w:pPr>
        <w:pStyle w:val="Penstart"/>
      </w:pPr>
      <w:r>
        <w:tab/>
        <w:t>Penalty for this subsection: imprisonment for 3 years and a fine of $36 000.</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lastRenderedPageBreak/>
        <w:tab/>
        <w:t>(6)</w:t>
      </w:r>
      <w:r>
        <w:tab/>
        <w:t>This section does not apply to an offender who, at the time of sentencing, is under 18 years of age.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(3A) or (3B).</w:t>
      </w:r>
    </w:p>
    <w:p>
      <w:pPr>
        <w:pStyle w:val="Footnotesection"/>
      </w:pPr>
      <w:r>
        <w:tab/>
        <w:t>[Section 76A inserted: No. 13 of 2020 s. 8; amended: No. 30 of 2020 s. 22; No. 28 of 2024 s. 66.]</w:t>
      </w:r>
    </w:p>
    <w:p>
      <w:pPr>
        <w:pStyle w:val="Heading2"/>
      </w:pPr>
      <w:bookmarkStart w:id="184" w:name="_Toc200459853"/>
      <w:bookmarkStart w:id="185" w:name="_Toc200460153"/>
      <w:bookmarkStart w:id="186" w:name="_Toc200524834"/>
      <w:r>
        <w:rPr>
          <w:rStyle w:val="CharPartNo"/>
        </w:rPr>
        <w:lastRenderedPageBreak/>
        <w:t>Part 11</w:t>
      </w:r>
      <w:r>
        <w:rPr>
          <w:rStyle w:val="CharDivNo"/>
        </w:rPr>
        <w:t> </w:t>
      </w:r>
      <w:r>
        <w:t>—</w:t>
      </w:r>
      <w:r>
        <w:rPr>
          <w:rStyle w:val="CharDivText"/>
        </w:rPr>
        <w:t> </w:t>
      </w:r>
      <w:r>
        <w:rPr>
          <w:rStyle w:val="CharPartText"/>
        </w:rPr>
        <w:t>Suspended imprisonment</w:t>
      </w:r>
      <w:bookmarkEnd w:id="184"/>
      <w:bookmarkEnd w:id="185"/>
      <w:bookmarkEnd w:id="186"/>
    </w:p>
    <w:p>
      <w:pPr>
        <w:pStyle w:val="Heading5"/>
        <w:rPr>
          <w:snapToGrid w:val="0"/>
        </w:rPr>
      </w:pPr>
      <w:bookmarkStart w:id="187" w:name="_Toc200524835"/>
      <w:r>
        <w:rPr>
          <w:rStyle w:val="CharSectno"/>
        </w:rPr>
        <w:t>76</w:t>
      </w:r>
      <w:r>
        <w:rPr>
          <w:snapToGrid w:val="0"/>
        </w:rPr>
        <w:t>.</w:t>
      </w:r>
      <w:r>
        <w:rPr>
          <w:snapToGrid w:val="0"/>
        </w:rPr>
        <w:tab/>
        <w:t>When imprisonment may be suspended</w:t>
      </w:r>
      <w:bookmarkEnd w:id="187"/>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188" w:name="_Toc200524836"/>
      <w:r>
        <w:rPr>
          <w:rStyle w:val="CharSectno"/>
        </w:rPr>
        <w:t>77</w:t>
      </w:r>
      <w:r>
        <w:rPr>
          <w:snapToGrid w:val="0"/>
        </w:rPr>
        <w:t>.</w:t>
      </w:r>
      <w:r>
        <w:rPr>
          <w:snapToGrid w:val="0"/>
        </w:rPr>
        <w:tab/>
        <w:t>Effect of suspending imprisonment</w:t>
      </w:r>
      <w:bookmarkEnd w:id="188"/>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189" w:name="_Toc200524837"/>
      <w:r>
        <w:rPr>
          <w:rStyle w:val="CharSectno"/>
        </w:rPr>
        <w:t>78</w:t>
      </w:r>
      <w:r>
        <w:rPr>
          <w:snapToGrid w:val="0"/>
        </w:rPr>
        <w:t>.</w:t>
      </w:r>
      <w:r>
        <w:rPr>
          <w:snapToGrid w:val="0"/>
        </w:rPr>
        <w:tab/>
        <w:t>Re</w:t>
      </w:r>
      <w:r>
        <w:rPr>
          <w:snapToGrid w:val="0"/>
        </w:rPr>
        <w:noBreakHyphen/>
        <w:t>offender may be dealt with or committed</w:t>
      </w:r>
      <w:bookmarkEnd w:id="189"/>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190" w:name="_Toc200524838"/>
      <w:r>
        <w:rPr>
          <w:rStyle w:val="CharSectno"/>
        </w:rPr>
        <w:t>79</w:t>
      </w:r>
      <w:r>
        <w:t>.</w:t>
      </w:r>
      <w:r>
        <w:tab/>
        <w:t>Re</w:t>
      </w:r>
      <w:r>
        <w:noBreakHyphen/>
        <w:t>offending, alleging in court</w:t>
      </w:r>
      <w:bookmarkEnd w:id="190"/>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lastRenderedPageBreak/>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lastRenderedPageBreak/>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191" w:name="_Toc200524839"/>
      <w:r>
        <w:rPr>
          <w:rStyle w:val="CharSectno"/>
        </w:rPr>
        <w:t>80</w:t>
      </w:r>
      <w:r>
        <w:rPr>
          <w:snapToGrid w:val="0"/>
        </w:rPr>
        <w:t>.</w:t>
      </w:r>
      <w:r>
        <w:rPr>
          <w:snapToGrid w:val="0"/>
        </w:rPr>
        <w:tab/>
        <w:t>How re</w:t>
      </w:r>
      <w:r>
        <w:rPr>
          <w:snapToGrid w:val="0"/>
        </w:rPr>
        <w:noBreakHyphen/>
        <w:t>offender to be dealt with</w:t>
      </w:r>
      <w:bookmarkEnd w:id="191"/>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lastRenderedPageBreak/>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192" w:name="_Toc200459859"/>
      <w:bookmarkStart w:id="193" w:name="_Toc200460159"/>
      <w:bookmarkStart w:id="194" w:name="_Toc200524840"/>
      <w:r>
        <w:rPr>
          <w:rStyle w:val="CharPartNo"/>
        </w:rPr>
        <w:lastRenderedPageBreak/>
        <w:t>Part 12</w:t>
      </w:r>
      <w:r>
        <w:rPr>
          <w:b w:val="0"/>
        </w:rPr>
        <w:t> </w:t>
      </w:r>
      <w:r>
        <w:t>—</w:t>
      </w:r>
      <w:r>
        <w:rPr>
          <w:b w:val="0"/>
        </w:rPr>
        <w:t> </w:t>
      </w:r>
      <w:r>
        <w:rPr>
          <w:rStyle w:val="CharPartText"/>
        </w:rPr>
        <w:t>Conditional suspended imprisonment</w:t>
      </w:r>
      <w:bookmarkEnd w:id="192"/>
      <w:bookmarkEnd w:id="193"/>
      <w:bookmarkEnd w:id="194"/>
    </w:p>
    <w:p>
      <w:pPr>
        <w:pStyle w:val="Footnoteheading"/>
      </w:pPr>
      <w:r>
        <w:tab/>
        <w:t>[Heading inserted: No. 27 of 2004 s. 5.]</w:t>
      </w:r>
    </w:p>
    <w:p>
      <w:pPr>
        <w:pStyle w:val="Heading3"/>
      </w:pPr>
      <w:bookmarkStart w:id="195" w:name="_Toc200459860"/>
      <w:bookmarkStart w:id="196" w:name="_Toc200460160"/>
      <w:bookmarkStart w:id="197" w:name="_Toc200524841"/>
      <w:r>
        <w:rPr>
          <w:rStyle w:val="CharDivNo"/>
        </w:rPr>
        <w:t>Division 1</w:t>
      </w:r>
      <w:r>
        <w:t> — </w:t>
      </w:r>
      <w:r>
        <w:rPr>
          <w:rStyle w:val="CharDivText"/>
        </w:rPr>
        <w:t>Imposition and effect of CSI</w:t>
      </w:r>
      <w:bookmarkEnd w:id="195"/>
      <w:bookmarkEnd w:id="196"/>
      <w:bookmarkEnd w:id="197"/>
    </w:p>
    <w:p>
      <w:pPr>
        <w:pStyle w:val="Footnoteheading"/>
      </w:pPr>
      <w:r>
        <w:tab/>
        <w:t>[Heading inserted: No. 27 of 2004 s. 5.]</w:t>
      </w:r>
    </w:p>
    <w:p>
      <w:pPr>
        <w:pStyle w:val="Heading5"/>
      </w:pPr>
      <w:bookmarkStart w:id="198" w:name="_Toc200524842"/>
      <w:r>
        <w:rPr>
          <w:rStyle w:val="CharSectno"/>
        </w:rPr>
        <w:t>81</w:t>
      </w:r>
      <w:r>
        <w:t>.</w:t>
      </w:r>
      <w:r>
        <w:tab/>
        <w:t>Certain courts may suspend imprisonment conditionally</w:t>
      </w:r>
      <w:bookmarkEnd w:id="198"/>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199" w:name="_Toc200524843"/>
      <w:r>
        <w:rPr>
          <w:rStyle w:val="CharSectno"/>
        </w:rPr>
        <w:t>82</w:t>
      </w:r>
      <w:r>
        <w:t>.</w:t>
      </w:r>
      <w:r>
        <w:tab/>
        <w:t>Effect of CSI</w:t>
      </w:r>
      <w:bookmarkEnd w:id="19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00" w:name="_Toc200524844"/>
      <w:r>
        <w:rPr>
          <w:rStyle w:val="CharSectno"/>
        </w:rPr>
        <w:t>83</w:t>
      </w:r>
      <w:r>
        <w:t>.</w:t>
      </w:r>
      <w:r>
        <w:tab/>
        <w:t>CSI, standard obligations of</w:t>
      </w:r>
      <w:bookmarkEnd w:id="200"/>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01" w:name="_Toc200524845"/>
      <w:r>
        <w:rPr>
          <w:rStyle w:val="CharSectno"/>
        </w:rPr>
        <w:t>84</w:t>
      </w:r>
      <w:r>
        <w:t>.</w:t>
      </w:r>
      <w:r>
        <w:tab/>
        <w:t>CSI, primary requirements of</w:t>
      </w:r>
      <w:bookmarkEnd w:id="201"/>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02" w:name="_Toc200524846"/>
      <w:r>
        <w:rPr>
          <w:rStyle w:val="CharSectno"/>
        </w:rPr>
        <w:t>84A</w:t>
      </w:r>
      <w:r>
        <w:t>.</w:t>
      </w:r>
      <w:r>
        <w:tab/>
        <w:t>Programme requirement</w:t>
      </w:r>
      <w:bookmarkEnd w:id="202"/>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03" w:name="_Toc200524847"/>
      <w:r>
        <w:rPr>
          <w:rStyle w:val="CharSectno"/>
        </w:rPr>
        <w:t>84B</w:t>
      </w:r>
      <w:r>
        <w:t>.</w:t>
      </w:r>
      <w:r>
        <w:tab/>
        <w:t>Supervision requirement</w:t>
      </w:r>
      <w:bookmarkEnd w:id="20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204" w:name="_Toc200524848"/>
      <w:r>
        <w:rPr>
          <w:rStyle w:val="CharSectno"/>
        </w:rPr>
        <w:t>84C</w:t>
      </w:r>
      <w:r>
        <w:t>.</w:t>
      </w:r>
      <w:r>
        <w:tab/>
        <w:t>Curfew requirement</w:t>
      </w:r>
      <w:bookmarkEnd w:id="20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 or</w:t>
      </w:r>
    </w:p>
    <w:p>
      <w:pPr>
        <w:pStyle w:val="Indenta"/>
      </w:pPr>
      <w:r>
        <w:tab/>
        <w:t>(c)</w:t>
      </w:r>
      <w:r>
        <w:tab/>
        <w:t>to charge the approved electronic monitoring device so as to ensure the device is at all times operational; or</w:t>
      </w:r>
    </w:p>
    <w:p>
      <w:pPr>
        <w:pStyle w:val="Indenta"/>
      </w:pPr>
      <w:r>
        <w:tab/>
        <w:t>(d)</w:t>
      </w:r>
      <w:r>
        <w:tab/>
        <w:t>to not enter 1 or more areas of the State stated in a written notice given to the offender by the speciality court or the CCO.</w:t>
      </w:r>
    </w:p>
    <w:p>
      <w:pPr>
        <w:pStyle w:val="Subsection"/>
      </w:pPr>
      <w:r>
        <w:lastRenderedPageBreak/>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 xml:space="preserve">Penalty for this subsection: imprisonment for 3 years and a fine of $36 000. </w:t>
      </w:r>
    </w:p>
    <w:p>
      <w:pPr>
        <w:pStyle w:val="Subsection"/>
      </w:pPr>
      <w:r>
        <w:tab/>
        <w:t>(11)</w:t>
      </w:r>
      <w:r>
        <w:tab/>
        <w:t>A CCO may give such reasonable directions to the offender as are necessary for the proper administration of the curfew requirement.</w:t>
      </w:r>
    </w:p>
    <w:p>
      <w:pPr>
        <w:pStyle w:val="Subsection"/>
        <w:keepNext/>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keepNext/>
      </w:pPr>
      <w:r>
        <w:lastRenderedPageBreak/>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84C inserted: No. 27 of 2004 s. 5; amended: No. 65 of 2006 s. 49; No. 13 of 2020 s. 10; No. 28 of 2024 s. 67.]</w:t>
      </w:r>
    </w:p>
    <w:p>
      <w:pPr>
        <w:pStyle w:val="Heading5"/>
      </w:pPr>
      <w:bookmarkStart w:id="205" w:name="_Toc200524849"/>
      <w:r>
        <w:rPr>
          <w:rStyle w:val="CharSectno"/>
        </w:rPr>
        <w:t>84CA</w:t>
      </w:r>
      <w:r>
        <w:t>.</w:t>
      </w:r>
      <w:r>
        <w:tab/>
        <w:t>Electronic monitoring requirement</w:t>
      </w:r>
      <w:bookmarkEnd w:id="205"/>
    </w:p>
    <w:p>
      <w:pPr>
        <w:pStyle w:val="Subsection"/>
      </w:pPr>
      <w:r>
        <w:tab/>
        <w:t>(1)</w:t>
      </w:r>
      <w:r>
        <w:tab/>
        <w:t xml:space="preserve">The purpose of electronic monitoring of an offender — </w:t>
      </w:r>
    </w:p>
    <w:p>
      <w:pPr>
        <w:pStyle w:val="Indenta"/>
      </w:pPr>
      <w:r>
        <w:tab/>
        <w:t>(a)</w:t>
      </w:r>
      <w:r>
        <w:tab/>
        <w:t xml:space="preserve">under subsection (2) is to enable the location of the offender to be monitored where the offender presents a high risk to — </w:t>
      </w:r>
    </w:p>
    <w:p>
      <w:pPr>
        <w:pStyle w:val="Indenti"/>
      </w:pPr>
      <w:r>
        <w:tab/>
        <w:t>(i)</w:t>
      </w:r>
      <w:r>
        <w:tab/>
        <w:t>a person; or</w:t>
      </w:r>
    </w:p>
    <w:p>
      <w:pPr>
        <w:pStyle w:val="Indenti"/>
      </w:pPr>
      <w:r>
        <w:tab/>
        <w:t>(ii)</w:t>
      </w:r>
      <w:r>
        <w:tab/>
        <w:t>a group of persons; or</w:t>
      </w:r>
    </w:p>
    <w:p>
      <w:pPr>
        <w:pStyle w:val="Indenti"/>
      </w:pPr>
      <w:r>
        <w:tab/>
        <w:t>(iii)</w:t>
      </w:r>
      <w:r>
        <w:tab/>
        <w:t xml:space="preserve">the community more generally; </w:t>
      </w:r>
    </w:p>
    <w:p>
      <w:pPr>
        <w:pStyle w:val="Indenta"/>
      </w:pPr>
      <w:r>
        <w:tab/>
      </w:r>
      <w:r>
        <w:tab/>
        <w:t>and</w:t>
      </w:r>
    </w:p>
    <w:p>
      <w:pPr>
        <w:pStyle w:val="Indenta"/>
      </w:pPr>
      <w:r>
        <w:tab/>
        <w:t>(b)</w:t>
      </w:r>
      <w:r>
        <w:tab/>
        <w:t>under subsection (3C) is to enable the location of the offender to be monitored.</w:t>
      </w:r>
    </w:p>
    <w:p>
      <w:pPr>
        <w:pStyle w:val="Ednotesubsection"/>
      </w:pPr>
      <w:r>
        <w:tab/>
        <w:t>[(1A)</w:t>
      </w:r>
      <w:r>
        <w:tab/>
        <w:t>deleted]</w:t>
      </w:r>
    </w:p>
    <w:p>
      <w:pPr>
        <w:pStyle w:val="Subsection"/>
      </w:pPr>
      <w:r>
        <w:tab/>
        <w:t>(2)</w:t>
      </w:r>
      <w:r>
        <w:tab/>
        <w:t xml:space="preserve">If a court considers that electronic monitoring should occur in a particular case, other than a case referred to in subsection (3A), </w:t>
      </w:r>
      <w:r>
        <w:lastRenderedPageBreak/>
        <w:t xml:space="preserve">the court may impose a requirement (an </w:t>
      </w:r>
      <w:r>
        <w:rPr>
          <w:rStyle w:val="CharDefText"/>
        </w:rPr>
        <w:t>electronic monitoring requirement</w:t>
      </w:r>
      <w:r>
        <w:t>) under this section.</w:t>
      </w:r>
    </w:p>
    <w:p>
      <w:pPr>
        <w:pStyle w:val="Subsection"/>
      </w:pPr>
      <w:r>
        <w:tab/>
        <w:t>(3)</w:t>
      </w:r>
      <w:r>
        <w:tab/>
        <w:t>An electronic monitoring requirement may be imposed under subsection (2) only if the court has received a report from the CEO (corrections) about the suitability of electronic monitoring in the particular case.</w:t>
      </w:r>
    </w:p>
    <w:p>
      <w:pPr>
        <w:pStyle w:val="Subsection"/>
      </w:pPr>
      <w:r>
        <w:tab/>
        <w:t>(3A)</w:t>
      </w:r>
      <w:r>
        <w:tab/>
        <w:t xml:space="preserve">Subsection (3C) applies if — </w:t>
      </w:r>
    </w:p>
    <w:p>
      <w:pPr>
        <w:pStyle w:val="Indenta"/>
      </w:pPr>
      <w:r>
        <w:tab/>
        <w:t>(a)</w:t>
      </w:r>
      <w:r>
        <w:tab/>
        <w:t xml:space="preserve">an offence in respect of which CSI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CSI may apply is a family violence offence (category B) and the offender is a serial family violence offender.</w:t>
      </w:r>
    </w:p>
    <w:p>
      <w:pPr>
        <w:pStyle w:val="Subsection"/>
      </w:pPr>
      <w:r>
        <w:tab/>
        <w:t>(3B)</w:t>
      </w:r>
      <w:r>
        <w:tab/>
        <w:t xml:space="preserve">For the purposes of subsection (3A)(b), an offender is a serial family violence offender whether the offender was so declared by — </w:t>
      </w:r>
    </w:p>
    <w:p>
      <w:pPr>
        <w:pStyle w:val="Indenta"/>
      </w:pPr>
      <w:r>
        <w:tab/>
        <w:t>(a)</w:t>
      </w:r>
      <w:r>
        <w:tab/>
        <w:t>the court referred to in subsection (3C) at the time of the offender’s conviction for the family violence offence (category B); or</w:t>
      </w:r>
    </w:p>
    <w:p>
      <w:pPr>
        <w:pStyle w:val="Indenta"/>
      </w:pPr>
      <w:r>
        <w:tab/>
        <w:t>(b)</w:t>
      </w:r>
      <w:r>
        <w:tab/>
        <w:t>another court.</w:t>
      </w:r>
    </w:p>
    <w:p>
      <w:pPr>
        <w:pStyle w:val="Subsection"/>
      </w:pPr>
      <w:r>
        <w:tab/>
        <w:t>(3C)</w:t>
      </w:r>
      <w:r>
        <w:tab/>
        <w:t xml:space="preserve">If subsection (3A) applies and a court orders CSI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Subsection"/>
        <w:keepNext/>
      </w:pPr>
      <w:r>
        <w:lastRenderedPageBreak/>
        <w:tab/>
        <w:t>(4)</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(4A)</w:t>
      </w:r>
      <w:r>
        <w:tab/>
        <w:t>A person given a direction under subsection (4)(a), (b) or (c) must comply with the direction.</w:t>
      </w:r>
    </w:p>
    <w:p>
      <w:pPr>
        <w:pStyle w:val="Penstart"/>
      </w:pPr>
      <w:r>
        <w:tab/>
        <w:t>Penalty for this subsection: imprisonment for 3 years and a fine of $36 000.</w:t>
      </w:r>
    </w:p>
    <w:p>
      <w:pPr>
        <w:pStyle w:val="Subsection"/>
      </w:pPr>
      <w:r>
        <w:tab/>
        <w:t>(4B)</w:t>
      </w:r>
      <w:r>
        <w:tab/>
        <w:t>A person given a direction under subsection (4)(d) must comply with the direction, unless the person has a reasonable excuse.</w:t>
      </w:r>
    </w:p>
    <w:p>
      <w:pPr>
        <w:pStyle w:val="Penstart"/>
      </w:pPr>
      <w:r>
        <w:tab/>
        <w:t>Penalty for this subsection: imprisonment for 3 years and a fine of $36 000.</w:t>
      </w:r>
    </w:p>
    <w:p>
      <w:pPr>
        <w:pStyle w:val="Subsection"/>
      </w:pPr>
      <w:r>
        <w:tab/>
        <w:t>(5)</w:t>
      </w:r>
      <w:r>
        <w:tab/>
        <w:t>An electronic monitoring requirement ceases to be in force when the suspension period ends.</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(4A) or (4B).</w:t>
      </w:r>
    </w:p>
    <w:p>
      <w:pPr>
        <w:pStyle w:val="Footnotesection"/>
      </w:pPr>
      <w:r>
        <w:tab/>
        <w:t>[Section 84CA inserted: No. 13 of 2020 s. 11; amended: No. 30 of 2020 s. 23; No. 28 of 2024 s. 68.]</w:t>
      </w:r>
    </w:p>
    <w:p>
      <w:pPr>
        <w:pStyle w:val="Heading3"/>
      </w:pPr>
      <w:bookmarkStart w:id="206" w:name="_Toc200459869"/>
      <w:bookmarkStart w:id="207" w:name="_Toc200460169"/>
      <w:bookmarkStart w:id="208" w:name="_Toc200524850"/>
      <w:r>
        <w:rPr>
          <w:rStyle w:val="CharDivNo"/>
        </w:rPr>
        <w:lastRenderedPageBreak/>
        <w:t>Division 2</w:t>
      </w:r>
      <w:r>
        <w:t> — </w:t>
      </w:r>
      <w:r>
        <w:rPr>
          <w:rStyle w:val="CharDivText"/>
        </w:rPr>
        <w:t>Consequences of re</w:t>
      </w:r>
      <w:r>
        <w:rPr>
          <w:rStyle w:val="CharDivText"/>
        </w:rPr>
        <w:noBreakHyphen/>
        <w:t>offending</w:t>
      </w:r>
      <w:bookmarkEnd w:id="206"/>
      <w:bookmarkEnd w:id="207"/>
      <w:bookmarkEnd w:id="208"/>
    </w:p>
    <w:p>
      <w:pPr>
        <w:pStyle w:val="Footnoteheading"/>
      </w:pPr>
      <w:r>
        <w:tab/>
        <w:t>[Heading inserted: No. 27 of 2004 s. 5.]</w:t>
      </w:r>
    </w:p>
    <w:p>
      <w:pPr>
        <w:pStyle w:val="Heading5"/>
      </w:pPr>
      <w:bookmarkStart w:id="209" w:name="_Toc200524851"/>
      <w:r>
        <w:rPr>
          <w:rStyle w:val="CharSectno"/>
        </w:rPr>
        <w:t>84D</w:t>
      </w:r>
      <w:r>
        <w:t>.</w:t>
      </w:r>
      <w:r>
        <w:tab/>
        <w:t>Re</w:t>
      </w:r>
      <w:r>
        <w:noBreakHyphen/>
        <w:t>offender may be dealt with or committed</w:t>
      </w:r>
      <w:bookmarkEnd w:id="20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10" w:name="_Toc200524852"/>
      <w:r>
        <w:rPr>
          <w:rStyle w:val="CharSectno"/>
        </w:rPr>
        <w:t>84E</w:t>
      </w:r>
      <w:r>
        <w:t>.</w:t>
      </w:r>
      <w:r>
        <w:tab/>
        <w:t>Re</w:t>
      </w:r>
      <w:r>
        <w:noBreakHyphen/>
        <w:t>offending, alleging in court</w:t>
      </w:r>
      <w:bookmarkEnd w:id="210"/>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11" w:name="_Toc200524853"/>
      <w:r>
        <w:rPr>
          <w:rStyle w:val="CharSectno"/>
        </w:rPr>
        <w:t>84F</w:t>
      </w:r>
      <w:r>
        <w:t>.</w:t>
      </w:r>
      <w:r>
        <w:tab/>
        <w:t>How re</w:t>
      </w:r>
      <w:r>
        <w:noBreakHyphen/>
        <w:t>offender to be dealt with</w:t>
      </w:r>
      <w:bookmarkEnd w:id="211"/>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212" w:name="_Toc200459873"/>
      <w:bookmarkStart w:id="213" w:name="_Toc200460173"/>
      <w:bookmarkStart w:id="214" w:name="_Toc200524854"/>
      <w:r>
        <w:rPr>
          <w:rStyle w:val="CharDivNo"/>
        </w:rPr>
        <w:t>Division 3</w:t>
      </w:r>
      <w:r>
        <w:t> — </w:t>
      </w:r>
      <w:r>
        <w:rPr>
          <w:rStyle w:val="CharDivText"/>
        </w:rPr>
        <w:t>Amending, cancelling and enforcing CSI requirements</w:t>
      </w:r>
      <w:bookmarkEnd w:id="212"/>
      <w:bookmarkEnd w:id="213"/>
      <w:bookmarkEnd w:id="214"/>
    </w:p>
    <w:p>
      <w:pPr>
        <w:pStyle w:val="Footnoteheading"/>
        <w:keepNext/>
        <w:keepLines/>
        <w:spacing w:before="100"/>
      </w:pPr>
      <w:r>
        <w:tab/>
        <w:t>[Heading inserted: No. 27 of 2004 s. 5.]</w:t>
      </w:r>
    </w:p>
    <w:p>
      <w:pPr>
        <w:pStyle w:val="Heading5"/>
      </w:pPr>
      <w:bookmarkStart w:id="215" w:name="_Toc200524855"/>
      <w:r>
        <w:rPr>
          <w:rStyle w:val="CharSectno"/>
        </w:rPr>
        <w:t>84G</w:t>
      </w:r>
      <w:r>
        <w:t>.</w:t>
      </w:r>
      <w:r>
        <w:tab/>
        <w:t>Term used: CSI requirement</w:t>
      </w:r>
      <w:bookmarkEnd w:id="215"/>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16" w:name="_Toc200524856"/>
      <w:r>
        <w:rPr>
          <w:rStyle w:val="CharSectno"/>
        </w:rPr>
        <w:t>84H</w:t>
      </w:r>
      <w:r>
        <w:t>.</w:t>
      </w:r>
      <w:r>
        <w:tab/>
        <w:t>Application to amend or cancel CSI requirement</w:t>
      </w:r>
      <w:bookmarkEnd w:id="21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17" w:name="_Toc200524857"/>
      <w:r>
        <w:rPr>
          <w:rStyle w:val="CharSectno"/>
        </w:rPr>
        <w:t>84I</w:t>
      </w:r>
      <w:r>
        <w:t>.</w:t>
      </w:r>
      <w:r>
        <w:tab/>
        <w:t>Court may confirm, amend or cancel CSI requirement</w:t>
      </w:r>
      <w:bookmarkEnd w:id="217"/>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18" w:name="_Toc200524858"/>
      <w:r>
        <w:rPr>
          <w:rStyle w:val="CharSectno"/>
        </w:rPr>
        <w:t>84J</w:t>
      </w:r>
      <w:r>
        <w:t>.</w:t>
      </w:r>
      <w:r>
        <w:tab/>
        <w:t>Breach of CSI requirement, offence</w:t>
      </w:r>
      <w:bookmarkEnd w:id="218"/>
    </w:p>
    <w:p>
      <w:pPr>
        <w:pStyle w:val="Subsection"/>
      </w:pPr>
      <w:r>
        <w:tab/>
        <w:t>(1)</w:t>
      </w:r>
      <w:r>
        <w:tab/>
        <w:t>A person who breaches a CSI requirement without reasonable excuse, proof of which is on the person, commits an offence.</w:t>
      </w:r>
    </w:p>
    <w:p>
      <w:pPr>
        <w:pStyle w:val="Subsection"/>
      </w:pPr>
      <w:r>
        <w:tab/>
        <w:t>(1A)</w:t>
      </w:r>
      <w:r>
        <w:tab/>
        <w:t xml:space="preserve">Subsection (1) does not apply to breach of a CSI requirement constituted by — </w:t>
      </w:r>
    </w:p>
    <w:p>
      <w:pPr>
        <w:pStyle w:val="Indenta"/>
      </w:pPr>
      <w:r>
        <w:tab/>
        <w:t>(a)</w:t>
      </w:r>
      <w:r>
        <w:tab/>
        <w:t>a failure to comply with an order given under section 84C(10)(a), (b), (c) or (d); or</w:t>
      </w:r>
    </w:p>
    <w:p>
      <w:pPr>
        <w:pStyle w:val="Indenta"/>
      </w:pPr>
      <w:r>
        <w:tab/>
        <w:t>(b)</w:t>
      </w:r>
      <w:r>
        <w:tab/>
        <w:t>a failure to comply with a direction given under section 84CA(4)(a), (b), (c) or (d).</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 No. 28 of 2024 s. 69.]</w:t>
      </w:r>
    </w:p>
    <w:p>
      <w:pPr>
        <w:pStyle w:val="Heading5"/>
      </w:pPr>
      <w:bookmarkStart w:id="219" w:name="_Toc200524859"/>
      <w:r>
        <w:rPr>
          <w:rStyle w:val="CharSectno"/>
        </w:rPr>
        <w:lastRenderedPageBreak/>
        <w:t>84K</w:t>
      </w:r>
      <w:r>
        <w:t>.</w:t>
      </w:r>
      <w:r>
        <w:tab/>
        <w:t>Offence under s. 84J, procedure and penalty for</w:t>
      </w:r>
      <w:bookmarkEnd w:id="21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20" w:name="_Toc200524860"/>
      <w:r>
        <w:rPr>
          <w:rStyle w:val="CharSectno"/>
        </w:rPr>
        <w:lastRenderedPageBreak/>
        <w:t>84L</w:t>
      </w:r>
      <w:r>
        <w:t>.</w:t>
      </w:r>
      <w:r>
        <w:tab/>
        <w:t>Additional powers to deal with s. 84J offender</w:t>
      </w:r>
      <w:bookmarkEnd w:id="22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keepNext/>
      </w:pPr>
      <w:r>
        <w:lastRenderedPageBreak/>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21" w:name="_Toc200524861"/>
      <w:r>
        <w:rPr>
          <w:rStyle w:val="CharSectno"/>
        </w:rPr>
        <w:t>84M</w:t>
      </w:r>
      <w:r>
        <w:t>.</w:t>
      </w:r>
      <w:r>
        <w:tab/>
        <w:t>Facilitation of proof</w:t>
      </w:r>
      <w:bookmarkEnd w:id="221"/>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22" w:name="_Toc200459881"/>
      <w:bookmarkStart w:id="223" w:name="_Toc200460181"/>
      <w:bookmarkStart w:id="224" w:name="_Toc200524862"/>
      <w:r>
        <w:rPr>
          <w:rStyle w:val="CharDivNo"/>
        </w:rPr>
        <w:lastRenderedPageBreak/>
        <w:t>Division 4</w:t>
      </w:r>
      <w:r>
        <w:t> — </w:t>
      </w:r>
      <w:r>
        <w:rPr>
          <w:rStyle w:val="CharDivText"/>
        </w:rPr>
        <w:t>Functions of speciality courts as to CSI</w:t>
      </w:r>
      <w:bookmarkEnd w:id="222"/>
      <w:bookmarkEnd w:id="223"/>
      <w:bookmarkEnd w:id="224"/>
    </w:p>
    <w:p>
      <w:pPr>
        <w:pStyle w:val="Footnoteheading"/>
        <w:keepNext/>
      </w:pPr>
      <w:r>
        <w:tab/>
        <w:t>[Heading inserted: No. 27 of 2004 s. 5.]</w:t>
      </w:r>
    </w:p>
    <w:p>
      <w:pPr>
        <w:pStyle w:val="Heading5"/>
      </w:pPr>
      <w:bookmarkStart w:id="225" w:name="_Toc200524863"/>
      <w:r>
        <w:rPr>
          <w:rStyle w:val="CharSectno"/>
        </w:rPr>
        <w:t>84N</w:t>
      </w:r>
      <w:r>
        <w:t>.</w:t>
      </w:r>
      <w:r>
        <w:tab/>
        <w:t>Application of this Division</w:t>
      </w:r>
      <w:bookmarkEnd w:id="225"/>
    </w:p>
    <w:p>
      <w:pPr>
        <w:pStyle w:val="Subsection"/>
        <w:keepNext/>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26" w:name="_Toc200524864"/>
      <w:r>
        <w:rPr>
          <w:rStyle w:val="CharSectno"/>
        </w:rPr>
        <w:t>84O</w:t>
      </w:r>
      <w:r>
        <w:t>.</w:t>
      </w:r>
      <w:r>
        <w:tab/>
        <w:t>Speciality court may direct offender on CSI to appear</w:t>
      </w:r>
      <w:bookmarkEnd w:id="226"/>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keepLines/>
      </w:pPr>
      <w:r>
        <w:lastRenderedPageBreak/>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27" w:name="_Toc200524865"/>
      <w:r>
        <w:rPr>
          <w:rStyle w:val="CharSectno"/>
        </w:rPr>
        <w:t>84P</w:t>
      </w:r>
      <w:r>
        <w:t>.</w:t>
      </w:r>
      <w:r>
        <w:tab/>
        <w:t>Speciality court to deal with re</w:t>
      </w:r>
      <w:r>
        <w:noBreakHyphen/>
        <w:t>offender</w:t>
      </w:r>
      <w:bookmarkEnd w:id="22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28" w:name="_Toc200524866"/>
      <w:r>
        <w:rPr>
          <w:rStyle w:val="CharSectno"/>
        </w:rPr>
        <w:t>84Q</w:t>
      </w:r>
      <w:r>
        <w:t>.</w:t>
      </w:r>
      <w:r>
        <w:tab/>
        <w:t>Speciality court to deal with application to amend or cancel CSI</w:t>
      </w:r>
      <w:bookmarkEnd w:id="228"/>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29" w:name="_Toc200524867"/>
      <w:r>
        <w:rPr>
          <w:rStyle w:val="CharSectno"/>
        </w:rPr>
        <w:lastRenderedPageBreak/>
        <w:t>84R</w:t>
      </w:r>
      <w:r>
        <w:t>.</w:t>
      </w:r>
      <w:r>
        <w:tab/>
        <w:t>Speciality court to deal with proceedings for breaches</w:t>
      </w:r>
      <w:bookmarkEnd w:id="229"/>
    </w:p>
    <w:p>
      <w:pPr>
        <w:pStyle w:val="Subsection"/>
        <w:keepNext/>
        <w:keepLines/>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30" w:name="_Toc200459887"/>
      <w:bookmarkStart w:id="231" w:name="_Toc200460187"/>
      <w:bookmarkStart w:id="232" w:name="_Toc200524868"/>
      <w:r>
        <w:rPr>
          <w:rStyle w:val="CharPartNo"/>
        </w:rPr>
        <w:lastRenderedPageBreak/>
        <w:t>Part 13</w:t>
      </w:r>
      <w:r>
        <w:t> — </w:t>
      </w:r>
      <w:r>
        <w:rPr>
          <w:rStyle w:val="CharPartText"/>
        </w:rPr>
        <w:t>Imprisonment</w:t>
      </w:r>
      <w:bookmarkEnd w:id="230"/>
      <w:bookmarkEnd w:id="231"/>
      <w:bookmarkEnd w:id="232"/>
    </w:p>
    <w:p>
      <w:pPr>
        <w:pStyle w:val="Heading3"/>
        <w:spacing w:before="180"/>
      </w:pPr>
      <w:bookmarkStart w:id="233" w:name="_Toc200459888"/>
      <w:bookmarkStart w:id="234" w:name="_Toc200460188"/>
      <w:bookmarkStart w:id="235" w:name="_Toc200524869"/>
      <w:r>
        <w:rPr>
          <w:rStyle w:val="CharDivNo"/>
        </w:rPr>
        <w:t>Division 1</w:t>
      </w:r>
      <w:r>
        <w:rPr>
          <w:snapToGrid w:val="0"/>
        </w:rPr>
        <w:t> — </w:t>
      </w:r>
      <w:r>
        <w:rPr>
          <w:rStyle w:val="CharDivText"/>
        </w:rPr>
        <w:t>Preliminary</w:t>
      </w:r>
      <w:bookmarkEnd w:id="233"/>
      <w:bookmarkEnd w:id="234"/>
      <w:bookmarkEnd w:id="235"/>
    </w:p>
    <w:p>
      <w:pPr>
        <w:pStyle w:val="Heading5"/>
        <w:spacing w:before="180"/>
        <w:rPr>
          <w:snapToGrid w:val="0"/>
        </w:rPr>
      </w:pPr>
      <w:bookmarkStart w:id="236" w:name="_Toc200524870"/>
      <w:r>
        <w:rPr>
          <w:rStyle w:val="CharSectno"/>
        </w:rPr>
        <w:t>85</w:t>
      </w:r>
      <w:r>
        <w:rPr>
          <w:snapToGrid w:val="0"/>
        </w:rPr>
        <w:t>.</w:t>
      </w:r>
      <w:r>
        <w:rPr>
          <w:snapToGrid w:val="0"/>
        </w:rPr>
        <w:tab/>
        <w:t>Terms used and calculations</w:t>
      </w:r>
      <w:bookmarkEnd w:id="236"/>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37" w:name="_Toc200459890"/>
      <w:bookmarkStart w:id="238" w:name="_Toc200460190"/>
      <w:bookmarkStart w:id="239" w:name="_Toc200524871"/>
      <w:r>
        <w:rPr>
          <w:rStyle w:val="CharDivNo"/>
        </w:rPr>
        <w:t>Division 2</w:t>
      </w:r>
      <w:r>
        <w:rPr>
          <w:snapToGrid w:val="0"/>
        </w:rPr>
        <w:t> — </w:t>
      </w:r>
      <w:r>
        <w:rPr>
          <w:rStyle w:val="CharDivText"/>
        </w:rPr>
        <w:t>Imposing imprisonment</w:t>
      </w:r>
      <w:bookmarkEnd w:id="237"/>
      <w:bookmarkEnd w:id="238"/>
      <w:bookmarkEnd w:id="239"/>
    </w:p>
    <w:p>
      <w:pPr>
        <w:pStyle w:val="Heading5"/>
        <w:keepNext w:val="0"/>
        <w:keepLines w:val="0"/>
        <w:spacing w:before="240"/>
        <w:rPr>
          <w:snapToGrid w:val="0"/>
        </w:rPr>
      </w:pPr>
      <w:bookmarkStart w:id="240" w:name="_Toc200524872"/>
      <w:r>
        <w:rPr>
          <w:rStyle w:val="CharSectno"/>
        </w:rPr>
        <w:t>86</w:t>
      </w:r>
      <w:r>
        <w:rPr>
          <w:snapToGrid w:val="0"/>
        </w:rPr>
        <w:t>.</w:t>
      </w:r>
      <w:r>
        <w:rPr>
          <w:snapToGrid w:val="0"/>
        </w:rPr>
        <w:tab/>
        <w:t>Term of 6 months or less not to be imposed</w:t>
      </w:r>
      <w:bookmarkEnd w:id="240"/>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241" w:name="_Toc200524873"/>
      <w:r>
        <w:rPr>
          <w:rStyle w:val="CharSectno"/>
        </w:rPr>
        <w:t>87</w:t>
      </w:r>
      <w:r>
        <w:rPr>
          <w:snapToGrid w:val="0"/>
        </w:rPr>
        <w:t>.</w:t>
      </w:r>
      <w:r>
        <w:rPr>
          <w:snapToGrid w:val="0"/>
        </w:rPr>
        <w:tab/>
        <w:t>Time on remand may be taken into account</w:t>
      </w:r>
      <w:bookmarkEnd w:id="241"/>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242" w:name="_Toc200524874"/>
      <w:r>
        <w:rPr>
          <w:rStyle w:val="CharSectno"/>
        </w:rPr>
        <w:t>88</w:t>
      </w:r>
      <w:r>
        <w:rPr>
          <w:snapToGrid w:val="0"/>
        </w:rPr>
        <w:t>.</w:t>
      </w:r>
      <w:r>
        <w:rPr>
          <w:snapToGrid w:val="0"/>
        </w:rPr>
        <w:tab/>
        <w:t>Concurrent, cumulative or partly cumulative terms</w:t>
      </w:r>
      <w:bookmarkEnd w:id="242"/>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tab/>
        <w:t>Modifications to be applied in order to give effect to Cross</w:t>
      </w:r>
      <w:r>
        <w:noBreakHyphen/>
        <w:t>border Justice Act 2008: section inserted 1 Nov 2009. See endnote 1M.]</w:t>
      </w:r>
    </w:p>
    <w:p>
      <w:pPr>
        <w:pStyle w:val="Heading5"/>
      </w:pPr>
      <w:bookmarkStart w:id="243" w:name="_Toc200524875"/>
      <w:r>
        <w:rPr>
          <w:rStyle w:val="CharSectno"/>
        </w:rPr>
        <w:lastRenderedPageBreak/>
        <w:t>89</w:t>
      </w:r>
      <w:r>
        <w:t>.</w:t>
      </w:r>
      <w:r>
        <w:tab/>
        <w:t>Parole eligibility order, court may make</w:t>
      </w:r>
      <w:bookmarkEnd w:id="243"/>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244" w:name="_Toc200524876"/>
      <w:r>
        <w:rPr>
          <w:rStyle w:val="CharSectno"/>
        </w:rPr>
        <w:lastRenderedPageBreak/>
        <w:t>90</w:t>
      </w:r>
      <w:r>
        <w:t>.</w:t>
      </w:r>
      <w:r>
        <w:tab/>
        <w:t>Life imprisonment for murder, imposing</w:t>
      </w:r>
      <w:bookmarkEnd w:id="244"/>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245" w:name="_Toc200459896"/>
      <w:bookmarkStart w:id="246" w:name="_Toc200460196"/>
      <w:bookmarkStart w:id="247" w:name="_Toc200524877"/>
      <w:r>
        <w:rPr>
          <w:rStyle w:val="CharDivNo"/>
        </w:rPr>
        <w:lastRenderedPageBreak/>
        <w:t>Division 3</w:t>
      </w:r>
      <w:r>
        <w:rPr>
          <w:snapToGrid w:val="0"/>
        </w:rPr>
        <w:t> — </w:t>
      </w:r>
      <w:r>
        <w:rPr>
          <w:rStyle w:val="CharDivText"/>
        </w:rPr>
        <w:t>Release from imprisonment</w:t>
      </w:r>
      <w:bookmarkEnd w:id="245"/>
      <w:bookmarkEnd w:id="246"/>
      <w:bookmarkEnd w:id="247"/>
    </w:p>
    <w:p>
      <w:pPr>
        <w:pStyle w:val="Ednotesection"/>
      </w:pPr>
      <w:r>
        <w:t>[</w:t>
      </w:r>
      <w:r>
        <w:rPr>
          <w:b/>
        </w:rPr>
        <w:t>92.</w:t>
      </w:r>
      <w:r>
        <w:tab/>
        <w:t>Deleted: No. 50 of 2003 s. 19.]</w:t>
      </w:r>
    </w:p>
    <w:p>
      <w:pPr>
        <w:pStyle w:val="Heading5"/>
      </w:pPr>
      <w:bookmarkStart w:id="248" w:name="_Toc200524878"/>
      <w:r>
        <w:rPr>
          <w:rStyle w:val="CharSectno"/>
        </w:rPr>
        <w:t>93</w:t>
      </w:r>
      <w:r>
        <w:t>.</w:t>
      </w:r>
      <w:r>
        <w:tab/>
        <w:t>Release from parole term</w:t>
      </w:r>
      <w:bookmarkEnd w:id="248"/>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249" w:name="_Toc200524879"/>
      <w:r>
        <w:rPr>
          <w:rStyle w:val="CharSectno"/>
        </w:rPr>
        <w:t>94A</w:t>
      </w:r>
      <w:r>
        <w:t>.</w:t>
      </w:r>
      <w:r>
        <w:tab/>
        <w:t xml:space="preserve">Release on parole of prisoners subject to </w:t>
      </w:r>
      <w:r>
        <w:rPr>
          <w:i/>
        </w:rPr>
        <w:t>Prisoners (Interstate Transfer) Act 1983</w:t>
      </w:r>
      <w:bookmarkEnd w:id="249"/>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w:t>
      </w:r>
      <w:r>
        <w:lastRenderedPageBreak/>
        <w:t>taken to be a reference to eligibility to be released on parole under subsection (1).</w:t>
      </w:r>
    </w:p>
    <w:p>
      <w:pPr>
        <w:pStyle w:val="Footnotesection"/>
      </w:pPr>
      <w:r>
        <w:tab/>
        <w:t>[Section 94A inserted: No. 32 of 2015 s. 6.]</w:t>
      </w:r>
    </w:p>
    <w:p>
      <w:pPr>
        <w:pStyle w:val="Heading5"/>
      </w:pPr>
      <w:bookmarkStart w:id="250" w:name="_Toc200524880"/>
      <w:r>
        <w:rPr>
          <w:rStyle w:val="CharSectno"/>
        </w:rPr>
        <w:t>94</w:t>
      </w:r>
      <w:r>
        <w:t>.</w:t>
      </w:r>
      <w:r>
        <w:tab/>
        <w:t>Aggregation of parole terms for certain purposes</w:t>
      </w:r>
      <w:bookmarkEnd w:id="25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lastRenderedPageBreak/>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251" w:name="_Toc200524881"/>
      <w:r>
        <w:rPr>
          <w:rStyle w:val="CharSectno"/>
        </w:rPr>
        <w:t>95A</w:t>
      </w:r>
      <w:r>
        <w:t>.</w:t>
      </w:r>
      <w:r>
        <w:tab/>
        <w:t>Eligibility for parole where certain mandatory minimum sentences imposed</w:t>
      </w:r>
      <w:bookmarkEnd w:id="251"/>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252" w:name="_Toc200524882"/>
      <w:r>
        <w:rPr>
          <w:rStyle w:val="CharSectno"/>
        </w:rPr>
        <w:t>95</w:t>
      </w:r>
      <w:r>
        <w:t>.</w:t>
      </w:r>
      <w:r>
        <w:tab/>
        <w:t>Release from fixed term that is not parole term</w:t>
      </w:r>
      <w:bookmarkEnd w:id="252"/>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253" w:name="_Toc200524883"/>
      <w:r>
        <w:rPr>
          <w:rStyle w:val="CharSectno"/>
        </w:rPr>
        <w:t>96</w:t>
      </w:r>
      <w:r>
        <w:t>.</w:t>
      </w:r>
      <w:r>
        <w:tab/>
        <w:t>Release from life imprisonment</w:t>
      </w:r>
      <w:bookmarkEnd w:id="253"/>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254" w:name="_Toc200459903"/>
      <w:bookmarkStart w:id="255" w:name="_Toc200460203"/>
      <w:bookmarkStart w:id="256" w:name="_Toc200524884"/>
      <w:r>
        <w:rPr>
          <w:rStyle w:val="CharDivNo"/>
        </w:rPr>
        <w:t>Division 4</w:t>
      </w:r>
      <w:r>
        <w:rPr>
          <w:snapToGrid w:val="0"/>
        </w:rPr>
        <w:t> — </w:t>
      </w:r>
      <w:r>
        <w:rPr>
          <w:rStyle w:val="CharDivText"/>
        </w:rPr>
        <w:t>Miscellaneous</w:t>
      </w:r>
      <w:bookmarkEnd w:id="254"/>
      <w:bookmarkEnd w:id="255"/>
      <w:bookmarkEnd w:id="256"/>
    </w:p>
    <w:p>
      <w:pPr>
        <w:pStyle w:val="Heading5"/>
        <w:rPr>
          <w:snapToGrid w:val="0"/>
        </w:rPr>
      </w:pPr>
      <w:bookmarkStart w:id="257" w:name="_Toc200524885"/>
      <w:r>
        <w:rPr>
          <w:rStyle w:val="CharSectno"/>
        </w:rPr>
        <w:t>97</w:t>
      </w:r>
      <w:r>
        <w:rPr>
          <w:snapToGrid w:val="0"/>
        </w:rPr>
        <w:t>.</w:t>
      </w:r>
      <w:r>
        <w:rPr>
          <w:snapToGrid w:val="0"/>
        </w:rPr>
        <w:tab/>
      </w:r>
      <w:r>
        <w:rPr>
          <w:i/>
          <w:snapToGrid w:val="0"/>
        </w:rPr>
        <w:t>Sentence Administration Act 2003</w:t>
      </w:r>
      <w:r>
        <w:rPr>
          <w:snapToGrid w:val="0"/>
        </w:rPr>
        <w:t>, operation of</w:t>
      </w:r>
      <w:bookmarkEnd w:id="25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258" w:name="_Toc200524886"/>
      <w:r>
        <w:rPr>
          <w:rStyle w:val="CharSectno"/>
        </w:rPr>
        <w:t>97A</w:t>
      </w:r>
      <w:r>
        <w:t>.</w:t>
      </w:r>
      <w:r>
        <w:tab/>
      </w:r>
      <w:r>
        <w:rPr>
          <w:bCs/>
        </w:rPr>
        <w:t xml:space="preserve">Declaration of serious offence for purposes of </w:t>
      </w:r>
      <w:r>
        <w:rPr>
          <w:bCs/>
          <w:i/>
        </w:rPr>
        <w:t>High Risk Serious Offenders Act 2020</w:t>
      </w:r>
      <w:r>
        <w:rPr>
          <w:bCs/>
        </w:rPr>
        <w:t xml:space="preserve"> and </w:t>
      </w:r>
      <w:r>
        <w:rPr>
          <w:bCs/>
          <w:i/>
        </w:rPr>
        <w:t>Sentence Administration Act 2003</w:t>
      </w:r>
      <w:r>
        <w:rPr>
          <w:bCs/>
        </w:rPr>
        <w:t xml:space="preserve"> Part 5A</w:t>
      </w:r>
      <w:bookmarkEnd w:id="258"/>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(category B); and</w:t>
      </w:r>
    </w:p>
    <w:p>
      <w:pPr>
        <w:pStyle w:val="Indenta"/>
      </w:pPr>
      <w:r>
        <w:tab/>
        <w:t>(c)</w:t>
      </w:r>
      <w:r>
        <w:tab/>
        <w:t xml:space="preserve">the offender is a serial family violence offender, whether the offender was so declared by — </w:t>
      </w:r>
    </w:p>
    <w:p>
      <w:pPr>
        <w:pStyle w:val="Indenti"/>
      </w:pPr>
      <w:r>
        <w:tab/>
        <w:t>(i)</w:t>
      </w:r>
      <w:r>
        <w:tab/>
        <w:t>the court referred to in paragraph (a) at the time of the offender’s conviction for the offence referred to in that paragraph; or</w:t>
      </w:r>
    </w:p>
    <w:p>
      <w:pPr>
        <w:pStyle w:val="Indenti"/>
      </w:pPr>
      <w:r>
        <w:tab/>
        <w:t>(ii)</w:t>
      </w:r>
      <w:r>
        <w:tab/>
        <w:t>another court.</w:t>
      </w:r>
    </w:p>
    <w:p>
      <w:pPr>
        <w:pStyle w:val="Subsection"/>
      </w:pPr>
      <w:r>
        <w:lastRenderedPageBreak/>
        <w:tab/>
        <w:t>(7)</w:t>
      </w:r>
      <w:r>
        <w:tab/>
        <w:t>In a case where subsection (6) applies, the sentencing court must make a declaration under this section.</w:t>
      </w:r>
    </w:p>
    <w:p>
      <w:pPr>
        <w:pStyle w:val="Subsection"/>
        <w:keepNext/>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 No. 28 of 2024 s. 70.]</w:t>
      </w:r>
    </w:p>
    <w:p>
      <w:pPr>
        <w:pStyle w:val="Heading2"/>
      </w:pPr>
      <w:bookmarkStart w:id="259" w:name="_Toc200459906"/>
      <w:bookmarkStart w:id="260" w:name="_Toc200460206"/>
      <w:bookmarkStart w:id="261" w:name="_Toc200524887"/>
      <w:r>
        <w:rPr>
          <w:rStyle w:val="CharPartNo"/>
        </w:rPr>
        <w:lastRenderedPageBreak/>
        <w:t>Part 14</w:t>
      </w:r>
      <w:r>
        <w:rPr>
          <w:rStyle w:val="CharDivNo"/>
        </w:rPr>
        <w:t> </w:t>
      </w:r>
      <w:r>
        <w:t>—</w:t>
      </w:r>
      <w:r>
        <w:rPr>
          <w:rStyle w:val="CharDivText"/>
        </w:rPr>
        <w:t> </w:t>
      </w:r>
      <w:r>
        <w:rPr>
          <w:rStyle w:val="CharPartText"/>
        </w:rPr>
        <w:t>Indefinite imprisonment</w:t>
      </w:r>
      <w:bookmarkEnd w:id="259"/>
      <w:bookmarkEnd w:id="260"/>
      <w:bookmarkEnd w:id="261"/>
    </w:p>
    <w:p>
      <w:pPr>
        <w:pStyle w:val="Heading5"/>
        <w:spacing w:before="180"/>
        <w:rPr>
          <w:snapToGrid w:val="0"/>
        </w:rPr>
      </w:pPr>
      <w:bookmarkStart w:id="262" w:name="_Toc200524888"/>
      <w:r>
        <w:rPr>
          <w:rStyle w:val="CharSectno"/>
        </w:rPr>
        <w:t>98</w:t>
      </w:r>
      <w:r>
        <w:rPr>
          <w:snapToGrid w:val="0"/>
        </w:rPr>
        <w:t>.</w:t>
      </w:r>
      <w:r>
        <w:rPr>
          <w:snapToGrid w:val="0"/>
        </w:rPr>
        <w:tab/>
        <w:t>Indefinite imprisonment, superior court may impose</w:t>
      </w:r>
      <w:bookmarkEnd w:id="26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263" w:name="_Toc200524889"/>
      <w:r>
        <w:rPr>
          <w:rStyle w:val="CharSectno"/>
        </w:rPr>
        <w:t>99</w:t>
      </w:r>
      <w:r>
        <w:rPr>
          <w:snapToGrid w:val="0"/>
        </w:rPr>
        <w:t>.</w:t>
      </w:r>
      <w:r>
        <w:rPr>
          <w:snapToGrid w:val="0"/>
        </w:rPr>
        <w:tab/>
        <w:t>Other terms not precluded by indefinite imprisonment</w:t>
      </w:r>
      <w:bookmarkEnd w:id="26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64" w:name="_Toc200524890"/>
      <w:r>
        <w:rPr>
          <w:rStyle w:val="CharSectno"/>
        </w:rPr>
        <w:t>100</w:t>
      </w:r>
      <w:r>
        <w:rPr>
          <w:snapToGrid w:val="0"/>
        </w:rPr>
        <w:t>.</w:t>
      </w:r>
      <w:r>
        <w:rPr>
          <w:snapToGrid w:val="0"/>
        </w:rPr>
        <w:tab/>
        <w:t>When indefinite imprisonment commences</w:t>
      </w:r>
      <w:bookmarkEnd w:id="26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265" w:name="_Toc200524891"/>
      <w:r>
        <w:rPr>
          <w:rStyle w:val="CharSectno"/>
        </w:rPr>
        <w:t>101</w:t>
      </w:r>
      <w:r>
        <w:rPr>
          <w:snapToGrid w:val="0"/>
        </w:rPr>
        <w:t>.</w:t>
      </w:r>
      <w:r>
        <w:rPr>
          <w:snapToGrid w:val="0"/>
        </w:rPr>
        <w:tab/>
        <w:t>Release from indefinite imprisonment</w:t>
      </w:r>
      <w:bookmarkEnd w:id="265"/>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266" w:name="_Toc200459911"/>
      <w:bookmarkStart w:id="267" w:name="_Toc200460211"/>
      <w:bookmarkStart w:id="268" w:name="_Toc200524892"/>
      <w:r>
        <w:rPr>
          <w:rStyle w:val="CharPartNo"/>
        </w:rPr>
        <w:lastRenderedPageBreak/>
        <w:t>Part 15</w:t>
      </w:r>
      <w:r>
        <w:t> — </w:t>
      </w:r>
      <w:r>
        <w:rPr>
          <w:rStyle w:val="CharPartText"/>
        </w:rPr>
        <w:t>Other orders forming part of a sentence</w:t>
      </w:r>
      <w:bookmarkEnd w:id="266"/>
      <w:bookmarkEnd w:id="267"/>
      <w:bookmarkEnd w:id="268"/>
    </w:p>
    <w:p>
      <w:pPr>
        <w:pStyle w:val="Heading3"/>
      </w:pPr>
      <w:bookmarkStart w:id="269" w:name="_Toc200459912"/>
      <w:bookmarkStart w:id="270" w:name="_Toc200460212"/>
      <w:bookmarkStart w:id="271" w:name="_Toc200524893"/>
      <w:r>
        <w:rPr>
          <w:rStyle w:val="CharDivNo"/>
        </w:rPr>
        <w:t>Division 1</w:t>
      </w:r>
      <w:r>
        <w:rPr>
          <w:snapToGrid w:val="0"/>
        </w:rPr>
        <w:t> — </w:t>
      </w:r>
      <w:r>
        <w:rPr>
          <w:rStyle w:val="CharDivText"/>
        </w:rPr>
        <w:t>General matters</w:t>
      </w:r>
      <w:bookmarkEnd w:id="269"/>
      <w:bookmarkEnd w:id="270"/>
      <w:bookmarkEnd w:id="271"/>
    </w:p>
    <w:p>
      <w:pPr>
        <w:pStyle w:val="Heading5"/>
        <w:rPr>
          <w:snapToGrid w:val="0"/>
        </w:rPr>
      </w:pPr>
      <w:bookmarkStart w:id="272" w:name="_Toc200524894"/>
      <w:r>
        <w:rPr>
          <w:rStyle w:val="CharSectno"/>
        </w:rPr>
        <w:t>102</w:t>
      </w:r>
      <w:r>
        <w:rPr>
          <w:snapToGrid w:val="0"/>
        </w:rPr>
        <w:t>.</w:t>
      </w:r>
      <w:r>
        <w:rPr>
          <w:snapToGrid w:val="0"/>
        </w:rPr>
        <w:tab/>
        <w:t>General provisions</w:t>
      </w:r>
      <w:bookmarkEnd w:id="272"/>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73" w:name="_Toc200524895"/>
      <w:r>
        <w:rPr>
          <w:rStyle w:val="CharSectno"/>
        </w:rPr>
        <w:t>103</w:t>
      </w:r>
      <w:r>
        <w:rPr>
          <w:snapToGrid w:val="0"/>
        </w:rPr>
        <w:t>.</w:t>
      </w:r>
      <w:r>
        <w:rPr>
          <w:snapToGrid w:val="0"/>
        </w:rPr>
        <w:tab/>
        <w:t>Disqualification order, calculation of term of</w:t>
      </w:r>
      <w:bookmarkEnd w:id="273"/>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74" w:name="_Toc200524896"/>
      <w:r>
        <w:rPr>
          <w:rStyle w:val="CharSectno"/>
        </w:rPr>
        <w:t>104</w:t>
      </w:r>
      <w:r>
        <w:rPr>
          <w:snapToGrid w:val="0"/>
        </w:rPr>
        <w:t>.</w:t>
      </w:r>
      <w:r>
        <w:rPr>
          <w:snapToGrid w:val="0"/>
        </w:rPr>
        <w:tab/>
        <w:t>Disqualification may be for life</w:t>
      </w:r>
      <w:bookmarkEnd w:id="274"/>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75" w:name="_Toc200459916"/>
      <w:bookmarkStart w:id="276" w:name="_Toc200460216"/>
      <w:bookmarkStart w:id="277" w:name="_Toc200524897"/>
      <w:r>
        <w:rPr>
          <w:rStyle w:val="CharDivNo"/>
        </w:rPr>
        <w:t>Division 2</w:t>
      </w:r>
      <w:r>
        <w:rPr>
          <w:snapToGrid w:val="0"/>
        </w:rPr>
        <w:t> — </w:t>
      </w:r>
      <w:r>
        <w:rPr>
          <w:rStyle w:val="CharDivText"/>
        </w:rPr>
        <w:t>Disqualification orders</w:t>
      </w:r>
      <w:bookmarkEnd w:id="275"/>
      <w:bookmarkEnd w:id="276"/>
      <w:bookmarkEnd w:id="277"/>
    </w:p>
    <w:p>
      <w:pPr>
        <w:pStyle w:val="Heading5"/>
        <w:rPr>
          <w:snapToGrid w:val="0"/>
        </w:rPr>
      </w:pPr>
      <w:bookmarkStart w:id="278" w:name="_Toc200524898"/>
      <w:r>
        <w:rPr>
          <w:rStyle w:val="CharSectno"/>
        </w:rPr>
        <w:t>105</w:t>
      </w:r>
      <w:r>
        <w:rPr>
          <w:snapToGrid w:val="0"/>
        </w:rPr>
        <w:t>.</w:t>
      </w:r>
      <w:r>
        <w:rPr>
          <w:snapToGrid w:val="0"/>
        </w:rPr>
        <w:tab/>
        <w:t>Driver’s licence disqualification</w:t>
      </w:r>
      <w:bookmarkEnd w:id="27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279" w:name="_Toc200524899"/>
      <w:r>
        <w:rPr>
          <w:rStyle w:val="CharSectno"/>
        </w:rPr>
        <w:t>106</w:t>
      </w:r>
      <w:r>
        <w:rPr>
          <w:snapToGrid w:val="0"/>
        </w:rPr>
        <w:t>.</w:t>
      </w:r>
      <w:r>
        <w:rPr>
          <w:snapToGrid w:val="0"/>
        </w:rPr>
        <w:tab/>
      </w:r>
      <w:r>
        <w:t>Disqualification and suspension of firearm authority</w:t>
      </w:r>
      <w:bookmarkEnd w:id="279"/>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zCs w:val="22"/>
        </w:rPr>
        <w:t>Firearms Act 2024</w:t>
      </w:r>
      <w: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zCs w:val="22"/>
        </w:rPr>
        <w:t>Firearms Act 2024</w:t>
      </w:r>
      <w: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lastRenderedPageBreak/>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meaning given in the </w:t>
      </w:r>
      <w:r>
        <w:rPr>
          <w:i/>
          <w:szCs w:val="22"/>
        </w:rPr>
        <w:t xml:space="preserve">Firearms Act 2024 </w:t>
      </w:r>
      <w:r>
        <w:t>section 6 and includes an imitation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szCs w:val="22"/>
        </w:rPr>
        <w:t>Firearms Act 2024</w:t>
      </w:r>
      <w:r>
        <w:t>.</w:t>
      </w:r>
    </w:p>
    <w:p>
      <w:pPr>
        <w:pStyle w:val="Footnotesection"/>
      </w:pPr>
      <w:r>
        <w:tab/>
        <w:t>[Section 106 amended: No. 59 of 1996 s. 52; No. 23 of 2024 s. 489.]</w:t>
      </w:r>
    </w:p>
    <w:p>
      <w:pPr>
        <w:pStyle w:val="Heading5"/>
        <w:spacing w:before="180"/>
        <w:rPr>
          <w:snapToGrid w:val="0"/>
        </w:rPr>
      </w:pPr>
      <w:bookmarkStart w:id="280" w:name="_Toc200524900"/>
      <w:r>
        <w:rPr>
          <w:rStyle w:val="CharSectno"/>
        </w:rPr>
        <w:lastRenderedPageBreak/>
        <w:t>107</w:t>
      </w:r>
      <w:r>
        <w:rPr>
          <w:snapToGrid w:val="0"/>
        </w:rPr>
        <w:t>.</w:t>
      </w:r>
      <w:r>
        <w:rPr>
          <w:snapToGrid w:val="0"/>
        </w:rPr>
        <w:tab/>
        <w:t>Marine qualification disqualification</w:t>
      </w:r>
      <w:bookmarkEnd w:id="28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lastRenderedPageBreak/>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281" w:name="_Toc200524901"/>
      <w:r>
        <w:rPr>
          <w:rStyle w:val="CharSectno"/>
        </w:rPr>
        <w:t>108</w:t>
      </w:r>
      <w:r>
        <w:rPr>
          <w:snapToGrid w:val="0"/>
        </w:rPr>
        <w:t>.</w:t>
      </w:r>
      <w:r>
        <w:rPr>
          <w:snapToGrid w:val="0"/>
        </w:rPr>
        <w:tab/>
        <w:t>Passport, surrender of etc.</w:t>
      </w:r>
      <w:bookmarkEnd w:id="281"/>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lastRenderedPageBreak/>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282" w:name="_Toc200459921"/>
      <w:bookmarkStart w:id="283" w:name="_Toc200460221"/>
      <w:bookmarkStart w:id="284" w:name="_Toc200524902"/>
      <w:r>
        <w:rPr>
          <w:rStyle w:val="CharPartNo"/>
        </w:rPr>
        <w:lastRenderedPageBreak/>
        <w:t>Part 16</w:t>
      </w:r>
      <w:r>
        <w:t> — </w:t>
      </w:r>
      <w:r>
        <w:rPr>
          <w:rStyle w:val="CharPartText"/>
        </w:rPr>
        <w:t>Reparation orders</w:t>
      </w:r>
      <w:bookmarkEnd w:id="282"/>
      <w:bookmarkEnd w:id="283"/>
      <w:bookmarkEnd w:id="284"/>
    </w:p>
    <w:p>
      <w:pPr>
        <w:pStyle w:val="Heading3"/>
      </w:pPr>
      <w:bookmarkStart w:id="285" w:name="_Toc200459922"/>
      <w:bookmarkStart w:id="286" w:name="_Toc200460222"/>
      <w:bookmarkStart w:id="287" w:name="_Toc200524903"/>
      <w:r>
        <w:rPr>
          <w:rStyle w:val="CharDivNo"/>
        </w:rPr>
        <w:t>Division 1</w:t>
      </w:r>
      <w:r>
        <w:rPr>
          <w:snapToGrid w:val="0"/>
        </w:rPr>
        <w:t> — </w:t>
      </w:r>
      <w:r>
        <w:rPr>
          <w:rStyle w:val="CharDivText"/>
        </w:rPr>
        <w:t>General matters</w:t>
      </w:r>
      <w:bookmarkEnd w:id="285"/>
      <w:bookmarkEnd w:id="286"/>
      <w:bookmarkEnd w:id="287"/>
    </w:p>
    <w:p>
      <w:pPr>
        <w:pStyle w:val="Heading5"/>
        <w:rPr>
          <w:snapToGrid w:val="0"/>
        </w:rPr>
      </w:pPr>
      <w:bookmarkStart w:id="288" w:name="_Toc200524904"/>
      <w:r>
        <w:rPr>
          <w:rStyle w:val="CharSectno"/>
        </w:rPr>
        <w:t>109</w:t>
      </w:r>
      <w:r>
        <w:rPr>
          <w:snapToGrid w:val="0"/>
        </w:rPr>
        <w:t>.</w:t>
      </w:r>
      <w:r>
        <w:rPr>
          <w:snapToGrid w:val="0"/>
        </w:rPr>
        <w:tab/>
        <w:t>Term used: reparation order</w:t>
      </w:r>
      <w:bookmarkEnd w:id="28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89" w:name="_Toc200524905"/>
      <w:r>
        <w:rPr>
          <w:rStyle w:val="CharSectno"/>
        </w:rPr>
        <w:t>110</w:t>
      </w:r>
      <w:r>
        <w:rPr>
          <w:snapToGrid w:val="0"/>
        </w:rPr>
        <w:t>.</w:t>
      </w:r>
      <w:r>
        <w:rPr>
          <w:snapToGrid w:val="0"/>
        </w:rPr>
        <w:tab/>
        <w:t>General provisions</w:t>
      </w:r>
      <w:bookmarkEnd w:id="28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90" w:name="_Toc200524906"/>
      <w:r>
        <w:rPr>
          <w:rStyle w:val="CharSectno"/>
        </w:rPr>
        <w:t>111</w:t>
      </w:r>
      <w:r>
        <w:rPr>
          <w:snapToGrid w:val="0"/>
        </w:rPr>
        <w:t>.</w:t>
      </w:r>
      <w:r>
        <w:rPr>
          <w:snapToGrid w:val="0"/>
        </w:rPr>
        <w:tab/>
        <w:t>Making a reparation order</w:t>
      </w:r>
      <w:bookmarkEnd w:id="29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lastRenderedPageBreak/>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291" w:name="_Toc200524907"/>
      <w:r>
        <w:rPr>
          <w:rStyle w:val="CharSectno"/>
        </w:rPr>
        <w:t>112</w:t>
      </w:r>
      <w:r>
        <w:rPr>
          <w:snapToGrid w:val="0"/>
        </w:rPr>
        <w:t>.</w:t>
      </w:r>
      <w:r>
        <w:rPr>
          <w:snapToGrid w:val="0"/>
        </w:rPr>
        <w:tab/>
        <w:t>Facts relevant to making reparation order</w:t>
      </w:r>
      <w:bookmarkEnd w:id="29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292" w:name="_Toc200524908"/>
      <w:r>
        <w:rPr>
          <w:rStyle w:val="CharSectno"/>
        </w:rPr>
        <w:lastRenderedPageBreak/>
        <w:t>113</w:t>
      </w:r>
      <w:r>
        <w:rPr>
          <w:snapToGrid w:val="0"/>
        </w:rPr>
        <w:t>.</w:t>
      </w:r>
      <w:r>
        <w:rPr>
          <w:snapToGrid w:val="0"/>
        </w:rPr>
        <w:tab/>
        <w:t>Victim’s behaviour and relationship relevant</w:t>
      </w:r>
      <w:bookmarkEnd w:id="29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93" w:name="_Toc200524909"/>
      <w:r>
        <w:rPr>
          <w:rStyle w:val="CharSectno"/>
        </w:rPr>
        <w:t>114</w:t>
      </w:r>
      <w:r>
        <w:rPr>
          <w:snapToGrid w:val="0"/>
        </w:rPr>
        <w:t>.</w:t>
      </w:r>
      <w:r>
        <w:rPr>
          <w:snapToGrid w:val="0"/>
        </w:rPr>
        <w:tab/>
        <w:t>Civil standard of proof applies</w:t>
      </w:r>
      <w:bookmarkEnd w:id="29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94" w:name="_Toc200524910"/>
      <w:r>
        <w:rPr>
          <w:rStyle w:val="CharSectno"/>
        </w:rPr>
        <w:t>114A</w:t>
      </w:r>
      <w:r>
        <w:t>.</w:t>
      </w:r>
      <w:r>
        <w:tab/>
        <w:t>Victim may appeal against refusal of reparation order</w:t>
      </w:r>
      <w:bookmarkEnd w:id="29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295" w:name="_Toc200524911"/>
      <w:r>
        <w:rPr>
          <w:rStyle w:val="CharSectno"/>
        </w:rPr>
        <w:lastRenderedPageBreak/>
        <w:t>115</w:t>
      </w:r>
      <w:r>
        <w:rPr>
          <w:snapToGrid w:val="0"/>
        </w:rPr>
        <w:t>.</w:t>
      </w:r>
      <w:r>
        <w:rPr>
          <w:snapToGrid w:val="0"/>
        </w:rPr>
        <w:tab/>
        <w:t>Effect of reparation order on civil proceedings etc.</w:t>
      </w:r>
      <w:bookmarkEnd w:id="29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296" w:name="_Toc200459931"/>
      <w:bookmarkStart w:id="297" w:name="_Toc200460231"/>
      <w:bookmarkStart w:id="298" w:name="_Toc200524912"/>
      <w:r>
        <w:rPr>
          <w:rStyle w:val="CharDivNo"/>
        </w:rPr>
        <w:t>Division 2</w:t>
      </w:r>
      <w:r>
        <w:rPr>
          <w:snapToGrid w:val="0"/>
        </w:rPr>
        <w:t> — </w:t>
      </w:r>
      <w:r>
        <w:rPr>
          <w:rStyle w:val="CharDivText"/>
        </w:rPr>
        <w:t>Compensation order</w:t>
      </w:r>
      <w:bookmarkEnd w:id="296"/>
      <w:bookmarkEnd w:id="297"/>
      <w:bookmarkEnd w:id="298"/>
    </w:p>
    <w:p>
      <w:pPr>
        <w:pStyle w:val="Heading5"/>
        <w:rPr>
          <w:snapToGrid w:val="0"/>
        </w:rPr>
      </w:pPr>
      <w:bookmarkStart w:id="299" w:name="_Toc200524913"/>
      <w:r>
        <w:rPr>
          <w:rStyle w:val="CharSectno"/>
        </w:rPr>
        <w:t>116</w:t>
      </w:r>
      <w:r>
        <w:rPr>
          <w:snapToGrid w:val="0"/>
        </w:rPr>
        <w:t>.</w:t>
      </w:r>
      <w:r>
        <w:rPr>
          <w:snapToGrid w:val="0"/>
        </w:rPr>
        <w:tab/>
        <w:t>Terms used</w:t>
      </w:r>
      <w:bookmarkEnd w:id="299"/>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lastRenderedPageBreak/>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00" w:name="_Toc200524914"/>
      <w:r>
        <w:rPr>
          <w:rStyle w:val="CharSectno"/>
        </w:rPr>
        <w:t>117</w:t>
      </w:r>
      <w:r>
        <w:rPr>
          <w:snapToGrid w:val="0"/>
        </w:rPr>
        <w:t>.</w:t>
      </w:r>
      <w:r>
        <w:rPr>
          <w:snapToGrid w:val="0"/>
        </w:rPr>
        <w:tab/>
        <w:t>Compensation order in favour of victim</w:t>
      </w:r>
      <w:bookmarkEnd w:id="30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01" w:name="_Toc200524915"/>
      <w:r>
        <w:rPr>
          <w:rStyle w:val="CharSectno"/>
        </w:rPr>
        <w:t>118</w:t>
      </w:r>
      <w:r>
        <w:rPr>
          <w:snapToGrid w:val="0"/>
        </w:rPr>
        <w:t>.</w:t>
      </w:r>
      <w:r>
        <w:rPr>
          <w:snapToGrid w:val="0"/>
        </w:rPr>
        <w:tab/>
        <w:t>Compensation order in favour of third party</w:t>
      </w:r>
      <w:bookmarkEnd w:id="301"/>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lastRenderedPageBreak/>
        <w:tab/>
        <w:t>(b)</w:t>
      </w:r>
      <w:r>
        <w:rPr>
          <w:snapToGrid w:val="0"/>
        </w:rPr>
        <w:tab/>
        <w:t>any expense reasonably incurred by the third party in connection with complying with the restitution order.</w:t>
      </w:r>
    </w:p>
    <w:p>
      <w:pPr>
        <w:pStyle w:val="Heading5"/>
      </w:pPr>
      <w:bookmarkStart w:id="302" w:name="_Toc200524916"/>
      <w:r>
        <w:rPr>
          <w:rStyle w:val="CharSectno"/>
        </w:rPr>
        <w:t>119</w:t>
      </w:r>
      <w:r>
        <w:t>.</w:t>
      </w:r>
      <w:r>
        <w:tab/>
        <w:t>Enforcing compensation order</w:t>
      </w:r>
      <w:bookmarkEnd w:id="30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03" w:name="_Toc200524917"/>
      <w:r>
        <w:rPr>
          <w:rStyle w:val="CharSectno"/>
        </w:rPr>
        <w:t>119A</w:t>
      </w:r>
      <w:r>
        <w:t>.</w:t>
      </w:r>
      <w:r>
        <w:tab/>
        <w:t>Imprisonment until compensation paid, court may order</w:t>
      </w:r>
      <w:bookmarkEnd w:id="30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lastRenderedPageBreak/>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04" w:name="_Toc200459937"/>
      <w:bookmarkStart w:id="305" w:name="_Toc200460237"/>
      <w:bookmarkStart w:id="306" w:name="_Toc200524918"/>
      <w:r>
        <w:rPr>
          <w:rStyle w:val="CharDivNo"/>
        </w:rPr>
        <w:t>Division 3</w:t>
      </w:r>
      <w:r>
        <w:rPr>
          <w:snapToGrid w:val="0"/>
        </w:rPr>
        <w:t> — </w:t>
      </w:r>
      <w:r>
        <w:rPr>
          <w:rStyle w:val="CharDivText"/>
        </w:rPr>
        <w:t>Restitution order</w:t>
      </w:r>
      <w:bookmarkEnd w:id="304"/>
      <w:bookmarkEnd w:id="305"/>
      <w:bookmarkEnd w:id="306"/>
    </w:p>
    <w:p>
      <w:pPr>
        <w:pStyle w:val="Heading5"/>
        <w:rPr>
          <w:snapToGrid w:val="0"/>
        </w:rPr>
      </w:pPr>
      <w:bookmarkStart w:id="307" w:name="_Toc200524919"/>
      <w:r>
        <w:rPr>
          <w:rStyle w:val="CharSectno"/>
        </w:rPr>
        <w:t>120</w:t>
      </w:r>
      <w:r>
        <w:rPr>
          <w:snapToGrid w:val="0"/>
        </w:rPr>
        <w:t>.</w:t>
      </w:r>
      <w:r>
        <w:rPr>
          <w:snapToGrid w:val="0"/>
        </w:rPr>
        <w:tab/>
        <w:t>Making restitution order</w:t>
      </w:r>
      <w:bookmarkEnd w:id="307"/>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08" w:name="_Toc200524920"/>
      <w:r>
        <w:rPr>
          <w:rStyle w:val="CharSectno"/>
        </w:rPr>
        <w:lastRenderedPageBreak/>
        <w:t>120A</w:t>
      </w:r>
      <w:r>
        <w:t>.</w:t>
      </w:r>
      <w:r>
        <w:tab/>
        <w:t>Enforcing restitution order, Sheriff’s powers for</w:t>
      </w:r>
      <w:bookmarkEnd w:id="30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09" w:name="_Toc200524921"/>
      <w:r>
        <w:rPr>
          <w:rStyle w:val="CharSectno"/>
        </w:rPr>
        <w:t>121</w:t>
      </w:r>
      <w:r>
        <w:rPr>
          <w:snapToGrid w:val="0"/>
        </w:rPr>
        <w:t>.</w:t>
      </w:r>
      <w:r>
        <w:rPr>
          <w:snapToGrid w:val="0"/>
        </w:rPr>
        <w:tab/>
        <w:t>Enforcing restitution order, court’s powers for</w:t>
      </w:r>
      <w:bookmarkEnd w:id="309"/>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10" w:name="_Toc200524922"/>
      <w:r>
        <w:rPr>
          <w:rStyle w:val="CharSectno"/>
        </w:rPr>
        <w:t>122</w:t>
      </w:r>
      <w:r>
        <w:rPr>
          <w:snapToGrid w:val="0"/>
        </w:rPr>
        <w:t>.</w:t>
      </w:r>
      <w:r>
        <w:rPr>
          <w:snapToGrid w:val="0"/>
        </w:rPr>
        <w:tab/>
        <w:t>Non</w:t>
      </w:r>
      <w:r>
        <w:rPr>
          <w:snapToGrid w:val="0"/>
        </w:rPr>
        <w:noBreakHyphen/>
        <w:t>compliance with restitution order, offence</w:t>
      </w:r>
      <w:bookmarkEnd w:id="310"/>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11" w:name="_Toc200459942"/>
      <w:bookmarkStart w:id="312" w:name="_Toc200460242"/>
      <w:bookmarkStart w:id="313" w:name="_Toc200524923"/>
      <w:r>
        <w:rPr>
          <w:rStyle w:val="CharPartNo"/>
        </w:rPr>
        <w:lastRenderedPageBreak/>
        <w:t>Part 17</w:t>
      </w:r>
      <w:r>
        <w:t> — </w:t>
      </w:r>
      <w:r>
        <w:rPr>
          <w:rStyle w:val="CharPartText"/>
        </w:rPr>
        <w:t>Other orders and declarations not forming part of a sentence</w:t>
      </w:r>
      <w:bookmarkEnd w:id="311"/>
      <w:bookmarkEnd w:id="312"/>
      <w:bookmarkEnd w:id="313"/>
    </w:p>
    <w:p>
      <w:pPr>
        <w:pStyle w:val="Footnoteheading"/>
      </w:pPr>
      <w:r>
        <w:tab/>
        <w:t>[Heading amended: No. 30 of 2020 s. 25.]</w:t>
      </w:r>
    </w:p>
    <w:p>
      <w:pPr>
        <w:pStyle w:val="Heading3"/>
      </w:pPr>
      <w:bookmarkStart w:id="314" w:name="_Toc200459943"/>
      <w:bookmarkStart w:id="315" w:name="_Toc200460243"/>
      <w:bookmarkStart w:id="316" w:name="_Toc200524924"/>
      <w:r>
        <w:rPr>
          <w:rStyle w:val="CharDivNo"/>
        </w:rPr>
        <w:t>Division 1</w:t>
      </w:r>
      <w:r>
        <w:t> — </w:t>
      </w:r>
      <w:r>
        <w:rPr>
          <w:rStyle w:val="CharDivText"/>
        </w:rPr>
        <w:t>Preliminary</w:t>
      </w:r>
      <w:bookmarkEnd w:id="314"/>
      <w:bookmarkEnd w:id="315"/>
      <w:bookmarkEnd w:id="316"/>
    </w:p>
    <w:p>
      <w:pPr>
        <w:pStyle w:val="Footnoteheading"/>
      </w:pPr>
      <w:r>
        <w:tab/>
        <w:t>[Heading inserted: No. 30 of 2020 s. 26.]</w:t>
      </w:r>
    </w:p>
    <w:p>
      <w:pPr>
        <w:pStyle w:val="Heading5"/>
        <w:spacing w:before="200"/>
        <w:rPr>
          <w:snapToGrid w:val="0"/>
        </w:rPr>
      </w:pPr>
      <w:bookmarkStart w:id="317" w:name="_Toc200524925"/>
      <w:r>
        <w:rPr>
          <w:rStyle w:val="CharSectno"/>
        </w:rPr>
        <w:t>123</w:t>
      </w:r>
      <w:r>
        <w:rPr>
          <w:snapToGrid w:val="0"/>
        </w:rPr>
        <w:t>.</w:t>
      </w:r>
      <w:r>
        <w:rPr>
          <w:snapToGrid w:val="0"/>
        </w:rPr>
        <w:tab/>
        <w:t>General provisions</w:t>
      </w:r>
      <w:bookmarkEnd w:id="317"/>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318" w:name="_Toc200459945"/>
      <w:bookmarkStart w:id="319" w:name="_Toc200460245"/>
      <w:bookmarkStart w:id="320" w:name="_Toc200524926"/>
      <w:r>
        <w:rPr>
          <w:rStyle w:val="CharDivNo"/>
        </w:rPr>
        <w:t>Division 2</w:t>
      </w:r>
      <w:r>
        <w:t> — </w:t>
      </w:r>
      <w:r>
        <w:rPr>
          <w:rStyle w:val="CharDivText"/>
        </w:rPr>
        <w:t>Orders made under other Acts</w:t>
      </w:r>
      <w:bookmarkEnd w:id="318"/>
      <w:bookmarkEnd w:id="319"/>
      <w:bookmarkEnd w:id="320"/>
    </w:p>
    <w:p>
      <w:pPr>
        <w:pStyle w:val="Footnoteheading"/>
      </w:pPr>
      <w:r>
        <w:tab/>
        <w:t>[Heading inserted: No. 30 of 2020 s. 28.]</w:t>
      </w:r>
    </w:p>
    <w:p>
      <w:pPr>
        <w:pStyle w:val="Heading5"/>
        <w:spacing w:before="200"/>
        <w:rPr>
          <w:snapToGrid w:val="0"/>
        </w:rPr>
      </w:pPr>
      <w:bookmarkStart w:id="321" w:name="_Toc20052492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2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322" w:name="_Toc200524928"/>
      <w:r>
        <w:rPr>
          <w:rStyle w:val="CharSectno"/>
        </w:rPr>
        <w:lastRenderedPageBreak/>
        <w:t>124A</w:t>
      </w:r>
      <w:r>
        <w:t>.</w:t>
      </w:r>
      <w:r>
        <w:tab/>
      </w:r>
      <w:r>
        <w:rPr>
          <w:i/>
        </w:rPr>
        <w:t>Community Protection (Offender Reporting) Act 2004</w:t>
      </w:r>
      <w:r>
        <w:t xml:space="preserve"> s. 13 offender reporting order, s. 123 applies to</w:t>
      </w:r>
      <w:bookmarkEnd w:id="32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323" w:name="_Toc200524929"/>
      <w:r>
        <w:rPr>
          <w:rStyle w:val="CharSectno"/>
        </w:rPr>
        <w:t>124B</w:t>
      </w:r>
      <w:r>
        <w:t>.</w:t>
      </w:r>
      <w:r>
        <w:tab/>
      </w:r>
      <w:r>
        <w:rPr>
          <w:i/>
          <w:iCs/>
        </w:rPr>
        <w:t>Prohibited Behaviour Orders Act 2010</w:t>
      </w:r>
      <w:r>
        <w:rPr>
          <w:iCs/>
        </w:rPr>
        <w:t xml:space="preserve"> prohibited behaviour </w:t>
      </w:r>
      <w:r>
        <w:t>order, s. 123 applies to</w:t>
      </w:r>
      <w:bookmarkEnd w:id="323"/>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324" w:name="_Toc200524930"/>
      <w:r>
        <w:rPr>
          <w:rStyle w:val="CharSectno"/>
        </w:rPr>
        <w:t>124C</w:t>
      </w:r>
      <w:r>
        <w:t>.</w:t>
      </w:r>
      <w:r>
        <w:tab/>
        <w:t xml:space="preserve">Orders under </w:t>
      </w:r>
      <w:r>
        <w:rPr>
          <w:i/>
        </w:rPr>
        <w:t>Criminal Organisations Control Act 2012</w:t>
      </w:r>
      <w:bookmarkEnd w:id="32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325" w:name="_Toc200459950"/>
      <w:bookmarkStart w:id="326" w:name="_Toc200460250"/>
      <w:bookmarkStart w:id="327" w:name="_Toc200524931"/>
      <w:r>
        <w:rPr>
          <w:rStyle w:val="CharDivNo"/>
        </w:rPr>
        <w:t>Division 3</w:t>
      </w:r>
      <w:r>
        <w:t> — </w:t>
      </w:r>
      <w:r>
        <w:rPr>
          <w:rStyle w:val="CharDivText"/>
        </w:rPr>
        <w:t>Declarations</w:t>
      </w:r>
      <w:bookmarkEnd w:id="325"/>
      <w:bookmarkEnd w:id="326"/>
      <w:bookmarkEnd w:id="327"/>
    </w:p>
    <w:p>
      <w:pPr>
        <w:pStyle w:val="Footnoteheading"/>
      </w:pPr>
      <w:r>
        <w:tab/>
        <w:t>[Heading inserted: No. 30 of 2020 s. 29.]</w:t>
      </w:r>
    </w:p>
    <w:p>
      <w:pPr>
        <w:pStyle w:val="Heading5"/>
      </w:pPr>
      <w:bookmarkStart w:id="328" w:name="_Toc200524932"/>
      <w:r>
        <w:rPr>
          <w:rStyle w:val="CharSectno"/>
        </w:rPr>
        <w:t>124D</w:t>
      </w:r>
      <w:r>
        <w:t>.</w:t>
      </w:r>
      <w:r>
        <w:tab/>
        <w:t>Terms used</w:t>
      </w:r>
      <w:bookmarkEnd w:id="328"/>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lastRenderedPageBreak/>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(category B);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(category B); or</w:t>
      </w:r>
    </w:p>
    <w:p>
      <w:pPr>
        <w:pStyle w:val="Defpara"/>
      </w:pPr>
      <w:r>
        <w:tab/>
        <w:t>(c)</w:t>
      </w:r>
      <w:r>
        <w:tab/>
        <w:t>an attempt to commit such an offence under paragraph (a) or (b).</w:t>
      </w:r>
    </w:p>
    <w:p>
      <w:pPr>
        <w:pStyle w:val="Footnotesection"/>
        <w:spacing w:before="100"/>
      </w:pPr>
      <w:r>
        <w:tab/>
        <w:t>[Section 124D inserted: No. 30 of 2020 s. 29; amended: No. 28 of 2024 s. 71.]</w:t>
      </w:r>
    </w:p>
    <w:p>
      <w:pPr>
        <w:pStyle w:val="Heading5"/>
      </w:pPr>
      <w:bookmarkStart w:id="329" w:name="_Toc200524933"/>
      <w:r>
        <w:rPr>
          <w:rStyle w:val="CharSectno"/>
        </w:rPr>
        <w:t>124E</w:t>
      </w:r>
      <w:r>
        <w:t>.</w:t>
      </w:r>
      <w:r>
        <w:tab/>
        <w:t>Serial family violence offenders</w:t>
      </w:r>
      <w:bookmarkEnd w:id="329"/>
    </w:p>
    <w:p>
      <w:pPr>
        <w:pStyle w:val="Subsection"/>
      </w:pPr>
      <w:r>
        <w:tab/>
        <w:t>(1)</w:t>
      </w:r>
      <w:r>
        <w:tab/>
        <w:t>A court convicting an offender of a family violence offence (category B)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lastRenderedPageBreak/>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 (category B);</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keepNext/>
      </w:pPr>
      <w:r>
        <w:lastRenderedPageBreak/>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(category B);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 amended: No. 28 of 2024 s. 72.]</w:t>
      </w:r>
    </w:p>
    <w:p>
      <w:pPr>
        <w:pStyle w:val="Heading5"/>
      </w:pPr>
      <w:bookmarkStart w:id="330" w:name="_Toc200524934"/>
      <w:r>
        <w:rPr>
          <w:rStyle w:val="CharSectno"/>
        </w:rPr>
        <w:t>124F</w:t>
      </w:r>
      <w:r>
        <w:t>.</w:t>
      </w:r>
      <w:r>
        <w:tab/>
        <w:t>Serial family violence offender declaration — related matters</w:t>
      </w:r>
      <w:bookmarkEnd w:id="330"/>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lastRenderedPageBreak/>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331" w:name="_Toc200524935"/>
      <w:r>
        <w:rPr>
          <w:rStyle w:val="CharSectno"/>
        </w:rPr>
        <w:t>124G</w:t>
      </w:r>
      <w:r>
        <w:t>.</w:t>
      </w:r>
      <w:r>
        <w:tab/>
        <w:t>Disqualification if declaration made</w:t>
      </w:r>
      <w:bookmarkEnd w:id="331"/>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being granted a licence, permit or approval under the </w:t>
      </w:r>
      <w:r>
        <w:rPr>
          <w:i/>
          <w:szCs w:val="22"/>
        </w:rPr>
        <w:t>Firearms Act 2024</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 xml:space="preserve">by force of this section any relevant licence, permit, approval or authorisation in relation to which a </w:t>
      </w:r>
      <w:r>
        <w:lastRenderedPageBreak/>
        <w:t>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 amended: No. 23 of 2024 s. 490.]</w:t>
      </w:r>
    </w:p>
    <w:p>
      <w:pPr>
        <w:pStyle w:val="Heading2"/>
      </w:pPr>
      <w:bookmarkStart w:id="332" w:name="_Toc200459955"/>
      <w:bookmarkStart w:id="333" w:name="_Toc200460255"/>
      <w:bookmarkStart w:id="334" w:name="_Toc200524936"/>
      <w:r>
        <w:rPr>
          <w:rStyle w:val="CharPartNo"/>
        </w:rPr>
        <w:lastRenderedPageBreak/>
        <w:t>Part 18</w:t>
      </w:r>
      <w:r>
        <w:t> — </w:t>
      </w:r>
      <w:r>
        <w:rPr>
          <w:rStyle w:val="CharPartText"/>
        </w:rPr>
        <w:t>Amending and enforcing conditional release orders and community orders</w:t>
      </w:r>
      <w:bookmarkEnd w:id="332"/>
      <w:bookmarkEnd w:id="333"/>
      <w:bookmarkEnd w:id="334"/>
    </w:p>
    <w:p>
      <w:pPr>
        <w:pStyle w:val="Heading3"/>
      </w:pPr>
      <w:bookmarkStart w:id="335" w:name="_Toc200459956"/>
      <w:bookmarkStart w:id="336" w:name="_Toc200460256"/>
      <w:bookmarkStart w:id="337" w:name="_Toc200524937"/>
      <w:r>
        <w:rPr>
          <w:rStyle w:val="CharDivNo"/>
        </w:rPr>
        <w:t>Division 1</w:t>
      </w:r>
      <w:r>
        <w:rPr>
          <w:snapToGrid w:val="0"/>
        </w:rPr>
        <w:t> — </w:t>
      </w:r>
      <w:r>
        <w:rPr>
          <w:rStyle w:val="CharDivText"/>
        </w:rPr>
        <w:t>Preliminary</w:t>
      </w:r>
      <w:bookmarkEnd w:id="335"/>
      <w:bookmarkEnd w:id="336"/>
      <w:bookmarkEnd w:id="337"/>
    </w:p>
    <w:p>
      <w:pPr>
        <w:pStyle w:val="Heading5"/>
        <w:rPr>
          <w:snapToGrid w:val="0"/>
        </w:rPr>
      </w:pPr>
      <w:bookmarkStart w:id="338" w:name="_Toc200524938"/>
      <w:r>
        <w:rPr>
          <w:rStyle w:val="CharSectno"/>
        </w:rPr>
        <w:t>125</w:t>
      </w:r>
      <w:r>
        <w:rPr>
          <w:snapToGrid w:val="0"/>
        </w:rPr>
        <w:t>.</w:t>
      </w:r>
      <w:r>
        <w:rPr>
          <w:snapToGrid w:val="0"/>
        </w:rPr>
        <w:tab/>
        <w:t>Term used: requirements; and interpretation</w:t>
      </w:r>
      <w:bookmarkEnd w:id="33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339" w:name="_Toc200459958"/>
      <w:bookmarkStart w:id="340" w:name="_Toc200460258"/>
      <w:bookmarkStart w:id="341" w:name="_Toc200524939"/>
      <w:r>
        <w:rPr>
          <w:rStyle w:val="CharDivNo"/>
        </w:rPr>
        <w:lastRenderedPageBreak/>
        <w:t>Division 2</w:t>
      </w:r>
      <w:r>
        <w:rPr>
          <w:snapToGrid w:val="0"/>
        </w:rPr>
        <w:t> — </w:t>
      </w:r>
      <w:r>
        <w:rPr>
          <w:rStyle w:val="CharDivText"/>
        </w:rPr>
        <w:t>Amending or cancelling conditional release orders and community orders</w:t>
      </w:r>
      <w:bookmarkEnd w:id="339"/>
      <w:bookmarkEnd w:id="340"/>
      <w:bookmarkEnd w:id="341"/>
    </w:p>
    <w:p>
      <w:pPr>
        <w:pStyle w:val="Heading5"/>
        <w:spacing w:before="180"/>
        <w:rPr>
          <w:snapToGrid w:val="0"/>
        </w:rPr>
      </w:pPr>
      <w:bookmarkStart w:id="342" w:name="_Toc200524940"/>
      <w:r>
        <w:rPr>
          <w:rStyle w:val="CharSectno"/>
        </w:rPr>
        <w:t>126</w:t>
      </w:r>
      <w:r>
        <w:rPr>
          <w:snapToGrid w:val="0"/>
        </w:rPr>
        <w:t>.</w:t>
      </w:r>
      <w:r>
        <w:rPr>
          <w:snapToGrid w:val="0"/>
        </w:rPr>
        <w:tab/>
        <w:t>Application to amend or cancel</w:t>
      </w:r>
      <w:bookmarkEnd w:id="342"/>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343" w:name="_Toc200524941"/>
      <w:r>
        <w:rPr>
          <w:rStyle w:val="CharSectno"/>
        </w:rPr>
        <w:t>127</w:t>
      </w:r>
      <w:r>
        <w:rPr>
          <w:snapToGrid w:val="0"/>
        </w:rPr>
        <w:t>.</w:t>
      </w:r>
      <w:r>
        <w:rPr>
          <w:snapToGrid w:val="0"/>
        </w:rPr>
        <w:tab/>
        <w:t>Court may confirm, amend or cancel</w:t>
      </w:r>
      <w:bookmarkEnd w:id="343"/>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lastRenderedPageBreak/>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44" w:name="_Toc200459961"/>
      <w:bookmarkStart w:id="345" w:name="_Toc200460261"/>
      <w:bookmarkStart w:id="346" w:name="_Toc20052494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44"/>
      <w:bookmarkEnd w:id="345"/>
      <w:bookmarkEnd w:id="346"/>
    </w:p>
    <w:p>
      <w:pPr>
        <w:pStyle w:val="Heading5"/>
        <w:rPr>
          <w:snapToGrid w:val="0"/>
        </w:rPr>
      </w:pPr>
      <w:bookmarkStart w:id="347" w:name="_Toc200524943"/>
      <w:r>
        <w:rPr>
          <w:rStyle w:val="CharSectno"/>
        </w:rPr>
        <w:t>128</w:t>
      </w:r>
      <w:r>
        <w:rPr>
          <w:snapToGrid w:val="0"/>
        </w:rPr>
        <w:t>.</w:t>
      </w:r>
      <w:r>
        <w:rPr>
          <w:snapToGrid w:val="0"/>
        </w:rPr>
        <w:tab/>
        <w:t>Re</w:t>
      </w:r>
      <w:r>
        <w:rPr>
          <w:snapToGrid w:val="0"/>
        </w:rPr>
        <w:noBreakHyphen/>
        <w:t>offender may be dealt with or committed</w:t>
      </w:r>
      <w:bookmarkEnd w:id="34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 xml:space="preserve">if it is the District Court, may deal with the person under section 130 unless the CRO or community order was </w:t>
      </w:r>
      <w:r>
        <w:rPr>
          <w:snapToGrid w:val="0"/>
        </w:rPr>
        <w:lastRenderedPageBreak/>
        <w:t>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348" w:name="_Toc200524944"/>
      <w:r>
        <w:rPr>
          <w:rStyle w:val="CharSectno"/>
        </w:rPr>
        <w:t>129</w:t>
      </w:r>
      <w:r>
        <w:t>.</w:t>
      </w:r>
      <w:r>
        <w:tab/>
        <w:t>Re</w:t>
      </w:r>
      <w:r>
        <w:noBreakHyphen/>
        <w:t>offending, alleging in court</w:t>
      </w:r>
      <w:bookmarkEnd w:id="34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lastRenderedPageBreak/>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lastRenderedPageBreak/>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349" w:name="_Toc200524945"/>
      <w:r>
        <w:rPr>
          <w:rStyle w:val="CharSectno"/>
        </w:rPr>
        <w:t>130</w:t>
      </w:r>
      <w:r>
        <w:rPr>
          <w:snapToGrid w:val="0"/>
        </w:rPr>
        <w:t>.</w:t>
      </w:r>
      <w:r>
        <w:rPr>
          <w:snapToGrid w:val="0"/>
        </w:rPr>
        <w:tab/>
        <w:t>How re</w:t>
      </w:r>
      <w:r>
        <w:rPr>
          <w:snapToGrid w:val="0"/>
        </w:rPr>
        <w:noBreakHyphen/>
        <w:t>offender may be dealt with</w:t>
      </w:r>
      <w:bookmarkEnd w:id="34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350" w:name="_Toc200459965"/>
      <w:bookmarkStart w:id="351" w:name="_Toc200460265"/>
      <w:bookmarkStart w:id="352" w:name="_Toc200524946"/>
      <w:r>
        <w:rPr>
          <w:rStyle w:val="CharDivNo"/>
        </w:rPr>
        <w:lastRenderedPageBreak/>
        <w:t>Division 4</w:t>
      </w:r>
      <w:r>
        <w:rPr>
          <w:snapToGrid w:val="0"/>
        </w:rPr>
        <w:t> — </w:t>
      </w:r>
      <w:r>
        <w:rPr>
          <w:rStyle w:val="CharDivText"/>
        </w:rPr>
        <w:t>Breaching a conditional release order or a community order</w:t>
      </w:r>
      <w:bookmarkEnd w:id="350"/>
      <w:bookmarkEnd w:id="351"/>
      <w:bookmarkEnd w:id="352"/>
    </w:p>
    <w:p>
      <w:pPr>
        <w:pStyle w:val="Heading5"/>
        <w:rPr>
          <w:snapToGrid w:val="0"/>
        </w:rPr>
      </w:pPr>
      <w:bookmarkStart w:id="353" w:name="_Toc200524947"/>
      <w:r>
        <w:rPr>
          <w:rStyle w:val="CharSectno"/>
        </w:rPr>
        <w:t>131</w:t>
      </w:r>
      <w:r>
        <w:rPr>
          <w:snapToGrid w:val="0"/>
        </w:rPr>
        <w:t>.</w:t>
      </w:r>
      <w:r>
        <w:rPr>
          <w:snapToGrid w:val="0"/>
        </w:rPr>
        <w:tab/>
        <w:t>Breach of requirement, offence</w:t>
      </w:r>
      <w:bookmarkEnd w:id="353"/>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(1A)</w:t>
      </w:r>
      <w:r>
        <w:tab/>
        <w:t xml:space="preserve">Subsection (1) does not apply to breach of a community order constituted by — </w:t>
      </w:r>
    </w:p>
    <w:p>
      <w:pPr>
        <w:pStyle w:val="Indenta"/>
      </w:pPr>
      <w:r>
        <w:tab/>
        <w:t>(a)</w:t>
      </w:r>
      <w:r>
        <w:tab/>
        <w:t>for a community order that is a CBO — a failure to comply with a direction given under section 67A(6)(a), (b), (c) or (d); or</w:t>
      </w:r>
    </w:p>
    <w:p>
      <w:pPr>
        <w:pStyle w:val="Indenta"/>
      </w:pPr>
      <w:r>
        <w:tab/>
        <w:t>(b)</w:t>
      </w:r>
      <w:r>
        <w:tab/>
        <w:t xml:space="preserve">for a community order that is an ISO — a failure to comply with — </w:t>
      </w:r>
    </w:p>
    <w:p>
      <w:pPr>
        <w:pStyle w:val="Indenti"/>
      </w:pPr>
      <w:r>
        <w:tab/>
        <w:t>(i)</w:t>
      </w:r>
      <w:r>
        <w:tab/>
        <w:t xml:space="preserve">an order under section 75(10)(a), (b), (c) or (d); or </w:t>
      </w:r>
    </w:p>
    <w:p>
      <w:pPr>
        <w:pStyle w:val="Indenti"/>
      </w:pPr>
      <w:r>
        <w:tab/>
        <w:t>(ii)</w:t>
      </w:r>
      <w:r>
        <w:tab/>
        <w:t>a direction under section 76A(3)(a), (b), (c) or (d).</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lastRenderedPageBreak/>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 No. 28 of 2024 s. 73.]</w:t>
      </w:r>
    </w:p>
    <w:p>
      <w:pPr>
        <w:pStyle w:val="Heading5"/>
        <w:spacing w:before="180"/>
        <w:rPr>
          <w:snapToGrid w:val="0"/>
        </w:rPr>
      </w:pPr>
      <w:bookmarkStart w:id="354" w:name="_Toc200524948"/>
      <w:r>
        <w:rPr>
          <w:rStyle w:val="CharSectno"/>
        </w:rPr>
        <w:t>132</w:t>
      </w:r>
      <w:r>
        <w:rPr>
          <w:snapToGrid w:val="0"/>
        </w:rPr>
        <w:t>.</w:t>
      </w:r>
      <w:r>
        <w:rPr>
          <w:snapToGrid w:val="0"/>
        </w:rPr>
        <w:tab/>
        <w:t>Offence under s. 131, procedure and penalty for</w:t>
      </w:r>
      <w:bookmarkEnd w:id="354"/>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lastRenderedPageBreak/>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355" w:name="_Toc200524949"/>
      <w:r>
        <w:rPr>
          <w:rStyle w:val="CharSectno"/>
        </w:rPr>
        <w:t>133</w:t>
      </w:r>
      <w:r>
        <w:rPr>
          <w:snapToGrid w:val="0"/>
        </w:rPr>
        <w:t>.</w:t>
      </w:r>
      <w:r>
        <w:rPr>
          <w:snapToGrid w:val="0"/>
        </w:rPr>
        <w:tab/>
        <w:t>Additional powers to deal with s. 131 offender</w:t>
      </w:r>
      <w:bookmarkEnd w:id="355"/>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356" w:name="_Toc200459969"/>
      <w:bookmarkStart w:id="357" w:name="_Toc200460269"/>
      <w:bookmarkStart w:id="358" w:name="_Toc200524950"/>
      <w:r>
        <w:rPr>
          <w:rStyle w:val="CharDivNo"/>
        </w:rPr>
        <w:t>Division 5</w:t>
      </w:r>
      <w:r>
        <w:rPr>
          <w:snapToGrid w:val="0"/>
        </w:rPr>
        <w:t> — </w:t>
      </w:r>
      <w:r>
        <w:rPr>
          <w:rStyle w:val="CharDivText"/>
        </w:rPr>
        <w:t>Miscellaneous</w:t>
      </w:r>
      <w:bookmarkEnd w:id="356"/>
      <w:bookmarkEnd w:id="357"/>
      <w:bookmarkEnd w:id="358"/>
    </w:p>
    <w:p>
      <w:pPr>
        <w:pStyle w:val="Heading5"/>
        <w:rPr>
          <w:snapToGrid w:val="0"/>
        </w:rPr>
      </w:pPr>
      <w:bookmarkStart w:id="359" w:name="_Toc200524951"/>
      <w:r>
        <w:rPr>
          <w:rStyle w:val="CharSectno"/>
        </w:rPr>
        <w:t>134</w:t>
      </w:r>
      <w:r>
        <w:rPr>
          <w:snapToGrid w:val="0"/>
        </w:rPr>
        <w:t>.</w:t>
      </w:r>
      <w:r>
        <w:rPr>
          <w:snapToGrid w:val="0"/>
        </w:rPr>
        <w:tab/>
        <w:t>Facilitation of proof</w:t>
      </w:r>
      <w:bookmarkEnd w:id="359"/>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360" w:name="_Toc200524952"/>
      <w:r>
        <w:rPr>
          <w:rStyle w:val="CharSectno"/>
        </w:rPr>
        <w:lastRenderedPageBreak/>
        <w:t>135</w:t>
      </w:r>
      <w:r>
        <w:rPr>
          <w:snapToGrid w:val="0"/>
        </w:rPr>
        <w:t>.</w:t>
      </w:r>
      <w:r>
        <w:rPr>
          <w:snapToGrid w:val="0"/>
        </w:rPr>
        <w:tab/>
        <w:t>Compliance with CRO or community order to be taken into account</w:t>
      </w:r>
      <w:bookmarkEnd w:id="360"/>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61" w:name="_Toc200524953"/>
      <w:r>
        <w:rPr>
          <w:rStyle w:val="CharSectno"/>
        </w:rPr>
        <w:t>136</w:t>
      </w:r>
      <w:r>
        <w:rPr>
          <w:snapToGrid w:val="0"/>
        </w:rPr>
        <w:t>.</w:t>
      </w:r>
      <w:r>
        <w:rPr>
          <w:snapToGrid w:val="0"/>
        </w:rPr>
        <w:tab/>
        <w:t>Re</w:t>
      </w:r>
      <w:r>
        <w:rPr>
          <w:snapToGrid w:val="0"/>
        </w:rPr>
        <w:noBreakHyphen/>
        <w:t>sentencing, court’s powers for</w:t>
      </w:r>
      <w:bookmarkEnd w:id="361"/>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lastRenderedPageBreak/>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362" w:name="_Toc200459973"/>
      <w:bookmarkStart w:id="363" w:name="_Toc200460273"/>
      <w:bookmarkStart w:id="364" w:name="_Toc200524954"/>
      <w:r>
        <w:rPr>
          <w:rStyle w:val="CharDivNo"/>
        </w:rPr>
        <w:t>Division 6</w:t>
      </w:r>
      <w:r>
        <w:t> — </w:t>
      </w:r>
      <w:r>
        <w:rPr>
          <w:rStyle w:val="CharDivText"/>
        </w:rPr>
        <w:t>Functions of speciality courts</w:t>
      </w:r>
      <w:bookmarkEnd w:id="362"/>
      <w:bookmarkEnd w:id="363"/>
      <w:bookmarkEnd w:id="364"/>
    </w:p>
    <w:p>
      <w:pPr>
        <w:pStyle w:val="Footnoteheading"/>
        <w:keepNext/>
      </w:pPr>
      <w:r>
        <w:tab/>
        <w:t>[Heading inserted: No. 45 of 2016 s. 77.]</w:t>
      </w:r>
    </w:p>
    <w:p>
      <w:pPr>
        <w:pStyle w:val="Heading5"/>
      </w:pPr>
      <w:bookmarkStart w:id="365" w:name="_Toc200524955"/>
      <w:r>
        <w:rPr>
          <w:rStyle w:val="CharSectno"/>
        </w:rPr>
        <w:t>136A</w:t>
      </w:r>
      <w:r>
        <w:t>.</w:t>
      </w:r>
      <w:r>
        <w:tab/>
        <w:t>Application of Division</w:t>
      </w:r>
      <w:bookmarkEnd w:id="365"/>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366" w:name="_Toc200524956"/>
      <w:r>
        <w:rPr>
          <w:rStyle w:val="CharSectno"/>
        </w:rPr>
        <w:t>136B</w:t>
      </w:r>
      <w:r>
        <w:t>.</w:t>
      </w:r>
      <w:r>
        <w:tab/>
        <w:t>Term used: court</w:t>
      </w:r>
      <w:bookmarkEnd w:id="366"/>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367" w:name="_Toc200524957"/>
      <w:r>
        <w:rPr>
          <w:rStyle w:val="CharSectno"/>
        </w:rPr>
        <w:lastRenderedPageBreak/>
        <w:t>136C</w:t>
      </w:r>
      <w:r>
        <w:t>.</w:t>
      </w:r>
      <w:r>
        <w:tab/>
        <w:t>Court may direct offender on community order to appear</w:t>
      </w:r>
      <w:bookmarkEnd w:id="367"/>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368" w:name="_Toc200524958"/>
      <w:r>
        <w:rPr>
          <w:rStyle w:val="CharSectno"/>
        </w:rPr>
        <w:t>136D</w:t>
      </w:r>
      <w:r>
        <w:t>.</w:t>
      </w:r>
      <w:r>
        <w:tab/>
        <w:t>Court to deal with re</w:t>
      </w:r>
      <w:r>
        <w:noBreakHyphen/>
        <w:t>offender</w:t>
      </w:r>
      <w:bookmarkEnd w:id="368"/>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369" w:name="_Toc200524959"/>
      <w:r>
        <w:rPr>
          <w:rStyle w:val="CharSectno"/>
        </w:rPr>
        <w:lastRenderedPageBreak/>
        <w:t>136E</w:t>
      </w:r>
      <w:r>
        <w:t>.</w:t>
      </w:r>
      <w:r>
        <w:tab/>
        <w:t>Court to deal with application to amend or cancel community order</w:t>
      </w:r>
      <w:bookmarkEnd w:id="369"/>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370" w:name="_Toc200524960"/>
      <w:r>
        <w:rPr>
          <w:rStyle w:val="CharSectno"/>
        </w:rPr>
        <w:t>136F</w:t>
      </w:r>
      <w:r>
        <w:t>.</w:t>
      </w:r>
      <w:r>
        <w:tab/>
        <w:t>Court to deal with proceedings for breaches</w:t>
      </w:r>
      <w:bookmarkEnd w:id="370"/>
    </w:p>
    <w:p>
      <w:pPr>
        <w:pStyle w:val="Subsection"/>
        <w:keepNext/>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371" w:name="_Toc200459980"/>
      <w:bookmarkStart w:id="372" w:name="_Toc200460280"/>
      <w:bookmarkStart w:id="373" w:name="_Toc200524961"/>
      <w:r>
        <w:rPr>
          <w:rStyle w:val="CharPartNo"/>
        </w:rPr>
        <w:lastRenderedPageBreak/>
        <w:t>Part 18A</w:t>
      </w:r>
      <w:r>
        <w:rPr>
          <w:rStyle w:val="CharDivNo"/>
        </w:rPr>
        <w:t> </w:t>
      </w:r>
      <w:r>
        <w:t>—</w:t>
      </w:r>
      <w:r>
        <w:rPr>
          <w:rStyle w:val="CharDivText"/>
        </w:rPr>
        <w:t> </w:t>
      </w:r>
      <w:r>
        <w:rPr>
          <w:rStyle w:val="CharPartText"/>
        </w:rPr>
        <w:t>Review of conditional orders</w:t>
      </w:r>
      <w:bookmarkEnd w:id="371"/>
      <w:bookmarkEnd w:id="372"/>
      <w:bookmarkEnd w:id="373"/>
    </w:p>
    <w:p>
      <w:pPr>
        <w:pStyle w:val="Footnoteheading"/>
      </w:pPr>
      <w:r>
        <w:tab/>
        <w:t>[Heading inserted: No. 45 of 2016 s. 78.]</w:t>
      </w:r>
    </w:p>
    <w:p>
      <w:pPr>
        <w:pStyle w:val="Heading5"/>
      </w:pPr>
      <w:bookmarkStart w:id="374" w:name="_Toc200524962"/>
      <w:r>
        <w:rPr>
          <w:rStyle w:val="CharSectno"/>
        </w:rPr>
        <w:t>136G</w:t>
      </w:r>
      <w:r>
        <w:t>.</w:t>
      </w:r>
      <w:r>
        <w:tab/>
        <w:t>Terms used</w:t>
      </w:r>
      <w:bookmarkEnd w:id="374"/>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375" w:name="_Toc200524963"/>
      <w:r>
        <w:rPr>
          <w:rStyle w:val="CharSectno"/>
        </w:rPr>
        <w:t>136H</w:t>
      </w:r>
      <w:r>
        <w:t>.</w:t>
      </w:r>
      <w:r>
        <w:tab/>
        <w:t>Application to review</w:t>
      </w:r>
      <w:bookmarkEnd w:id="375"/>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376" w:name="_Toc200524964"/>
      <w:r>
        <w:rPr>
          <w:rStyle w:val="CharSectno"/>
        </w:rPr>
        <w:lastRenderedPageBreak/>
        <w:t>136I</w:t>
      </w:r>
      <w:r>
        <w:t>.</w:t>
      </w:r>
      <w:r>
        <w:tab/>
        <w:t>Court may confirm, amend or cancel</w:t>
      </w:r>
      <w:bookmarkEnd w:id="376"/>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377" w:name="_Toc200459984"/>
      <w:bookmarkStart w:id="378" w:name="_Toc200460284"/>
      <w:bookmarkStart w:id="379" w:name="_Toc200524965"/>
      <w:r>
        <w:rPr>
          <w:rStyle w:val="CharPartNo"/>
        </w:rPr>
        <w:lastRenderedPageBreak/>
        <w:t>Part 19</w:t>
      </w:r>
      <w:r>
        <w:rPr>
          <w:rStyle w:val="CharDivNo"/>
        </w:rPr>
        <w:t> </w:t>
      </w:r>
      <w:r>
        <w:t>—</w:t>
      </w:r>
      <w:r>
        <w:rPr>
          <w:rStyle w:val="CharDivText"/>
        </w:rPr>
        <w:t> </w:t>
      </w:r>
      <w:r>
        <w:rPr>
          <w:rStyle w:val="CharPartText"/>
        </w:rPr>
        <w:t>Royal Prerogative of Mercy</w:t>
      </w:r>
      <w:bookmarkEnd w:id="377"/>
      <w:bookmarkEnd w:id="378"/>
      <w:bookmarkEnd w:id="379"/>
    </w:p>
    <w:p>
      <w:pPr>
        <w:pStyle w:val="Heading5"/>
      </w:pPr>
      <w:bookmarkStart w:id="380" w:name="_Toc200524966"/>
      <w:r>
        <w:rPr>
          <w:rStyle w:val="CharSectno"/>
        </w:rPr>
        <w:t>137</w:t>
      </w:r>
      <w:r>
        <w:t>.</w:t>
      </w:r>
      <w:r>
        <w:tab/>
        <w:t>Royal Prerogative of Mercy not affected</w:t>
      </w:r>
      <w:bookmarkEnd w:id="38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381" w:name="_Toc200524967"/>
      <w:r>
        <w:rPr>
          <w:rStyle w:val="CharSectno"/>
        </w:rPr>
        <w:t>138</w:t>
      </w:r>
      <w:r>
        <w:rPr>
          <w:snapToGrid w:val="0"/>
        </w:rPr>
        <w:t>.</w:t>
      </w:r>
      <w:r>
        <w:rPr>
          <w:snapToGrid w:val="0"/>
        </w:rPr>
        <w:tab/>
        <w:t>Pardon, effect of</w:t>
      </w:r>
      <w:bookmarkEnd w:id="38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82" w:name="_Toc200524968"/>
      <w:r>
        <w:rPr>
          <w:rStyle w:val="CharSectno"/>
        </w:rPr>
        <w:t>139</w:t>
      </w:r>
      <w:r>
        <w:rPr>
          <w:snapToGrid w:val="0"/>
        </w:rPr>
        <w:t>.</w:t>
      </w:r>
      <w:r>
        <w:rPr>
          <w:snapToGrid w:val="0"/>
        </w:rPr>
        <w:tab/>
        <w:t>Order to pay money, Governor may remit</w:t>
      </w:r>
      <w:bookmarkEnd w:id="38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383" w:name="_Toc200524969"/>
      <w:r>
        <w:rPr>
          <w:rStyle w:val="CharSectno"/>
        </w:rPr>
        <w:t>140</w:t>
      </w:r>
      <w:r>
        <w:rPr>
          <w:snapToGrid w:val="0"/>
        </w:rPr>
        <w:t>.</w:t>
      </w:r>
      <w:r>
        <w:rPr>
          <w:snapToGrid w:val="0"/>
        </w:rPr>
        <w:tab/>
        <w:t>Petition for mercy may be referred to Court of Appeal</w:t>
      </w:r>
      <w:bookmarkEnd w:id="38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lastRenderedPageBreak/>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384" w:name="_Toc200524970"/>
      <w:r>
        <w:rPr>
          <w:rStyle w:val="CharSectno"/>
        </w:rPr>
        <w:t>141</w:t>
      </w:r>
      <w:r>
        <w:rPr>
          <w:snapToGrid w:val="0"/>
        </w:rPr>
        <w:t>.</w:t>
      </w:r>
      <w:r>
        <w:rPr>
          <w:snapToGrid w:val="0"/>
        </w:rPr>
        <w:tab/>
        <w:t>Offender may be paroled</w:t>
      </w:r>
      <w:bookmarkEnd w:id="38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385" w:name="_Toc200524971"/>
      <w:r>
        <w:rPr>
          <w:rStyle w:val="CharSectno"/>
        </w:rPr>
        <w:t>142</w:t>
      </w:r>
      <w:r>
        <w:rPr>
          <w:snapToGrid w:val="0"/>
        </w:rPr>
        <w:t>.</w:t>
      </w:r>
      <w:r>
        <w:rPr>
          <w:snapToGrid w:val="0"/>
        </w:rPr>
        <w:tab/>
        <w:t>Strict security life imprisonment, exercise of Prerogative in case of</w:t>
      </w:r>
      <w:bookmarkEnd w:id="385"/>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xml:space="preserve">, the Minister must cause a copy of the order and a written explanation of the circumstances giving rise to it </w:t>
      </w:r>
      <w:r>
        <w:rPr>
          <w:snapToGrid w:val="0"/>
        </w:rPr>
        <w:lastRenderedPageBreak/>
        <w:t>to be tabled in each House of Parliament within 15 sitting days of that House after it is made.</w:t>
      </w:r>
    </w:p>
    <w:p>
      <w:pPr>
        <w:pStyle w:val="Footnotesection"/>
      </w:pPr>
      <w:r>
        <w:tab/>
        <w:t>[Section 142 amended: No. 29 of 2008 s. 22(3).]</w:t>
      </w:r>
    </w:p>
    <w:p>
      <w:pPr>
        <w:pStyle w:val="Heading2"/>
      </w:pPr>
      <w:bookmarkStart w:id="386" w:name="_Toc200459991"/>
      <w:bookmarkStart w:id="387" w:name="_Toc200460291"/>
      <w:bookmarkStart w:id="388" w:name="_Toc200524972"/>
      <w:r>
        <w:rPr>
          <w:rStyle w:val="CharPartNo"/>
        </w:rPr>
        <w:lastRenderedPageBreak/>
        <w:t>Part 20</w:t>
      </w:r>
      <w:r>
        <w:rPr>
          <w:rStyle w:val="CharDivNo"/>
        </w:rPr>
        <w:t> </w:t>
      </w:r>
      <w:r>
        <w:t>—</w:t>
      </w:r>
      <w:r>
        <w:rPr>
          <w:rStyle w:val="CharDivText"/>
        </w:rPr>
        <w:t> </w:t>
      </w:r>
      <w:r>
        <w:rPr>
          <w:rStyle w:val="CharPartText"/>
        </w:rPr>
        <w:t>Miscellaneous</w:t>
      </w:r>
      <w:bookmarkEnd w:id="386"/>
      <w:bookmarkEnd w:id="387"/>
      <w:bookmarkEnd w:id="388"/>
    </w:p>
    <w:p>
      <w:pPr>
        <w:pStyle w:val="Heading5"/>
        <w:rPr>
          <w:snapToGrid w:val="0"/>
        </w:rPr>
      </w:pPr>
      <w:bookmarkStart w:id="389" w:name="_Toc200524973"/>
      <w:r>
        <w:rPr>
          <w:rStyle w:val="CharSectno"/>
        </w:rPr>
        <w:t>143</w:t>
      </w:r>
      <w:r>
        <w:rPr>
          <w:snapToGrid w:val="0"/>
        </w:rPr>
        <w:t>.</w:t>
      </w:r>
      <w:r>
        <w:rPr>
          <w:snapToGrid w:val="0"/>
        </w:rPr>
        <w:tab/>
        <w:t>Guideline judgments by Court of Appeal</w:t>
      </w:r>
      <w:bookmarkEnd w:id="389"/>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390" w:name="_Toc200524974"/>
      <w:r>
        <w:rPr>
          <w:rStyle w:val="CharSectno"/>
        </w:rPr>
        <w:t>143A</w:t>
      </w:r>
      <w:r>
        <w:t>.</w:t>
      </w:r>
      <w:r>
        <w:tab/>
        <w:t>Sentencing guidelines for courts of summary jurisdiction</w:t>
      </w:r>
      <w:bookmarkEnd w:id="390"/>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391" w:name="_Toc200524975"/>
      <w:r>
        <w:rPr>
          <w:rStyle w:val="CharSectno"/>
        </w:rPr>
        <w:lastRenderedPageBreak/>
        <w:t>144</w:t>
      </w:r>
      <w:r>
        <w:rPr>
          <w:snapToGrid w:val="0"/>
        </w:rPr>
        <w:t>.</w:t>
      </w:r>
      <w:r>
        <w:rPr>
          <w:snapToGrid w:val="0"/>
        </w:rPr>
        <w:tab/>
        <w:t>Chief Justice may report to Parliament</w:t>
      </w:r>
      <w:bookmarkEnd w:id="391"/>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92" w:name="_Toc200524976"/>
      <w:r>
        <w:rPr>
          <w:rStyle w:val="CharSectno"/>
        </w:rPr>
        <w:t>145</w:t>
      </w:r>
      <w:r>
        <w:rPr>
          <w:snapToGrid w:val="0"/>
        </w:rPr>
        <w:t>.</w:t>
      </w:r>
      <w:r>
        <w:rPr>
          <w:snapToGrid w:val="0"/>
        </w:rPr>
        <w:tab/>
        <w:t>Non-compliance with procedural requirements, effect of</w:t>
      </w:r>
      <w:bookmarkEnd w:id="39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393" w:name="_Toc200524977"/>
      <w:r>
        <w:rPr>
          <w:rStyle w:val="CharSectno"/>
        </w:rPr>
        <w:t>145A</w:t>
      </w:r>
      <w:r>
        <w:t>.</w:t>
      </w:r>
      <w:r>
        <w:tab/>
        <w:t>Existence of circumstances of aggravation is question for judge to determine</w:t>
      </w:r>
      <w:bookmarkEnd w:id="393"/>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394" w:name="_Toc200524978"/>
      <w:r>
        <w:rPr>
          <w:rStyle w:val="CharSectno"/>
        </w:rPr>
        <w:t>146</w:t>
      </w:r>
      <w:r>
        <w:rPr>
          <w:snapToGrid w:val="0"/>
        </w:rPr>
        <w:t>.</w:t>
      </w:r>
      <w:r>
        <w:rPr>
          <w:snapToGrid w:val="0"/>
        </w:rPr>
        <w:tab/>
        <w:t>Questions of fact in superior courts</w:t>
      </w:r>
      <w:bookmarkEnd w:id="39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95" w:name="_Toc200524979"/>
      <w:r>
        <w:rPr>
          <w:rStyle w:val="CharSectno"/>
        </w:rPr>
        <w:t>147</w:t>
      </w:r>
      <w:r>
        <w:rPr>
          <w:snapToGrid w:val="0"/>
        </w:rPr>
        <w:t>.</w:t>
      </w:r>
      <w:r>
        <w:rPr>
          <w:snapToGrid w:val="0"/>
        </w:rPr>
        <w:tab/>
        <w:t>Operation of other Acts not affected</w:t>
      </w:r>
      <w:bookmarkEnd w:id="39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396" w:name="_Toc200524980"/>
      <w:r>
        <w:rPr>
          <w:rStyle w:val="CharSectno"/>
        </w:rPr>
        <w:t>147A</w:t>
      </w:r>
      <w:r>
        <w:t>.</w:t>
      </w:r>
      <w:r>
        <w:tab/>
        <w:t>Monitoring requirements: additional provisions</w:t>
      </w:r>
      <w:bookmarkEnd w:id="396"/>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397" w:name="_Toc200524981"/>
      <w:r>
        <w:rPr>
          <w:rStyle w:val="CharSectno"/>
        </w:rPr>
        <w:lastRenderedPageBreak/>
        <w:t>148</w:t>
      </w:r>
      <w:r>
        <w:rPr>
          <w:snapToGrid w:val="0"/>
        </w:rPr>
        <w:t>.</w:t>
      </w:r>
      <w:r>
        <w:rPr>
          <w:snapToGrid w:val="0"/>
        </w:rPr>
        <w:tab/>
        <w:t>Regulations</w:t>
      </w:r>
      <w:bookmarkEnd w:id="39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398" w:name="_Toc200524982"/>
      <w:r>
        <w:rPr>
          <w:rStyle w:val="CharSectno"/>
        </w:rPr>
        <w:t>149</w:t>
      </w:r>
      <w:r>
        <w:rPr>
          <w:snapToGrid w:val="0"/>
        </w:rPr>
        <w:t>.</w:t>
      </w:r>
      <w:r>
        <w:rPr>
          <w:snapToGrid w:val="0"/>
        </w:rPr>
        <w:tab/>
        <w:t>Rules of court</w:t>
      </w:r>
      <w:bookmarkEnd w:id="39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399" w:name="_Toc200460002"/>
      <w:bookmarkStart w:id="400" w:name="_Toc200460302"/>
      <w:bookmarkStart w:id="401" w:name="_Toc200524983"/>
      <w:r>
        <w:rPr>
          <w:rStyle w:val="CharPartNo"/>
        </w:rPr>
        <w:lastRenderedPageBreak/>
        <w:t>Part 21</w:t>
      </w:r>
      <w:r>
        <w:rPr>
          <w:rStyle w:val="CharDivNo"/>
        </w:rPr>
        <w:t> </w:t>
      </w:r>
      <w:r>
        <w:t>—</w:t>
      </w:r>
      <w:r>
        <w:rPr>
          <w:rStyle w:val="CharDivText"/>
        </w:rPr>
        <w:t> </w:t>
      </w:r>
      <w:r>
        <w:rPr>
          <w:rStyle w:val="CharPartText"/>
        </w:rPr>
        <w:t>Transitional and review provisions</w:t>
      </w:r>
      <w:bookmarkEnd w:id="399"/>
      <w:bookmarkEnd w:id="400"/>
      <w:bookmarkEnd w:id="401"/>
    </w:p>
    <w:p>
      <w:pPr>
        <w:pStyle w:val="Footnoteheading"/>
      </w:pPr>
      <w:r>
        <w:tab/>
        <w:t>[Heading inserted: No. 42 of 2012 s. 5.]</w:t>
      </w:r>
    </w:p>
    <w:p>
      <w:pPr>
        <w:pStyle w:val="Heading5"/>
      </w:pPr>
      <w:bookmarkStart w:id="402" w:name="_Toc200524984"/>
      <w:r>
        <w:rPr>
          <w:rStyle w:val="CharSectno"/>
        </w:rPr>
        <w:t>150A</w:t>
      </w:r>
      <w:r>
        <w:t>.</w:t>
      </w:r>
      <w:r>
        <w:tab/>
      </w:r>
      <w:r>
        <w:rPr>
          <w:i/>
        </w:rPr>
        <w:t xml:space="preserve">Sentencing Amendment Act 2012 </w:t>
      </w:r>
      <w:r>
        <w:t>amendments, application of</w:t>
      </w:r>
      <w:bookmarkEnd w:id="402"/>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403" w:name="_Toc200524985"/>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03"/>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lastRenderedPageBreak/>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404" w:name="_Toc200524986"/>
      <w:r>
        <w:rPr>
          <w:rStyle w:val="CharSectno"/>
        </w:rPr>
        <w:t>150B</w:t>
      </w:r>
      <w:r>
        <w:t>.</w:t>
      </w:r>
      <w:r>
        <w:tab/>
        <w:t>Review of s. 9AA</w:t>
      </w:r>
      <w:bookmarkEnd w:id="404"/>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405" w:name="_Toc200524987"/>
      <w:r>
        <w:rPr>
          <w:rStyle w:val="CharSectno"/>
        </w:rPr>
        <w:t>150</w:t>
      </w:r>
      <w:r>
        <w:t>.</w:t>
      </w:r>
      <w:r>
        <w:tab/>
        <w:t>Review of Act</w:t>
      </w:r>
      <w:bookmarkEnd w:id="405"/>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406" w:name="_Toc200524988"/>
      <w:r>
        <w:rPr>
          <w:rStyle w:val="CharSectno"/>
        </w:rPr>
        <w:t>151</w:t>
      </w:r>
      <w:r>
        <w:t>.</w:t>
      </w:r>
      <w:r>
        <w:tab/>
        <w:t xml:space="preserve">Review of amendments made by </w:t>
      </w:r>
      <w:r>
        <w:rPr>
          <w:i/>
          <w:iCs/>
        </w:rPr>
        <w:t>Family Violence Legislation Reform Act 2020</w:t>
      </w:r>
      <w:bookmarkEnd w:id="406"/>
    </w:p>
    <w:p>
      <w:pPr>
        <w:pStyle w:val="Subsection"/>
      </w:pPr>
      <w:r>
        <w:tab/>
        <w:t>(1)</w:t>
      </w:r>
      <w:r>
        <w:tab/>
        <w:t xml:space="preserve">The Minister must review the operation and effectiveness of the amendments made to this Act by the </w:t>
      </w:r>
      <w:r>
        <w:rPr>
          <w:i/>
          <w:iCs/>
        </w:rPr>
        <w:t xml:space="preserve">Family Violence </w:t>
      </w:r>
      <w:r>
        <w:rPr>
          <w:i/>
          <w:iCs/>
        </w:rPr>
        <w:lastRenderedPageBreak/>
        <w:t>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407" w:name="_Toc200460008"/>
      <w:bookmarkStart w:id="408" w:name="_Toc200460308"/>
      <w:bookmarkStart w:id="409" w:name="_Toc200524989"/>
      <w:r>
        <w:rPr>
          <w:rStyle w:val="CharSchNo"/>
        </w:rPr>
        <w:lastRenderedPageBreak/>
        <w:t>Schedule 1A</w:t>
      </w:r>
      <w:r>
        <w:t> — </w:t>
      </w:r>
      <w:r>
        <w:rPr>
          <w:rStyle w:val="CharSchText"/>
        </w:rPr>
        <w:t>Relevant indictable and simple offences for purposes of Part 2 Division 2A</w:t>
      </w:r>
      <w:bookmarkEnd w:id="407"/>
      <w:bookmarkEnd w:id="408"/>
      <w:bookmarkEnd w:id="409"/>
    </w:p>
    <w:p>
      <w:pPr>
        <w:pStyle w:val="yShoulderClause"/>
      </w:pPr>
      <w:r>
        <w:t>[s. 9A(1)]</w:t>
      </w:r>
    </w:p>
    <w:p>
      <w:pPr>
        <w:pStyle w:val="yFootnoteheading"/>
      </w:pPr>
      <w:r>
        <w:tab/>
        <w:t>[Heading inserted: No. 49 of 2012 s. 181(4).]</w:t>
      </w:r>
    </w:p>
    <w:p>
      <w:pPr>
        <w:pStyle w:val="yHeading3"/>
      </w:pPr>
      <w:bookmarkStart w:id="410" w:name="_Toc200460009"/>
      <w:bookmarkStart w:id="411" w:name="_Toc200460309"/>
      <w:bookmarkStart w:id="412" w:name="_Toc200524990"/>
      <w:r>
        <w:rPr>
          <w:rStyle w:val="CharSDivNo"/>
        </w:rPr>
        <w:t>Part 1</w:t>
      </w:r>
      <w:r>
        <w:t> — </w:t>
      </w:r>
      <w:r>
        <w:rPr>
          <w:rStyle w:val="CharSDivText"/>
        </w:rPr>
        <w:t>Relevant indictable offences</w:t>
      </w:r>
      <w:bookmarkEnd w:id="410"/>
      <w:bookmarkEnd w:id="411"/>
      <w:bookmarkEnd w:id="412"/>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318B</w:t>
            </w:r>
          </w:p>
        </w:tc>
        <w:tc>
          <w:tcPr>
            <w:tcW w:w="3360" w:type="dxa"/>
          </w:tcPr>
          <w:p>
            <w:pPr>
              <w:pStyle w:val="yTableNAm"/>
            </w:pPr>
            <w:r>
              <w:t>Assault on retail workers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bCs/>
              </w:rPr>
              <w:lastRenderedPageBreak/>
              <w:t>5</w:t>
            </w:r>
            <w:r>
              <w:t>.</w:t>
            </w:r>
          </w:p>
        </w:tc>
        <w:tc>
          <w:tcPr>
            <w:tcW w:w="6360" w:type="dxa"/>
            <w:gridSpan w:val="2"/>
          </w:tcPr>
          <w:p>
            <w:pPr>
              <w:pStyle w:val="yTableNAm"/>
              <w:keepNext/>
              <w:rPr>
                <w:b/>
                <w:bCs/>
                <w:i/>
                <w:iCs/>
              </w:rPr>
            </w:pPr>
            <w:r>
              <w:rPr>
                <w:b/>
                <w:bCs/>
                <w:i/>
                <w:iCs/>
              </w:rPr>
              <w:t>Firearms Act 2024</w:t>
            </w:r>
          </w:p>
        </w:tc>
      </w:tr>
      <w:tr>
        <w:trPr>
          <w:cantSplit/>
        </w:trPr>
        <w:tc>
          <w:tcPr>
            <w:tcW w:w="720" w:type="dxa"/>
          </w:tcPr>
          <w:p>
            <w:pPr>
              <w:pStyle w:val="zyTableNAm"/>
              <w:keepNext/>
            </w:pPr>
          </w:p>
        </w:tc>
        <w:tc>
          <w:tcPr>
            <w:tcW w:w="3000" w:type="dxa"/>
          </w:tcPr>
          <w:p>
            <w:pPr>
              <w:pStyle w:val="yTableNAm"/>
              <w:keepNext/>
            </w:pPr>
            <w:r>
              <w:t>s. 213</w:t>
            </w:r>
          </w:p>
        </w:tc>
        <w:tc>
          <w:tcPr>
            <w:tcW w:w="3360" w:type="dxa"/>
          </w:tcPr>
          <w:p>
            <w:pPr>
              <w:pStyle w:val="yTableNAm"/>
              <w:keepNext/>
            </w:pPr>
            <w:r>
              <w:t>Offence of unlawful possession</w:t>
            </w:r>
          </w:p>
        </w:tc>
      </w:tr>
      <w:tr>
        <w:trPr>
          <w:cantSplit/>
        </w:trPr>
        <w:tc>
          <w:tcPr>
            <w:tcW w:w="720" w:type="dxa"/>
          </w:tcPr>
          <w:p>
            <w:pPr>
              <w:pStyle w:val="zyTableNAm"/>
            </w:pPr>
          </w:p>
        </w:tc>
        <w:tc>
          <w:tcPr>
            <w:tcW w:w="3000" w:type="dxa"/>
          </w:tcPr>
          <w:p>
            <w:pPr>
              <w:pStyle w:val="yTableNAm"/>
            </w:pPr>
            <w:r>
              <w:t>s. 214</w:t>
            </w:r>
          </w:p>
        </w:tc>
        <w:tc>
          <w:tcPr>
            <w:tcW w:w="3360" w:type="dxa"/>
          </w:tcPr>
          <w:p>
            <w:pPr>
              <w:pStyle w:val="yTableNAm"/>
            </w:pPr>
            <w:r>
              <w:t>Offence involving handgun or prohibited firearm</w:t>
            </w:r>
          </w:p>
        </w:tc>
      </w:tr>
      <w:tr>
        <w:trPr>
          <w:cantSplit/>
        </w:trPr>
        <w:tc>
          <w:tcPr>
            <w:tcW w:w="720" w:type="dxa"/>
          </w:tcPr>
          <w:p>
            <w:pPr>
              <w:pStyle w:val="zyTableNAm"/>
            </w:pPr>
          </w:p>
        </w:tc>
        <w:tc>
          <w:tcPr>
            <w:tcW w:w="3000" w:type="dxa"/>
          </w:tcPr>
          <w:p>
            <w:pPr>
              <w:pStyle w:val="yTableNAm"/>
            </w:pPr>
            <w:r>
              <w:t>s. 215</w:t>
            </w:r>
          </w:p>
        </w:tc>
        <w:tc>
          <w:tcPr>
            <w:tcW w:w="3360" w:type="dxa"/>
          </w:tcPr>
          <w:p>
            <w:pPr>
              <w:pStyle w:val="yTableNAm"/>
            </w:pPr>
            <w:r>
              <w:t>Offence involving 3 or more firearms or major firearm parts</w:t>
            </w:r>
          </w:p>
        </w:tc>
      </w:tr>
      <w:tr>
        <w:trPr>
          <w:cantSplit/>
        </w:trPr>
        <w:tc>
          <w:tcPr>
            <w:tcW w:w="720" w:type="dxa"/>
          </w:tcPr>
          <w:p>
            <w:pPr>
              <w:pStyle w:val="zyTableNAm"/>
            </w:pPr>
          </w:p>
        </w:tc>
        <w:tc>
          <w:tcPr>
            <w:tcW w:w="3000" w:type="dxa"/>
          </w:tcPr>
          <w:p>
            <w:pPr>
              <w:pStyle w:val="yTableNAm"/>
            </w:pPr>
            <w:r>
              <w:t>s. 216</w:t>
            </w:r>
          </w:p>
        </w:tc>
        <w:tc>
          <w:tcPr>
            <w:tcW w:w="3360" w:type="dxa"/>
          </w:tcPr>
          <w:p>
            <w:pPr>
              <w:pStyle w:val="yTableNAm"/>
            </w:pPr>
            <w:r>
              <w:t>Offence involving 3 or more firearms or major firearm parts: handgun or prohibited firearm</w:t>
            </w:r>
          </w:p>
        </w:tc>
      </w:tr>
      <w:tr>
        <w:trPr>
          <w:cantSplit/>
        </w:trPr>
        <w:tc>
          <w:tcPr>
            <w:tcW w:w="720" w:type="dxa"/>
          </w:tcPr>
          <w:p>
            <w:pPr>
              <w:pStyle w:val="zyTableNAm"/>
            </w:pPr>
          </w:p>
        </w:tc>
        <w:tc>
          <w:tcPr>
            <w:tcW w:w="3000" w:type="dxa"/>
          </w:tcPr>
          <w:p>
            <w:pPr>
              <w:pStyle w:val="yTableNAm"/>
            </w:pPr>
            <w:r>
              <w:t>s. 217</w:t>
            </w:r>
          </w:p>
        </w:tc>
        <w:tc>
          <w:tcPr>
            <w:tcW w:w="3360" w:type="dxa"/>
          </w:tcPr>
          <w:p>
            <w:pPr>
              <w:pStyle w:val="yTableNAm"/>
            </w:pPr>
            <w:r>
              <w:t>Offence while in immediate possession of prohibited drug or prohibited plant</w:t>
            </w:r>
          </w:p>
        </w:tc>
      </w:tr>
      <w:tr>
        <w:trPr>
          <w:cantSplit/>
        </w:trPr>
        <w:tc>
          <w:tcPr>
            <w:tcW w:w="720" w:type="dxa"/>
          </w:tcPr>
          <w:p>
            <w:pPr>
              <w:pStyle w:val="zyTableNAm"/>
            </w:pPr>
          </w:p>
        </w:tc>
        <w:tc>
          <w:tcPr>
            <w:tcW w:w="3000" w:type="dxa"/>
          </w:tcPr>
          <w:p>
            <w:pPr>
              <w:pStyle w:val="yTableNAm"/>
            </w:pPr>
            <w:r>
              <w:t>s. 218</w:t>
            </w:r>
          </w:p>
        </w:tc>
        <w:tc>
          <w:tcPr>
            <w:tcW w:w="3360" w:type="dxa"/>
          </w:tcPr>
          <w:p>
            <w:pPr>
              <w:pStyle w:val="yTableNAm"/>
            </w:pPr>
            <w:r>
              <w:t>Offence while in immediate possession of large sum of money</w:t>
            </w:r>
          </w:p>
        </w:tc>
      </w:tr>
      <w:tr>
        <w:trPr>
          <w:cantSplit/>
        </w:trPr>
        <w:tc>
          <w:tcPr>
            <w:tcW w:w="720" w:type="dxa"/>
          </w:tcPr>
          <w:p>
            <w:pPr>
              <w:pStyle w:val="zyTableNAm"/>
            </w:pPr>
          </w:p>
        </w:tc>
        <w:tc>
          <w:tcPr>
            <w:tcW w:w="3000" w:type="dxa"/>
          </w:tcPr>
          <w:p>
            <w:pPr>
              <w:pStyle w:val="yTableNAm"/>
            </w:pPr>
            <w:r>
              <w:t>s. 220</w:t>
            </w:r>
          </w:p>
        </w:tc>
        <w:tc>
          <w:tcPr>
            <w:tcW w:w="3360" w:type="dxa"/>
          </w:tcPr>
          <w:p>
            <w:pPr>
              <w:pStyle w:val="yTableNAm"/>
            </w:pPr>
            <w:r>
              <w:t>Offence of unlawful use</w:t>
            </w:r>
          </w:p>
        </w:tc>
      </w:tr>
      <w:tr>
        <w:trPr>
          <w:cantSplit/>
        </w:trPr>
        <w:tc>
          <w:tcPr>
            <w:tcW w:w="720" w:type="dxa"/>
          </w:tcPr>
          <w:p>
            <w:pPr>
              <w:pStyle w:val="zyTableNAm"/>
            </w:pPr>
          </w:p>
        </w:tc>
        <w:tc>
          <w:tcPr>
            <w:tcW w:w="3000" w:type="dxa"/>
          </w:tcPr>
          <w:p>
            <w:pPr>
              <w:pStyle w:val="yTableNAm"/>
            </w:pPr>
            <w:r>
              <w:t>s. 221</w:t>
            </w:r>
          </w:p>
        </w:tc>
        <w:tc>
          <w:tcPr>
            <w:tcW w:w="3360" w:type="dxa"/>
          </w:tcPr>
          <w:p>
            <w:pPr>
              <w:pStyle w:val="yTableNAm"/>
            </w:pPr>
            <w:r>
              <w:t>Offence of unlawful use: handgun or prohibited firearm</w:t>
            </w:r>
          </w:p>
        </w:tc>
      </w:tr>
      <w:tr>
        <w:trPr>
          <w:cantSplit/>
        </w:trPr>
        <w:tc>
          <w:tcPr>
            <w:tcW w:w="720" w:type="dxa"/>
          </w:tcPr>
          <w:p>
            <w:pPr>
              <w:pStyle w:val="zyTableNAm"/>
            </w:pPr>
          </w:p>
        </w:tc>
        <w:tc>
          <w:tcPr>
            <w:tcW w:w="3000" w:type="dxa"/>
          </w:tcPr>
          <w:p>
            <w:pPr>
              <w:pStyle w:val="yTableNAm"/>
            </w:pPr>
            <w:r>
              <w:t>s. 223</w:t>
            </w:r>
          </w:p>
        </w:tc>
        <w:tc>
          <w:tcPr>
            <w:tcW w:w="3360" w:type="dxa"/>
          </w:tcPr>
          <w:p>
            <w:pPr>
              <w:pStyle w:val="yTableNAm"/>
            </w:pPr>
            <w:r>
              <w:t>Offence of unauthorised supply</w:t>
            </w:r>
          </w:p>
        </w:tc>
      </w:tr>
      <w:tr>
        <w:trPr>
          <w:cantSplit/>
        </w:trPr>
        <w:tc>
          <w:tcPr>
            <w:tcW w:w="720" w:type="dxa"/>
          </w:tcPr>
          <w:p>
            <w:pPr>
              <w:pStyle w:val="zyTableNAm"/>
            </w:pPr>
          </w:p>
        </w:tc>
        <w:tc>
          <w:tcPr>
            <w:tcW w:w="3000" w:type="dxa"/>
          </w:tcPr>
          <w:p>
            <w:pPr>
              <w:pStyle w:val="yTableNAm"/>
            </w:pPr>
            <w:r>
              <w:t>s. 224</w:t>
            </w:r>
          </w:p>
        </w:tc>
        <w:tc>
          <w:tcPr>
            <w:tcW w:w="3360" w:type="dxa"/>
          </w:tcPr>
          <w:p>
            <w:pPr>
              <w:pStyle w:val="yTableNAm"/>
            </w:pPr>
            <w:r>
              <w:t>Offence of unauthorised supply involving 3 or more firearms or major firearm parts</w:t>
            </w:r>
          </w:p>
        </w:tc>
      </w:tr>
      <w:tr>
        <w:trPr>
          <w:cantSplit/>
        </w:trPr>
        <w:tc>
          <w:tcPr>
            <w:tcW w:w="720" w:type="dxa"/>
          </w:tcPr>
          <w:p>
            <w:pPr>
              <w:pStyle w:val="zyTableNAm"/>
            </w:pPr>
          </w:p>
        </w:tc>
        <w:tc>
          <w:tcPr>
            <w:tcW w:w="3000" w:type="dxa"/>
          </w:tcPr>
          <w:p>
            <w:pPr>
              <w:pStyle w:val="yTableNAm"/>
            </w:pPr>
            <w:r>
              <w:t>s. 225</w:t>
            </w:r>
          </w:p>
        </w:tc>
        <w:tc>
          <w:tcPr>
            <w:tcW w:w="3360" w:type="dxa"/>
          </w:tcPr>
          <w:p>
            <w:pPr>
              <w:pStyle w:val="yTableNAm"/>
            </w:pPr>
            <w:r>
              <w:t>Offence of unauthorised supply involving handgun or prohibited firearm</w:t>
            </w:r>
          </w:p>
        </w:tc>
      </w:tr>
      <w:tr>
        <w:trPr>
          <w:cantSplit/>
        </w:trPr>
        <w:tc>
          <w:tcPr>
            <w:tcW w:w="720" w:type="dxa"/>
          </w:tcPr>
          <w:p>
            <w:pPr>
              <w:pStyle w:val="zyTableNAm"/>
            </w:pPr>
          </w:p>
        </w:tc>
        <w:tc>
          <w:tcPr>
            <w:tcW w:w="3000" w:type="dxa"/>
          </w:tcPr>
          <w:p>
            <w:pPr>
              <w:pStyle w:val="yTableNAm"/>
            </w:pPr>
            <w:r>
              <w:t>s. 227</w:t>
            </w:r>
          </w:p>
        </w:tc>
        <w:tc>
          <w:tcPr>
            <w:tcW w:w="3360" w:type="dxa"/>
          </w:tcPr>
          <w:p>
            <w:pPr>
              <w:pStyle w:val="yTableNAm"/>
            </w:pPr>
            <w:r>
              <w:t>Offence of supplying to unauthorised person</w:t>
            </w:r>
          </w:p>
        </w:tc>
      </w:tr>
      <w:tr>
        <w:trPr>
          <w:cantSplit/>
        </w:trPr>
        <w:tc>
          <w:tcPr>
            <w:tcW w:w="720" w:type="dxa"/>
          </w:tcPr>
          <w:p>
            <w:pPr>
              <w:pStyle w:val="zyTableNAm"/>
            </w:pPr>
          </w:p>
        </w:tc>
        <w:tc>
          <w:tcPr>
            <w:tcW w:w="3000" w:type="dxa"/>
          </w:tcPr>
          <w:p>
            <w:pPr>
              <w:pStyle w:val="yTableNAm"/>
            </w:pPr>
            <w:r>
              <w:t>s. 228</w:t>
            </w:r>
          </w:p>
        </w:tc>
        <w:tc>
          <w:tcPr>
            <w:tcW w:w="3360" w:type="dxa"/>
          </w:tcPr>
          <w:p>
            <w:pPr>
              <w:pStyle w:val="yTableNAm"/>
            </w:pPr>
            <w:r>
              <w:t>Offence involving supply of handgun or prohibited firearm</w:t>
            </w:r>
          </w:p>
        </w:tc>
      </w:tr>
      <w:tr>
        <w:trPr>
          <w:cantSplit/>
        </w:trPr>
        <w:tc>
          <w:tcPr>
            <w:tcW w:w="720" w:type="dxa"/>
          </w:tcPr>
          <w:p>
            <w:pPr>
              <w:pStyle w:val="zyTableNAm"/>
            </w:pPr>
          </w:p>
        </w:tc>
        <w:tc>
          <w:tcPr>
            <w:tcW w:w="3000" w:type="dxa"/>
          </w:tcPr>
          <w:p>
            <w:pPr>
              <w:pStyle w:val="yTableNAm"/>
            </w:pPr>
            <w:r>
              <w:t>s. 230</w:t>
            </w:r>
          </w:p>
        </w:tc>
        <w:tc>
          <w:tcPr>
            <w:tcW w:w="3360" w:type="dxa"/>
          </w:tcPr>
          <w:p>
            <w:pPr>
              <w:pStyle w:val="yTableNAm"/>
            </w:pPr>
            <w:r>
              <w:t>Offence of giving possession to unauthorised person</w:t>
            </w:r>
          </w:p>
        </w:tc>
      </w:tr>
      <w:tr>
        <w:trPr>
          <w:cantSplit/>
        </w:trPr>
        <w:tc>
          <w:tcPr>
            <w:tcW w:w="720" w:type="dxa"/>
          </w:tcPr>
          <w:p>
            <w:pPr>
              <w:pStyle w:val="zyTableNAm"/>
            </w:pPr>
          </w:p>
        </w:tc>
        <w:tc>
          <w:tcPr>
            <w:tcW w:w="3000" w:type="dxa"/>
          </w:tcPr>
          <w:p>
            <w:pPr>
              <w:pStyle w:val="yTableNAm"/>
            </w:pPr>
            <w:r>
              <w:t>s. 231</w:t>
            </w:r>
          </w:p>
        </w:tc>
        <w:tc>
          <w:tcPr>
            <w:tcW w:w="3360" w:type="dxa"/>
          </w:tcPr>
          <w:p>
            <w:pPr>
              <w:pStyle w:val="yTableNAm"/>
            </w:pPr>
            <w:r>
              <w:t>Offence involving giving possession of handgun or prohibited firearm</w:t>
            </w:r>
          </w:p>
        </w:tc>
      </w:tr>
      <w:tr>
        <w:trPr>
          <w:cantSplit/>
        </w:trPr>
        <w:tc>
          <w:tcPr>
            <w:tcW w:w="720" w:type="dxa"/>
          </w:tcPr>
          <w:p>
            <w:pPr>
              <w:pStyle w:val="zyTableNAm"/>
            </w:pPr>
          </w:p>
        </w:tc>
        <w:tc>
          <w:tcPr>
            <w:tcW w:w="3000" w:type="dxa"/>
          </w:tcPr>
          <w:p>
            <w:pPr>
              <w:pStyle w:val="yTableNAm"/>
            </w:pPr>
            <w:r>
              <w:t>s. 233</w:t>
            </w:r>
          </w:p>
        </w:tc>
        <w:tc>
          <w:tcPr>
            <w:tcW w:w="3360" w:type="dxa"/>
          </w:tcPr>
          <w:p>
            <w:pPr>
              <w:pStyle w:val="yTableNAm"/>
            </w:pPr>
            <w:r>
              <w:t>Offence of acquiring as unauthorised person</w:t>
            </w:r>
          </w:p>
        </w:tc>
      </w:tr>
      <w:tr>
        <w:trPr>
          <w:cantSplit/>
        </w:trPr>
        <w:tc>
          <w:tcPr>
            <w:tcW w:w="720" w:type="dxa"/>
          </w:tcPr>
          <w:p>
            <w:pPr>
              <w:pStyle w:val="zyTableNAm"/>
            </w:pPr>
          </w:p>
        </w:tc>
        <w:tc>
          <w:tcPr>
            <w:tcW w:w="3000" w:type="dxa"/>
          </w:tcPr>
          <w:p>
            <w:pPr>
              <w:pStyle w:val="yTableNAm"/>
            </w:pPr>
            <w:r>
              <w:t>s. 234</w:t>
            </w:r>
          </w:p>
        </w:tc>
        <w:tc>
          <w:tcPr>
            <w:tcW w:w="3360" w:type="dxa"/>
          </w:tcPr>
          <w:p>
            <w:pPr>
              <w:pStyle w:val="yTableNAm"/>
            </w:pPr>
            <w:r>
              <w:t>Offence involving acquiring handgun or prohibited firearm</w:t>
            </w:r>
          </w:p>
        </w:tc>
      </w:tr>
      <w:tr>
        <w:trPr>
          <w:cantSplit/>
        </w:trPr>
        <w:tc>
          <w:tcPr>
            <w:tcW w:w="720" w:type="dxa"/>
          </w:tcPr>
          <w:p>
            <w:pPr>
              <w:pStyle w:val="zyTableNAm"/>
            </w:pPr>
          </w:p>
        </w:tc>
        <w:tc>
          <w:tcPr>
            <w:tcW w:w="3000" w:type="dxa"/>
          </w:tcPr>
          <w:p>
            <w:pPr>
              <w:pStyle w:val="yTableNAm"/>
            </w:pPr>
            <w:r>
              <w:t>s. 237</w:t>
            </w:r>
          </w:p>
        </w:tc>
        <w:tc>
          <w:tcPr>
            <w:tcW w:w="3360" w:type="dxa"/>
          </w:tcPr>
          <w:p>
            <w:pPr>
              <w:pStyle w:val="yTableNAm"/>
            </w:pPr>
            <w:r>
              <w:t>Offence involving handgun or prohibited firearm</w:t>
            </w:r>
          </w:p>
        </w:tc>
      </w:tr>
      <w:tr>
        <w:trPr>
          <w:cantSplit/>
        </w:trPr>
        <w:tc>
          <w:tcPr>
            <w:tcW w:w="720" w:type="dxa"/>
          </w:tcPr>
          <w:p>
            <w:pPr>
              <w:pStyle w:val="zyTableNAm"/>
            </w:pPr>
          </w:p>
        </w:tc>
        <w:tc>
          <w:tcPr>
            <w:tcW w:w="3000" w:type="dxa"/>
          </w:tcPr>
          <w:p>
            <w:pPr>
              <w:pStyle w:val="yTableNAm"/>
            </w:pPr>
            <w:r>
              <w:t>s. 240</w:t>
            </w:r>
          </w:p>
        </w:tc>
        <w:tc>
          <w:tcPr>
            <w:tcW w:w="3360" w:type="dxa"/>
          </w:tcPr>
          <w:p>
            <w:pPr>
              <w:pStyle w:val="yTableNAm"/>
            </w:pPr>
            <w:r>
              <w:t>Offence involving handgun or prohibited firearm</w:t>
            </w:r>
          </w:p>
        </w:tc>
      </w:tr>
      <w:tr>
        <w:trPr>
          <w:cantSplit/>
        </w:trPr>
        <w:tc>
          <w:tcPr>
            <w:tcW w:w="720" w:type="dxa"/>
          </w:tcPr>
          <w:p>
            <w:pPr>
              <w:pStyle w:val="zyTableNAm"/>
            </w:pPr>
          </w:p>
        </w:tc>
        <w:tc>
          <w:tcPr>
            <w:tcW w:w="3000" w:type="dxa"/>
          </w:tcPr>
          <w:p>
            <w:pPr>
              <w:pStyle w:val="yTableNAm"/>
            </w:pPr>
            <w:r>
              <w:t>s. 242</w:t>
            </w:r>
          </w:p>
        </w:tc>
        <w:tc>
          <w:tcPr>
            <w:tcW w:w="3360" w:type="dxa"/>
          </w:tcPr>
          <w:p>
            <w:pPr>
              <w:pStyle w:val="yTableNAm"/>
            </w:pPr>
            <w:r>
              <w:t>Unauthorised possession or acquisition of prohibited ammunition</w:t>
            </w:r>
          </w:p>
        </w:tc>
      </w:tr>
      <w:tr>
        <w:trPr>
          <w:cantSplit/>
        </w:trPr>
        <w:tc>
          <w:tcPr>
            <w:tcW w:w="720" w:type="dxa"/>
          </w:tcPr>
          <w:p>
            <w:pPr>
              <w:pStyle w:val="zyTableNAm"/>
            </w:pPr>
          </w:p>
        </w:tc>
        <w:tc>
          <w:tcPr>
            <w:tcW w:w="3000" w:type="dxa"/>
          </w:tcPr>
          <w:p>
            <w:pPr>
              <w:pStyle w:val="yTableNAm"/>
            </w:pPr>
            <w:r>
              <w:t>s. 244</w:t>
            </w:r>
          </w:p>
        </w:tc>
        <w:tc>
          <w:tcPr>
            <w:tcW w:w="3360" w:type="dxa"/>
          </w:tcPr>
          <w:p>
            <w:pPr>
              <w:pStyle w:val="yTableNAm"/>
            </w:pPr>
            <w:r>
              <w:t>Supplying or giving possession of prohibited ammunition without authority</w:t>
            </w:r>
          </w:p>
        </w:tc>
      </w:tr>
      <w:tr>
        <w:trPr>
          <w:cantSplit/>
        </w:trPr>
        <w:tc>
          <w:tcPr>
            <w:tcW w:w="720" w:type="dxa"/>
          </w:tcPr>
          <w:p>
            <w:pPr>
              <w:pStyle w:val="zyTableNAm"/>
            </w:pPr>
          </w:p>
        </w:tc>
        <w:tc>
          <w:tcPr>
            <w:tcW w:w="3000" w:type="dxa"/>
          </w:tcPr>
          <w:p>
            <w:pPr>
              <w:pStyle w:val="yTableNAm"/>
            </w:pPr>
            <w:r>
              <w:t xml:space="preserve">s. 246 </w:t>
            </w:r>
          </w:p>
        </w:tc>
        <w:tc>
          <w:tcPr>
            <w:tcW w:w="3360" w:type="dxa"/>
          </w:tcPr>
          <w:p>
            <w:pPr>
              <w:pStyle w:val="yTableNAm"/>
            </w:pPr>
            <w:r>
              <w:t>Supplying or giving possession of prohibited ammunition to unauthorised person</w:t>
            </w:r>
          </w:p>
        </w:tc>
      </w:tr>
      <w:tr>
        <w:trPr>
          <w:cantSplit/>
        </w:trPr>
        <w:tc>
          <w:tcPr>
            <w:tcW w:w="720" w:type="dxa"/>
          </w:tcPr>
          <w:p>
            <w:pPr>
              <w:pStyle w:val="zyTableNAm"/>
            </w:pPr>
          </w:p>
        </w:tc>
        <w:tc>
          <w:tcPr>
            <w:tcW w:w="3000" w:type="dxa"/>
          </w:tcPr>
          <w:p>
            <w:pPr>
              <w:pStyle w:val="yTableNAm"/>
            </w:pPr>
            <w:r>
              <w:t xml:space="preserve">s. 248 </w:t>
            </w:r>
          </w:p>
        </w:tc>
        <w:tc>
          <w:tcPr>
            <w:tcW w:w="3360" w:type="dxa"/>
          </w:tcPr>
          <w:p>
            <w:pPr>
              <w:pStyle w:val="yTableNAm"/>
            </w:pPr>
            <w:r>
              <w:t>Acquiring or taking possession of prohibited ammunition from unauthorised person</w:t>
            </w:r>
          </w:p>
        </w:tc>
      </w:tr>
      <w:tr>
        <w:trPr>
          <w:cantSplit/>
        </w:trPr>
        <w:tc>
          <w:tcPr>
            <w:tcW w:w="720" w:type="dxa"/>
          </w:tcPr>
          <w:p>
            <w:pPr>
              <w:pStyle w:val="zyTableNAm"/>
            </w:pPr>
          </w:p>
        </w:tc>
        <w:tc>
          <w:tcPr>
            <w:tcW w:w="3000" w:type="dxa"/>
          </w:tcPr>
          <w:p>
            <w:pPr>
              <w:pStyle w:val="yTableNAm"/>
            </w:pPr>
            <w:r>
              <w:t>s. 251</w:t>
            </w:r>
          </w:p>
        </w:tc>
        <w:tc>
          <w:tcPr>
            <w:tcW w:w="3360" w:type="dxa"/>
          </w:tcPr>
          <w:p>
            <w:pPr>
              <w:pStyle w:val="yTableNAm"/>
            </w:pPr>
            <w:r>
              <w:t>Unauthorised possession of ammunition component for purpose of manufacturing prohibited ammunition</w:t>
            </w:r>
          </w:p>
        </w:tc>
      </w:tr>
      <w:tr>
        <w:trPr>
          <w:cantSplit/>
        </w:trPr>
        <w:tc>
          <w:tcPr>
            <w:tcW w:w="720" w:type="dxa"/>
          </w:tcPr>
          <w:p>
            <w:pPr>
              <w:pStyle w:val="zyTableNAm"/>
            </w:pPr>
          </w:p>
        </w:tc>
        <w:tc>
          <w:tcPr>
            <w:tcW w:w="3000" w:type="dxa"/>
          </w:tcPr>
          <w:p>
            <w:pPr>
              <w:pStyle w:val="yTableNAm"/>
            </w:pPr>
            <w:r>
              <w:t>s. 253</w:t>
            </w:r>
          </w:p>
        </w:tc>
        <w:tc>
          <w:tcPr>
            <w:tcW w:w="3360" w:type="dxa"/>
          </w:tcPr>
          <w:p>
            <w:pPr>
              <w:pStyle w:val="yTableNAm"/>
            </w:pPr>
            <w:r>
              <w:t>Unauthorised supply of unassembled components of prohibited ammunition</w:t>
            </w:r>
          </w:p>
        </w:tc>
      </w:tr>
      <w:tr>
        <w:trPr>
          <w:cantSplit/>
        </w:trPr>
        <w:tc>
          <w:tcPr>
            <w:tcW w:w="720" w:type="dxa"/>
          </w:tcPr>
          <w:p>
            <w:pPr>
              <w:pStyle w:val="yTableNAm"/>
            </w:pPr>
          </w:p>
        </w:tc>
        <w:tc>
          <w:tcPr>
            <w:tcW w:w="3000" w:type="dxa"/>
          </w:tcPr>
          <w:p>
            <w:pPr>
              <w:pStyle w:val="yTableNAm"/>
            </w:pPr>
            <w:r>
              <w:t>s. 255</w:t>
            </w:r>
          </w:p>
        </w:tc>
        <w:tc>
          <w:tcPr>
            <w:tcW w:w="3360" w:type="dxa"/>
          </w:tcPr>
          <w:p>
            <w:pPr>
              <w:pStyle w:val="yTableNAm"/>
            </w:pPr>
            <w:r>
              <w:t>Supplying or giving possession of unassembled components of prohibited ammunition to unauthorised person</w:t>
            </w:r>
          </w:p>
        </w:tc>
      </w:tr>
      <w:tr>
        <w:trPr>
          <w:cantSplit/>
        </w:trPr>
        <w:tc>
          <w:tcPr>
            <w:tcW w:w="720" w:type="dxa"/>
          </w:tcPr>
          <w:p>
            <w:pPr>
              <w:pStyle w:val="yTableNAm"/>
            </w:pPr>
          </w:p>
        </w:tc>
        <w:tc>
          <w:tcPr>
            <w:tcW w:w="3000" w:type="dxa"/>
          </w:tcPr>
          <w:p>
            <w:pPr>
              <w:pStyle w:val="yTableNAm"/>
            </w:pPr>
            <w:r>
              <w:t>s. 257</w:t>
            </w:r>
          </w:p>
        </w:tc>
        <w:tc>
          <w:tcPr>
            <w:tcW w:w="3360" w:type="dxa"/>
          </w:tcPr>
          <w:p>
            <w:pPr>
              <w:pStyle w:val="yTableNAm"/>
            </w:pPr>
            <w:r>
              <w:t>Unauthorised possession of unassembled components of prohibited ammunition</w:t>
            </w:r>
          </w:p>
        </w:tc>
      </w:tr>
      <w:tr>
        <w:trPr>
          <w:cantSplit/>
        </w:trPr>
        <w:tc>
          <w:tcPr>
            <w:tcW w:w="720" w:type="dxa"/>
          </w:tcPr>
          <w:p>
            <w:pPr>
              <w:pStyle w:val="yTableNAm"/>
            </w:pPr>
          </w:p>
        </w:tc>
        <w:tc>
          <w:tcPr>
            <w:tcW w:w="3000" w:type="dxa"/>
          </w:tcPr>
          <w:p>
            <w:pPr>
              <w:pStyle w:val="yTableNAm"/>
            </w:pPr>
            <w:r>
              <w:t>s. 258</w:t>
            </w:r>
          </w:p>
        </w:tc>
        <w:tc>
          <w:tcPr>
            <w:tcW w:w="3360" w:type="dxa"/>
          </w:tcPr>
          <w:p>
            <w:pPr>
              <w:pStyle w:val="yTableNAm"/>
            </w:pPr>
            <w:r>
              <w:t>Unauthorised possession, acquisition or supply of prohibited accessory</w:t>
            </w:r>
          </w:p>
        </w:tc>
      </w:tr>
      <w:tr>
        <w:trPr>
          <w:cantSplit/>
        </w:trPr>
        <w:tc>
          <w:tcPr>
            <w:tcW w:w="720" w:type="dxa"/>
          </w:tcPr>
          <w:p>
            <w:pPr>
              <w:pStyle w:val="yTableNAm"/>
            </w:pPr>
          </w:p>
        </w:tc>
        <w:tc>
          <w:tcPr>
            <w:tcW w:w="3000" w:type="dxa"/>
          </w:tcPr>
          <w:p>
            <w:pPr>
              <w:pStyle w:val="yTableNAm"/>
            </w:pPr>
            <w:r>
              <w:t>s. 259</w:t>
            </w:r>
          </w:p>
        </w:tc>
        <w:tc>
          <w:tcPr>
            <w:tcW w:w="3360" w:type="dxa"/>
          </w:tcPr>
          <w:p>
            <w:pPr>
              <w:pStyle w:val="yTableNAm"/>
            </w:pPr>
            <w:r>
              <w:t>Unauthorised use of firearm fitted with prohibited accessory</w:t>
            </w:r>
          </w:p>
        </w:tc>
      </w:tr>
      <w:tr>
        <w:trPr>
          <w:cantSplit/>
        </w:trPr>
        <w:tc>
          <w:tcPr>
            <w:tcW w:w="720" w:type="dxa"/>
          </w:tcPr>
          <w:p>
            <w:pPr>
              <w:pStyle w:val="yTableNAm"/>
            </w:pPr>
          </w:p>
        </w:tc>
        <w:tc>
          <w:tcPr>
            <w:tcW w:w="3000" w:type="dxa"/>
          </w:tcPr>
          <w:p>
            <w:pPr>
              <w:pStyle w:val="yTableNAm"/>
            </w:pPr>
            <w:r>
              <w:t>s. 260</w:t>
            </w:r>
          </w:p>
        </w:tc>
        <w:tc>
          <w:tcPr>
            <w:tcW w:w="3360" w:type="dxa"/>
          </w:tcPr>
          <w:p>
            <w:pPr>
              <w:pStyle w:val="yTableNAm"/>
            </w:pPr>
            <w:r>
              <w:t>Acquiring or taking possession of prohibited accessory from unauthorised person</w:t>
            </w:r>
          </w:p>
        </w:tc>
      </w:tr>
      <w:tr>
        <w:trPr>
          <w:cantSplit/>
        </w:trPr>
        <w:tc>
          <w:tcPr>
            <w:tcW w:w="720" w:type="dxa"/>
          </w:tcPr>
          <w:p>
            <w:pPr>
              <w:pStyle w:val="yTableNAm"/>
            </w:pPr>
          </w:p>
        </w:tc>
        <w:tc>
          <w:tcPr>
            <w:tcW w:w="3000" w:type="dxa"/>
          </w:tcPr>
          <w:p>
            <w:pPr>
              <w:pStyle w:val="yTableNAm"/>
            </w:pPr>
            <w:r>
              <w:t xml:space="preserve">s. 261 </w:t>
            </w:r>
          </w:p>
        </w:tc>
        <w:tc>
          <w:tcPr>
            <w:tcW w:w="3360" w:type="dxa"/>
          </w:tcPr>
          <w:p>
            <w:pPr>
              <w:pStyle w:val="yTableNAm"/>
            </w:pPr>
            <w:r>
              <w:t>Supplying or giving possession of prohibited accessory to unauthorised person</w:t>
            </w:r>
          </w:p>
        </w:tc>
      </w:tr>
      <w:tr>
        <w:trPr>
          <w:cantSplit/>
        </w:trPr>
        <w:tc>
          <w:tcPr>
            <w:tcW w:w="720" w:type="dxa"/>
          </w:tcPr>
          <w:p>
            <w:pPr>
              <w:pStyle w:val="yTableNAm"/>
            </w:pPr>
          </w:p>
        </w:tc>
        <w:tc>
          <w:tcPr>
            <w:tcW w:w="3000" w:type="dxa"/>
          </w:tcPr>
          <w:p>
            <w:pPr>
              <w:pStyle w:val="yTableNAm"/>
            </w:pPr>
            <w:r>
              <w:t>s. 263</w:t>
            </w:r>
          </w:p>
        </w:tc>
        <w:tc>
          <w:tcPr>
            <w:tcW w:w="3360" w:type="dxa"/>
          </w:tcPr>
          <w:p>
            <w:pPr>
              <w:pStyle w:val="yTableNAm"/>
            </w:pPr>
            <w:r>
              <w:t>Offence of unlawful interference with serial number</w:t>
            </w:r>
          </w:p>
        </w:tc>
      </w:tr>
      <w:tr>
        <w:trPr>
          <w:cantSplit/>
        </w:trPr>
        <w:tc>
          <w:tcPr>
            <w:tcW w:w="720" w:type="dxa"/>
          </w:tcPr>
          <w:p>
            <w:pPr>
              <w:pStyle w:val="yTableNAm"/>
            </w:pPr>
          </w:p>
        </w:tc>
        <w:tc>
          <w:tcPr>
            <w:tcW w:w="3000" w:type="dxa"/>
          </w:tcPr>
          <w:p>
            <w:pPr>
              <w:pStyle w:val="yTableNAm"/>
            </w:pPr>
            <w:r>
              <w:t>s. 264</w:t>
            </w:r>
          </w:p>
        </w:tc>
        <w:tc>
          <w:tcPr>
            <w:tcW w:w="3360" w:type="dxa"/>
          </w:tcPr>
          <w:p>
            <w:pPr>
              <w:pStyle w:val="yTableNAm"/>
            </w:pPr>
            <w:r>
              <w:t>Offence of unlawful interference with serial number: handgun or prohibited firearm</w:t>
            </w:r>
          </w:p>
        </w:tc>
      </w:tr>
      <w:tr>
        <w:trPr>
          <w:cantSplit/>
        </w:trPr>
        <w:tc>
          <w:tcPr>
            <w:tcW w:w="720" w:type="dxa"/>
          </w:tcPr>
          <w:p>
            <w:pPr>
              <w:pStyle w:val="yTableNAm"/>
            </w:pPr>
          </w:p>
        </w:tc>
        <w:tc>
          <w:tcPr>
            <w:tcW w:w="3000" w:type="dxa"/>
          </w:tcPr>
          <w:p>
            <w:pPr>
              <w:pStyle w:val="yTableNAm"/>
            </w:pPr>
            <w:r>
              <w:t>s. 265</w:t>
            </w:r>
          </w:p>
        </w:tc>
        <w:tc>
          <w:tcPr>
            <w:tcW w:w="3360" w:type="dxa"/>
          </w:tcPr>
          <w:p>
            <w:pPr>
              <w:pStyle w:val="yTableNAm"/>
            </w:pPr>
            <w:r>
              <w:t>Offence of possession where serial number unlawfully interfered with</w:t>
            </w:r>
          </w:p>
        </w:tc>
      </w:tr>
      <w:tr>
        <w:trPr>
          <w:cantSplit/>
        </w:trPr>
        <w:tc>
          <w:tcPr>
            <w:tcW w:w="720" w:type="dxa"/>
          </w:tcPr>
          <w:p>
            <w:pPr>
              <w:pStyle w:val="yTableNAm"/>
            </w:pPr>
          </w:p>
        </w:tc>
        <w:tc>
          <w:tcPr>
            <w:tcW w:w="3000" w:type="dxa"/>
          </w:tcPr>
          <w:p>
            <w:pPr>
              <w:pStyle w:val="yTableNAm"/>
            </w:pPr>
            <w:r>
              <w:t>s. 266</w:t>
            </w:r>
          </w:p>
        </w:tc>
        <w:tc>
          <w:tcPr>
            <w:tcW w:w="3360" w:type="dxa"/>
          </w:tcPr>
          <w:p>
            <w:pPr>
              <w:pStyle w:val="yTableNAm"/>
            </w:pPr>
            <w:r>
              <w:t>Offence of possession where serial number unlawfully interfered with: handgun or prohibited firearm</w:t>
            </w:r>
          </w:p>
        </w:tc>
      </w:tr>
      <w:tr>
        <w:trPr>
          <w:cantSplit/>
        </w:trPr>
        <w:tc>
          <w:tcPr>
            <w:tcW w:w="720" w:type="dxa"/>
          </w:tcPr>
          <w:p>
            <w:pPr>
              <w:pStyle w:val="yTableNAm"/>
            </w:pPr>
          </w:p>
        </w:tc>
        <w:tc>
          <w:tcPr>
            <w:tcW w:w="3000" w:type="dxa"/>
          </w:tcPr>
          <w:p>
            <w:pPr>
              <w:pStyle w:val="yTableNAm"/>
            </w:pPr>
            <w:r>
              <w:t>s. 267</w:t>
            </w:r>
          </w:p>
        </w:tc>
        <w:tc>
          <w:tcPr>
            <w:tcW w:w="3360" w:type="dxa"/>
          </w:tcPr>
          <w:p>
            <w:pPr>
              <w:pStyle w:val="yTableNAm"/>
            </w:pPr>
            <w:r>
              <w:t>Offence of acquiring firearm or major firearm part where serial number unlawfully interfered with</w:t>
            </w:r>
          </w:p>
        </w:tc>
      </w:tr>
      <w:tr>
        <w:trPr>
          <w:cantSplit/>
        </w:trPr>
        <w:tc>
          <w:tcPr>
            <w:tcW w:w="720" w:type="dxa"/>
          </w:tcPr>
          <w:p>
            <w:pPr>
              <w:pStyle w:val="zyTableNAm"/>
            </w:pPr>
          </w:p>
        </w:tc>
        <w:tc>
          <w:tcPr>
            <w:tcW w:w="3000" w:type="dxa"/>
          </w:tcPr>
          <w:p>
            <w:pPr>
              <w:pStyle w:val="yTableNAm"/>
            </w:pPr>
            <w:r>
              <w:t>s. 268</w:t>
            </w:r>
          </w:p>
        </w:tc>
        <w:tc>
          <w:tcPr>
            <w:tcW w:w="3360" w:type="dxa"/>
          </w:tcPr>
          <w:p>
            <w:pPr>
              <w:pStyle w:val="yTableNAm"/>
            </w:pPr>
            <w:r>
              <w:t>Offence of acquiring firearm or major firearm part where serial number unlawfully interfered with: handgun or prohibited firearm</w:t>
            </w:r>
          </w:p>
        </w:tc>
      </w:tr>
      <w:tr>
        <w:trPr>
          <w:cantSplit/>
        </w:trPr>
        <w:tc>
          <w:tcPr>
            <w:tcW w:w="720" w:type="dxa"/>
          </w:tcPr>
          <w:p>
            <w:pPr>
              <w:pStyle w:val="zyTableNAm"/>
            </w:pPr>
          </w:p>
        </w:tc>
        <w:tc>
          <w:tcPr>
            <w:tcW w:w="3000" w:type="dxa"/>
          </w:tcPr>
          <w:p>
            <w:pPr>
              <w:pStyle w:val="yTableNAm"/>
            </w:pPr>
            <w:r>
              <w:t>s. 269</w:t>
            </w:r>
          </w:p>
        </w:tc>
        <w:tc>
          <w:tcPr>
            <w:tcW w:w="3360" w:type="dxa"/>
          </w:tcPr>
          <w:p>
            <w:pPr>
              <w:pStyle w:val="yTableNAm"/>
            </w:pPr>
            <w:r>
              <w:t xml:space="preserve">Offence of unauthorised supply where serial number unlawfully interfered with </w:t>
            </w:r>
          </w:p>
        </w:tc>
      </w:tr>
      <w:tr>
        <w:trPr>
          <w:cantSplit/>
        </w:trPr>
        <w:tc>
          <w:tcPr>
            <w:tcW w:w="720" w:type="dxa"/>
          </w:tcPr>
          <w:p>
            <w:pPr>
              <w:pStyle w:val="zyTableNAm"/>
            </w:pPr>
          </w:p>
        </w:tc>
        <w:tc>
          <w:tcPr>
            <w:tcW w:w="3000" w:type="dxa"/>
          </w:tcPr>
          <w:p>
            <w:pPr>
              <w:pStyle w:val="yTableNAm"/>
            </w:pPr>
            <w:r>
              <w:t>s. 270</w:t>
            </w:r>
          </w:p>
        </w:tc>
        <w:tc>
          <w:tcPr>
            <w:tcW w:w="3360" w:type="dxa"/>
          </w:tcPr>
          <w:p>
            <w:pPr>
              <w:pStyle w:val="yTableNAm"/>
            </w:pPr>
            <w:r>
              <w:t>Offence of unauthorised supply where serial number unlawfully interfered with: handgun or prohibited firearm</w:t>
            </w:r>
          </w:p>
        </w:tc>
      </w:tr>
      <w:tr>
        <w:trPr>
          <w:cantSplit/>
        </w:trPr>
        <w:tc>
          <w:tcPr>
            <w:tcW w:w="720" w:type="dxa"/>
          </w:tcPr>
          <w:p>
            <w:pPr>
              <w:pStyle w:val="zyTableNAm"/>
            </w:pPr>
          </w:p>
        </w:tc>
        <w:tc>
          <w:tcPr>
            <w:tcW w:w="3000" w:type="dxa"/>
          </w:tcPr>
          <w:p>
            <w:pPr>
              <w:pStyle w:val="yTableNAm"/>
            </w:pPr>
            <w:r>
              <w:t>s. 272</w:t>
            </w:r>
          </w:p>
        </w:tc>
        <w:tc>
          <w:tcPr>
            <w:tcW w:w="3360" w:type="dxa"/>
          </w:tcPr>
          <w:p>
            <w:pPr>
              <w:pStyle w:val="yTableNAm"/>
            </w:pPr>
            <w:r>
              <w:t>Offence of making prohibited alteration</w:t>
            </w:r>
          </w:p>
        </w:tc>
      </w:tr>
      <w:tr>
        <w:trPr>
          <w:cantSplit/>
        </w:trPr>
        <w:tc>
          <w:tcPr>
            <w:tcW w:w="720" w:type="dxa"/>
          </w:tcPr>
          <w:p>
            <w:pPr>
              <w:pStyle w:val="zyTableNAm"/>
            </w:pPr>
          </w:p>
        </w:tc>
        <w:tc>
          <w:tcPr>
            <w:tcW w:w="3000" w:type="dxa"/>
          </w:tcPr>
          <w:p>
            <w:pPr>
              <w:pStyle w:val="yTableNAm"/>
            </w:pPr>
            <w:r>
              <w:t>s. 273</w:t>
            </w:r>
          </w:p>
        </w:tc>
        <w:tc>
          <w:tcPr>
            <w:tcW w:w="3360" w:type="dxa"/>
          </w:tcPr>
          <w:p>
            <w:pPr>
              <w:pStyle w:val="yTableNAm"/>
            </w:pPr>
            <w:r>
              <w:t>Offence of making prohibited alteration: handgun or prohibited firearm</w:t>
            </w:r>
          </w:p>
        </w:tc>
      </w:tr>
      <w:tr>
        <w:trPr>
          <w:cantSplit/>
        </w:trPr>
        <w:tc>
          <w:tcPr>
            <w:tcW w:w="720" w:type="dxa"/>
          </w:tcPr>
          <w:p>
            <w:pPr>
              <w:pStyle w:val="zyTableNAm"/>
            </w:pPr>
          </w:p>
        </w:tc>
        <w:tc>
          <w:tcPr>
            <w:tcW w:w="3000" w:type="dxa"/>
          </w:tcPr>
          <w:p>
            <w:pPr>
              <w:pStyle w:val="yTableNAm"/>
            </w:pPr>
            <w:r>
              <w:t>s. 274</w:t>
            </w:r>
          </w:p>
        </w:tc>
        <w:tc>
          <w:tcPr>
            <w:tcW w:w="3360" w:type="dxa"/>
          </w:tcPr>
          <w:p>
            <w:pPr>
              <w:pStyle w:val="yTableNAm"/>
            </w:pPr>
            <w:r>
              <w:t xml:space="preserve">Offence of possession of firearm or major firearm part with prohibited alteration </w:t>
            </w:r>
          </w:p>
        </w:tc>
      </w:tr>
      <w:tr>
        <w:trPr>
          <w:cantSplit/>
        </w:trPr>
        <w:tc>
          <w:tcPr>
            <w:tcW w:w="720" w:type="dxa"/>
          </w:tcPr>
          <w:p>
            <w:pPr>
              <w:pStyle w:val="zyTableNAm"/>
            </w:pPr>
          </w:p>
        </w:tc>
        <w:tc>
          <w:tcPr>
            <w:tcW w:w="3000" w:type="dxa"/>
          </w:tcPr>
          <w:p>
            <w:pPr>
              <w:pStyle w:val="yTableNAm"/>
            </w:pPr>
            <w:r>
              <w:t>s. 275</w:t>
            </w:r>
          </w:p>
        </w:tc>
        <w:tc>
          <w:tcPr>
            <w:tcW w:w="3360" w:type="dxa"/>
          </w:tcPr>
          <w:p>
            <w:pPr>
              <w:pStyle w:val="yTableNAm"/>
            </w:pPr>
            <w:r>
              <w:t>Offence of possession of firearm or major firearm part with prohibited alteration: handgun or prohibited firearm</w:t>
            </w:r>
          </w:p>
        </w:tc>
      </w:tr>
      <w:tr>
        <w:trPr>
          <w:cantSplit/>
        </w:trPr>
        <w:tc>
          <w:tcPr>
            <w:tcW w:w="720" w:type="dxa"/>
          </w:tcPr>
          <w:p>
            <w:pPr>
              <w:pStyle w:val="zyTableNAm"/>
            </w:pPr>
          </w:p>
        </w:tc>
        <w:tc>
          <w:tcPr>
            <w:tcW w:w="3000" w:type="dxa"/>
          </w:tcPr>
          <w:p>
            <w:pPr>
              <w:pStyle w:val="yTableNAm"/>
            </w:pPr>
            <w:r>
              <w:t>s. 276</w:t>
            </w:r>
          </w:p>
        </w:tc>
        <w:tc>
          <w:tcPr>
            <w:tcW w:w="3360" w:type="dxa"/>
          </w:tcPr>
          <w:p>
            <w:pPr>
              <w:pStyle w:val="yTableNAm"/>
            </w:pPr>
            <w:r>
              <w:t>Offence of acquiring firearm or major firearm part with prohibited alteration</w:t>
            </w:r>
          </w:p>
        </w:tc>
      </w:tr>
      <w:tr>
        <w:trPr>
          <w:cantSplit/>
        </w:trPr>
        <w:tc>
          <w:tcPr>
            <w:tcW w:w="720" w:type="dxa"/>
          </w:tcPr>
          <w:p>
            <w:pPr>
              <w:pStyle w:val="zyTableNAm"/>
            </w:pPr>
          </w:p>
        </w:tc>
        <w:tc>
          <w:tcPr>
            <w:tcW w:w="3000" w:type="dxa"/>
          </w:tcPr>
          <w:p>
            <w:pPr>
              <w:pStyle w:val="yTableNAm"/>
            </w:pPr>
            <w:r>
              <w:t>s. 277</w:t>
            </w:r>
          </w:p>
        </w:tc>
        <w:tc>
          <w:tcPr>
            <w:tcW w:w="3360" w:type="dxa"/>
          </w:tcPr>
          <w:p>
            <w:pPr>
              <w:pStyle w:val="yTableNAm"/>
            </w:pPr>
            <w:r>
              <w:t>Offence of acquiring firearm or major firearm part with prohibited alteration: handgun or prohibited firearm</w:t>
            </w:r>
          </w:p>
        </w:tc>
      </w:tr>
      <w:tr>
        <w:trPr>
          <w:cantSplit/>
        </w:trPr>
        <w:tc>
          <w:tcPr>
            <w:tcW w:w="720" w:type="dxa"/>
          </w:tcPr>
          <w:p>
            <w:pPr>
              <w:pStyle w:val="zyTableNAm"/>
            </w:pPr>
          </w:p>
        </w:tc>
        <w:tc>
          <w:tcPr>
            <w:tcW w:w="3000" w:type="dxa"/>
          </w:tcPr>
          <w:p>
            <w:pPr>
              <w:pStyle w:val="yTableNAm"/>
            </w:pPr>
            <w:r>
              <w:t>s. 278</w:t>
            </w:r>
          </w:p>
        </w:tc>
        <w:tc>
          <w:tcPr>
            <w:tcW w:w="3360" w:type="dxa"/>
          </w:tcPr>
          <w:p>
            <w:pPr>
              <w:pStyle w:val="yTableNAm"/>
            </w:pPr>
            <w:r>
              <w:t>Offence of unauthorised supply of firearm or major firearm part with prohibited alteration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 xml:space="preserve">Offence of unauthorised supply of firearm or major firearm part with prohibited alteration: handgun or prohibited firearm </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Unauthorised manufacture</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Unauthorised repair</w:t>
            </w:r>
          </w:p>
        </w:tc>
      </w:tr>
      <w:tr>
        <w:trPr>
          <w:cantSplit/>
        </w:trPr>
        <w:tc>
          <w:tcPr>
            <w:tcW w:w="720" w:type="dxa"/>
          </w:tcPr>
          <w:p>
            <w:pPr>
              <w:pStyle w:val="zyTableNAm"/>
            </w:pPr>
          </w:p>
        </w:tc>
        <w:tc>
          <w:tcPr>
            <w:tcW w:w="3000" w:type="dxa"/>
          </w:tcPr>
          <w:p>
            <w:pPr>
              <w:pStyle w:val="yTableNAm"/>
            </w:pPr>
            <w:r>
              <w:t>s. 282</w:t>
            </w:r>
          </w:p>
        </w:tc>
        <w:tc>
          <w:tcPr>
            <w:tcW w:w="3360" w:type="dxa"/>
          </w:tcPr>
          <w:p>
            <w:pPr>
              <w:pStyle w:val="yTableNAm"/>
            </w:pPr>
            <w:r>
              <w:t>Unauthorised destruction of firearm, major firearm part or prohibited accessory</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Participating in unauthorised firearm activities</w:t>
            </w:r>
          </w:p>
        </w:tc>
      </w:tr>
      <w:tr>
        <w:trPr>
          <w:cantSplit/>
        </w:trPr>
        <w:tc>
          <w:tcPr>
            <w:tcW w:w="720" w:type="dxa"/>
          </w:tcPr>
          <w:p>
            <w:pPr>
              <w:pStyle w:val="zyTableNAm"/>
            </w:pPr>
          </w:p>
        </w:tc>
        <w:tc>
          <w:tcPr>
            <w:tcW w:w="3000" w:type="dxa"/>
          </w:tcPr>
          <w:p>
            <w:pPr>
              <w:pStyle w:val="yTableNAm"/>
            </w:pPr>
            <w:r>
              <w:t>s. 285</w:t>
            </w:r>
          </w:p>
        </w:tc>
        <w:tc>
          <w:tcPr>
            <w:tcW w:w="3360" w:type="dxa"/>
          </w:tcPr>
          <w:p>
            <w:pPr>
              <w:pStyle w:val="yTableNAm"/>
            </w:pPr>
            <w:r>
              <w:t>Unauthorised possession of firearm technology</w:t>
            </w:r>
          </w:p>
        </w:tc>
      </w:tr>
      <w:tr>
        <w:trPr>
          <w:cantSplit/>
        </w:trPr>
        <w:tc>
          <w:tcPr>
            <w:tcW w:w="720" w:type="dxa"/>
          </w:tcPr>
          <w:p>
            <w:pPr>
              <w:pStyle w:val="zyTableNAm"/>
            </w:pPr>
          </w:p>
        </w:tc>
        <w:tc>
          <w:tcPr>
            <w:tcW w:w="3000" w:type="dxa"/>
          </w:tcPr>
          <w:p>
            <w:pPr>
              <w:pStyle w:val="yTableNAm"/>
            </w:pPr>
            <w:r>
              <w:t>s. 286</w:t>
            </w:r>
          </w:p>
        </w:tc>
        <w:tc>
          <w:tcPr>
            <w:tcW w:w="3360" w:type="dxa"/>
          </w:tcPr>
          <w:p>
            <w:pPr>
              <w:pStyle w:val="yTableNAm"/>
            </w:pPr>
            <w:r>
              <w:t>Unauthorised creation or development of firearm technology</w:t>
            </w:r>
          </w:p>
        </w:tc>
      </w:tr>
      <w:tr>
        <w:trPr>
          <w:cantSplit/>
        </w:trPr>
        <w:tc>
          <w:tcPr>
            <w:tcW w:w="720" w:type="dxa"/>
          </w:tcPr>
          <w:p>
            <w:pPr>
              <w:pStyle w:val="zyTableNAm"/>
            </w:pPr>
          </w:p>
        </w:tc>
        <w:tc>
          <w:tcPr>
            <w:tcW w:w="3000" w:type="dxa"/>
          </w:tcPr>
          <w:p>
            <w:pPr>
              <w:pStyle w:val="yTableNAm"/>
            </w:pPr>
            <w:r>
              <w:t>s. 287</w:t>
            </w:r>
          </w:p>
        </w:tc>
        <w:tc>
          <w:tcPr>
            <w:tcW w:w="3360" w:type="dxa"/>
          </w:tcPr>
          <w:p>
            <w:pPr>
              <w:pStyle w:val="yTableNAm"/>
            </w:pPr>
            <w:r>
              <w:t>Unauthorised dissemination of firearm technology</w:t>
            </w:r>
          </w:p>
        </w:tc>
      </w:tr>
      <w:tr>
        <w:trPr>
          <w:cantSplit/>
        </w:trPr>
        <w:tc>
          <w:tcPr>
            <w:tcW w:w="720" w:type="dxa"/>
          </w:tcPr>
          <w:p>
            <w:pPr>
              <w:pStyle w:val="zyTableNAm"/>
            </w:pPr>
          </w:p>
        </w:tc>
        <w:tc>
          <w:tcPr>
            <w:tcW w:w="3000" w:type="dxa"/>
          </w:tcPr>
          <w:p>
            <w:pPr>
              <w:pStyle w:val="yTableNAm"/>
            </w:pPr>
            <w:r>
              <w:t>s. 291</w:t>
            </w:r>
          </w:p>
        </w:tc>
        <w:tc>
          <w:tcPr>
            <w:tcW w:w="3360" w:type="dxa"/>
          </w:tcPr>
          <w:p>
            <w:pPr>
              <w:pStyle w:val="yTableNAm"/>
            </w:pPr>
            <w:r>
              <w:t>Offence of possessing remote use device</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Offence of using remote use device</w:t>
            </w:r>
          </w:p>
        </w:tc>
      </w:tr>
      <w:tr>
        <w:trPr>
          <w:cantSplit/>
        </w:trPr>
        <w:tc>
          <w:tcPr>
            <w:tcW w:w="720" w:type="dxa"/>
          </w:tcPr>
          <w:p>
            <w:pPr>
              <w:pStyle w:val="zyTableNAm"/>
            </w:pPr>
          </w:p>
        </w:tc>
        <w:tc>
          <w:tcPr>
            <w:tcW w:w="3000" w:type="dxa"/>
          </w:tcPr>
          <w:p>
            <w:pPr>
              <w:pStyle w:val="yTableNAm"/>
            </w:pPr>
            <w:r>
              <w:t>s. 293</w:t>
            </w:r>
          </w:p>
        </w:tc>
        <w:tc>
          <w:tcPr>
            <w:tcW w:w="3360" w:type="dxa"/>
          </w:tcPr>
          <w:p>
            <w:pPr>
              <w:pStyle w:val="yTableNAm"/>
            </w:pPr>
            <w:r>
              <w:t>Offence of manufacturing remote use device</w:t>
            </w:r>
          </w:p>
        </w:tc>
      </w:tr>
      <w:tr>
        <w:trPr>
          <w:cantSplit/>
        </w:trPr>
        <w:tc>
          <w:tcPr>
            <w:tcW w:w="720" w:type="dxa"/>
          </w:tcPr>
          <w:p>
            <w:pPr>
              <w:pStyle w:val="zyTableNAm"/>
            </w:pPr>
          </w:p>
        </w:tc>
        <w:tc>
          <w:tcPr>
            <w:tcW w:w="3000" w:type="dxa"/>
          </w:tcPr>
          <w:p>
            <w:pPr>
              <w:pStyle w:val="yTableNAm"/>
            </w:pPr>
            <w:r>
              <w:t>s. 295</w:t>
            </w:r>
          </w:p>
        </w:tc>
        <w:tc>
          <w:tcPr>
            <w:tcW w:w="3360" w:type="dxa"/>
          </w:tcPr>
          <w:p>
            <w:pPr>
              <w:pStyle w:val="yTableNAm"/>
            </w:pPr>
            <w:r>
              <w:t>Pointing firearm at another person</w:t>
            </w:r>
          </w:p>
        </w:tc>
      </w:tr>
      <w:tr>
        <w:trPr>
          <w:cantSplit/>
        </w:trPr>
        <w:tc>
          <w:tcPr>
            <w:tcW w:w="720" w:type="dxa"/>
          </w:tcPr>
          <w:p>
            <w:pPr>
              <w:pStyle w:val="zyTableNAm"/>
            </w:pPr>
          </w:p>
        </w:tc>
        <w:tc>
          <w:tcPr>
            <w:tcW w:w="3000" w:type="dxa"/>
          </w:tcPr>
          <w:p>
            <w:pPr>
              <w:pStyle w:val="yTableNAm"/>
            </w:pPr>
            <w:r>
              <w:t>s. 296</w:t>
            </w:r>
          </w:p>
        </w:tc>
        <w:tc>
          <w:tcPr>
            <w:tcW w:w="3360" w:type="dxa"/>
          </w:tcPr>
          <w:p>
            <w:pPr>
              <w:pStyle w:val="yTableNAm"/>
            </w:pPr>
            <w:r>
              <w:t>Use of firearm that causes danger or fear</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Giving possession of firearm or related thing to unsuitable person</w:t>
            </w:r>
          </w:p>
        </w:tc>
      </w:tr>
      <w:tr>
        <w:trPr>
          <w:cantSplit/>
        </w:trPr>
        <w:tc>
          <w:tcPr>
            <w:tcW w:w="720" w:type="dxa"/>
          </w:tcPr>
          <w:p>
            <w:pPr>
              <w:pStyle w:val="zyTableNAm"/>
            </w:pPr>
          </w:p>
        </w:tc>
        <w:tc>
          <w:tcPr>
            <w:tcW w:w="3000" w:type="dxa"/>
          </w:tcPr>
          <w:p>
            <w:pPr>
              <w:pStyle w:val="yTableNAm"/>
            </w:pPr>
            <w:r>
              <w:t>s. 298</w:t>
            </w:r>
          </w:p>
        </w:tc>
        <w:tc>
          <w:tcPr>
            <w:tcW w:w="3360" w:type="dxa"/>
          </w:tcPr>
          <w:p>
            <w:pPr>
              <w:pStyle w:val="yTableNAm"/>
            </w:pPr>
            <w:r>
              <w:t>Use or possession of firearm while intoxicated</w:t>
            </w:r>
          </w:p>
        </w:tc>
      </w:tr>
      <w:tr>
        <w:trPr>
          <w:cantSplit/>
        </w:trPr>
        <w:tc>
          <w:tcPr>
            <w:tcW w:w="720" w:type="dxa"/>
          </w:tcPr>
          <w:p>
            <w:pPr>
              <w:pStyle w:val="zyTableNAm"/>
            </w:pPr>
          </w:p>
        </w:tc>
        <w:tc>
          <w:tcPr>
            <w:tcW w:w="3000" w:type="dxa"/>
          </w:tcPr>
          <w:p>
            <w:pPr>
              <w:pStyle w:val="yTableNAm"/>
            </w:pPr>
            <w:r>
              <w:t xml:space="preserve">s. 299 </w:t>
            </w:r>
          </w:p>
        </w:tc>
        <w:tc>
          <w:tcPr>
            <w:tcW w:w="3360" w:type="dxa"/>
          </w:tcPr>
          <w:p>
            <w:pPr>
              <w:pStyle w:val="yTableNAm"/>
            </w:pPr>
            <w:r>
              <w:t>Shooting onto, from or across road or public place</w:t>
            </w:r>
          </w:p>
        </w:tc>
      </w:tr>
      <w:tr>
        <w:trPr>
          <w:cantSplit/>
        </w:trPr>
        <w:tc>
          <w:tcPr>
            <w:tcW w:w="720" w:type="dxa"/>
          </w:tcPr>
          <w:p>
            <w:pPr>
              <w:pStyle w:val="yTableNAm"/>
              <w:keepNext/>
            </w:pPr>
            <w:r>
              <w:rPr>
                <w:rStyle w:val="CharSClsNo"/>
                <w:b/>
              </w:rPr>
              <w:lastRenderedPageBreak/>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yTableNAm"/>
              <w:rPr>
                <w:i/>
              </w:rPr>
            </w:pPr>
            <w:r>
              <w:rPr>
                <w:rStyle w:val="CharSClsNo"/>
                <w:b/>
                <w:bCs/>
              </w:rPr>
              <w:t>7A</w:t>
            </w:r>
            <w:r>
              <w:t>.</w:t>
            </w:r>
          </w:p>
        </w:tc>
        <w:tc>
          <w:tcPr>
            <w:tcW w:w="6360" w:type="dxa"/>
            <w:gridSpan w:val="2"/>
          </w:tcPr>
          <w:p>
            <w:pPr>
              <w:pStyle w:val="yTableNAm"/>
              <w:rPr>
                <w:b/>
                <w:bCs/>
              </w:rPr>
            </w:pPr>
            <w:r>
              <w:rPr>
                <w:b/>
                <w:bCs/>
                <w:i/>
                <w:iCs/>
              </w:rPr>
              <w:t>Weapons Act 1999</w:t>
            </w:r>
          </w:p>
        </w:tc>
      </w:tr>
      <w:tr>
        <w:trPr>
          <w:cantSplit/>
        </w:trPr>
        <w:tc>
          <w:tcPr>
            <w:tcW w:w="720" w:type="dxa"/>
          </w:tcPr>
          <w:p>
            <w:pPr>
              <w:pStyle w:val="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keepNext/>
              <w:rPr>
                <w:i/>
              </w:rPr>
            </w:pPr>
            <w:r>
              <w:rPr>
                <w:rStyle w:val="CharSClsNo"/>
                <w:b/>
              </w:rPr>
              <w:lastRenderedPageBreak/>
              <w:t>8</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section"/>
        <w:sectPr>
          <w:headerReference w:type="even" r:id="rId25"/>
          <w:headerReference w:type="default" r:id="rId26"/>
          <w:pgSz w:w="11907" w:h="16840" w:code="9"/>
          <w:pgMar w:top="2381" w:right="2410" w:bottom="3544" w:left="2410" w:header="720" w:footer="3544" w:gutter="0"/>
          <w:cols w:space="720"/>
        </w:sectPr>
      </w:pPr>
      <w:r>
        <w:tab/>
        <w:t>[Part 1 inserted: No. 49 of 2012 s. 181(4); amended: No. 11 of 2014 s. 8(1); No. 35 of 2014 s. 39; No. 13 of 2022 s. 85(2); No. 31 of 2023 s. 37(7); No. 16 of 2024 s. 8; No. 23 of 2024 s. 491(1); No. 33 of 2024 s. 36(1).]</w:t>
      </w:r>
    </w:p>
    <w:p>
      <w:pPr>
        <w:pStyle w:val="yHeading3"/>
        <w:spacing w:before="220"/>
      </w:pPr>
      <w:bookmarkStart w:id="414" w:name="_Toc200460010"/>
      <w:bookmarkStart w:id="415" w:name="_Toc200460310"/>
      <w:bookmarkStart w:id="416" w:name="_Toc200524991"/>
      <w:r>
        <w:rPr>
          <w:rStyle w:val="CharSDivNo"/>
        </w:rPr>
        <w:t>Part 2</w:t>
      </w:r>
      <w:r>
        <w:t> — </w:t>
      </w:r>
      <w:r>
        <w:rPr>
          <w:rStyle w:val="CharSDivText"/>
        </w:rPr>
        <w:t>Relevant simple offences</w:t>
      </w:r>
      <w:bookmarkEnd w:id="414"/>
      <w:bookmarkEnd w:id="415"/>
      <w:bookmarkEnd w:id="416"/>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lastRenderedPageBreak/>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50O(2)</w:t>
            </w:r>
          </w:p>
        </w:tc>
        <w:tc>
          <w:tcPr>
            <w:tcW w:w="3360" w:type="dxa"/>
          </w:tcPr>
          <w:p>
            <w:pPr>
              <w:pStyle w:val="yTableNAm"/>
            </w:pPr>
            <w:r>
              <w:t>Hindering police officer seeking to ascertain compliance with electronic monitoring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pPr>
            <w:r>
              <w:rPr>
                <w:rStyle w:val="CharSClsNo"/>
                <w:b/>
                <w:bCs/>
              </w:rPr>
              <w:t>5</w:t>
            </w:r>
            <w:r>
              <w:t>.</w:t>
            </w:r>
          </w:p>
        </w:tc>
        <w:tc>
          <w:tcPr>
            <w:tcW w:w="6360" w:type="dxa"/>
            <w:gridSpan w:val="2"/>
          </w:tcPr>
          <w:p>
            <w:pPr>
              <w:pStyle w:val="yTableNAm"/>
            </w:pPr>
            <w:r>
              <w:rPr>
                <w:b/>
                <w:bCs/>
                <w:i/>
                <w:szCs w:val="22"/>
              </w:rPr>
              <w:t>Firearms Act 2024</w:t>
            </w:r>
          </w:p>
        </w:tc>
      </w:tr>
      <w:tr>
        <w:trPr>
          <w:cantSplit/>
        </w:trPr>
        <w:tc>
          <w:tcPr>
            <w:tcW w:w="720" w:type="dxa"/>
          </w:tcPr>
          <w:p>
            <w:pPr>
              <w:pStyle w:val="zyTableNAm"/>
            </w:pPr>
          </w:p>
        </w:tc>
        <w:tc>
          <w:tcPr>
            <w:tcW w:w="3000" w:type="dxa"/>
          </w:tcPr>
          <w:p>
            <w:pPr>
              <w:pStyle w:val="yTableNAm"/>
            </w:pPr>
            <w:r>
              <w:t>s. 178</w:t>
            </w:r>
          </w:p>
        </w:tc>
        <w:tc>
          <w:tcPr>
            <w:tcW w:w="3360" w:type="dxa"/>
          </w:tcPr>
          <w:p>
            <w:pPr>
              <w:pStyle w:val="yTableNAm"/>
            </w:pPr>
            <w:r>
              <w:t>Offence of providing false or misleading information</w:t>
            </w:r>
          </w:p>
        </w:tc>
      </w:tr>
      <w:tr>
        <w:trPr>
          <w:cantSplit/>
        </w:trPr>
        <w:tc>
          <w:tcPr>
            <w:tcW w:w="720" w:type="dxa"/>
          </w:tcPr>
          <w:p>
            <w:pPr>
              <w:pStyle w:val="zyTableNAm"/>
            </w:pPr>
          </w:p>
        </w:tc>
        <w:tc>
          <w:tcPr>
            <w:tcW w:w="3000" w:type="dxa"/>
          </w:tcPr>
          <w:p>
            <w:pPr>
              <w:pStyle w:val="yTableNAm"/>
            </w:pPr>
            <w:r>
              <w:t>s. 188</w:t>
            </w:r>
          </w:p>
        </w:tc>
        <w:tc>
          <w:tcPr>
            <w:tcW w:w="3360" w:type="dxa"/>
          </w:tcPr>
          <w:p>
            <w:pPr>
              <w:pStyle w:val="yTableNAm"/>
            </w:pPr>
            <w:r>
              <w:t>Compliance with conditions</w:t>
            </w:r>
          </w:p>
        </w:tc>
      </w:tr>
      <w:tr>
        <w:trPr>
          <w:cantSplit/>
        </w:trPr>
        <w:tc>
          <w:tcPr>
            <w:tcW w:w="720" w:type="dxa"/>
          </w:tcPr>
          <w:p>
            <w:pPr>
              <w:pStyle w:val="zyTableNAm"/>
            </w:pPr>
          </w:p>
        </w:tc>
        <w:tc>
          <w:tcPr>
            <w:tcW w:w="3000" w:type="dxa"/>
          </w:tcPr>
          <w:p>
            <w:pPr>
              <w:pStyle w:val="yTableNAm"/>
            </w:pPr>
            <w:r>
              <w:t>s. 208</w:t>
            </w:r>
          </w:p>
        </w:tc>
        <w:tc>
          <w:tcPr>
            <w:tcW w:w="3360" w:type="dxa"/>
          </w:tcPr>
          <w:p>
            <w:pPr>
              <w:pStyle w:val="yTableNAm"/>
            </w:pPr>
            <w:r>
              <w:t>Duty to carry and produce licence card</w:t>
            </w:r>
          </w:p>
        </w:tc>
      </w:tr>
      <w:tr>
        <w:trPr>
          <w:cantSplit/>
        </w:trPr>
        <w:tc>
          <w:tcPr>
            <w:tcW w:w="720" w:type="dxa"/>
          </w:tcPr>
          <w:p>
            <w:pPr>
              <w:pStyle w:val="zyTableNAm"/>
            </w:pPr>
          </w:p>
        </w:tc>
        <w:tc>
          <w:tcPr>
            <w:tcW w:w="3000" w:type="dxa"/>
          </w:tcPr>
          <w:p>
            <w:pPr>
              <w:pStyle w:val="yTableNAm"/>
            </w:pPr>
            <w:r>
              <w:t>s. 209</w:t>
            </w:r>
          </w:p>
        </w:tc>
        <w:tc>
          <w:tcPr>
            <w:tcW w:w="3360" w:type="dxa"/>
          </w:tcPr>
          <w:p>
            <w:pPr>
              <w:pStyle w:val="yTableNAm"/>
            </w:pPr>
            <w:r>
              <w:t>Unlawful alteration of licence card</w:t>
            </w:r>
          </w:p>
        </w:tc>
      </w:tr>
      <w:tr>
        <w:trPr>
          <w:cantSplit/>
        </w:trPr>
        <w:tc>
          <w:tcPr>
            <w:tcW w:w="720" w:type="dxa"/>
          </w:tcPr>
          <w:p>
            <w:pPr>
              <w:pStyle w:val="zyTableNAm"/>
            </w:pPr>
          </w:p>
        </w:tc>
        <w:tc>
          <w:tcPr>
            <w:tcW w:w="3000" w:type="dxa"/>
          </w:tcPr>
          <w:p>
            <w:pPr>
              <w:pStyle w:val="yTableNAm"/>
            </w:pPr>
            <w:r>
              <w:t>s. 210</w:t>
            </w:r>
          </w:p>
        </w:tc>
        <w:tc>
          <w:tcPr>
            <w:tcW w:w="3360" w:type="dxa"/>
          </w:tcPr>
          <w:p>
            <w:pPr>
              <w:pStyle w:val="yTableNAm"/>
            </w:pPr>
            <w:r>
              <w:t>Fraudulent possession and use of licence card</w:t>
            </w:r>
          </w:p>
        </w:tc>
      </w:tr>
      <w:tr>
        <w:trPr>
          <w:cantSplit/>
        </w:trPr>
        <w:tc>
          <w:tcPr>
            <w:tcW w:w="720" w:type="dxa"/>
          </w:tcPr>
          <w:p>
            <w:pPr>
              <w:pStyle w:val="zyTableNAm"/>
            </w:pPr>
          </w:p>
        </w:tc>
        <w:tc>
          <w:tcPr>
            <w:tcW w:w="3000" w:type="dxa"/>
          </w:tcPr>
          <w:p>
            <w:pPr>
              <w:pStyle w:val="yTableNAm"/>
            </w:pPr>
            <w:r>
              <w:t>s. 211</w:t>
            </w:r>
          </w:p>
        </w:tc>
        <w:tc>
          <w:tcPr>
            <w:tcW w:w="3360" w:type="dxa"/>
          </w:tcPr>
          <w:p>
            <w:pPr>
              <w:pStyle w:val="yTableNAm"/>
            </w:pPr>
            <w:r>
              <w:t>Surrender of physical licence card</w:t>
            </w:r>
          </w:p>
        </w:tc>
      </w:tr>
      <w:tr>
        <w:trPr>
          <w:cantSplit/>
        </w:trPr>
        <w:tc>
          <w:tcPr>
            <w:tcW w:w="720" w:type="dxa"/>
          </w:tcPr>
          <w:p>
            <w:pPr>
              <w:pStyle w:val="zyTableNAm"/>
            </w:pPr>
          </w:p>
        </w:tc>
        <w:tc>
          <w:tcPr>
            <w:tcW w:w="3000" w:type="dxa"/>
          </w:tcPr>
          <w:p>
            <w:pPr>
              <w:pStyle w:val="yTableNAm"/>
            </w:pPr>
            <w:r>
              <w:t>s. 236</w:t>
            </w:r>
          </w:p>
        </w:tc>
        <w:tc>
          <w:tcPr>
            <w:tcW w:w="3360" w:type="dxa"/>
          </w:tcPr>
          <w:p>
            <w:pPr>
              <w:pStyle w:val="yTableNAm"/>
            </w:pPr>
            <w:r>
              <w:t>Offence of acquiring from unauthorised person</w:t>
            </w:r>
          </w:p>
        </w:tc>
      </w:tr>
      <w:tr>
        <w:trPr>
          <w:cantSplit/>
        </w:trPr>
        <w:tc>
          <w:tcPr>
            <w:tcW w:w="720" w:type="dxa"/>
          </w:tcPr>
          <w:p>
            <w:pPr>
              <w:pStyle w:val="zyTableNAm"/>
            </w:pPr>
          </w:p>
        </w:tc>
        <w:tc>
          <w:tcPr>
            <w:tcW w:w="3000" w:type="dxa"/>
          </w:tcPr>
          <w:p>
            <w:pPr>
              <w:pStyle w:val="yTableNAm"/>
            </w:pPr>
            <w:r>
              <w:t>s. 239</w:t>
            </w:r>
          </w:p>
        </w:tc>
        <w:tc>
          <w:tcPr>
            <w:tcW w:w="3360" w:type="dxa"/>
          </w:tcPr>
          <w:p>
            <w:pPr>
              <w:pStyle w:val="yTableNAm"/>
            </w:pPr>
            <w:r>
              <w:t>Offence of taking possession from unauthorised person</w:t>
            </w:r>
          </w:p>
        </w:tc>
      </w:tr>
      <w:tr>
        <w:trPr>
          <w:cantSplit/>
        </w:trPr>
        <w:tc>
          <w:tcPr>
            <w:tcW w:w="720" w:type="dxa"/>
          </w:tcPr>
          <w:p>
            <w:pPr>
              <w:pStyle w:val="zyTableNAm"/>
            </w:pPr>
          </w:p>
        </w:tc>
        <w:tc>
          <w:tcPr>
            <w:tcW w:w="3000" w:type="dxa"/>
          </w:tcPr>
          <w:p>
            <w:pPr>
              <w:pStyle w:val="yTableNAm"/>
            </w:pPr>
            <w:r>
              <w:t>s. 241</w:t>
            </w:r>
          </w:p>
        </w:tc>
        <w:tc>
          <w:tcPr>
            <w:tcW w:w="3360" w:type="dxa"/>
          </w:tcPr>
          <w:p>
            <w:pPr>
              <w:pStyle w:val="yTableNAm"/>
            </w:pPr>
            <w:r>
              <w:t>Unauthorised possession or acquisition of ammunition</w:t>
            </w:r>
          </w:p>
        </w:tc>
      </w:tr>
      <w:tr>
        <w:trPr>
          <w:cantSplit/>
        </w:trPr>
        <w:tc>
          <w:tcPr>
            <w:tcW w:w="720" w:type="dxa"/>
          </w:tcPr>
          <w:p>
            <w:pPr>
              <w:pStyle w:val="zyTableNAm"/>
            </w:pPr>
          </w:p>
        </w:tc>
        <w:tc>
          <w:tcPr>
            <w:tcW w:w="3000" w:type="dxa"/>
          </w:tcPr>
          <w:p>
            <w:pPr>
              <w:pStyle w:val="yTableNAm"/>
            </w:pPr>
            <w:r>
              <w:t>s. 243</w:t>
            </w:r>
          </w:p>
        </w:tc>
        <w:tc>
          <w:tcPr>
            <w:tcW w:w="3360" w:type="dxa"/>
          </w:tcPr>
          <w:p>
            <w:pPr>
              <w:pStyle w:val="yTableNAm"/>
            </w:pPr>
            <w:r>
              <w:t>Supplying or giving possession of ammunition without authority</w:t>
            </w:r>
          </w:p>
        </w:tc>
      </w:tr>
      <w:tr>
        <w:trPr>
          <w:cantSplit/>
        </w:trPr>
        <w:tc>
          <w:tcPr>
            <w:tcW w:w="720" w:type="dxa"/>
          </w:tcPr>
          <w:p>
            <w:pPr>
              <w:pStyle w:val="zyTableNAm"/>
            </w:pPr>
          </w:p>
        </w:tc>
        <w:tc>
          <w:tcPr>
            <w:tcW w:w="3000" w:type="dxa"/>
          </w:tcPr>
          <w:p>
            <w:pPr>
              <w:pStyle w:val="yTableNAm"/>
            </w:pPr>
            <w:r>
              <w:t>s. 245</w:t>
            </w:r>
          </w:p>
        </w:tc>
        <w:tc>
          <w:tcPr>
            <w:tcW w:w="3360" w:type="dxa"/>
          </w:tcPr>
          <w:p>
            <w:pPr>
              <w:pStyle w:val="yTableNAm"/>
            </w:pPr>
            <w:r>
              <w:t>Supplying or giving possession of ammunition to unauthorised person</w:t>
            </w:r>
          </w:p>
        </w:tc>
      </w:tr>
      <w:tr>
        <w:trPr>
          <w:cantSplit/>
        </w:trPr>
        <w:tc>
          <w:tcPr>
            <w:tcW w:w="720" w:type="dxa"/>
          </w:tcPr>
          <w:p>
            <w:pPr>
              <w:pStyle w:val="zyTableNAm"/>
            </w:pPr>
          </w:p>
        </w:tc>
        <w:tc>
          <w:tcPr>
            <w:tcW w:w="3000" w:type="dxa"/>
          </w:tcPr>
          <w:p>
            <w:pPr>
              <w:pStyle w:val="yTableNAm"/>
            </w:pPr>
            <w:r>
              <w:t>s. 247</w:t>
            </w:r>
          </w:p>
        </w:tc>
        <w:tc>
          <w:tcPr>
            <w:tcW w:w="3360" w:type="dxa"/>
          </w:tcPr>
          <w:p>
            <w:pPr>
              <w:pStyle w:val="yTableNAm"/>
            </w:pPr>
            <w:r>
              <w:t>Acquiring or taking possession of ammunition from unauthorised person</w:t>
            </w:r>
          </w:p>
        </w:tc>
      </w:tr>
      <w:tr>
        <w:trPr>
          <w:cantSplit/>
        </w:trPr>
        <w:tc>
          <w:tcPr>
            <w:tcW w:w="720" w:type="dxa"/>
          </w:tcPr>
          <w:p>
            <w:pPr>
              <w:pStyle w:val="zyTableNAm"/>
            </w:pPr>
          </w:p>
        </w:tc>
        <w:tc>
          <w:tcPr>
            <w:tcW w:w="3000" w:type="dxa"/>
          </w:tcPr>
          <w:p>
            <w:pPr>
              <w:pStyle w:val="yTableNAm"/>
            </w:pPr>
            <w:r>
              <w:t>s. 250</w:t>
            </w:r>
          </w:p>
        </w:tc>
        <w:tc>
          <w:tcPr>
            <w:tcW w:w="3360" w:type="dxa"/>
          </w:tcPr>
          <w:p>
            <w:pPr>
              <w:pStyle w:val="yTableNAm"/>
            </w:pPr>
            <w:r>
              <w:t>Unauthorised possession of ammunition component for purpose of manufacturing ammunition</w:t>
            </w:r>
          </w:p>
        </w:tc>
      </w:tr>
      <w:tr>
        <w:trPr>
          <w:cantSplit/>
        </w:trPr>
        <w:tc>
          <w:tcPr>
            <w:tcW w:w="720" w:type="dxa"/>
          </w:tcPr>
          <w:p>
            <w:pPr>
              <w:pStyle w:val="zyTableNAm"/>
            </w:pPr>
          </w:p>
        </w:tc>
        <w:tc>
          <w:tcPr>
            <w:tcW w:w="3000" w:type="dxa"/>
          </w:tcPr>
          <w:p>
            <w:pPr>
              <w:pStyle w:val="yTableNAm"/>
            </w:pPr>
            <w:r>
              <w:t>s. 252</w:t>
            </w:r>
          </w:p>
        </w:tc>
        <w:tc>
          <w:tcPr>
            <w:tcW w:w="3360" w:type="dxa"/>
          </w:tcPr>
          <w:p>
            <w:pPr>
              <w:pStyle w:val="yTableNAm"/>
            </w:pPr>
            <w:r>
              <w:t>Unauthorised supply of unassembled components of ammunition</w:t>
            </w:r>
          </w:p>
        </w:tc>
      </w:tr>
      <w:tr>
        <w:trPr>
          <w:cantSplit/>
        </w:trPr>
        <w:tc>
          <w:tcPr>
            <w:tcW w:w="720" w:type="dxa"/>
          </w:tcPr>
          <w:p>
            <w:pPr>
              <w:pStyle w:val="zyTableNAm"/>
            </w:pPr>
          </w:p>
        </w:tc>
        <w:tc>
          <w:tcPr>
            <w:tcW w:w="3000" w:type="dxa"/>
          </w:tcPr>
          <w:p>
            <w:pPr>
              <w:pStyle w:val="yTableNAm"/>
            </w:pPr>
            <w:r>
              <w:t xml:space="preserve">s. 254 </w:t>
            </w:r>
          </w:p>
        </w:tc>
        <w:tc>
          <w:tcPr>
            <w:tcW w:w="3360" w:type="dxa"/>
          </w:tcPr>
          <w:p>
            <w:pPr>
              <w:pStyle w:val="yTableNAm"/>
            </w:pPr>
            <w:r>
              <w:t>Supplying or giving possession of unassembled components of ammunition to unauthorised person</w:t>
            </w:r>
          </w:p>
        </w:tc>
      </w:tr>
      <w:tr>
        <w:trPr>
          <w:cantSplit/>
        </w:trPr>
        <w:tc>
          <w:tcPr>
            <w:tcW w:w="720" w:type="dxa"/>
          </w:tcPr>
          <w:p>
            <w:pPr>
              <w:pStyle w:val="zyTableNAm"/>
            </w:pPr>
          </w:p>
        </w:tc>
        <w:tc>
          <w:tcPr>
            <w:tcW w:w="3000" w:type="dxa"/>
          </w:tcPr>
          <w:p>
            <w:pPr>
              <w:pStyle w:val="yTableNAm"/>
            </w:pPr>
            <w:r>
              <w:t>s. 256</w:t>
            </w:r>
          </w:p>
        </w:tc>
        <w:tc>
          <w:tcPr>
            <w:tcW w:w="3360" w:type="dxa"/>
          </w:tcPr>
          <w:p>
            <w:pPr>
              <w:pStyle w:val="yTableNAm"/>
            </w:pPr>
            <w:r>
              <w:t>Unauthorised possession of unassembled components of ammunition</w:t>
            </w:r>
          </w:p>
        </w:tc>
      </w:tr>
      <w:tr>
        <w:trPr>
          <w:cantSplit/>
        </w:trPr>
        <w:tc>
          <w:tcPr>
            <w:tcW w:w="720" w:type="dxa"/>
          </w:tcPr>
          <w:p>
            <w:pPr>
              <w:pStyle w:val="zyTableNAm"/>
            </w:pPr>
          </w:p>
        </w:tc>
        <w:tc>
          <w:tcPr>
            <w:tcW w:w="3000" w:type="dxa"/>
          </w:tcPr>
          <w:p>
            <w:pPr>
              <w:pStyle w:val="yTableNAm"/>
            </w:pPr>
            <w:r>
              <w:t>s. 300</w:t>
            </w:r>
          </w:p>
        </w:tc>
        <w:tc>
          <w:tcPr>
            <w:tcW w:w="3360" w:type="dxa"/>
          </w:tcPr>
          <w:p>
            <w:pPr>
              <w:pStyle w:val="yTableNAm"/>
            </w:pPr>
            <w:r>
              <w:t>Using or carrying firearm while trespassing</w:t>
            </w:r>
          </w:p>
        </w:tc>
      </w:tr>
      <w:tr>
        <w:trPr>
          <w:cantSplit/>
        </w:trPr>
        <w:tc>
          <w:tcPr>
            <w:tcW w:w="720" w:type="dxa"/>
          </w:tcPr>
          <w:p>
            <w:pPr>
              <w:pStyle w:val="zyTableNAm"/>
            </w:pPr>
          </w:p>
        </w:tc>
        <w:tc>
          <w:tcPr>
            <w:tcW w:w="3000" w:type="dxa"/>
          </w:tcPr>
          <w:p>
            <w:pPr>
              <w:pStyle w:val="yTableNAm"/>
            </w:pPr>
            <w:r>
              <w:t>s. 305</w:t>
            </w:r>
          </w:p>
        </w:tc>
        <w:tc>
          <w:tcPr>
            <w:tcW w:w="3360" w:type="dxa"/>
          </w:tcPr>
          <w:p>
            <w:pPr>
              <w:pStyle w:val="yTableNAm"/>
            </w:pPr>
            <w:r>
              <w:t>General duty of safekeeping of firearms and related things</w:t>
            </w:r>
          </w:p>
        </w:tc>
      </w:tr>
      <w:tr>
        <w:trPr>
          <w:cantSplit/>
        </w:trPr>
        <w:tc>
          <w:tcPr>
            <w:tcW w:w="720" w:type="dxa"/>
          </w:tcPr>
          <w:p>
            <w:pPr>
              <w:pStyle w:val="zyTableNAm"/>
            </w:pPr>
          </w:p>
        </w:tc>
        <w:tc>
          <w:tcPr>
            <w:tcW w:w="3000" w:type="dxa"/>
          </w:tcPr>
          <w:p>
            <w:pPr>
              <w:pStyle w:val="yTableNAm"/>
            </w:pPr>
            <w:r>
              <w:t>s. 306</w:t>
            </w:r>
          </w:p>
        </w:tc>
        <w:tc>
          <w:tcPr>
            <w:tcW w:w="3360" w:type="dxa"/>
          </w:tcPr>
          <w:p>
            <w:pPr>
              <w:pStyle w:val="yTableNAm"/>
            </w:pPr>
            <w:r>
              <w:t>Storage in compliant storage</w:t>
            </w:r>
          </w:p>
        </w:tc>
      </w:tr>
      <w:tr>
        <w:trPr>
          <w:cantSplit/>
        </w:trPr>
        <w:tc>
          <w:tcPr>
            <w:tcW w:w="720" w:type="dxa"/>
          </w:tcPr>
          <w:p>
            <w:pPr>
              <w:pStyle w:val="zyTableNAm"/>
            </w:pPr>
          </w:p>
        </w:tc>
        <w:tc>
          <w:tcPr>
            <w:tcW w:w="3000" w:type="dxa"/>
          </w:tcPr>
          <w:p>
            <w:pPr>
              <w:pStyle w:val="yTableNAm"/>
            </w:pPr>
            <w:r>
              <w:t>s. 370</w:t>
            </w:r>
          </w:p>
        </w:tc>
        <w:tc>
          <w:tcPr>
            <w:tcW w:w="3360" w:type="dxa"/>
          </w:tcPr>
          <w:p>
            <w:pPr>
              <w:pStyle w:val="yTableNAm"/>
            </w:pPr>
            <w:r>
              <w:t>Offence: failure to answer questions</w:t>
            </w:r>
          </w:p>
        </w:tc>
      </w:tr>
      <w:tr>
        <w:trPr>
          <w:cantSplit/>
        </w:trPr>
        <w:tc>
          <w:tcPr>
            <w:tcW w:w="720" w:type="dxa"/>
          </w:tcPr>
          <w:p>
            <w:pPr>
              <w:pStyle w:val="zyTableNAm"/>
            </w:pPr>
          </w:p>
        </w:tc>
        <w:tc>
          <w:tcPr>
            <w:tcW w:w="3000" w:type="dxa"/>
          </w:tcPr>
          <w:p>
            <w:pPr>
              <w:pStyle w:val="yTableNAm"/>
            </w:pPr>
            <w:r>
              <w:t>s. 371</w:t>
            </w:r>
          </w:p>
        </w:tc>
        <w:tc>
          <w:tcPr>
            <w:tcW w:w="3360" w:type="dxa"/>
          </w:tcPr>
          <w:p>
            <w:pPr>
              <w:pStyle w:val="yTableNAm"/>
            </w:pPr>
            <w:r>
              <w:t>Offence: misleading police officer</w:t>
            </w:r>
          </w:p>
        </w:tc>
      </w:tr>
      <w:tr>
        <w:trPr>
          <w:cantSplit/>
        </w:trPr>
        <w:tc>
          <w:tcPr>
            <w:tcW w:w="720" w:type="dxa"/>
          </w:tcPr>
          <w:p>
            <w:pPr>
              <w:pStyle w:val="zyTableNAm"/>
            </w:pPr>
          </w:p>
        </w:tc>
        <w:tc>
          <w:tcPr>
            <w:tcW w:w="3000" w:type="dxa"/>
          </w:tcPr>
          <w:p>
            <w:pPr>
              <w:pStyle w:val="yTableNAm"/>
            </w:pPr>
            <w:r>
              <w:t>s. 389</w:t>
            </w:r>
          </w:p>
        </w:tc>
        <w:tc>
          <w:tcPr>
            <w:tcW w:w="3360" w:type="dxa"/>
          </w:tcPr>
          <w:p>
            <w:pPr>
              <w:pStyle w:val="yTableNAm"/>
            </w:pPr>
            <w:r>
              <w:t>Advertising firearms and related things for sale</w:t>
            </w:r>
          </w:p>
        </w:tc>
      </w:tr>
      <w:tr>
        <w:trPr>
          <w:cantSplit/>
        </w:trPr>
        <w:tc>
          <w:tcPr>
            <w:tcW w:w="720" w:type="dxa"/>
          </w:tcPr>
          <w:p>
            <w:pPr>
              <w:pStyle w:val="zyTableNAm"/>
            </w:pPr>
          </w:p>
        </w:tc>
        <w:tc>
          <w:tcPr>
            <w:tcW w:w="3000" w:type="dxa"/>
          </w:tcPr>
          <w:p>
            <w:pPr>
              <w:pStyle w:val="yTableNAm"/>
            </w:pPr>
            <w:r>
              <w:t>s. 390</w:t>
            </w:r>
          </w:p>
        </w:tc>
        <w:tc>
          <w:tcPr>
            <w:tcW w:w="3360" w:type="dxa"/>
          </w:tcPr>
          <w:p>
            <w:pPr>
              <w:pStyle w:val="yTableNAm"/>
            </w:pPr>
            <w:r>
              <w:t>Advertising under Trade Licence</w:t>
            </w:r>
          </w:p>
        </w:tc>
      </w:tr>
      <w:tr>
        <w:trPr>
          <w:cantSplit/>
        </w:trPr>
        <w:tc>
          <w:tcPr>
            <w:tcW w:w="720" w:type="dxa"/>
          </w:tcPr>
          <w:p>
            <w:pPr>
              <w:pStyle w:val="zyTableNAm"/>
            </w:pPr>
          </w:p>
        </w:tc>
        <w:tc>
          <w:tcPr>
            <w:tcW w:w="3000" w:type="dxa"/>
          </w:tcPr>
          <w:p>
            <w:pPr>
              <w:pStyle w:val="yTableNAm"/>
            </w:pPr>
            <w:r>
              <w:t>s. 391</w:t>
            </w:r>
          </w:p>
        </w:tc>
        <w:tc>
          <w:tcPr>
            <w:tcW w:w="3360" w:type="dxa"/>
          </w:tcPr>
          <w:p>
            <w:pPr>
              <w:pStyle w:val="yTableNAm"/>
            </w:pPr>
            <w:r>
              <w:t>Advertising prohibited accessories for sale</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Sending firearms and related things by post</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Reporting loss of firearm or related thing</w:t>
            </w:r>
          </w:p>
        </w:tc>
      </w:tr>
      <w:tr>
        <w:trPr>
          <w:cantSplit/>
        </w:trPr>
        <w:tc>
          <w:tcPr>
            <w:tcW w:w="720" w:type="dxa"/>
          </w:tcPr>
          <w:p>
            <w:pPr>
              <w:pStyle w:val="zyTableNAm"/>
            </w:pPr>
          </w:p>
        </w:tc>
        <w:tc>
          <w:tcPr>
            <w:tcW w:w="3000" w:type="dxa"/>
          </w:tcPr>
          <w:p>
            <w:pPr>
              <w:pStyle w:val="yTableNAm"/>
            </w:pPr>
            <w:r>
              <w:t>s. 394</w:t>
            </w:r>
          </w:p>
        </w:tc>
        <w:tc>
          <w:tcPr>
            <w:tcW w:w="3360" w:type="dxa"/>
          </w:tcPr>
          <w:p>
            <w:pPr>
              <w:pStyle w:val="yTableNAm"/>
            </w:pPr>
            <w:r>
              <w:t>Reporting destruction of firearm, major firearm part or prohibited accessory</w:t>
            </w:r>
          </w:p>
        </w:tc>
      </w:tr>
      <w:tr>
        <w:trPr>
          <w:cantSplit/>
        </w:trPr>
        <w:tc>
          <w:tcPr>
            <w:tcW w:w="720" w:type="dxa"/>
          </w:tcPr>
          <w:p>
            <w:pPr>
              <w:pStyle w:val="zyTableNAm"/>
            </w:pPr>
          </w:p>
        </w:tc>
        <w:tc>
          <w:tcPr>
            <w:tcW w:w="3000" w:type="dxa"/>
          </w:tcPr>
          <w:p>
            <w:pPr>
              <w:pStyle w:val="yTableNAm"/>
            </w:pPr>
            <w:r>
              <w:t>s. 395</w:t>
            </w:r>
          </w:p>
        </w:tc>
        <w:tc>
          <w:tcPr>
            <w:tcW w:w="3360" w:type="dxa"/>
          </w:tcPr>
          <w:p>
            <w:pPr>
              <w:pStyle w:val="yTableNAm"/>
            </w:pPr>
            <w:r>
              <w:t>Reporting supply of firearm or related thing</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6A(1) and (2)</w:t>
            </w:r>
          </w:p>
        </w:tc>
        <w:tc>
          <w:tcPr>
            <w:tcW w:w="3360" w:type="dxa"/>
          </w:tcPr>
          <w:p>
            <w:pPr>
              <w:pStyle w:val="yTableNAm"/>
            </w:pPr>
            <w:r>
              <w:t>Offences relating to edged weapons</w:t>
            </w:r>
          </w:p>
        </w:tc>
      </w:tr>
      <w:tr>
        <w:trPr>
          <w:cantSplit/>
        </w:trPr>
        <w:tc>
          <w:tcPr>
            <w:tcW w:w="720" w:type="dxa"/>
          </w:tcPr>
          <w:p>
            <w:pPr>
              <w:pStyle w:val="zyTableNAm"/>
              <w:rPr>
                <w:i/>
              </w:rPr>
            </w:pPr>
          </w:p>
        </w:tc>
        <w:tc>
          <w:tcPr>
            <w:tcW w:w="3000" w:type="dxa"/>
          </w:tcPr>
          <w:p>
            <w:pPr>
              <w:pStyle w:val="yTableNAm"/>
            </w:pPr>
            <w:r>
              <w:t>s. 6B(1) and (2)</w:t>
            </w:r>
          </w:p>
        </w:tc>
        <w:tc>
          <w:tcPr>
            <w:tcW w:w="3360" w:type="dxa"/>
          </w:tcPr>
          <w:p>
            <w:pPr>
              <w:pStyle w:val="yTableNAm"/>
            </w:pPr>
            <w:r>
              <w:t>Selling or supplying edged weapons to children</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r>
        <w:trPr>
          <w:cantSplit/>
        </w:trPr>
        <w:tc>
          <w:tcPr>
            <w:tcW w:w="720" w:type="dxa"/>
          </w:tcPr>
          <w:p>
            <w:pPr>
              <w:pStyle w:val="zyTableNAm"/>
              <w:keepNext/>
              <w:rPr>
                <w:i/>
              </w:rPr>
            </w:pPr>
            <w:r>
              <w:rPr>
                <w:rStyle w:val="CharSClsNo"/>
                <w:b/>
              </w:rPr>
              <w:lastRenderedPageBreak/>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section"/>
      </w:pPr>
      <w:r>
        <w:tab/>
        <w:t>[Part 2 inserted: No. 49 of 2012 s. 181(4); amended: No. 35 of 2014 s. 39; No. 6 of 2017 s. 12(5); No. 13 of 2020 s. 13; No. 13 of 2022 s. 85(3); No. 31 of 2023 s. 37(8); No. 23 of 2024 s. 491(2); No. 28 of 2024 s. 74; No. 33 of 2024 s. 36(2).]</w:t>
      </w:r>
    </w:p>
    <w:p>
      <w:pPr>
        <w:sectPr>
          <w:type w:val="continuous"/>
          <w:pgSz w:w="11907" w:h="16840" w:code="9"/>
          <w:pgMar w:top="2381" w:right="2410" w:bottom="3544" w:left="2410" w:header="720" w:footer="3544" w:gutter="0"/>
          <w:cols w:space="720"/>
        </w:sectPr>
      </w:pPr>
    </w:p>
    <w:p>
      <w:pPr>
        <w:pStyle w:val="yScheduleHeading"/>
        <w:outlineLvl w:val="0"/>
      </w:pPr>
      <w:bookmarkStart w:id="417" w:name="_Toc200460011"/>
      <w:bookmarkStart w:id="418" w:name="_Toc200460311"/>
      <w:bookmarkStart w:id="419" w:name="_Toc200524992"/>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417"/>
      <w:bookmarkEnd w:id="418"/>
      <w:bookmarkEnd w:id="419"/>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2023</w:t>
            </w:r>
          </w:p>
        </w:tc>
        <w:tc>
          <w:tcPr>
            <w:tcW w:w="4649" w:type="dxa"/>
          </w:tcPr>
          <w:p>
            <w:pPr>
              <w:pStyle w:val="yTableNAm"/>
            </w:pPr>
            <w:r>
              <w:t>WorkCover WA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 xml:space="preserve">[Schedule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w:t>
      </w:r>
      <w:r>
        <w:lastRenderedPageBreak/>
        <w:t>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 No. 21 of 2023 s. 702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420" w:name="_Toc200460012"/>
      <w:bookmarkStart w:id="421" w:name="_Toc200460312"/>
      <w:bookmarkStart w:id="422" w:name="_Toc200524993"/>
      <w:r>
        <w:lastRenderedPageBreak/>
        <w:t>Notes</w:t>
      </w:r>
      <w:bookmarkEnd w:id="420"/>
      <w:bookmarkEnd w:id="421"/>
      <w:bookmarkEnd w:id="422"/>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423" w:name="_Toc200524994"/>
      <w:r>
        <w:t>Compilation table</w:t>
      </w:r>
      <w:bookmarkEnd w:id="423"/>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keepNext/>
              <w:spacing w:after="40"/>
              <w:rPr>
                <w:i/>
              </w:rPr>
            </w:pPr>
            <w:r>
              <w:rPr>
                <w:i/>
                <w:snapToGrid w:val="0"/>
              </w:rPr>
              <w:lastRenderedPageBreak/>
              <w:t>Pig, Potato and Poultry Industries (Compensation Legislation) Repeal Act 2004</w:t>
            </w:r>
            <w:r>
              <w:rPr>
                <w:snapToGrid w:val="0"/>
              </w:rPr>
              <w:t xml:space="preserve"> s. 18</w:t>
            </w:r>
          </w:p>
        </w:tc>
        <w:tc>
          <w:tcPr>
            <w:tcW w:w="1134" w:type="dxa"/>
          </w:tcPr>
          <w:p>
            <w:pPr>
              <w:pStyle w:val="nTable"/>
              <w:keepNext/>
              <w:spacing w:after="40"/>
            </w:pPr>
            <w:r>
              <w:rPr>
                <w:snapToGrid w:val="0"/>
              </w:rPr>
              <w:t>40 of 2004</w:t>
            </w:r>
          </w:p>
        </w:tc>
        <w:tc>
          <w:tcPr>
            <w:tcW w:w="1134" w:type="dxa"/>
          </w:tcPr>
          <w:p>
            <w:pPr>
              <w:pStyle w:val="nTable"/>
              <w:keepNext/>
              <w:spacing w:after="40"/>
            </w:pPr>
            <w:r>
              <w:t>3 Nov 2004</w:t>
            </w:r>
          </w:p>
        </w:tc>
        <w:tc>
          <w:tcPr>
            <w:tcW w:w="2553" w:type="dxa"/>
          </w:tcPr>
          <w:p>
            <w:pPr>
              <w:pStyle w:val="nTable"/>
              <w:keepNext/>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keepNext/>
              <w:keepLines/>
              <w:spacing w:after="40"/>
              <w:rPr>
                <w:i/>
                <w:snapToGrid w:val="0"/>
              </w:rPr>
            </w:pPr>
            <w:r>
              <w:rPr>
                <w:i/>
                <w:snapToGrid w:val="0"/>
              </w:rPr>
              <w:lastRenderedPageBreak/>
              <w:t>Prisons and Sentencing Legislation Amendment Act 2006</w:t>
            </w:r>
            <w:r>
              <w:rPr>
                <w:snapToGrid w:val="0"/>
              </w:rPr>
              <w:t> Pt. 4</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pPr>
            <w:r>
              <w:rPr>
                <w:snapToGrid w:val="0"/>
              </w:rPr>
              <w:t>8 Dec 2006</w:t>
            </w:r>
          </w:p>
        </w:tc>
        <w:tc>
          <w:tcPr>
            <w:tcW w:w="2553" w:type="dxa"/>
          </w:tcPr>
          <w:p>
            <w:pPr>
              <w:pStyle w:val="nTable"/>
              <w:keepNext/>
              <w:keepLines/>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keepNext/>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keepNext/>
              <w:spacing w:after="40"/>
              <w:rPr>
                <w:snapToGrid w:val="0"/>
              </w:rPr>
            </w:pPr>
            <w:r>
              <w:rPr>
                <w:snapToGrid w:val="0"/>
              </w:rPr>
              <w:t>19 of 2010</w:t>
            </w:r>
          </w:p>
        </w:tc>
        <w:tc>
          <w:tcPr>
            <w:tcW w:w="1134" w:type="dxa"/>
          </w:tcPr>
          <w:p>
            <w:pPr>
              <w:pStyle w:val="nTable"/>
              <w:keepNext/>
              <w:spacing w:after="40"/>
              <w:rPr>
                <w:snapToGrid w:val="0"/>
              </w:rPr>
            </w:pPr>
            <w:r>
              <w:rPr>
                <w:snapToGrid w:val="0"/>
              </w:rPr>
              <w:t>28 Jun 2010</w:t>
            </w:r>
          </w:p>
        </w:tc>
        <w:tc>
          <w:tcPr>
            <w:tcW w:w="255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lastRenderedPageBreak/>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lastRenderedPageBreak/>
              <w:t>Universities Legislation Amendment Act 2016</w:t>
            </w:r>
            <w:r>
              <w:t xml:space="preserve"> Pt. 7 Div. 9</w:t>
            </w:r>
          </w:p>
        </w:tc>
        <w:tc>
          <w:tcPr>
            <w:tcW w:w="1134"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53"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lastRenderedPageBreak/>
              <w:t>Aboriginal Cultural Heritage Act 2021</w:t>
            </w:r>
            <w:r>
              <w:t xml:space="preserve"> s. 352</w:t>
            </w:r>
          </w:p>
        </w:tc>
        <w:tc>
          <w:tcPr>
            <w:tcW w:w="1134" w:type="dxa"/>
            <w:tcBorders>
              <w:top w:val="nil"/>
              <w:left w:val="nil"/>
              <w:bottom w:val="nil"/>
              <w:right w:val="nil"/>
            </w:tcBorders>
          </w:tcPr>
          <w:p>
            <w:pPr>
              <w:pStyle w:val="nTable"/>
              <w:keepNext/>
              <w:keepLines/>
              <w:spacing w:after="40"/>
            </w:pPr>
            <w:r>
              <w:t>27 of 2021</w:t>
            </w:r>
          </w:p>
        </w:tc>
        <w:tc>
          <w:tcPr>
            <w:tcW w:w="1134" w:type="dxa"/>
            <w:tcBorders>
              <w:top w:val="nil"/>
              <w:left w:val="nil"/>
              <w:bottom w:val="nil"/>
              <w:right w:val="nil"/>
            </w:tcBorders>
          </w:tcPr>
          <w:p>
            <w:pPr>
              <w:pStyle w:val="nTable"/>
              <w:keepNext/>
              <w:keepLines/>
              <w:spacing w:after="40"/>
            </w:pPr>
            <w:r>
              <w:t>22 Dec 2021</w:t>
            </w:r>
          </w:p>
        </w:tc>
        <w:tc>
          <w:tcPr>
            <w:tcW w:w="2553" w:type="dxa"/>
            <w:tcBorders>
              <w:top w:val="nil"/>
              <w:left w:val="nil"/>
              <w:bottom w:val="nil"/>
            </w:tcBorders>
          </w:tcPr>
          <w:p>
            <w:pPr>
              <w:pStyle w:val="nTable"/>
              <w:keepNext/>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spacing w:after="40"/>
            </w:pPr>
            <w:r>
              <w:t>44 of 2022</w:t>
            </w:r>
          </w:p>
        </w:tc>
        <w:tc>
          <w:tcPr>
            <w:tcW w:w="1134" w:type="dxa"/>
            <w:tcBorders>
              <w:top w:val="nil"/>
              <w:left w:val="nil"/>
              <w:bottom w:val="nil"/>
              <w:right w:val="nil"/>
            </w:tcBorders>
          </w:tcPr>
          <w:p>
            <w:pPr>
              <w:pStyle w:val="nTable"/>
              <w:spacing w:after="40"/>
            </w:pPr>
            <w:r>
              <w:t>1 Dec 2022</w:t>
            </w:r>
          </w:p>
        </w:tc>
        <w:tc>
          <w:tcPr>
            <w:tcW w:w="2553" w:type="dxa"/>
            <w:tcBorders>
              <w:top w:val="nil"/>
              <w:left w:val="nil"/>
              <w:bottom w:val="nil"/>
            </w:tcBorders>
          </w:tcPr>
          <w:p>
            <w:pPr>
              <w:pStyle w:val="nTable"/>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Workers Compensation and Injury Management Act 2023</w:t>
            </w:r>
            <w:r>
              <w:rPr>
                <w:iCs/>
                <w:snapToGrid w:val="0"/>
              </w:rPr>
              <w:t xml:space="preserve"> Pt. 15 Div. 3 Subdiv. 16</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 Jul 2024 (see s. 2(d) and SL 2024/34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spacing w:after="40"/>
            </w:pPr>
            <w:r>
              <w:t>23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spacing w:after="40"/>
            </w:pPr>
            <w:r>
              <w:t>24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nil"/>
              <w:right w:val="nil"/>
            </w:tcBorders>
          </w:tcPr>
          <w:p>
            <w:pPr>
              <w:pStyle w:val="nTable"/>
              <w:spacing w:after="40"/>
            </w:pPr>
            <w:r>
              <w:t>31 of 2023</w:t>
            </w:r>
          </w:p>
        </w:tc>
        <w:tc>
          <w:tcPr>
            <w:tcW w:w="1134" w:type="dxa"/>
            <w:tcBorders>
              <w:top w:val="nil"/>
              <w:left w:val="nil"/>
              <w:bottom w:val="nil"/>
              <w:right w:val="nil"/>
            </w:tcBorders>
          </w:tcPr>
          <w:p>
            <w:pPr>
              <w:pStyle w:val="nTable"/>
              <w:spacing w:after="40"/>
            </w:pPr>
            <w:r>
              <w:t>11 Dec 2023</w:t>
            </w:r>
          </w:p>
        </w:tc>
        <w:tc>
          <w:tcPr>
            <w:tcW w:w="2553" w:type="dxa"/>
            <w:tcBorders>
              <w:top w:val="nil"/>
              <w:left w:val="nil"/>
              <w:bottom w:val="nil"/>
            </w:tcBorders>
          </w:tcPr>
          <w:p>
            <w:pPr>
              <w:pStyle w:val="nTable"/>
              <w:spacing w:after="40"/>
              <w:rPr>
                <w:noProof/>
                <w:snapToGrid w:val="0"/>
              </w:rPr>
            </w:pPr>
            <w:r>
              <w:rPr>
                <w:noProof/>
                <w:snapToGrid w:val="0"/>
              </w:rPr>
              <w:t>21 Dec 2023 (see s. 2(c) and SL 2023/202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rPr>
              <w:t>Criminal Code Amendment Act 2024</w:t>
            </w:r>
            <w:r>
              <w:rPr>
                <w:iCs/>
              </w:rPr>
              <w:t xml:space="preserve"> s. 8</w:t>
            </w:r>
          </w:p>
        </w:tc>
        <w:tc>
          <w:tcPr>
            <w:tcW w:w="1134" w:type="dxa"/>
            <w:tcBorders>
              <w:top w:val="nil"/>
              <w:left w:val="nil"/>
              <w:bottom w:val="nil"/>
              <w:right w:val="nil"/>
            </w:tcBorders>
          </w:tcPr>
          <w:p>
            <w:pPr>
              <w:pStyle w:val="nTable"/>
              <w:spacing w:after="40"/>
            </w:pPr>
            <w:r>
              <w:t>16 of 2024</w:t>
            </w:r>
          </w:p>
        </w:tc>
        <w:tc>
          <w:tcPr>
            <w:tcW w:w="1134" w:type="dxa"/>
            <w:tcBorders>
              <w:top w:val="nil"/>
              <w:left w:val="nil"/>
              <w:bottom w:val="nil"/>
              <w:right w:val="nil"/>
            </w:tcBorders>
          </w:tcPr>
          <w:p>
            <w:pPr>
              <w:pStyle w:val="nTable"/>
              <w:spacing w:after="40"/>
            </w:pPr>
            <w:r>
              <w:t>14 May 2024</w:t>
            </w:r>
          </w:p>
        </w:tc>
        <w:tc>
          <w:tcPr>
            <w:tcW w:w="2553" w:type="dxa"/>
            <w:tcBorders>
              <w:top w:val="nil"/>
              <w:left w:val="nil"/>
              <w:bottom w:val="nil"/>
            </w:tcBorders>
          </w:tcPr>
          <w:p>
            <w:pPr>
              <w:pStyle w:val="nTable"/>
              <w:spacing w:after="40"/>
              <w:rPr>
                <w:noProof/>
                <w:snapToGrid w:val="0"/>
              </w:rPr>
            </w:pPr>
            <w:r>
              <w:rPr>
                <w:noProof/>
                <w:snapToGrid w:val="0"/>
              </w:rPr>
              <w:t>1 Jul 2024 (see s. 2(b) and SL 2024/125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Firearms Act</w:t>
            </w:r>
            <w:r>
              <w:rPr>
                <w:i/>
                <w:iCs/>
              </w:rPr>
              <w:t> 2024</w:t>
            </w:r>
            <w:r>
              <w:t xml:space="preserve"> Pt. 17 Div. 3 Subdiv. 18</w:t>
            </w:r>
          </w:p>
        </w:tc>
        <w:tc>
          <w:tcPr>
            <w:tcW w:w="1134" w:type="dxa"/>
            <w:tcBorders>
              <w:top w:val="nil"/>
              <w:left w:val="nil"/>
              <w:bottom w:val="nil"/>
              <w:right w:val="nil"/>
            </w:tcBorders>
          </w:tcPr>
          <w:p>
            <w:pPr>
              <w:pStyle w:val="nTable"/>
              <w:spacing w:after="40"/>
            </w:pPr>
            <w:r>
              <w:t>23 of 2024</w:t>
            </w:r>
          </w:p>
        </w:tc>
        <w:tc>
          <w:tcPr>
            <w:tcW w:w="1134" w:type="dxa"/>
            <w:tcBorders>
              <w:top w:val="nil"/>
              <w:left w:val="nil"/>
              <w:bottom w:val="nil"/>
              <w:right w:val="nil"/>
            </w:tcBorders>
          </w:tcPr>
          <w:p>
            <w:pPr>
              <w:pStyle w:val="nTable"/>
              <w:spacing w:after="40"/>
            </w:pPr>
            <w:r>
              <w:t>27 Jun 2024</w:t>
            </w:r>
          </w:p>
        </w:tc>
        <w:tc>
          <w:tcPr>
            <w:tcW w:w="2553" w:type="dxa"/>
            <w:tcBorders>
              <w:top w:val="nil"/>
              <w:left w:val="nil"/>
              <w:bottom w:val="nil"/>
            </w:tcBorders>
          </w:tcPr>
          <w:p>
            <w:pPr>
              <w:pStyle w:val="nTable"/>
              <w:spacing w:after="40"/>
              <w:rPr>
                <w:noProof/>
                <w:snapToGrid w:val="0"/>
              </w:rPr>
            </w:pPr>
            <w:r>
              <w:rPr>
                <w:noProof/>
                <w:snapToGrid w:val="0"/>
              </w:rPr>
              <w:t>31 Mar 2025 (see s. 2(d)) and SL 2024/289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Family Violence Legislation Reform Act 2024 </w:t>
            </w:r>
            <w:r>
              <w:rPr>
                <w:iCs/>
                <w:snapToGrid w:val="0"/>
              </w:rPr>
              <w:t>Pt. 9</w:t>
            </w:r>
          </w:p>
        </w:tc>
        <w:tc>
          <w:tcPr>
            <w:tcW w:w="1134" w:type="dxa"/>
            <w:tcBorders>
              <w:top w:val="nil"/>
              <w:left w:val="nil"/>
              <w:bottom w:val="nil"/>
              <w:right w:val="nil"/>
            </w:tcBorders>
          </w:tcPr>
          <w:p>
            <w:pPr>
              <w:pStyle w:val="nTable"/>
              <w:spacing w:after="40"/>
            </w:pPr>
            <w:r>
              <w:t>28 of 2024</w:t>
            </w:r>
          </w:p>
        </w:tc>
        <w:tc>
          <w:tcPr>
            <w:tcW w:w="1134" w:type="dxa"/>
            <w:tcBorders>
              <w:top w:val="nil"/>
              <w:left w:val="nil"/>
              <w:bottom w:val="nil"/>
              <w:right w:val="nil"/>
            </w:tcBorders>
          </w:tcPr>
          <w:p>
            <w:pPr>
              <w:pStyle w:val="nTable"/>
              <w:spacing w:after="40"/>
            </w:pPr>
            <w:r>
              <w:t>17 Sep 2024</w:t>
            </w:r>
          </w:p>
        </w:tc>
        <w:tc>
          <w:tcPr>
            <w:tcW w:w="2553" w:type="dxa"/>
            <w:tcBorders>
              <w:top w:val="nil"/>
              <w:left w:val="nil"/>
              <w:bottom w:val="nil"/>
            </w:tcBorders>
          </w:tcPr>
          <w:p>
            <w:pPr>
              <w:pStyle w:val="nTable"/>
              <w:spacing w:after="40"/>
              <w:rPr>
                <w:noProof/>
                <w:snapToGrid w:val="0"/>
              </w:rPr>
            </w:pPr>
            <w:r>
              <w:rPr>
                <w:noProof/>
                <w:snapToGrid w:val="0"/>
              </w:rPr>
              <w:t>18 Dec 2024 (see s 2(d) and SL 2024/249 cl. 2(e))</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spacing w:after="40"/>
              <w:rPr>
                <w:i/>
                <w:snapToGrid w:val="0"/>
              </w:rPr>
            </w:pPr>
            <w:r>
              <w:rPr>
                <w:i/>
              </w:rPr>
              <w:t xml:space="preserve">Police Legislation Amendment Act 2024 </w:t>
            </w:r>
            <w:r>
              <w:rPr>
                <w:iCs/>
              </w:rPr>
              <w:t>Pt. 5 Div. 5</w:t>
            </w:r>
          </w:p>
        </w:tc>
        <w:tc>
          <w:tcPr>
            <w:tcW w:w="1134" w:type="dxa"/>
            <w:tcBorders>
              <w:top w:val="nil"/>
              <w:left w:val="nil"/>
              <w:bottom w:val="single" w:sz="4" w:space="0" w:color="auto"/>
              <w:right w:val="nil"/>
            </w:tcBorders>
          </w:tcPr>
          <w:p>
            <w:pPr>
              <w:pStyle w:val="nTable"/>
              <w:spacing w:after="40"/>
            </w:pPr>
            <w:r>
              <w:t>33 of 2024</w:t>
            </w:r>
          </w:p>
        </w:tc>
        <w:tc>
          <w:tcPr>
            <w:tcW w:w="1134" w:type="dxa"/>
            <w:tcBorders>
              <w:top w:val="nil"/>
              <w:left w:val="nil"/>
              <w:bottom w:val="single" w:sz="4" w:space="0" w:color="auto"/>
              <w:right w:val="nil"/>
            </w:tcBorders>
          </w:tcPr>
          <w:p>
            <w:pPr>
              <w:pStyle w:val="nTable"/>
              <w:spacing w:after="40"/>
            </w:pPr>
            <w:r>
              <w:t>26 Sep 2024</w:t>
            </w:r>
          </w:p>
        </w:tc>
        <w:tc>
          <w:tcPr>
            <w:tcW w:w="2553" w:type="dxa"/>
            <w:tcBorders>
              <w:top w:val="nil"/>
              <w:left w:val="nil"/>
              <w:bottom w:val="single" w:sz="4" w:space="0" w:color="auto"/>
            </w:tcBorders>
          </w:tcPr>
          <w:p>
            <w:pPr>
              <w:pStyle w:val="nTable"/>
              <w:spacing w:after="40"/>
              <w:rPr>
                <w:noProof/>
                <w:snapToGrid w:val="0"/>
              </w:rPr>
            </w:pPr>
            <w:r>
              <w:rPr>
                <w:noProof/>
                <w:snapToGrid w:val="0"/>
              </w:rPr>
              <w:t>20 Dec 2024 (see s. 2(1)(b) and SL 2024/277 cl. 2)</w:t>
            </w:r>
          </w:p>
        </w:tc>
      </w:tr>
    </w:tbl>
    <w:p>
      <w:pPr>
        <w:pStyle w:val="nHeading3"/>
        <w:keepLines/>
      </w:pPr>
      <w:bookmarkStart w:id="424" w:name="_Toc200524995"/>
      <w:r>
        <w:lastRenderedPageBreak/>
        <w:t>Uncommenced provisions table</w:t>
      </w:r>
      <w:bookmarkEnd w:id="424"/>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410" w:type="dxa"/>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4" w:type="dxa"/>
            <w:tcBorders>
              <w:top w:val="single" w:sz="4" w:space="0" w:color="auto"/>
              <w:left w:val="nil"/>
              <w:bottom w:val="nil"/>
              <w:right w:val="nil"/>
            </w:tcBorders>
          </w:tcPr>
          <w:p>
            <w:pPr>
              <w:pStyle w:val="nTable"/>
              <w:keepLines/>
              <w:spacing w:after="40"/>
              <w:rPr>
                <w:snapToGrid w:val="0"/>
              </w:rPr>
            </w:pPr>
            <w:r>
              <w:rPr>
                <w:snapToGrid w:val="0"/>
              </w:rPr>
              <w:t>20 of 2013</w:t>
            </w:r>
          </w:p>
        </w:tc>
        <w:tc>
          <w:tcPr>
            <w:tcW w:w="1134" w:type="dxa"/>
            <w:tcBorders>
              <w:top w:val="single" w:sz="4" w:space="0" w:color="auto"/>
              <w:left w:val="nil"/>
              <w:bottom w:val="nil"/>
              <w:right w:val="nil"/>
            </w:tcBorders>
          </w:tcPr>
          <w:p>
            <w:pPr>
              <w:pStyle w:val="nTable"/>
              <w:keepLines/>
              <w:spacing w:after="40"/>
              <w:rPr>
                <w:snapToGrid w:val="0"/>
              </w:rPr>
            </w:pPr>
            <w:r>
              <w:rPr>
                <w:snapToGrid w:val="0"/>
              </w:rPr>
              <w:t>4 Nov 2013</w:t>
            </w:r>
          </w:p>
        </w:tc>
        <w:tc>
          <w:tcPr>
            <w:tcW w:w="2410" w:type="dxa"/>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c>
          <w:tcPr>
            <w:tcW w:w="2410"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410" w:type="dxa"/>
            <w:tcBorders>
              <w:top w:val="nil"/>
              <w:left w:val="nil"/>
              <w:bottom w:val="nil"/>
              <w:right w:val="nil"/>
            </w:tcBorders>
          </w:tcPr>
          <w:p>
            <w:pPr>
              <w:pStyle w:val="nTable"/>
              <w:keepLines/>
              <w:spacing w:after="40"/>
            </w:pPr>
            <w:r>
              <w:t>To</w:t>
            </w:r>
            <w:r>
              <w:rPr>
                <w:snapToGrid w:val="0"/>
              </w:rPr>
              <w:t xml:space="preserve"> be proclaimed (see s. 2(1)(c))</w:t>
            </w:r>
          </w:p>
        </w:tc>
      </w:tr>
      <w:tr>
        <w:trPr>
          <w:cantSplit/>
          <w:trHeight w:val="756"/>
        </w:trPr>
        <w:tc>
          <w:tcPr>
            <w:tcW w:w="2410" w:type="dxa"/>
            <w:tcBorders>
              <w:top w:val="nil"/>
              <w:left w:val="nil"/>
              <w:bottom w:val="nil"/>
              <w:right w:val="nil"/>
            </w:tcBorders>
          </w:tcPr>
          <w:p>
            <w:pPr>
              <w:pStyle w:val="nTable"/>
              <w:spacing w:after="40"/>
              <w:rPr>
                <w:snapToGrid w:val="0"/>
              </w:rPr>
            </w:pPr>
            <w:r>
              <w:rPr>
                <w:i/>
                <w:snapToGrid w:val="0"/>
              </w:rPr>
              <w:t>Sentencing Legislation Amendment Act 2016</w:t>
            </w:r>
            <w:r>
              <w:rPr>
                <w:snapToGrid w:val="0"/>
              </w:rPr>
              <w:t xml:space="preserve"> Pt. 4 Div. 5 and s. 69 and 73</w:t>
            </w:r>
          </w:p>
        </w:tc>
        <w:tc>
          <w:tcPr>
            <w:tcW w:w="1134" w:type="dxa"/>
            <w:tcBorders>
              <w:top w:val="nil"/>
              <w:left w:val="nil"/>
              <w:bottom w:val="nil"/>
              <w:right w:val="nil"/>
            </w:tcBorders>
          </w:tcPr>
          <w:p>
            <w:pPr>
              <w:pStyle w:val="nTable"/>
              <w:spacing w:after="40"/>
            </w:pPr>
            <w:r>
              <w:t>45 of 2016</w:t>
            </w:r>
          </w:p>
        </w:tc>
        <w:tc>
          <w:tcPr>
            <w:tcW w:w="1134" w:type="dxa"/>
            <w:tcBorders>
              <w:top w:val="nil"/>
              <w:left w:val="nil"/>
              <w:bottom w:val="nil"/>
              <w:right w:val="nil"/>
            </w:tcBorders>
          </w:tcPr>
          <w:p>
            <w:pPr>
              <w:pStyle w:val="nTable"/>
              <w:spacing w:after="40"/>
            </w:pPr>
            <w:r>
              <w:t>7 Dec 2016</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Perth Parking Management Act 2024</w:t>
            </w:r>
            <w:r>
              <w:rPr>
                <w:iCs/>
                <w:snapToGrid w:val="0"/>
              </w:rPr>
              <w:t xml:space="preserve"> Pt. 11</w:t>
            </w:r>
          </w:p>
        </w:tc>
        <w:tc>
          <w:tcPr>
            <w:tcW w:w="1134" w:type="dxa"/>
            <w:tcBorders>
              <w:top w:val="nil"/>
              <w:left w:val="nil"/>
              <w:bottom w:val="nil"/>
              <w:right w:val="nil"/>
            </w:tcBorders>
          </w:tcPr>
          <w:p>
            <w:pPr>
              <w:pStyle w:val="nTable"/>
              <w:spacing w:after="40"/>
            </w:pPr>
            <w:r>
              <w:t>2 of 2024</w:t>
            </w:r>
          </w:p>
        </w:tc>
        <w:tc>
          <w:tcPr>
            <w:tcW w:w="1134" w:type="dxa"/>
            <w:tcBorders>
              <w:top w:val="nil"/>
              <w:left w:val="nil"/>
              <w:bottom w:val="nil"/>
              <w:right w:val="nil"/>
            </w:tcBorders>
          </w:tcPr>
          <w:p>
            <w:pPr>
              <w:pStyle w:val="nTable"/>
              <w:spacing w:after="40"/>
            </w:pPr>
            <w:r>
              <w:t>7 Mar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rPr>
            </w:pPr>
            <w:r>
              <w:rPr>
                <w:i/>
              </w:rPr>
              <w:t xml:space="preserve">Community Protection (Offender Reporting) Amendment Act 2024 </w:t>
            </w:r>
            <w:r>
              <w:rPr>
                <w:iCs/>
              </w:rPr>
              <w:t>Pt. 2 Div. 2 Subdiv. 3 and Pt. 3 Div. 2 Subdiv. 3</w:t>
            </w:r>
          </w:p>
        </w:tc>
        <w:tc>
          <w:tcPr>
            <w:tcW w:w="1134" w:type="dxa"/>
            <w:tcBorders>
              <w:top w:val="nil"/>
              <w:left w:val="nil"/>
              <w:bottom w:val="nil"/>
              <w:right w:val="nil"/>
            </w:tcBorders>
          </w:tcPr>
          <w:p>
            <w:pPr>
              <w:pStyle w:val="nTable"/>
              <w:spacing w:after="40"/>
            </w:pPr>
            <w:r>
              <w:t>35 of 2024</w:t>
            </w:r>
          </w:p>
        </w:tc>
        <w:tc>
          <w:tcPr>
            <w:tcW w:w="1134" w:type="dxa"/>
            <w:tcBorders>
              <w:top w:val="nil"/>
              <w:left w:val="nil"/>
              <w:bottom w:val="nil"/>
              <w:right w:val="nil"/>
            </w:tcBorders>
          </w:tcPr>
          <w:p>
            <w:pPr>
              <w:pStyle w:val="nTable"/>
              <w:spacing w:after="40"/>
            </w:pPr>
            <w:r>
              <w:t>22 Oct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2(b))</w:t>
            </w:r>
          </w:p>
        </w:tc>
      </w:tr>
      <w:tr>
        <w:tc>
          <w:tcPr>
            <w:tcW w:w="2410" w:type="dxa"/>
            <w:tcBorders>
              <w:top w:val="nil"/>
            </w:tcBorders>
          </w:tcPr>
          <w:p>
            <w:pPr>
              <w:pStyle w:val="nTable"/>
              <w:spacing w:after="40"/>
            </w:pPr>
            <w:r>
              <w:rPr>
                <w:i/>
                <w:iCs/>
              </w:rPr>
              <w:t xml:space="preserve">Architects Amendment Act 2025 </w:t>
            </w:r>
            <w:r>
              <w:t>s. 32</w:t>
            </w:r>
          </w:p>
        </w:tc>
        <w:tc>
          <w:tcPr>
            <w:tcW w:w="1134" w:type="dxa"/>
            <w:tcBorders>
              <w:top w:val="nil"/>
            </w:tcBorders>
          </w:tcPr>
          <w:p>
            <w:pPr>
              <w:pStyle w:val="nTable"/>
              <w:spacing w:after="40"/>
            </w:pPr>
            <w:r>
              <w:t>2 of 2025</w:t>
            </w:r>
          </w:p>
        </w:tc>
        <w:tc>
          <w:tcPr>
            <w:tcW w:w="1134" w:type="dxa"/>
            <w:tcBorders>
              <w:top w:val="nil"/>
            </w:tcBorders>
          </w:tcPr>
          <w:p>
            <w:pPr>
              <w:pStyle w:val="nTable"/>
              <w:spacing w:after="40"/>
            </w:pPr>
            <w:r>
              <w:t>10 Jun 2025</w:t>
            </w:r>
          </w:p>
        </w:tc>
        <w:tc>
          <w:tcPr>
            <w:tcW w:w="2410" w:type="dxa"/>
            <w:tcBorders>
              <w:top w:val="nil"/>
            </w:tcBorders>
          </w:tcPr>
          <w:p>
            <w:pPr>
              <w:pStyle w:val="nTable"/>
              <w:spacing w:after="40"/>
            </w:pPr>
            <w:r>
              <w:t>To be proclaimed (see s. 2(b))</w:t>
            </w:r>
          </w:p>
        </w:tc>
      </w:tr>
    </w:tbl>
    <w:p>
      <w:pPr>
        <w:pStyle w:val="nHeading3"/>
      </w:pPr>
      <w:bookmarkStart w:id="425" w:name="_Toc200524996"/>
      <w:r>
        <w:t>Other notes</w:t>
      </w:r>
      <w:bookmarkEnd w:id="425"/>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lastRenderedPageBreak/>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keepNext/>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Lines w:val="0"/>
        <w:rPr>
          <w:sz w:val="20"/>
          <w:szCs w:val="20"/>
        </w:rPr>
      </w:pPr>
    </w:p>
    <w:p>
      <w:pPr>
        <w:pStyle w:val="nzHeading5"/>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lastRenderedPageBreak/>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keepNext/>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lastRenderedPageBreak/>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keepNext/>
        <w:keepLines/>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lastRenderedPageBreak/>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Lines w:val="0"/>
        <w:tabs>
          <w:tab w:val="left" w:pos="2506"/>
        </w:tabs>
      </w:pPr>
      <w:r>
        <w:lastRenderedPageBreak/>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lastRenderedPageBreak/>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w:t>
      </w:r>
      <w:r>
        <w:lastRenderedPageBreak/>
        <w:t xml:space="preserve">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w:t>
      </w:r>
      <w:r>
        <w:lastRenderedPageBreak/>
        <w:t xml:space="preserve">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427" w:name="_Toc200460016"/>
      <w:bookmarkStart w:id="428" w:name="_Toc200460316"/>
      <w:bookmarkStart w:id="429" w:name="_Toc200524997"/>
      <w:r>
        <w:rPr>
          <w:sz w:val="28"/>
        </w:rPr>
        <w:lastRenderedPageBreak/>
        <w:t>Defined terms</w:t>
      </w:r>
      <w:bookmarkEnd w:id="427"/>
      <w:bookmarkEnd w:id="428"/>
      <w:bookmarkEnd w:id="4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33HA(3), 67A(3), 76A(2)</w:t>
      </w:r>
    </w:p>
    <w:p>
      <w:pPr>
        <w:pStyle w:val="DefinedTerms"/>
        <w:ind w:right="1"/>
        <w:jc w:val="right"/>
      </w:pPr>
      <w:r>
        <w:t xml:space="preserve"> and (2C), 84CA(2) and (3C)</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lastRenderedPageBreak/>
        <w:t>family victim</w:t>
      </w:r>
      <w:r>
        <w:tab/>
        <w:t>23A</w:t>
      </w:r>
    </w:p>
    <w:p>
      <w:pPr>
        <w:pStyle w:val="DefinedTerms"/>
      </w:pPr>
      <w:r>
        <w:t>family violence offence (category A)</w:t>
      </w:r>
      <w:r>
        <w:tab/>
        <w:t>4(1)</w:t>
      </w:r>
    </w:p>
    <w:p>
      <w:pPr>
        <w:pStyle w:val="DefinedTerms"/>
      </w:pPr>
      <w:r>
        <w:t>family violence offence (category B)</w:t>
      </w:r>
      <w:r>
        <w:tab/>
        <w:t>4(1)</w:t>
      </w:r>
    </w:p>
    <w:p>
      <w:pPr>
        <w:pStyle w:val="DefinedTerms"/>
      </w:pPr>
      <w:r>
        <w:t>family violence restraining order</w:t>
      </w:r>
      <w:r>
        <w:tab/>
        <w:t>4(1)</w:t>
      </w:r>
    </w:p>
    <w:p>
      <w:pPr>
        <w:pStyle w:val="DefinedTerms"/>
      </w:pPr>
      <w:r>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lastRenderedPageBreak/>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WA marine qualification</w:t>
      </w:r>
      <w:r>
        <w:tab/>
        <w:t>107(5)</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1CCC67C"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CA5BC9E" w14:textId="675C69AB" w:rsidR="00D0793B" w:rsidRDefault="00F6548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8219C">
                        <w:rPr>
                          <w:sz w:val="16"/>
                        </w:rPr>
                        <w:t>2025</w:t>
                      </w:r>
                      <w:r>
                        <w:rPr>
                          <w:sz w:val="16"/>
                        </w:rPr>
                        <w:fldChar w:fldCharType="end"/>
                      </w:r>
                      <w:r>
                        <w:rPr>
                          <w:sz w:val="16"/>
                        </w:rPr>
                        <w:t>.</w:t>
                      </w:r>
                    </w:p>
                    <w:p w14:paraId="5D41EFB5" w14:textId="77777777" w:rsidR="00D0793B" w:rsidRDefault="00F6548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595EBB0" w14:textId="52356059" w:rsidR="00D0793B" w:rsidRDefault="00F6548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8219C">
                        <w:rPr>
                          <w:sz w:val="16"/>
                        </w:rPr>
                        <w:t>2025</w:t>
                      </w:r>
                      <w:r>
                        <w:rPr>
                          <w:sz w:val="16"/>
                        </w:rPr>
                        <w:fldChar w:fldCharType="end"/>
                      </w:r>
                      <w:r>
                        <w:rPr>
                          <w:sz w:val="16"/>
                        </w:rPr>
                        <w:t>.</w:t>
                      </w:r>
                    </w:p>
                    <w:p w14:paraId="237F9F39" w14:textId="77777777" w:rsidR="00D0793B" w:rsidRDefault="00F6548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10-ae0-00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10-ae0-00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13" w:name="Schedule"/>
    <w:bookmarkEnd w:id="4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6" w:name="Compilation"/>
    <w:bookmarkEnd w:id="42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0" w:name="DefinedTerms"/>
    <w:bookmarkEnd w:id="43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1" w:name="Coversheet"/>
    <w:bookmarkEnd w:id="4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3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10143719"/>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 w:name="WAFER_20240613112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425_GUID" w:val="957c915b-01f8-4335-adb6-21e56b3d3d80"/>
    <w:docVar w:name="WAFER_20240627094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4024_GUID" w:val="b5f14f23-25f6-4c47-81f6-8046ba8478b9"/>
    <w:docVar w:name="WAFER_20240912095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5826_GUID" w:val="d29ed599-c1ac-4f47-bccb-6e254057c34d"/>
    <w:docVar w:name="WAFER_2024092510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100057_GUID" w:val="9ed6c388-19b4-4379-84a4-0e77bdfb17b9"/>
    <w:docVar w:name="WAFER_20241018095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5436_GUID" w:val="e194552c-497a-4ed2-964c-40c89894e433"/>
    <w:docVar w:name="WAFER_2024120913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9135103_GUID" w:val="e600eb17-cd18-4c8c-a84a-af014dbab56c"/>
    <w:docVar w:name="WAFER_20241211162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1162005_GUID" w:val="90c62e82-7ff6-44f4-b891-f50a0583b235"/>
    <w:docVar w:name="WAFER_20241219091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9091849_GUID" w:val="8099de98-f94c-44e4-bf43-5311fa91ac15"/>
    <w:docVar w:name="WAFER_20250307134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07134803_GUID" w:val="56041efb-346b-4195-9f02-f89ff5c0c64e"/>
    <w:docVar w:name="WAFER_20250311115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50311115221_GUID" w:val="923b3a41-6712-4431-aa14-0d974ce6c765"/>
    <w:docVar w:name="WAFER_20250610143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719_GUID" w:val="e75025ff-9cb8-4cf6-9ff7-7b631814de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3585"/>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customXml/itemProps2.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59785</Words>
  <Characters>278002</Characters>
  <Application>Microsoft Office Word</Application>
  <DocSecurity>0</DocSecurity>
  <Lines>8424</Lines>
  <Paragraphs>5041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332746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1995 - 10-ae0-00</dc:title>
  <dc:subject/>
  <dc:creator/>
  <cp:keywords/>
  <dc:description/>
  <cp:lastModifiedBy>Master Repository Process</cp:lastModifiedBy>
  <cp:revision>4</cp:revision>
  <cp:lastPrinted>2019-06-26T03:44:00Z</cp:lastPrinted>
  <dcterms:created xsi:type="dcterms:W3CDTF">2025-06-11T01:34:00Z</dcterms:created>
  <dcterms:modified xsi:type="dcterms:W3CDTF">2025-06-11T01:34:00Z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10 Jun 2025</vt:lpwstr>
  </property>
  <property fmtid="{D5CDD505-2E9C-101B-9397-08002B2CF9AE}" pid="8" name="Suffix">
    <vt:lpwstr>10-ae0-00</vt:lpwstr>
  </property>
  <property fmtid="{D5CDD505-2E9C-101B-9397-08002B2CF9AE}" pid="9" name="Official">
    <vt:lpwstr/>
  </property>
  <property fmtid="{D5CDD505-2E9C-101B-9397-08002B2CF9AE}" pid="10" name="CommencementDate">
    <vt:lpwstr>20250610</vt:lpwstr>
  </property>
  <property fmtid="{D5CDD505-2E9C-101B-9397-08002B2CF9AE}" pid="11" name="CommencementAsAt">
    <vt:filetime>2025-06-09T16:00:00Z</vt:filetime>
  </property>
  <property fmtid="{D5CDD505-2E9C-101B-9397-08002B2CF9AE}" pid="12" name="CommencementYear">
    <vt:lpwstr>2025</vt:lpwstr>
  </property>
</Properties>
</file>