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Industrial Relations Act 1979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Industrial Relations Commission Amendment Regulations (No. 3)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Industrial Relations Commission Amendment Regulations (No. 3)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_Toc200619199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_Toc200619200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_Toc200619201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20 amended</w:t>
      </w:r>
      <w:r>
        <w:tab/>
      </w:r>
      <w:r>
        <w:fldChar w:fldCharType="begin"/>
      </w:r>
      <w:r>
        <w:instrText xml:space="preserve"> PAGEREF _Toc200619202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34 amended</w:t>
      </w:r>
      <w:r>
        <w:tab/>
      </w:r>
      <w:r>
        <w:fldChar w:fldCharType="begin"/>
      </w:r>
      <w:r>
        <w:instrText xml:space="preserve"> PAGEREF _Toc200619203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62G inserted</w:t>
      </w:r>
      <w:r>
        <w:tab/>
      </w:r>
      <w:r>
        <w:fldChar w:fldCharType="begin"/>
      </w:r>
      <w:r>
        <w:instrText xml:space="preserve"> PAGEREF _Toc200619204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62G.</w:t>
      </w:r>
      <w:r>
        <w:rPr>
          <w:noProof/>
        </w:rPr>
        <w:tab/>
        <w:t>Breach of public sector standards claim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_Toc200619205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Industrial Relations Act 1979</w:t>
      </w:r>
    </w:p>
    <w:p>
      <w:pPr>
        <w:pStyle w:val="NameofActReg"/>
      </w:pPr>
      <w:r>
        <w:t>Industrial Relations Commission Amendment Regulations (No. 3) 2025</w:t>
      </w:r>
    </w:p>
    <w:p>
      <w:pPr>
        <w:pStyle w:val="MadeBy"/>
      </w:pPr>
      <w:r>
        <w:t>Made by the Chief Commissioner of The Western Australian Industrial Relations Commission.</w:t>
      </w:r>
    </w:p>
    <w:p>
      <w:pPr>
        <w:pStyle w:val="Heading5"/>
      </w:pPr>
      <w:bookmarkStart w:id="2" w:name="_Toc200617962"/>
      <w:bookmarkStart w:id="3" w:name="_Toc20061919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Industrial Relations Commission Amendment Regulations (No. 3) 2025</w:t>
      </w:r>
      <w:r>
        <w:t>.</w:t>
      </w:r>
    </w:p>
    <w:p>
      <w:pPr>
        <w:pStyle w:val="Heading5"/>
        <w:rPr>
          <w:spacing w:val="-2"/>
        </w:rPr>
      </w:pPr>
      <w:bookmarkStart w:id="5" w:name="_Toc200617963"/>
      <w:bookmarkStart w:id="6" w:name="_Toc20061920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Industrial Relations Legislation Amendment Act 2024</w:t>
      </w:r>
      <w:r>
        <w:t xml:space="preserve"> section 99 comes into operation.</w:t>
      </w:r>
    </w:p>
    <w:p>
      <w:pPr>
        <w:pStyle w:val="Heading5"/>
        <w:rPr>
          <w:snapToGrid w:val="0"/>
        </w:rPr>
      </w:pPr>
      <w:bookmarkStart w:id="7" w:name="_Toc200617964"/>
      <w:bookmarkStart w:id="8" w:name="_Toc20061920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Industrial Relations Commission Regulations 2005</w:t>
      </w:r>
      <w:r>
        <w:t>.</w:t>
      </w:r>
    </w:p>
    <w:p>
      <w:pPr>
        <w:pStyle w:val="Heading5"/>
      </w:pPr>
      <w:bookmarkStart w:id="9" w:name="_Toc200617965"/>
      <w:bookmarkStart w:id="10" w:name="_Toc200619202"/>
      <w:r>
        <w:rPr>
          <w:rStyle w:val="CharSectno"/>
        </w:rPr>
        <w:t>4</w:t>
      </w:r>
      <w:r>
        <w:t>.</w:t>
      </w:r>
      <w:r>
        <w:tab/>
        <w:t>Regulation 20 amended</w:t>
      </w:r>
      <w:bookmarkEnd w:id="9"/>
      <w:bookmarkEnd w:id="10"/>
    </w:p>
    <w:p>
      <w:pPr>
        <w:pStyle w:val="Subsection"/>
      </w:pPr>
      <w:r>
        <w:tab/>
      </w:r>
      <w:r>
        <w:tab/>
        <w:t>Delete regulation 20(6).</w:t>
      </w:r>
    </w:p>
    <w:p>
      <w:pPr>
        <w:pStyle w:val="Heading5"/>
      </w:pPr>
      <w:bookmarkStart w:id="11" w:name="_Toc200617966"/>
      <w:bookmarkStart w:id="12" w:name="_Toc200619203"/>
      <w:r>
        <w:rPr>
          <w:rStyle w:val="CharSectno"/>
        </w:rPr>
        <w:lastRenderedPageBreak/>
        <w:t>5</w:t>
      </w:r>
      <w:r>
        <w:t>.</w:t>
      </w:r>
      <w:r>
        <w:tab/>
        <w:t>Regulation 34 amended</w:t>
      </w:r>
      <w:bookmarkEnd w:id="11"/>
      <w:bookmarkEnd w:id="12"/>
    </w:p>
    <w:p>
      <w:pPr>
        <w:pStyle w:val="Subsection"/>
        <w:keepNext/>
      </w:pPr>
      <w:r>
        <w:tab/>
        <w:t>(1)</w:t>
      </w:r>
      <w:r>
        <w:tab/>
        <w:t>Delete regulation 34(2) and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>The Commission may, of its own motion or on an application by a party to proceedings, do any of the following by way of a telephone or video conference link</w:t>
      </w:r>
      <w:r>
        <w:noBreakHyphen/>
        <w:t xml:space="preserve">up — </w:t>
      </w:r>
    </w:p>
    <w:p>
      <w:pPr>
        <w:pStyle w:val="zIndenta"/>
      </w:pPr>
      <w:r>
        <w:tab/>
        <w:t>(a)</w:t>
      </w:r>
      <w:r>
        <w:tab/>
        <w:t>deal with applications;</w:t>
      </w:r>
    </w:p>
    <w:p>
      <w:pPr>
        <w:pStyle w:val="zIndenta"/>
      </w:pPr>
      <w:r>
        <w:tab/>
        <w:t>(b)</w:t>
      </w:r>
      <w:r>
        <w:tab/>
        <w:t>hold conferences;</w:t>
      </w:r>
    </w:p>
    <w:p>
      <w:pPr>
        <w:pStyle w:val="zIndenta"/>
      </w:pPr>
      <w:r>
        <w:tab/>
        <w:t>(c)</w:t>
      </w:r>
      <w:r>
        <w:tab/>
        <w:t>conduct a hearing.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After regulation 34(5) insert:</w:t>
      </w:r>
    </w:p>
    <w:p>
      <w:pPr>
        <w:pStyle w:val="BlankOpen"/>
      </w:pPr>
    </w:p>
    <w:p>
      <w:pPr>
        <w:pStyle w:val="zSubsection"/>
      </w:pPr>
      <w:r>
        <w:tab/>
        <w:t>(6)</w:t>
      </w:r>
      <w:r>
        <w:tab/>
        <w:t>The Commission may limit oral arguments or decline to take oral submissions when written submissions have been filed.</w:t>
      </w:r>
    </w:p>
    <w:p>
      <w:pPr>
        <w:pStyle w:val="BlankClose"/>
      </w:pPr>
    </w:p>
    <w:p>
      <w:pPr>
        <w:pStyle w:val="Heading5"/>
      </w:pPr>
      <w:bookmarkStart w:id="13" w:name="_Toc200617967"/>
      <w:bookmarkStart w:id="14" w:name="_Toc200619204"/>
      <w:r>
        <w:rPr>
          <w:rStyle w:val="CharSectno"/>
        </w:rPr>
        <w:t>6</w:t>
      </w:r>
      <w:r>
        <w:t>.</w:t>
      </w:r>
      <w:r>
        <w:tab/>
        <w:t>Regulation 62G inserted</w:t>
      </w:r>
      <w:bookmarkEnd w:id="13"/>
      <w:bookmarkEnd w:id="14"/>
    </w:p>
    <w:p>
      <w:pPr>
        <w:pStyle w:val="Subsection"/>
      </w:pPr>
      <w:r>
        <w:tab/>
      </w:r>
      <w:r>
        <w:tab/>
        <w:t>At the end of Part 5 insert:</w:t>
      </w:r>
    </w:p>
    <w:p>
      <w:pPr>
        <w:pStyle w:val="BlankOpen"/>
      </w:pPr>
    </w:p>
    <w:p>
      <w:pPr>
        <w:pStyle w:val="zHeading5"/>
      </w:pPr>
      <w:bookmarkStart w:id="15" w:name="_Toc200617968"/>
      <w:bookmarkStart w:id="16" w:name="_Toc200619205"/>
      <w:r>
        <w:t>62G.</w:t>
      </w:r>
      <w:r>
        <w:tab/>
        <w:t>Breach of public sector standards claim</w:t>
      </w:r>
      <w:bookmarkEnd w:id="15"/>
      <w:bookmarkEnd w:id="16"/>
    </w:p>
    <w:p>
      <w:pPr>
        <w:pStyle w:val="zSubsection"/>
      </w:pPr>
      <w:r>
        <w:tab/>
        <w:t>(1)</w:t>
      </w:r>
      <w:r>
        <w:tab/>
        <w:t>This regulation applies if a person refers a breach of public sector standards claim to the Commission under section 29(1)(l) of the Act.</w:t>
      </w:r>
    </w:p>
    <w:p>
      <w:pPr>
        <w:pStyle w:val="zSubsection"/>
      </w:pPr>
      <w:r>
        <w:tab/>
        <w:t>(2)</w:t>
      </w:r>
      <w:r>
        <w:tab/>
        <w:t xml:space="preserve">The referral must be made by application that — </w:t>
      </w:r>
    </w:p>
    <w:p>
      <w:pPr>
        <w:pStyle w:val="zIndenta"/>
      </w:pPr>
      <w:r>
        <w:tab/>
        <w:t>(a)</w:t>
      </w:r>
      <w:r>
        <w:tab/>
        <w:t>is in the approved form; and</w:t>
      </w:r>
    </w:p>
    <w:p>
      <w:pPr>
        <w:pStyle w:val="zIndenta"/>
      </w:pPr>
      <w:r>
        <w:tab/>
        <w:t>(b)</w:t>
      </w:r>
      <w:r>
        <w:tab/>
        <w:t>identifies the public sector standard alleged to have been breached; and</w:t>
      </w:r>
    </w:p>
    <w:p>
      <w:pPr>
        <w:pStyle w:val="zIndenta"/>
      </w:pPr>
      <w:r>
        <w:lastRenderedPageBreak/>
        <w:tab/>
        <w:t>(c)</w:t>
      </w:r>
      <w:r>
        <w:tab/>
        <w:t>identifies the public sector body to which the breach of public sector standards claim was made; and</w:t>
      </w:r>
    </w:p>
    <w:p>
      <w:pPr>
        <w:pStyle w:val="zIndenta"/>
      </w:pPr>
      <w:r>
        <w:tab/>
        <w:t>(d)</w:t>
      </w:r>
      <w:r>
        <w:tab/>
        <w:t>includes a statement that clearly and concisely sets out the grounds of the referral; and</w:t>
      </w:r>
    </w:p>
    <w:p>
      <w:pPr>
        <w:pStyle w:val="zIndenta"/>
      </w:pPr>
      <w:r>
        <w:tab/>
        <w:t>(e)</w:t>
      </w:r>
      <w:r>
        <w:tab/>
        <w:t>is accompanied by a copy of the breach of public sector standards claim; and</w:t>
      </w:r>
    </w:p>
    <w:p>
      <w:pPr>
        <w:pStyle w:val="zIndenta"/>
      </w:pPr>
      <w:r>
        <w:tab/>
        <w:t>(f)</w:t>
      </w:r>
      <w:r>
        <w:tab/>
        <w:t>has attached to it the particulars approved by the Chief Commissioner from time to time.</w:t>
      </w:r>
    </w:p>
    <w:p>
      <w:pPr>
        <w:pStyle w:val="zSubsection"/>
      </w:pPr>
      <w:r>
        <w:tab/>
        <w:t>(3)</w:t>
      </w:r>
      <w:r>
        <w:tab/>
        <w:t>If the breach of public sector standards claim is referred to the Commission after the time required by section 29(2)(d) of the Act, the application must also have attached to it a statement from the applicant setting out the facts on which the applicant relies to show why it would be unfair for the Commission not to accept the referral.</w:t>
      </w:r>
    </w:p>
    <w:p>
      <w:pPr>
        <w:pStyle w:val="zSubsection"/>
      </w:pPr>
      <w:r>
        <w:tab/>
        <w:t>(4)</w:t>
      </w:r>
      <w:r>
        <w:tab/>
        <w:t>Unless the Commission otherwise directs, the Registrar must, as soon as practicable after the application is made, serve a copy of the application and any accompanying documents on the public sector body to which the breach of public sector standards claim was made.</w:t>
      </w:r>
    </w:p>
    <w:p>
      <w:pPr>
        <w:pStyle w:val="zSubsection"/>
      </w:pPr>
      <w:r>
        <w:tab/>
        <w:t>(5)</w:t>
      </w:r>
      <w:r>
        <w:tab/>
        <w:t>A public sector body that is served with a copy of the application and that wants to respond to the referral must file a response in the approved form within 21 days after being served with a copy of the application.</w:t>
      </w:r>
    </w:p>
    <w:p>
      <w:pPr>
        <w:pStyle w:val="zSubsection"/>
      </w:pPr>
      <w:r>
        <w:tab/>
        <w:t>(6)</w:t>
      </w:r>
      <w:r>
        <w:tab/>
        <w:t>A response must, in summary form, specify the facts on which the public sector body relies and specifically admit or dispute, either with or without qualification, each part of the application.</w:t>
      </w:r>
    </w:p>
    <w:p>
      <w:pPr>
        <w:pStyle w:val="zSubsection"/>
      </w:pPr>
      <w:r>
        <w:lastRenderedPageBreak/>
        <w:tab/>
        <w:t>(7)</w:t>
      </w:r>
      <w:r>
        <w:tab/>
        <w:t>Unless the Commission otherwise directs, the Registrar must, as soon as practicable after a response is filed, serve a copy of the response on the applicant.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S. KENNER, Chief Commissioner</w:t>
      </w:r>
      <w:r>
        <w:br/>
        <w:t>The Western Australian Industrial Relations Commission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Relations Commission Amendment Regulations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Relations Commission Amendment Regulations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Relations Commission Amendment Regulations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Industrial Relations Commission Amendment Regulations (No. 3)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1210520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3281322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328132209_GUID" w:val="a57e32b4-3a46-453d-a335-df8ab1789a56"/>
    <w:docVar w:name="WAFER_202505231521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523152131_GUID" w:val="b1c3b25d-f0c5-4c4a-bf14-06e6fe53d9b8"/>
    <w:docVar w:name="WAFER_202506121052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12105200_GUID" w:val="80cf0eef-2d24-4cd7-a4fc-d277d937e8a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5:docId w15:val="{E7574AD9-F328-4D82-8699-31EFE3C0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703</Words>
  <Characters>3651</Characters>
  <Application>Microsoft Office Word</Application>
  <DocSecurity>0</DocSecurity>
  <Lines>125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Relations Commission Amendment Regulations (No. 3)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2025-06-12T03:16:00Z</dcterms:created>
  <dcterms:modified xsi:type="dcterms:W3CDTF">2025-06-12T03:16:00Z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55352</vt:lpwstr>
  </property>
  <property fmtid="{D5CDD505-2E9C-101B-9397-08002B2CF9AE}" pid="3" name="DocumentType">
    <vt:lpwstr>Reg</vt:lpwstr>
  </property>
  <property fmtid="{D5CDD505-2E9C-101B-9397-08002B2CF9AE}" pid="4" name="AsAtDate">
    <vt:lpwstr>13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2025/94</vt:lpwstr>
  </property>
  <property fmtid="{D5CDD505-2E9C-101B-9397-08002B2CF9AE}" pid="8" name="PublishDate">
    <vt:lpwstr>13 Jun 2025</vt:lpwstr>
  </property>
  <property fmtid="{D5CDD505-2E9C-101B-9397-08002B2CF9AE}" pid="9" name="CommencementDate">
    <vt:lpwstr>20250613</vt:lpwstr>
  </property>
  <property fmtid="{D5CDD505-2E9C-101B-9397-08002B2CF9AE}" pid="10" name="CommencementAsAt">
    <vt:filetime>2025-06-12T16:00:00Z</vt:filetime>
  </property>
  <property fmtid="{D5CDD505-2E9C-101B-9397-08002B2CF9AE}" pid="11" name="CommencementYear">
    <vt:lpwstr>2025</vt:lpwstr>
  </property>
</Properties>
</file>