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9)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9)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_Toc201055787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Notice of publication</w:t>
      </w:r>
      <w:r>
        <w:tab/>
      </w:r>
      <w:r>
        <w:fldChar w:fldCharType="begin"/>
      </w:r>
      <w:r>
        <w:instrText xml:space="preserve"> PAGEREF _Toc201055788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9) 2025</w:t>
      </w:r>
    </w:p>
    <w:p>
      <w:pPr>
        <w:pStyle w:val="MadeBy"/>
      </w:pPr>
      <w:r>
        <w:t>Made under section 12(2)(c) of the Act.</w:t>
      </w:r>
    </w:p>
    <w:p>
      <w:pPr>
        <w:pStyle w:val="Heading5"/>
      </w:pPr>
      <w:bookmarkStart w:id="2" w:name="_Toc201054324"/>
      <w:bookmarkStart w:id="3" w:name="_Toc20105578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 (No. 9) 2025</w:t>
      </w:r>
      <w:r>
        <w:t>.</w:t>
      </w:r>
    </w:p>
    <w:p>
      <w:pPr>
        <w:pStyle w:val="Heading5"/>
        <w:rPr>
          <w:spacing w:val="-2"/>
        </w:rPr>
      </w:pPr>
      <w:bookmarkStart w:id="5" w:name="_Toc201054325"/>
      <w:bookmarkStart w:id="6" w:name="_Toc20105578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Notice of publication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 following therapeutic legislative instrument has/have been made and published on the Federal Register of Legislation website </w:t>
      </w:r>
      <w:hyperlink r:id="rId21" w:history="1">
        <w:r>
          <w:rPr>
            <w:rStyle w:val="Hyperlink"/>
          </w:rPr>
          <w:t>www.legislation.gov.au</w:t>
        </w:r>
      </w:hyperlink>
      <w:r>
        <w:t>:</w:t>
      </w:r>
    </w:p>
    <w:p>
      <w:pPr>
        <w:pStyle w:val="MiscellaneousBody"/>
        <w:tabs>
          <w:tab w:val="left" w:pos="2127"/>
        </w:tabs>
        <w:spacing w:before="120"/>
        <w:ind w:left="1276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1.</w:t>
      </w:r>
      <w:r>
        <w:rPr>
          <w:color w:val="000000" w:themeColor="text1"/>
          <w:szCs w:val="24"/>
        </w:rPr>
        <w:tab/>
        <w:t>Therapeutic Goods (Permissible Ingredients) Determination (No. 2) 2025</w:t>
      </w:r>
    </w:p>
    <w:p>
      <w:pPr>
        <w:pStyle w:val="PermNoteHeading"/>
      </w:pPr>
      <w:r>
        <w:tab/>
        <w:t>Note:</w:t>
      </w:r>
    </w:p>
    <w:p>
      <w:pPr>
        <w:pStyle w:val="PermNoteText"/>
      </w:pPr>
      <w:r>
        <w:tab/>
      </w:r>
      <w:r>
        <w:tab/>
        <w:t xml:space="preserve">The above therapeutic legislative instrument applies/apply as a law of the State under the </w:t>
      </w:r>
      <w:r>
        <w:rPr>
          <w:i/>
          <w:iCs/>
        </w:rPr>
        <w:t>Therapeutic Goods Law Application Act 2024</w:t>
      </w:r>
      <w:r>
        <w:t xml:space="preserve"> section 10(1) (subject to section 10(2) of that Act). The above instrument may not have effect under the </w:t>
      </w:r>
      <w:r>
        <w:rPr>
          <w:i/>
          <w:iCs/>
        </w:rPr>
        <w:t>Therapeutic Goods Law Application Act 2024</w:t>
      </w:r>
      <w:r>
        <w:t xml:space="preserve"> section 11 or may cease to have effect under the </w:t>
      </w:r>
      <w:r>
        <w:rPr>
          <w:i/>
          <w:iCs/>
        </w:rPr>
        <w:t>Therapeutic Goods Law Application Act 2024</w:t>
      </w:r>
      <w:r>
        <w:t xml:space="preserve"> section 13.</w:t>
      </w:r>
    </w:p>
    <w:p>
      <w:pPr>
        <w:pStyle w:val="ByCommand"/>
        <w:spacing w:before="600"/>
        <w:rPr>
          <w:b/>
          <w:bCs/>
          <w:sz w:val="22"/>
          <w:szCs w:val="18"/>
        </w:r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rPr>
          <w:b/>
          <w:bCs/>
          <w:sz w:val="22"/>
          <w:szCs w:val="18"/>
        </w:rPr>
        <w:t>JANE LAURENCE</w:t>
      </w:r>
      <w:r>
        <w:rPr>
          <w:b/>
          <w:bCs/>
          <w:sz w:val="22"/>
          <w:szCs w:val="18"/>
        </w:rPr>
        <w:br/>
        <w:t>GENERAL COUNSEL AND 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5926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9)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9)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9)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9)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1712032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6171202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17120206_GUID" w:val="7f3a8b8b-508f-471a-a90f-9bc41913c1e0"/>
    <w:docVar w:name="WAFER_202506171203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17120325_GUID" w:val="0d04e88e-8b5d-4393-96df-96e7a89f695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BC7065E9-E08A-4AFA-9E6C-06B5378C4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1526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9)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2025-06-18T00:50:00Z</dcterms:created>
  <dcterms:modified xsi:type="dcterms:W3CDTF">2025-06-18T00:50:00Z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55520</vt:lpwstr>
  </property>
  <property fmtid="{D5CDD505-2E9C-101B-9397-08002B2CF9AE}" pid="3" name="DocumentType">
    <vt:lpwstr>Reg</vt:lpwstr>
  </property>
  <property fmtid="{D5CDD505-2E9C-101B-9397-08002B2CF9AE}" pid="4" name="SLAPId">
    <vt:lpwstr>2025/95</vt:lpwstr>
  </property>
  <property fmtid="{D5CDD505-2E9C-101B-9397-08002B2CF9AE}" pid="5" name="PublishDate">
    <vt:lpwstr>19 Jun 2025</vt:lpwstr>
  </property>
  <property fmtid="{D5CDD505-2E9C-101B-9397-08002B2CF9AE}" pid="6" name="AsAtDate">
    <vt:lpwstr>19 Jun 2025</vt:lpwstr>
  </property>
  <property fmtid="{D5CDD505-2E9C-101B-9397-08002B2CF9AE}" pid="7" name="Suffix">
    <vt:lpwstr>00-00-00</vt:lpwstr>
  </property>
  <property fmtid="{D5CDD505-2E9C-101B-9397-08002B2CF9AE}" pid="8" name="Official">
    <vt:lpwstr/>
  </property>
  <property fmtid="{D5CDD505-2E9C-101B-9397-08002B2CF9AE}" pid="9" name="CommencementDate">
    <vt:lpwstr>20250619</vt:lpwstr>
  </property>
  <property fmtid="{D5CDD505-2E9C-101B-9397-08002B2CF9AE}" pid="10" name="CommencementAsAt">
    <vt:filetime>2025-06-18T16:00:00Z</vt:filetime>
  </property>
  <property fmtid="{D5CDD505-2E9C-101B-9397-08002B2CF9AE}" pid="11" name="CommencementYear">
    <vt:lpwstr>2025</vt:lpwstr>
  </property>
</Properties>
</file>