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Amendment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Amendment Act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_Toc201243020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_Toc201243021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_Toc201243022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_Toc201243023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141 amended</w:t>
      </w:r>
      <w:r>
        <w:tab/>
      </w:r>
      <w:r>
        <w:fldChar w:fldCharType="begin"/>
      </w:r>
      <w:r>
        <w:instrText xml:space="preserve"> PAGEREF _Toc201243024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142 amended</w:t>
      </w:r>
      <w:r>
        <w:tab/>
      </w:r>
      <w:r>
        <w:fldChar w:fldCharType="begin"/>
      </w:r>
      <w:r>
        <w:instrText xml:space="preserve"> PAGEREF _Toc201243025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266E amended</w:t>
      </w:r>
      <w:r>
        <w:tab/>
      </w:r>
      <w:r>
        <w:fldChar w:fldCharType="begin"/>
      </w:r>
      <w:r>
        <w:instrText xml:space="preserve"> PAGEREF _Toc201243026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266F amended</w:t>
      </w:r>
      <w:r>
        <w:tab/>
      </w:r>
      <w:r>
        <w:fldChar w:fldCharType="begin"/>
      </w:r>
      <w:r>
        <w:instrText xml:space="preserve"> PAGEREF _Toc201243027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266FA amended</w:t>
      </w:r>
      <w:r>
        <w:tab/>
      </w:r>
      <w:r>
        <w:fldChar w:fldCharType="begin"/>
      </w:r>
      <w:r>
        <w:instrText xml:space="preserve"> PAGEREF _Toc201243028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266G amended</w:t>
      </w:r>
      <w:r>
        <w:tab/>
      </w:r>
      <w:r>
        <w:fldChar w:fldCharType="begin"/>
      </w:r>
      <w:r>
        <w:instrText xml:space="preserve"> PAGEREF _Toc201243029 \h </w:instrText>
      </w:r>
      <w:r>
        <w:fldChar w:fldCharType="separate"/>
      </w:r>
      <w:r>
        <w:t>5</w:t>
      </w:r>
      <w:r>
        <w:fldChar w:fldCharType="end"/>
      </w:r>
    </w:p>
    <w:p>
      <w:pPr>
        <w:pStyle w:val="TOC8"/>
        <w:rPr>
          <w:rFonts w:asciiTheme="minorHAnsi" w:eastAsiaTheme="minorEastAsia" w:hAnsiTheme="minorHAnsi" w:cstheme="minorBidi"/>
          <w:szCs w:val="22"/>
        </w:rPr>
      </w:pPr>
      <w:r>
        <w:t>11.</w:t>
      </w:r>
      <w:r>
        <w:tab/>
        <w:t>Section 266L amended</w:t>
      </w:r>
      <w:r>
        <w:tab/>
      </w:r>
      <w:r>
        <w:fldChar w:fldCharType="begin"/>
      </w:r>
      <w:r>
        <w:instrText xml:space="preserve"> PAGEREF _Toc201243030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266O amended</w:t>
      </w:r>
      <w:r>
        <w:tab/>
      </w:r>
      <w:r>
        <w:fldChar w:fldCharType="begin"/>
      </w:r>
      <w:r>
        <w:instrText xml:space="preserve"> PAGEREF _Toc201243031 \h </w:instrText>
      </w:r>
      <w:r>
        <w:fldChar w:fldCharType="separate"/>
      </w:r>
      <w:r>
        <w:t>8</w:t>
      </w:r>
      <w:r>
        <w:fldChar w:fldCharType="end"/>
      </w:r>
    </w:p>
    <w:p>
      <w:pPr>
        <w:pStyle w:val="TOC8"/>
        <w:rPr>
          <w:rFonts w:asciiTheme="minorHAnsi" w:eastAsiaTheme="minorEastAsia" w:hAnsiTheme="minorHAnsi" w:cstheme="minorBidi"/>
          <w:szCs w:val="22"/>
        </w:rPr>
      </w:pPr>
      <w:r>
        <w:t>13.</w:t>
      </w:r>
      <w:r>
        <w:tab/>
        <w:t>Schedule 2 Division 2 amended</w:t>
      </w:r>
      <w:r>
        <w:tab/>
      </w:r>
      <w:r>
        <w:fldChar w:fldCharType="begin"/>
      </w:r>
      <w:r>
        <w:instrText xml:space="preserve"> PAGEREF _Toc201243032 \h </w:instrText>
      </w:r>
      <w:r>
        <w:fldChar w:fldCharType="separate"/>
      </w:r>
      <w:r>
        <w:t>9</w:t>
      </w:r>
      <w:r>
        <w:fldChar w:fldCharType="end"/>
      </w:r>
    </w:p>
    <w:p>
      <w:pPr>
        <w:pStyle w:val="TOC8"/>
        <w:rPr>
          <w:rFonts w:asciiTheme="minorHAnsi" w:eastAsiaTheme="minorEastAsia" w:hAnsiTheme="minorHAnsi" w:cstheme="minorBidi"/>
          <w:szCs w:val="22"/>
        </w:rPr>
      </w:pPr>
      <w:r>
        <w:t>14.</w:t>
      </w:r>
      <w:r>
        <w:tab/>
        <w:t>Schedule 3 amended</w:t>
      </w:r>
      <w:r>
        <w:tab/>
      </w:r>
      <w:r>
        <w:fldChar w:fldCharType="begin"/>
      </w:r>
      <w:r>
        <w:instrText xml:space="preserve"> PAGEREF _Toc201243033 \h </w:instrText>
      </w:r>
      <w:r>
        <w:fldChar w:fldCharType="separate"/>
      </w:r>
      <w:r>
        <w:t>10</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14 — Provisions for </w:t>
      </w:r>
      <w:r>
        <w:rPr>
          <w:i/>
        </w:rPr>
        <w:t>Duties Amendment Act 2025</w:t>
      </w:r>
    </w:p>
    <w:p>
      <w:pPr>
        <w:pStyle w:val="TOC9"/>
        <w:rPr>
          <w:rFonts w:asciiTheme="minorHAnsi" w:eastAsiaTheme="minorEastAsia" w:hAnsiTheme="minorHAnsi" w:cstheme="minorBidi"/>
          <w:noProof/>
          <w:sz w:val="22"/>
          <w:szCs w:val="22"/>
        </w:rPr>
      </w:pPr>
      <w:r>
        <w:rPr>
          <w:noProof/>
        </w:rPr>
        <w:t>81.</w:t>
      </w:r>
      <w:r>
        <w:rPr>
          <w:noProof/>
        </w:rPr>
        <w:tab/>
        <w:t>Terms used</w:t>
      </w:r>
      <w:r>
        <w:rPr>
          <w:noProof/>
        </w:rPr>
        <w:tab/>
      </w:r>
      <w:r>
        <w:rPr>
          <w:noProof/>
        </w:rPr>
        <w:fldChar w:fldCharType="begin"/>
      </w:r>
      <w:r>
        <w:rPr>
          <w:noProof/>
        </w:rPr>
        <w:instrText xml:space="preserve"> PAGEREF _Toc201243035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82.</w:t>
      </w:r>
      <w:r>
        <w:rPr>
          <w:noProof/>
        </w:rPr>
        <w:tab/>
        <w:t>Relevant first home owner concessional transaction</w:t>
      </w:r>
      <w:r>
        <w:rPr>
          <w:noProof/>
        </w:rPr>
        <w:tab/>
      </w:r>
      <w:r>
        <w:rPr>
          <w:noProof/>
        </w:rPr>
        <w:fldChar w:fldCharType="begin"/>
      </w:r>
      <w:r>
        <w:rPr>
          <w:noProof/>
        </w:rPr>
        <w:instrText xml:space="preserve"> PAGEREF _Toc201243036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83.</w:t>
      </w:r>
      <w:r>
        <w:rPr>
          <w:noProof/>
        </w:rPr>
        <w:tab/>
        <w:t>Application of amended first home owner concession provisions</w:t>
      </w:r>
      <w:r>
        <w:rPr>
          <w:noProof/>
        </w:rPr>
        <w:tab/>
      </w:r>
      <w:r>
        <w:rPr>
          <w:noProof/>
        </w:rPr>
        <w:fldChar w:fldCharType="begin"/>
      </w:r>
      <w:r>
        <w:rPr>
          <w:noProof/>
        </w:rPr>
        <w:instrText xml:space="preserve"> PAGEREF _Toc201243037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84.</w:t>
      </w:r>
      <w:r>
        <w:rPr>
          <w:noProof/>
        </w:rPr>
        <w:tab/>
        <w:t>Provisions relating to amendments to Chapter 6A</w:t>
      </w:r>
      <w:r>
        <w:rPr>
          <w:noProof/>
        </w:rPr>
        <w:tab/>
      </w:r>
      <w:r>
        <w:rPr>
          <w:noProof/>
        </w:rPr>
        <w:fldChar w:fldCharType="begin"/>
      </w:r>
      <w:r>
        <w:rPr>
          <w:noProof/>
        </w:rPr>
        <w:instrText xml:space="preserve"> PAGEREF _Toc201243038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15.</w:t>
      </w:r>
      <w:r>
        <w:tab/>
        <w:t>Other provisions amended</w:t>
      </w:r>
      <w:r>
        <w:tab/>
      </w:r>
      <w:r>
        <w:fldChar w:fldCharType="begin"/>
      </w:r>
      <w:r>
        <w:instrText xml:space="preserve"> PAGEREF _Toc201243039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Duties Amendment Act 2025</w:t>
      </w:r>
    </w:p>
    <w:p>
      <w:pPr>
        <w:pStyle w:val="ABillFor"/>
        <w:pBdr>
          <w:top w:val="single" w:sz="4" w:space="6" w:color="auto"/>
          <w:bottom w:val="single" w:sz="4" w:space="6" w:color="auto"/>
        </w:pBdr>
        <w:spacing w:before="0" w:after="240"/>
        <w:ind w:left="2551" w:right="2551"/>
      </w:pPr>
      <w:bookmarkStart w:id="2" w:name="BillCited"/>
      <w:bookmarkEnd w:id="2"/>
      <w:r>
        <w:t>No. 5 of 2025</w:t>
      </w:r>
    </w:p>
    <w:p>
      <w:pPr>
        <w:pStyle w:val="LongTitle"/>
      </w:pPr>
      <w:r>
        <w:t xml:space="preserve">An Act to amend the </w:t>
      </w:r>
      <w:r>
        <w:rPr>
          <w:i/>
        </w:rPr>
        <w:t>Duties Act 2008</w:t>
      </w:r>
      <w:r>
        <w:t>.</w:t>
      </w:r>
    </w:p>
    <w:p>
      <w:pPr>
        <w:pStyle w:val="AssentDate"/>
        <w:spacing w:before="240" w:after="480"/>
      </w:pPr>
      <w:r>
        <w:t>[</w:t>
      </w:r>
      <w:r>
        <w:rPr>
          <w:i/>
        </w:rPr>
        <w:t>Assented to 19 June 2025</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201243020"/>
      <w:r>
        <w:rPr>
          <w:rStyle w:val="CharSectno"/>
        </w:rPr>
        <w:lastRenderedPageBreak/>
        <w:t>1</w:t>
      </w:r>
      <w:r>
        <w:t>.</w:t>
      </w:r>
      <w:r>
        <w:tab/>
        <w:t>Short title</w:t>
      </w:r>
      <w:bookmarkEnd w:id="3"/>
    </w:p>
    <w:p>
      <w:pPr>
        <w:pStyle w:val="Subsection"/>
      </w:pPr>
      <w:r>
        <w:tab/>
      </w:r>
      <w:r>
        <w:tab/>
        <w:t>This is the</w:t>
      </w:r>
      <w:r>
        <w:rPr>
          <w:i/>
        </w:rPr>
        <w:t xml:space="preserve"> Duties Amendment Act 2025</w:t>
      </w:r>
      <w:r>
        <w:t>.</w:t>
      </w:r>
    </w:p>
    <w:p>
      <w:pPr>
        <w:pStyle w:val="Heading5"/>
      </w:pPr>
      <w:bookmarkStart w:id="4" w:name="_Toc201243021"/>
      <w:r>
        <w:rPr>
          <w:rStyle w:val="CharSectno"/>
        </w:rPr>
        <w:t>2</w:t>
      </w:r>
      <w:r>
        <w:t>.</w:t>
      </w:r>
      <w:r>
        <w:tab/>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5" w:name="_Toc201243022"/>
      <w:r>
        <w:rPr>
          <w:rStyle w:val="CharSectno"/>
        </w:rPr>
        <w:t>3</w:t>
      </w:r>
      <w:r>
        <w:rPr>
          <w:snapToGrid w:val="0"/>
        </w:rPr>
        <w:t>.</w:t>
      </w:r>
      <w:r>
        <w:rPr>
          <w:snapToGrid w:val="0"/>
        </w:rPr>
        <w:tab/>
        <w:t>Act amended</w:t>
      </w:r>
      <w:bookmarkEnd w:id="5"/>
    </w:p>
    <w:p>
      <w:pPr>
        <w:pStyle w:val="Subsection"/>
      </w:pPr>
      <w:r>
        <w:tab/>
      </w:r>
      <w:r>
        <w:tab/>
        <w:t xml:space="preserve">This Act amends the </w:t>
      </w:r>
      <w:r>
        <w:rPr>
          <w:i/>
        </w:rPr>
        <w:t>Duties Act 2008</w:t>
      </w:r>
      <w:r>
        <w:t>.</w:t>
      </w:r>
    </w:p>
    <w:p>
      <w:pPr>
        <w:pStyle w:val="Heading5"/>
      </w:pPr>
      <w:bookmarkStart w:id="6" w:name="_Toc201243023"/>
      <w:r>
        <w:rPr>
          <w:rStyle w:val="CharSectno"/>
        </w:rPr>
        <w:t>4</w:t>
      </w:r>
      <w:r>
        <w:t>.</w:t>
      </w:r>
      <w:r>
        <w:tab/>
        <w:t>Section 3 amended</w:t>
      </w:r>
      <w:bookmarkEnd w:id="6"/>
    </w:p>
    <w:p>
      <w:pPr>
        <w:pStyle w:val="Subsection"/>
      </w:pPr>
      <w:r>
        <w:tab/>
      </w:r>
      <w:r>
        <w:tab/>
        <w:t>In section 3 insert in alphabetical order:</w:t>
      </w:r>
    </w:p>
    <w:p>
      <w:pPr>
        <w:pStyle w:val="BlankOpen"/>
      </w:pPr>
    </w:p>
    <w:p>
      <w:pPr>
        <w:pStyle w:val="zDefstart"/>
      </w:pPr>
      <w:r>
        <w:tab/>
      </w:r>
      <w:r>
        <w:rPr>
          <w:rStyle w:val="CharDefText"/>
        </w:rPr>
        <w:t>first concessional transaction</w:t>
      </w:r>
      <w:r>
        <w:t xml:space="preserve"> has the meaning given in section 142(2);</w:t>
      </w:r>
    </w:p>
    <w:p>
      <w:pPr>
        <w:pStyle w:val="zDefstart"/>
      </w:pPr>
      <w:r>
        <w:rPr>
          <w:b/>
        </w:rPr>
        <w:tab/>
      </w:r>
      <w:r>
        <w:rPr>
          <w:rStyle w:val="CharDefText"/>
        </w:rPr>
        <w:t>further concessional transaction</w:t>
      </w:r>
      <w:r>
        <w:t xml:space="preserve"> has the meaning given in section 142(2);</w:t>
      </w:r>
    </w:p>
    <w:p>
      <w:pPr>
        <w:pStyle w:val="BlankClose"/>
      </w:pPr>
    </w:p>
    <w:p>
      <w:pPr>
        <w:pStyle w:val="Heading5"/>
      </w:pPr>
      <w:bookmarkStart w:id="7" w:name="_Toc201243024"/>
      <w:r>
        <w:rPr>
          <w:rStyle w:val="CharSectno"/>
        </w:rPr>
        <w:t>5</w:t>
      </w:r>
      <w:r>
        <w:t>.</w:t>
      </w:r>
      <w:r>
        <w:tab/>
        <w:t>Section 141 amended</w:t>
      </w:r>
      <w:bookmarkEnd w:id="7"/>
    </w:p>
    <w:p>
      <w:pPr>
        <w:pStyle w:val="Subsection"/>
      </w:pPr>
      <w:r>
        <w:tab/>
        <w:t>(1)</w:t>
      </w:r>
      <w:r>
        <w:tab/>
        <w:t xml:space="preserve">In section 141(1) delete the definitions of: </w:t>
      </w:r>
    </w:p>
    <w:p>
      <w:pPr>
        <w:pStyle w:val="DeleteListSub"/>
        <w:rPr>
          <w:b/>
          <w:bCs/>
          <w:i/>
          <w:iCs/>
        </w:rPr>
      </w:pPr>
      <w:r>
        <w:rPr>
          <w:b/>
          <w:bCs/>
          <w:i/>
          <w:iCs/>
        </w:rPr>
        <w:t>first concessional transaction</w:t>
      </w:r>
    </w:p>
    <w:p>
      <w:pPr>
        <w:pStyle w:val="DeleteListSub"/>
        <w:rPr>
          <w:b/>
          <w:bCs/>
          <w:i/>
          <w:iCs/>
        </w:rPr>
      </w:pPr>
      <w:r>
        <w:rPr>
          <w:b/>
          <w:bCs/>
          <w:i/>
          <w:iCs/>
        </w:rPr>
        <w:t>further concessional transaction</w:t>
      </w:r>
    </w:p>
    <w:p>
      <w:pPr>
        <w:pStyle w:val="Subsection"/>
        <w:keepNext/>
      </w:pPr>
      <w:r>
        <w:tab/>
        <w:t>(2)</w:t>
      </w:r>
      <w:r>
        <w:tab/>
        <w:t>In section 141(1) insert in alphabetical order:</w:t>
      </w:r>
    </w:p>
    <w:p>
      <w:pPr>
        <w:pStyle w:val="BlankOpen"/>
      </w:pPr>
    </w:p>
    <w:p>
      <w:pPr>
        <w:pStyle w:val="zDefstart"/>
      </w:pPr>
      <w:r>
        <w:tab/>
      </w:r>
      <w:r>
        <w:rPr>
          <w:rStyle w:val="CharDefText"/>
        </w:rPr>
        <w:t>metropolitan region</w:t>
      </w:r>
      <w:r>
        <w:t xml:space="preserve"> has the meaning given in the </w:t>
      </w:r>
      <w:r>
        <w:rPr>
          <w:i/>
          <w:iCs/>
        </w:rPr>
        <w:t>Planning and Development Act 2005</w:t>
      </w:r>
      <w:r>
        <w:t xml:space="preserve"> section 4(1);</w:t>
      </w:r>
    </w:p>
    <w:p>
      <w:pPr>
        <w:pStyle w:val="zDefstart"/>
        <w:keepNext/>
      </w:pPr>
      <w:r>
        <w:lastRenderedPageBreak/>
        <w:tab/>
      </w:r>
      <w:r>
        <w:rPr>
          <w:rStyle w:val="CharDefText"/>
        </w:rPr>
        <w:t>Peel region</w:t>
      </w:r>
      <w:r>
        <w:t xml:space="preserve"> means the Peel Region described in the </w:t>
      </w:r>
      <w:r>
        <w:rPr>
          <w:i/>
        </w:rPr>
        <w:t>Planning and Development Act 2005</w:t>
      </w:r>
      <w:r>
        <w:t xml:space="preserve"> Schedule 4 item 6;</w:t>
      </w:r>
    </w:p>
    <w:p>
      <w:pPr>
        <w:pStyle w:val="BlankClose"/>
      </w:pPr>
    </w:p>
    <w:p>
      <w:pPr>
        <w:pStyle w:val="Heading5"/>
      </w:pPr>
      <w:bookmarkStart w:id="8" w:name="_Toc201243025"/>
      <w:r>
        <w:rPr>
          <w:rStyle w:val="CharSectno"/>
        </w:rPr>
        <w:t>6</w:t>
      </w:r>
      <w:r>
        <w:t>.</w:t>
      </w:r>
      <w:r>
        <w:tab/>
        <w:t>Section 142 amended</w:t>
      </w:r>
      <w:bookmarkEnd w:id="8"/>
    </w:p>
    <w:p>
      <w:pPr>
        <w:pStyle w:val="Subsection"/>
      </w:pPr>
      <w:r>
        <w:tab/>
      </w:r>
      <w:r>
        <w:tab/>
        <w:t>Delete section 142(1)(b) and insert:</w:t>
      </w:r>
    </w:p>
    <w:p>
      <w:pPr>
        <w:pStyle w:val="BlankOpen"/>
      </w:pPr>
    </w:p>
    <w:p>
      <w:pPr>
        <w:pStyle w:val="zIndenta"/>
      </w:pPr>
      <w:r>
        <w:tab/>
        <w:t>(b)</w:t>
      </w:r>
      <w:r>
        <w:tab/>
        <w:t xml:space="preserve">the unencumbered value of the dutiable property the subject of the transaction does not exceed — </w:t>
      </w:r>
    </w:p>
    <w:p>
      <w:pPr>
        <w:pStyle w:val="zIndenti"/>
      </w:pPr>
      <w:r>
        <w:tab/>
        <w:t>(i)</w:t>
      </w:r>
      <w:r>
        <w:tab/>
        <w:t>if the property is land that does not include a home — $450 000; or</w:t>
      </w:r>
    </w:p>
    <w:p>
      <w:pPr>
        <w:pStyle w:val="zIndenti"/>
      </w:pPr>
      <w:r>
        <w:tab/>
        <w:t>(ii)</w:t>
      </w:r>
      <w:r>
        <w:tab/>
        <w:t>if the property is land in the metropolitan region or the Peel region that includes a home — $700 000; or</w:t>
      </w:r>
    </w:p>
    <w:p>
      <w:pPr>
        <w:pStyle w:val="zIndenti"/>
      </w:pPr>
      <w:r>
        <w:tab/>
        <w:t xml:space="preserve"> (iii)</w:t>
      </w:r>
      <w:r>
        <w:tab/>
        <w:t>if the property is land outside the metropolitan region and the Peel region that includes a home — $750 000.</w:t>
      </w:r>
    </w:p>
    <w:p>
      <w:pPr>
        <w:pStyle w:val="BlankClose"/>
      </w:pPr>
    </w:p>
    <w:p>
      <w:pPr>
        <w:pStyle w:val="Heading5"/>
      </w:pPr>
      <w:bookmarkStart w:id="9" w:name="_Toc201243026"/>
      <w:r>
        <w:rPr>
          <w:rStyle w:val="CharSectno"/>
        </w:rPr>
        <w:t>7</w:t>
      </w:r>
      <w:r>
        <w:t>.</w:t>
      </w:r>
      <w:r>
        <w:tab/>
        <w:t>Section 266E amended</w:t>
      </w:r>
      <w:bookmarkEnd w:id="9"/>
    </w:p>
    <w:p>
      <w:pPr>
        <w:pStyle w:val="Subsection"/>
      </w:pPr>
      <w:r>
        <w:tab/>
        <w:t>(1)</w:t>
      </w:r>
      <w:r>
        <w:tab/>
        <w:t xml:space="preserve">In section 266E delete the definitions of: </w:t>
      </w:r>
    </w:p>
    <w:p>
      <w:pPr>
        <w:pStyle w:val="DeleteListSub"/>
      </w:pPr>
      <w:r>
        <w:rPr>
          <w:b/>
          <w:bCs/>
          <w:i/>
          <w:iCs/>
        </w:rPr>
        <w:t>multi</w:t>
      </w:r>
      <w:r>
        <w:rPr>
          <w:b/>
          <w:bCs/>
          <w:i/>
          <w:iCs/>
        </w:rPr>
        <w:noBreakHyphen/>
        <w:t>tiered scheme</w:t>
      </w:r>
    </w:p>
    <w:p>
      <w:pPr>
        <w:pStyle w:val="DeleteListSub"/>
      </w:pPr>
      <w:r>
        <w:rPr>
          <w:b/>
          <w:bCs/>
          <w:i/>
          <w:iCs/>
        </w:rPr>
        <w:t>new residential unit or apartment</w:t>
      </w:r>
    </w:p>
    <w:p>
      <w:pPr>
        <w:pStyle w:val="Subsection"/>
      </w:pPr>
      <w:r>
        <w:tab/>
        <w:t>(2)</w:t>
      </w:r>
      <w:r>
        <w:tab/>
        <w:t>In section 266E insert in alphabetical order:</w:t>
      </w:r>
    </w:p>
    <w:p>
      <w:pPr>
        <w:pStyle w:val="BlankOpen"/>
      </w:pPr>
    </w:p>
    <w:p>
      <w:pPr>
        <w:pStyle w:val="zDefstart"/>
      </w:pPr>
      <w:r>
        <w:tab/>
      </w:r>
      <w:r>
        <w:rPr>
          <w:rStyle w:val="CharDefText"/>
        </w:rPr>
        <w:t>eligible scheme</w:t>
      </w:r>
      <w:r>
        <w:t xml:space="preserve"> means a strata scheme or a community titles (building) scheme;</w:t>
      </w:r>
    </w:p>
    <w:p>
      <w:pPr>
        <w:pStyle w:val="zDefstart"/>
      </w:pPr>
      <w:r>
        <w:tab/>
      </w:r>
      <w:r>
        <w:rPr>
          <w:rStyle w:val="CharDefText"/>
        </w:rPr>
        <w:t>multi</w:t>
      </w:r>
      <w:r>
        <w:rPr>
          <w:rStyle w:val="CharDefText"/>
        </w:rPr>
        <w:noBreakHyphen/>
        <w:t>tiered scheme</w:t>
      </w:r>
      <w:r>
        <w:t xml:space="preserve"> means an eligible scheme, other than a single</w:t>
      </w:r>
      <w:r>
        <w:noBreakHyphen/>
        <w:t>tiered scheme;</w:t>
      </w:r>
    </w:p>
    <w:p>
      <w:pPr>
        <w:pStyle w:val="zDefstart"/>
      </w:pPr>
      <w:r>
        <w:tab/>
      </w:r>
      <w:r>
        <w:rPr>
          <w:rStyle w:val="CharDefText"/>
        </w:rPr>
        <w:t>new dwelling</w:t>
      </w:r>
      <w:r>
        <w:t xml:space="preserve"> has the meaning given in section 266G(1) and (2);</w:t>
      </w:r>
    </w:p>
    <w:p>
      <w:pPr>
        <w:pStyle w:val="zDefstart"/>
      </w:pPr>
      <w:r>
        <w:lastRenderedPageBreak/>
        <w:tab/>
      </w:r>
      <w:r>
        <w:rPr>
          <w:rStyle w:val="CharDefText"/>
        </w:rPr>
        <w:t>single</w:t>
      </w:r>
      <w:r>
        <w:rPr>
          <w:rStyle w:val="CharDefText"/>
        </w:rPr>
        <w:noBreakHyphen/>
        <w:t>tiered scheme</w:t>
      </w:r>
      <w:r>
        <w:t xml:space="preserve"> means an eligible scheme in which no part of a floor of a lot or part of a lot in a building forms or joins the ceiling of another lot or part of a lot in a building;</w:t>
      </w:r>
    </w:p>
    <w:p>
      <w:pPr>
        <w:pStyle w:val="BlankClose"/>
      </w:pPr>
    </w:p>
    <w:p>
      <w:pPr>
        <w:pStyle w:val="Heading5"/>
      </w:pPr>
      <w:bookmarkStart w:id="10" w:name="_Toc201243027"/>
      <w:r>
        <w:rPr>
          <w:rStyle w:val="CharSectno"/>
        </w:rPr>
        <w:t>8</w:t>
      </w:r>
      <w:r>
        <w:t>.</w:t>
      </w:r>
      <w:r>
        <w:tab/>
        <w:t>Section 266F amended</w:t>
      </w:r>
      <w:bookmarkEnd w:id="10"/>
    </w:p>
    <w:p>
      <w:pPr>
        <w:pStyle w:val="Subsection"/>
      </w:pPr>
      <w:r>
        <w:tab/>
        <w:t>(1)</w:t>
      </w:r>
      <w:r>
        <w:tab/>
        <w:t>Delete section 266F(1)(c) and insert:</w:t>
      </w:r>
    </w:p>
    <w:p>
      <w:pPr>
        <w:pStyle w:val="BlankOpen"/>
      </w:pPr>
    </w:p>
    <w:p>
      <w:pPr>
        <w:pStyle w:val="zIndenta"/>
      </w:pPr>
      <w:r>
        <w:tab/>
        <w:t>(c)</w:t>
      </w:r>
      <w:r>
        <w:tab/>
        <w:t xml:space="preserve">entered into in the period — </w:t>
      </w:r>
    </w:p>
    <w:p>
      <w:pPr>
        <w:pStyle w:val="zIndenti"/>
      </w:pPr>
      <w:r>
        <w:tab/>
        <w:t>(i)</w:t>
      </w:r>
      <w:r>
        <w:tab/>
        <w:t>if the eligible scheme is a multi</w:t>
      </w:r>
      <w:r>
        <w:noBreakHyphen/>
        <w:t>tiered scheme — beginning on 23 October 2019 and ending on 30 June 2026; or</w:t>
      </w:r>
    </w:p>
    <w:p>
      <w:pPr>
        <w:pStyle w:val="zIndenti"/>
      </w:pPr>
      <w:r>
        <w:tab/>
        <w:t>(ii)</w:t>
      </w:r>
      <w:r>
        <w:tab/>
        <w:t>if the eligible scheme is a single</w:t>
      </w:r>
      <w:r>
        <w:noBreakHyphen/>
        <w:t>tiered scheme — beginning on 21 March 2025 and ending on 30 June 2026.</w:t>
      </w:r>
    </w:p>
    <w:p>
      <w:pPr>
        <w:pStyle w:val="BlankClose"/>
      </w:pPr>
    </w:p>
    <w:p>
      <w:pPr>
        <w:pStyle w:val="Subsection"/>
        <w:keepNext/>
      </w:pPr>
      <w:r>
        <w:tab/>
        <w:t>(2)</w:t>
      </w:r>
      <w:r>
        <w:tab/>
        <w:t>In section 266F(3):</w:t>
      </w:r>
    </w:p>
    <w:p>
      <w:pPr>
        <w:pStyle w:val="Indenta"/>
        <w:keepNext/>
      </w:pPr>
      <w:r>
        <w:tab/>
        <w:t>(a)</w:t>
      </w:r>
      <w:r>
        <w:tab/>
        <w:t>before paragraph (b)(i) insert:</w:t>
      </w:r>
    </w:p>
    <w:p>
      <w:pPr>
        <w:pStyle w:val="BlankOpen"/>
      </w:pPr>
    </w:p>
    <w:p>
      <w:pPr>
        <w:pStyle w:val="zIndenti"/>
      </w:pPr>
      <w:r>
        <w:tab/>
        <w:t>(ia)</w:t>
      </w:r>
      <w:r>
        <w:tab/>
        <w:t>the eligible scheme is a multi</w:t>
      </w:r>
      <w:r>
        <w:noBreakHyphen/>
        <w:t xml:space="preserve">tiered scheme; and </w:t>
      </w:r>
    </w:p>
    <w:p>
      <w:pPr>
        <w:pStyle w:val="BlankClose"/>
      </w:pPr>
    </w:p>
    <w:p>
      <w:pPr>
        <w:pStyle w:val="Indenta"/>
        <w:keepNext/>
      </w:pPr>
      <w:r>
        <w:tab/>
        <w:t>(b)</w:t>
      </w:r>
      <w:r>
        <w:tab/>
        <w:t>delete paragraph (f)(ii) and insert:</w:t>
      </w:r>
    </w:p>
    <w:p>
      <w:pPr>
        <w:pStyle w:val="BlankOpen"/>
      </w:pPr>
    </w:p>
    <w:p>
      <w:pPr>
        <w:pStyle w:val="zIndenti"/>
        <w:keepNext/>
      </w:pPr>
      <w:r>
        <w:tab/>
        <w:t>(ii)</w:t>
      </w:r>
      <w:r>
        <w:tab/>
        <w:t>was entered into before 23 October 2019 (if the eligible scheme is a multi</w:t>
      </w:r>
      <w:r>
        <w:noBreakHyphen/>
        <w:t>tiered scheme) or before 21 March 2025 (if the eligible scheme is a single</w:t>
      </w:r>
      <w:r>
        <w:noBreakHyphen/>
        <w:t>tiered scheme).</w:t>
      </w:r>
    </w:p>
    <w:p>
      <w:pPr>
        <w:pStyle w:val="BlankClose"/>
      </w:pPr>
    </w:p>
    <w:p>
      <w:pPr>
        <w:pStyle w:val="Heading5"/>
      </w:pPr>
      <w:bookmarkStart w:id="11" w:name="_Toc201243028"/>
      <w:r>
        <w:rPr>
          <w:rStyle w:val="CharSectno"/>
        </w:rPr>
        <w:lastRenderedPageBreak/>
        <w:t>9</w:t>
      </w:r>
      <w:r>
        <w:t>.</w:t>
      </w:r>
      <w:r>
        <w:tab/>
        <w:t>Section 266FA amended</w:t>
      </w:r>
      <w:bookmarkEnd w:id="11"/>
    </w:p>
    <w:p>
      <w:pPr>
        <w:pStyle w:val="Subsection"/>
      </w:pPr>
      <w:r>
        <w:tab/>
        <w:t>(1)</w:t>
      </w:r>
      <w:r>
        <w:tab/>
        <w:t>Delete section 266FA(1)(c) and insert:</w:t>
      </w:r>
    </w:p>
    <w:p>
      <w:pPr>
        <w:pStyle w:val="BlankOpen"/>
      </w:pPr>
    </w:p>
    <w:p>
      <w:pPr>
        <w:pStyle w:val="zIndenta"/>
      </w:pPr>
      <w:r>
        <w:tab/>
        <w:t>(c)</w:t>
      </w:r>
      <w:r>
        <w:tab/>
        <w:t xml:space="preserve">entered into in the period — </w:t>
      </w:r>
    </w:p>
    <w:p>
      <w:pPr>
        <w:pStyle w:val="zIndenti"/>
      </w:pPr>
      <w:r>
        <w:tab/>
        <w:t>(i)</w:t>
      </w:r>
      <w:r>
        <w:tab/>
        <w:t>if the eligible scheme is a multi</w:t>
      </w:r>
      <w:r>
        <w:noBreakHyphen/>
        <w:t>tiered scheme — beginning on 31 August 2023 and ending on 30 June 2026; or</w:t>
      </w:r>
    </w:p>
    <w:p>
      <w:pPr>
        <w:pStyle w:val="zIndenti"/>
      </w:pPr>
      <w:r>
        <w:tab/>
        <w:t>(ii)</w:t>
      </w:r>
      <w:r>
        <w:tab/>
        <w:t>if the eligible scheme is a single</w:t>
      </w:r>
      <w:r>
        <w:noBreakHyphen/>
        <w:t>tiered scheme — beginning on 21 March 2025 and ending on 30 June 2026.</w:t>
      </w:r>
    </w:p>
    <w:p>
      <w:pPr>
        <w:pStyle w:val="BlankClose"/>
      </w:pPr>
    </w:p>
    <w:p>
      <w:pPr>
        <w:pStyle w:val="Subsection"/>
        <w:keepNext/>
      </w:pPr>
      <w:r>
        <w:tab/>
        <w:t>(2)</w:t>
      </w:r>
      <w:r>
        <w:tab/>
        <w:t>Delete section 266FA(3)(d)(ii) and insert:</w:t>
      </w:r>
    </w:p>
    <w:p>
      <w:pPr>
        <w:pStyle w:val="BlankOpen"/>
      </w:pPr>
    </w:p>
    <w:p>
      <w:pPr>
        <w:pStyle w:val="zIndenti"/>
      </w:pPr>
      <w:r>
        <w:tab/>
        <w:t>(ii)</w:t>
      </w:r>
      <w:r>
        <w:tab/>
        <w:t>was entered into before 31 August 2023 (if the eligible scheme is a multi</w:t>
      </w:r>
      <w:r>
        <w:noBreakHyphen/>
        <w:t>tiered scheme) or before 21 March 2025 (if the eligible scheme is a single</w:t>
      </w:r>
      <w:r>
        <w:noBreakHyphen/>
        <w:t>tiered scheme).</w:t>
      </w:r>
    </w:p>
    <w:p>
      <w:pPr>
        <w:pStyle w:val="BlankClose"/>
      </w:pPr>
    </w:p>
    <w:p>
      <w:pPr>
        <w:pStyle w:val="Heading5"/>
      </w:pPr>
      <w:bookmarkStart w:id="12" w:name="_Toc201243029"/>
      <w:r>
        <w:rPr>
          <w:rStyle w:val="CharSectno"/>
        </w:rPr>
        <w:t>10</w:t>
      </w:r>
      <w:r>
        <w:t>.</w:t>
      </w:r>
      <w:r>
        <w:tab/>
        <w:t>Section 266G amended</w:t>
      </w:r>
      <w:bookmarkEnd w:id="12"/>
    </w:p>
    <w:p>
      <w:pPr>
        <w:pStyle w:val="Subsection"/>
      </w:pPr>
      <w:r>
        <w:tab/>
      </w:r>
      <w:r>
        <w:tab/>
        <w:t xml:space="preserve">In section 266G(1) and (2) delete </w:t>
      </w:r>
      <w:r>
        <w:rPr>
          <w:b/>
          <w:bCs/>
          <w:i/>
          <w:iCs/>
        </w:rPr>
        <w:t>residential unit or apartment</w:t>
      </w:r>
      <w:r>
        <w:t xml:space="preserve"> and insert:</w:t>
      </w:r>
    </w:p>
    <w:p>
      <w:pPr>
        <w:pStyle w:val="BlankOpen"/>
      </w:pPr>
    </w:p>
    <w:p>
      <w:pPr>
        <w:pStyle w:val="Subsection"/>
      </w:pPr>
      <w:r>
        <w:tab/>
      </w:r>
      <w:r>
        <w:tab/>
      </w:r>
      <w:r>
        <w:rPr>
          <w:rStyle w:val="CharDefText"/>
        </w:rPr>
        <w:t>dwelling</w:t>
      </w:r>
    </w:p>
    <w:p>
      <w:pPr>
        <w:pStyle w:val="BlankClose"/>
      </w:pPr>
    </w:p>
    <w:p>
      <w:pPr>
        <w:pStyle w:val="SectAltNote"/>
      </w:pPr>
      <w:r>
        <w:tab/>
        <w:t>Note: The heading to amended section 266G is to read:</w:t>
      </w:r>
    </w:p>
    <w:p>
      <w:pPr>
        <w:pStyle w:val="SectAltHeading"/>
      </w:pPr>
      <w:r>
        <w:tab/>
      </w:r>
      <w:r>
        <w:tab/>
        <w:t>New dwelling</w:t>
      </w:r>
    </w:p>
    <w:p>
      <w:pPr>
        <w:pStyle w:val="Heading5"/>
      </w:pPr>
      <w:bookmarkStart w:id="13" w:name="_Toc201243030"/>
      <w:r>
        <w:rPr>
          <w:rStyle w:val="CharSectno"/>
        </w:rPr>
        <w:lastRenderedPageBreak/>
        <w:t>11</w:t>
      </w:r>
      <w:r>
        <w:t>.</w:t>
      </w:r>
      <w:r>
        <w:tab/>
        <w:t>Section 266L amended</w:t>
      </w:r>
      <w:bookmarkEnd w:id="13"/>
    </w:p>
    <w:p>
      <w:pPr>
        <w:pStyle w:val="Subsection"/>
        <w:keepNext/>
      </w:pPr>
      <w:r>
        <w:tab/>
        <w:t>(1)</w:t>
      </w:r>
      <w:r>
        <w:tab/>
        <w:t>In section 266L(1) in the Table:</w:t>
      </w:r>
    </w:p>
    <w:p>
      <w:pPr>
        <w:pStyle w:val="Indenta"/>
        <w:keepNext/>
      </w:pPr>
      <w:r>
        <w:tab/>
        <w:t>(a)</w:t>
      </w:r>
      <w:r>
        <w:tab/>
        <w:t>in items 6, 7 and 8 delete “30 June 2025” and insert:</w:t>
      </w:r>
    </w:p>
    <w:p>
      <w:pPr>
        <w:pStyle w:val="BlankOpen"/>
      </w:pPr>
    </w:p>
    <w:p>
      <w:pPr>
        <w:pStyle w:val="Indenta"/>
        <w:keepNext/>
      </w:pPr>
      <w:r>
        <w:tab/>
      </w:r>
      <w:r>
        <w:tab/>
        <w:t>20 March 2025</w:t>
      </w:r>
    </w:p>
    <w:p>
      <w:pPr>
        <w:pStyle w:val="BlankClose"/>
      </w:pPr>
    </w:p>
    <w:p>
      <w:pPr>
        <w:pStyle w:val="Indenta"/>
      </w:pPr>
      <w:r>
        <w:tab/>
        <w:t>(b)</w:t>
      </w:r>
      <w:r>
        <w:tab/>
        <w:t>after item 8 insert:</w:t>
      </w:r>
    </w:p>
    <w:p>
      <w:pPr>
        <w:pStyle w:val="BlankOpen"/>
      </w:pPr>
    </w:p>
    <w:tbl>
      <w:tblPr>
        <w:tblW w:w="640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266"/>
        <w:gridCol w:w="1676"/>
        <w:gridCol w:w="1756"/>
      </w:tblGrid>
      <w:tr>
        <w:tc>
          <w:tcPr>
            <w:tcW w:w="709" w:type="dxa"/>
          </w:tcPr>
          <w:p>
            <w:pPr>
              <w:pStyle w:val="zTableNAm"/>
            </w:pPr>
            <w:r>
              <w:t>9.</w:t>
            </w:r>
          </w:p>
        </w:tc>
        <w:tc>
          <w:tcPr>
            <w:tcW w:w="2268" w:type="dxa"/>
          </w:tcPr>
          <w:p>
            <w:pPr>
              <w:pStyle w:val="zTableNAm"/>
            </w:pPr>
            <w:r>
              <w:t>21 March 2025 to 30 June 2026</w:t>
            </w:r>
          </w:p>
        </w:tc>
        <w:tc>
          <w:tcPr>
            <w:tcW w:w="1678" w:type="dxa"/>
          </w:tcPr>
          <w:p>
            <w:pPr>
              <w:pStyle w:val="zTableNAm"/>
            </w:pPr>
            <w:r>
              <w:t>$750 000 or less</w:t>
            </w:r>
          </w:p>
        </w:tc>
        <w:tc>
          <w:tcPr>
            <w:tcW w:w="1758" w:type="dxa"/>
          </w:tcPr>
          <w:p>
            <w:pPr>
              <w:pStyle w:val="zTableNAm"/>
            </w:pPr>
            <w:r>
              <w:t>100</w:t>
            </w:r>
          </w:p>
        </w:tc>
      </w:tr>
      <w:tr>
        <w:tc>
          <w:tcPr>
            <w:tcW w:w="709" w:type="dxa"/>
          </w:tcPr>
          <w:p>
            <w:pPr>
              <w:pStyle w:val="zTableNAm"/>
            </w:pPr>
            <w:r>
              <w:t>10.</w:t>
            </w:r>
          </w:p>
        </w:tc>
        <w:tc>
          <w:tcPr>
            <w:tcW w:w="2268" w:type="dxa"/>
          </w:tcPr>
          <w:p>
            <w:pPr>
              <w:pStyle w:val="zTableNAm"/>
            </w:pPr>
            <w:r>
              <w:t>21 March 2025 to 30 June 2026</w:t>
            </w:r>
          </w:p>
        </w:tc>
        <w:tc>
          <w:tcPr>
            <w:tcW w:w="1678" w:type="dxa"/>
          </w:tcPr>
          <w:p>
            <w:pPr>
              <w:pStyle w:val="zTableNAm"/>
            </w:pPr>
            <w:r>
              <w:t>More than $750 000 but less than $850 000</w:t>
            </w:r>
          </w:p>
        </w:tc>
        <w:tc>
          <w:tcPr>
            <w:tcW w:w="1758" w:type="dxa"/>
          </w:tcPr>
          <w:p>
            <w:pPr>
              <w:pStyle w:val="zTableNAm"/>
            </w:pPr>
            <w:r>
              <w:t>Z calculated under subsection (3A)</w:t>
            </w:r>
          </w:p>
        </w:tc>
      </w:tr>
      <w:tr>
        <w:tc>
          <w:tcPr>
            <w:tcW w:w="709" w:type="dxa"/>
          </w:tcPr>
          <w:p>
            <w:pPr>
              <w:pStyle w:val="zTableNAm"/>
            </w:pPr>
            <w:r>
              <w:t>11.</w:t>
            </w:r>
          </w:p>
        </w:tc>
        <w:tc>
          <w:tcPr>
            <w:tcW w:w="2268" w:type="dxa"/>
          </w:tcPr>
          <w:p>
            <w:pPr>
              <w:pStyle w:val="zTableNAm"/>
            </w:pPr>
            <w:r>
              <w:t>21 March 2025 to 30 June 2026</w:t>
            </w:r>
          </w:p>
        </w:tc>
        <w:tc>
          <w:tcPr>
            <w:tcW w:w="1678" w:type="dxa"/>
          </w:tcPr>
          <w:p>
            <w:pPr>
              <w:pStyle w:val="zTableNAm"/>
            </w:pPr>
            <w:r>
              <w:t>$850 000 or more</w:t>
            </w:r>
          </w:p>
        </w:tc>
        <w:tc>
          <w:tcPr>
            <w:tcW w:w="1758" w:type="dxa"/>
          </w:tcPr>
          <w:p>
            <w:pPr>
              <w:pStyle w:val="zTableNAm"/>
            </w:pPr>
            <w:r>
              <w:t>50</w:t>
            </w:r>
          </w:p>
        </w:tc>
      </w:tr>
    </w:tbl>
    <w:p>
      <w:pPr>
        <w:pStyle w:val="BlankClose"/>
      </w:pPr>
    </w:p>
    <w:p>
      <w:pPr>
        <w:pStyle w:val="Subsection"/>
        <w:keepNext/>
      </w:pPr>
      <w:r>
        <w:tab/>
        <w:t>(2)</w:t>
      </w:r>
      <w:r>
        <w:tab/>
        <w:t>After section 266L(3) insert:</w:t>
      </w:r>
    </w:p>
    <w:p>
      <w:pPr>
        <w:pStyle w:val="BlankOpen"/>
      </w:pPr>
    </w:p>
    <w:p>
      <w:pPr>
        <w:pStyle w:val="zSubsection"/>
        <w:keepNext/>
      </w:pPr>
      <w:r>
        <w:tab/>
        <w:t>(3A)</w:t>
      </w:r>
      <w:r>
        <w:tab/>
        <w:t xml:space="preserve">The calculation for the purposes of item 10 in the Table to subsection (1)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Z=100-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V-750 000</m:t>
                  </m:r>
                </m:num>
                <m:den>
                  <m:r>
                    <m:rPr>
                      <m:sty m:val="p"/>
                    </m:rPr>
                    <w:rPr>
                      <w:rFonts w:ascii="Cambria Math" w:hAnsi="Cambria Math"/>
                    </w:rPr>
                    <m:t>100</m:t>
                  </m:r>
                </m:den>
              </m:f>
              <m:r>
                <m:rPr>
                  <m:sty m:val="p"/>
                </m:rPr>
                <w:rPr>
                  <w:rFonts w:ascii="Cambria Math" w:hAnsi="Cambria Math"/>
                </w:rPr>
                <m:t>×0.05</m:t>
              </m:r>
            </m:e>
          </m:d>
        </m:oMath>
      </m:oMathPara>
    </w:p>
    <w:p>
      <w:pPr>
        <w:pStyle w:val="zMiscellaneousBody"/>
        <w:tabs>
          <w:tab w:val="left" w:pos="1418"/>
        </w:tabs>
      </w:pPr>
      <w:r>
        <w:tab/>
        <w:t xml:space="preserve">where — </w:t>
      </w:r>
    </w:p>
    <w:p>
      <w:pPr>
        <w:pStyle w:val="zMiscellaneousBody"/>
        <w:tabs>
          <w:tab w:val="left" w:pos="1418"/>
          <w:tab w:val="left" w:pos="1985"/>
        </w:tabs>
        <w:ind w:left="1985" w:hanging="1134"/>
      </w:pPr>
      <w:r>
        <w:tab/>
        <w:t>V</w:t>
      </w:r>
      <w:r>
        <w:tab/>
        <w:t>is the dutiable value of the concessional pre</w:t>
      </w:r>
      <w:r>
        <w:noBreakHyphen/>
        <w:t>construction agreement.</w:t>
      </w:r>
    </w:p>
    <w:p>
      <w:pPr>
        <w:pStyle w:val="BlankClose"/>
      </w:pPr>
    </w:p>
    <w:p>
      <w:pPr>
        <w:pStyle w:val="Subsection"/>
        <w:keepNext/>
      </w:pPr>
      <w:r>
        <w:lastRenderedPageBreak/>
        <w:tab/>
        <w:t>(3)</w:t>
      </w:r>
      <w:r>
        <w:tab/>
        <w:t>In section 266L(4):</w:t>
      </w:r>
    </w:p>
    <w:p>
      <w:pPr>
        <w:pStyle w:val="Indenta"/>
        <w:keepNext/>
      </w:pPr>
      <w:r>
        <w:tab/>
        <w:t>(a)</w:t>
      </w:r>
      <w:r>
        <w:tab/>
        <w:t>in paragraph (b)(i) before “dutiable value” insert:</w:t>
      </w:r>
    </w:p>
    <w:p>
      <w:pPr>
        <w:pStyle w:val="BlankOpen"/>
      </w:pPr>
    </w:p>
    <w:p>
      <w:pPr>
        <w:pStyle w:val="Indenta"/>
      </w:pPr>
      <w:r>
        <w:tab/>
      </w:r>
      <w:r>
        <w:tab/>
        <w:t xml:space="preserve">concession day of the agreement and the </w:t>
      </w:r>
    </w:p>
    <w:p>
      <w:pPr>
        <w:pStyle w:val="BlankClose"/>
      </w:pPr>
    </w:p>
    <w:p>
      <w:pPr>
        <w:pStyle w:val="Indenta"/>
      </w:pPr>
      <w:r>
        <w:tab/>
        <w:t>(b)</w:t>
      </w:r>
      <w:r>
        <w:tab/>
        <w:t>delete the Table and insert:</w:t>
      </w:r>
    </w:p>
    <w:p>
      <w:pPr>
        <w:pStyle w:val="BlankOpen"/>
      </w:pPr>
    </w:p>
    <w:p>
      <w:pPr>
        <w:pStyle w:val="zTHeadingNAm"/>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98"/>
        <w:gridCol w:w="2327"/>
        <w:gridCol w:w="1538"/>
        <w:gridCol w:w="1816"/>
      </w:tblGrid>
      <w:tr>
        <w:trPr>
          <w:tblHeader/>
        </w:trPr>
        <w:tc>
          <w:tcPr>
            <w:tcW w:w="697" w:type="dxa"/>
          </w:tcPr>
          <w:p>
            <w:pPr>
              <w:pStyle w:val="zTableNAm"/>
              <w:jc w:val="center"/>
              <w:rPr>
                <w:b/>
                <w:bCs/>
              </w:rPr>
            </w:pPr>
            <w:r>
              <w:rPr>
                <w:b/>
                <w:bCs/>
              </w:rPr>
              <w:t>Item</w:t>
            </w:r>
          </w:p>
        </w:tc>
        <w:tc>
          <w:tcPr>
            <w:tcW w:w="2325" w:type="dxa"/>
          </w:tcPr>
          <w:p>
            <w:pPr>
              <w:pStyle w:val="zTableNAm"/>
              <w:jc w:val="center"/>
              <w:rPr>
                <w:b/>
                <w:bCs/>
              </w:rPr>
            </w:pPr>
            <w:r>
              <w:rPr>
                <w:b/>
                <w:bCs/>
              </w:rPr>
              <w:t>Concession day</w:t>
            </w:r>
          </w:p>
        </w:tc>
        <w:tc>
          <w:tcPr>
            <w:tcW w:w="1537" w:type="dxa"/>
          </w:tcPr>
          <w:p>
            <w:pPr>
              <w:pStyle w:val="zTableNAm"/>
              <w:jc w:val="center"/>
              <w:rPr>
                <w:b/>
                <w:bCs/>
              </w:rPr>
            </w:pPr>
            <w:r>
              <w:rPr>
                <w:b/>
                <w:bCs/>
              </w:rPr>
              <w:t>Dutiable value</w:t>
            </w:r>
          </w:p>
        </w:tc>
        <w:tc>
          <w:tcPr>
            <w:tcW w:w="1814" w:type="dxa"/>
          </w:tcPr>
          <w:p>
            <w:pPr>
              <w:pStyle w:val="zTableNAm"/>
              <w:jc w:val="center"/>
              <w:rPr>
                <w:b/>
                <w:bCs/>
              </w:rPr>
            </w:pPr>
            <w:r>
              <w:rPr>
                <w:b/>
                <w:bCs/>
              </w:rPr>
              <w:t>Concession percentage</w:t>
            </w:r>
            <w:r>
              <w:rPr>
                <w:b/>
                <w:bCs/>
              </w:rPr>
              <w:br/>
              <w:t>(%)</w:t>
            </w:r>
          </w:p>
        </w:tc>
      </w:tr>
      <w:tr>
        <w:tc>
          <w:tcPr>
            <w:tcW w:w="697" w:type="dxa"/>
          </w:tcPr>
          <w:p>
            <w:pPr>
              <w:pStyle w:val="zTableNAm"/>
            </w:pPr>
            <w:r>
              <w:t>1.</w:t>
            </w:r>
          </w:p>
        </w:tc>
        <w:tc>
          <w:tcPr>
            <w:tcW w:w="2325" w:type="dxa"/>
          </w:tcPr>
          <w:p>
            <w:pPr>
              <w:pStyle w:val="zTableNAm"/>
            </w:pPr>
            <w:r>
              <w:t>31 August 2023 to 20 March 2025</w:t>
            </w:r>
          </w:p>
        </w:tc>
        <w:tc>
          <w:tcPr>
            <w:tcW w:w="1537" w:type="dxa"/>
          </w:tcPr>
          <w:p>
            <w:pPr>
              <w:pStyle w:val="zTableNAm"/>
            </w:pPr>
            <w:r>
              <w:t>$650 000 or less</w:t>
            </w:r>
          </w:p>
        </w:tc>
        <w:tc>
          <w:tcPr>
            <w:tcW w:w="1814" w:type="dxa"/>
          </w:tcPr>
          <w:p>
            <w:pPr>
              <w:pStyle w:val="zTableNAm"/>
            </w:pPr>
            <w:r>
              <w:t>75</w:t>
            </w:r>
          </w:p>
        </w:tc>
      </w:tr>
      <w:tr>
        <w:tc>
          <w:tcPr>
            <w:tcW w:w="697" w:type="dxa"/>
          </w:tcPr>
          <w:p>
            <w:pPr>
              <w:pStyle w:val="zTableNAm"/>
            </w:pPr>
            <w:r>
              <w:t>2.</w:t>
            </w:r>
          </w:p>
        </w:tc>
        <w:tc>
          <w:tcPr>
            <w:tcW w:w="2325" w:type="dxa"/>
          </w:tcPr>
          <w:p>
            <w:pPr>
              <w:pStyle w:val="zTableNAm"/>
            </w:pPr>
            <w:r>
              <w:t>31 August 2023 to 20 March 2025</w:t>
            </w:r>
          </w:p>
        </w:tc>
        <w:tc>
          <w:tcPr>
            <w:tcW w:w="1537" w:type="dxa"/>
          </w:tcPr>
          <w:p>
            <w:pPr>
              <w:pStyle w:val="zTableNAm"/>
            </w:pPr>
            <w:r>
              <w:t>More than $650 000 but less than $750 000</w:t>
            </w:r>
          </w:p>
        </w:tc>
        <w:tc>
          <w:tcPr>
            <w:tcW w:w="1814" w:type="dxa"/>
          </w:tcPr>
          <w:p>
            <w:pPr>
              <w:pStyle w:val="zTableNAm"/>
            </w:pPr>
            <w:r>
              <w:t>A calculated under subsection (5)</w:t>
            </w:r>
          </w:p>
        </w:tc>
      </w:tr>
      <w:tr>
        <w:tc>
          <w:tcPr>
            <w:tcW w:w="697" w:type="dxa"/>
          </w:tcPr>
          <w:p>
            <w:pPr>
              <w:pStyle w:val="zTableNAm"/>
            </w:pPr>
            <w:r>
              <w:t>3.</w:t>
            </w:r>
          </w:p>
        </w:tc>
        <w:tc>
          <w:tcPr>
            <w:tcW w:w="2325" w:type="dxa"/>
          </w:tcPr>
          <w:p>
            <w:pPr>
              <w:pStyle w:val="zTableNAm"/>
            </w:pPr>
            <w:r>
              <w:t>31 August 2023 to 20 March 2025</w:t>
            </w:r>
          </w:p>
        </w:tc>
        <w:tc>
          <w:tcPr>
            <w:tcW w:w="1537" w:type="dxa"/>
          </w:tcPr>
          <w:p>
            <w:pPr>
              <w:pStyle w:val="zTableNAm"/>
            </w:pPr>
            <w:r>
              <w:t>$750 000 or more</w:t>
            </w:r>
          </w:p>
        </w:tc>
        <w:tc>
          <w:tcPr>
            <w:tcW w:w="1814" w:type="dxa"/>
          </w:tcPr>
          <w:p>
            <w:pPr>
              <w:pStyle w:val="zTableNAm"/>
            </w:pPr>
            <w:r>
              <w:t>37.5</w:t>
            </w:r>
          </w:p>
        </w:tc>
      </w:tr>
      <w:tr>
        <w:tc>
          <w:tcPr>
            <w:tcW w:w="697" w:type="dxa"/>
          </w:tcPr>
          <w:p>
            <w:pPr>
              <w:pStyle w:val="zTableNAm"/>
            </w:pPr>
            <w:r>
              <w:t>4.</w:t>
            </w:r>
          </w:p>
        </w:tc>
        <w:tc>
          <w:tcPr>
            <w:tcW w:w="2325" w:type="dxa"/>
          </w:tcPr>
          <w:p>
            <w:pPr>
              <w:pStyle w:val="zTableNAm"/>
            </w:pPr>
            <w:r>
              <w:t>21 March 2025 to 30 June 2026</w:t>
            </w:r>
          </w:p>
        </w:tc>
        <w:tc>
          <w:tcPr>
            <w:tcW w:w="1537" w:type="dxa"/>
          </w:tcPr>
          <w:p>
            <w:pPr>
              <w:pStyle w:val="zTableNAm"/>
            </w:pPr>
            <w:r>
              <w:t>$750 000 or less</w:t>
            </w:r>
          </w:p>
        </w:tc>
        <w:tc>
          <w:tcPr>
            <w:tcW w:w="1814" w:type="dxa"/>
          </w:tcPr>
          <w:p>
            <w:pPr>
              <w:pStyle w:val="zTableNAm"/>
            </w:pPr>
            <w:r>
              <w:t>75</w:t>
            </w:r>
          </w:p>
        </w:tc>
      </w:tr>
      <w:tr>
        <w:tc>
          <w:tcPr>
            <w:tcW w:w="697" w:type="dxa"/>
          </w:tcPr>
          <w:p>
            <w:pPr>
              <w:pStyle w:val="zTableNAm"/>
            </w:pPr>
            <w:r>
              <w:t>5.</w:t>
            </w:r>
          </w:p>
        </w:tc>
        <w:tc>
          <w:tcPr>
            <w:tcW w:w="2325" w:type="dxa"/>
          </w:tcPr>
          <w:p>
            <w:pPr>
              <w:pStyle w:val="zTableNAm"/>
            </w:pPr>
            <w:r>
              <w:t>21 March 2025 to 30 June 2026</w:t>
            </w:r>
          </w:p>
        </w:tc>
        <w:tc>
          <w:tcPr>
            <w:tcW w:w="1537" w:type="dxa"/>
          </w:tcPr>
          <w:p>
            <w:pPr>
              <w:pStyle w:val="zTableNAm"/>
            </w:pPr>
            <w:r>
              <w:t>More than $750 000 but less than $850 000</w:t>
            </w:r>
          </w:p>
        </w:tc>
        <w:tc>
          <w:tcPr>
            <w:tcW w:w="1814" w:type="dxa"/>
          </w:tcPr>
          <w:p>
            <w:pPr>
              <w:pStyle w:val="zTableNAm"/>
            </w:pPr>
            <w:r>
              <w:t>B calculated under subsection (6)</w:t>
            </w:r>
          </w:p>
        </w:tc>
      </w:tr>
      <w:tr>
        <w:tc>
          <w:tcPr>
            <w:tcW w:w="697" w:type="dxa"/>
          </w:tcPr>
          <w:p>
            <w:pPr>
              <w:pStyle w:val="zTableNAm"/>
            </w:pPr>
            <w:r>
              <w:t>6.</w:t>
            </w:r>
          </w:p>
        </w:tc>
        <w:tc>
          <w:tcPr>
            <w:tcW w:w="2325" w:type="dxa"/>
          </w:tcPr>
          <w:p>
            <w:pPr>
              <w:pStyle w:val="zTableNAm"/>
            </w:pPr>
            <w:r>
              <w:t>21 March 2025 to 30 June 2026</w:t>
            </w:r>
          </w:p>
        </w:tc>
        <w:tc>
          <w:tcPr>
            <w:tcW w:w="1537" w:type="dxa"/>
          </w:tcPr>
          <w:p>
            <w:pPr>
              <w:pStyle w:val="zTableNAm"/>
            </w:pPr>
            <w:r>
              <w:t>$850 000 or more</w:t>
            </w:r>
          </w:p>
        </w:tc>
        <w:tc>
          <w:tcPr>
            <w:tcW w:w="1814" w:type="dxa"/>
          </w:tcPr>
          <w:p>
            <w:pPr>
              <w:pStyle w:val="zTableNAm"/>
            </w:pPr>
            <w:r>
              <w:t>37.5</w:t>
            </w:r>
          </w:p>
        </w:tc>
      </w:tr>
    </w:tbl>
    <w:p>
      <w:pPr>
        <w:pStyle w:val="BlankClose"/>
      </w:pPr>
    </w:p>
    <w:p>
      <w:pPr>
        <w:pStyle w:val="Subsection"/>
        <w:keepNext/>
      </w:pPr>
      <w:r>
        <w:lastRenderedPageBreak/>
        <w:tab/>
        <w:t>(4)</w:t>
      </w:r>
      <w:r>
        <w:tab/>
        <w:t>In section 266L(5) delete:</w:t>
      </w:r>
    </w:p>
    <w:p>
      <w:pPr>
        <w:pStyle w:val="DeleteOpen"/>
      </w:pP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Z=75-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×0.0375</m:t>
              </m:r>
            </m:e>
          </m:d>
        </m:oMath>
      </m:oMathPara>
    </w:p>
    <w:p>
      <w:pPr>
        <w:pStyle w:val="DeleteClose"/>
      </w:pPr>
    </w:p>
    <w:p>
      <w:pPr>
        <w:pStyle w:val="Subsection"/>
      </w:pPr>
      <w:r>
        <w:tab/>
      </w:r>
      <w:r>
        <w:tab/>
        <w:t>and insert:</w:t>
      </w:r>
    </w:p>
    <w:p>
      <w:pPr>
        <w:pStyle w:val="BlankOpen"/>
      </w:pP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A=75-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×0.0375</m:t>
              </m:r>
            </m:e>
          </m:d>
        </m:oMath>
      </m:oMathPara>
    </w:p>
    <w:p>
      <w:pPr>
        <w:pStyle w:val="BlankClose"/>
      </w:pPr>
    </w:p>
    <w:p>
      <w:pPr>
        <w:pStyle w:val="Subsection"/>
        <w:keepNext/>
      </w:pPr>
      <w:r>
        <w:tab/>
        <w:t>(5)</w:t>
      </w:r>
      <w:r>
        <w:tab/>
        <w:t>After section 266L(5) insert:</w:t>
      </w:r>
    </w:p>
    <w:p>
      <w:pPr>
        <w:pStyle w:val="BlankOpen"/>
      </w:pPr>
    </w:p>
    <w:p>
      <w:pPr>
        <w:pStyle w:val="zSubsection"/>
      </w:pPr>
      <w:r>
        <w:tab/>
        <w:t>(6)</w:t>
      </w:r>
      <w:r>
        <w:tab/>
        <w:t xml:space="preserve">The calculation for the purposes of item 5 in the Table to subsection (4) is as follows — </w:t>
      </w:r>
    </w:p>
    <w:p>
      <w:pPr>
        <w:pStyle w:val="Equation"/>
        <w:spacing w:before="120"/>
        <w:ind w:left="1446"/>
        <w:rPr>
          <w:rFonts w:ascii="Cambria Math" w:hAnsi="Cambria Math"/>
        </w:rPr>
      </w:pPr>
      <m:oMathPara>
        <m:oMathParaPr>
          <m:jc m:val="left"/>
        </m:oMathParaPr>
        <m:oMath>
          <m:r>
            <m:rPr>
              <m:sty m:val="p"/>
            </m:rPr>
            <w:rPr>
              <w:rFonts w:ascii="Cambria Math" w:hAnsi="Cambria Math"/>
            </w:rPr>
            <m:t xml:space="preserve">B=75-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V-750 000</m:t>
                  </m:r>
                </m:num>
                <m:den>
                  <m:r>
                    <m:rPr>
                      <m:sty m:val="p"/>
                    </m:rPr>
                    <w:rPr>
                      <w:rFonts w:ascii="Cambria Math" w:hAnsi="Cambria Math"/>
                    </w:rPr>
                    <m:t>100</m:t>
                  </m:r>
                </m:den>
              </m:f>
              <m:r>
                <m:rPr>
                  <m:sty m:val="p"/>
                </m:rPr>
                <w:rPr>
                  <w:rFonts w:ascii="Cambria Math" w:hAnsi="Cambria Math"/>
                </w:rPr>
                <m:t>×0.0375</m:t>
              </m:r>
            </m:e>
          </m:d>
        </m:oMath>
      </m:oMathPara>
    </w:p>
    <w:p>
      <w:pPr>
        <w:pStyle w:val="zMiscellaneousBody"/>
        <w:keepNext/>
        <w:tabs>
          <w:tab w:val="left" w:pos="1418"/>
        </w:tabs>
      </w:pPr>
      <w:r>
        <w:tab/>
        <w:t xml:space="preserve">where — </w:t>
      </w:r>
    </w:p>
    <w:p>
      <w:pPr>
        <w:pStyle w:val="zMiscellaneousBody"/>
        <w:keepNext/>
        <w:tabs>
          <w:tab w:val="left" w:pos="1418"/>
          <w:tab w:val="left" w:pos="1843"/>
        </w:tabs>
        <w:ind w:left="1843" w:hanging="1276"/>
      </w:pPr>
      <w:r>
        <w:tab/>
        <w:t>V</w:t>
      </w:r>
      <w:r>
        <w:tab/>
        <w:t>is the dutiable value of the concessional under construction agreement.</w:t>
      </w:r>
    </w:p>
    <w:p>
      <w:pPr>
        <w:pStyle w:val="BlankClose"/>
      </w:pPr>
    </w:p>
    <w:p>
      <w:pPr>
        <w:pStyle w:val="Heading5"/>
      </w:pPr>
      <w:bookmarkStart w:id="14" w:name="_Toc201243031"/>
      <w:r>
        <w:rPr>
          <w:rStyle w:val="CharSectno"/>
        </w:rPr>
        <w:t>12</w:t>
      </w:r>
      <w:r>
        <w:t>.</w:t>
      </w:r>
      <w:r>
        <w:tab/>
        <w:t>Section 266O amended</w:t>
      </w:r>
      <w:bookmarkEnd w:id="14"/>
    </w:p>
    <w:p>
      <w:pPr>
        <w:pStyle w:val="Subsection"/>
      </w:pPr>
      <w:r>
        <w:tab/>
      </w:r>
      <w:r>
        <w:tab/>
        <w:t>After section 266O(2) insert:</w:t>
      </w:r>
    </w:p>
    <w:p>
      <w:pPr>
        <w:pStyle w:val="BlankOpen"/>
      </w:pPr>
    </w:p>
    <w:p>
      <w:pPr>
        <w:pStyle w:val="zSubsection"/>
        <w:keepNext/>
      </w:pPr>
      <w:r>
        <w:tab/>
        <w:t>(3)</w:t>
      </w:r>
      <w:r>
        <w:tab/>
        <w:t>For the purposes of this section, a concessional off</w:t>
      </w:r>
      <w:r>
        <w:noBreakHyphen/>
        <w:t>the</w:t>
      </w:r>
      <w:r>
        <w:noBreakHyphen/>
        <w:t xml:space="preserve">plan agreement is completed on the day on which the purchaser of the lot the subject of the agreement becomes the owner (as defined in the </w:t>
      </w:r>
      <w:r>
        <w:rPr>
          <w:i/>
        </w:rPr>
        <w:t>Strata Titles Act 1985</w:t>
      </w:r>
      <w:r>
        <w:t xml:space="preserve"> section 3(1) or the </w:t>
      </w:r>
      <w:r>
        <w:rPr>
          <w:i/>
        </w:rPr>
        <w:t>Community Titles Act 2018</w:t>
      </w:r>
      <w:r>
        <w:t xml:space="preserve"> section 3(1), as the case requires) of the lot.</w:t>
      </w:r>
    </w:p>
    <w:p>
      <w:pPr>
        <w:pStyle w:val="BlankClose"/>
      </w:pPr>
    </w:p>
    <w:p>
      <w:pPr>
        <w:pStyle w:val="Heading5"/>
      </w:pPr>
      <w:bookmarkStart w:id="15" w:name="_Toc201243032"/>
      <w:r>
        <w:rPr>
          <w:rStyle w:val="CharSectno"/>
        </w:rPr>
        <w:lastRenderedPageBreak/>
        <w:t>13</w:t>
      </w:r>
      <w:r>
        <w:t>.</w:t>
      </w:r>
      <w:r>
        <w:tab/>
        <w:t>Schedule 2 Division 2 amended</w:t>
      </w:r>
      <w:bookmarkEnd w:id="15"/>
    </w:p>
    <w:p>
      <w:pPr>
        <w:pStyle w:val="Subsection"/>
      </w:pPr>
      <w:r>
        <w:tab/>
      </w:r>
      <w:r>
        <w:tab/>
        <w:t>In Schedule 2 Division 2 delete:</w:t>
      </w:r>
    </w:p>
    <w:p>
      <w:pPr>
        <w:pStyle w:val="DeleteOpen"/>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rPr>
        <w:tc>
          <w:tcPr>
            <w:tcW w:w="1735" w:type="dxa"/>
            <w:tcBorders>
              <w:top w:val="nil"/>
              <w:left w:val="nil"/>
              <w:bottom w:val="nil"/>
              <w:right w:val="nil"/>
            </w:tcBorders>
            <w:noWrap/>
          </w:tcPr>
          <w:p>
            <w:pPr>
              <w:pStyle w:val="yTableNAm"/>
            </w:pPr>
            <w:r>
              <w:t>If the property includes a home</w:t>
            </w:r>
          </w:p>
        </w:tc>
        <w:tc>
          <w:tcPr>
            <w:tcW w:w="2977" w:type="dxa"/>
            <w:tcBorders>
              <w:top w:val="nil"/>
              <w:left w:val="nil"/>
              <w:bottom w:val="nil"/>
              <w:right w:val="nil"/>
            </w:tcBorders>
            <w:noWrap/>
          </w:tcPr>
          <w:p>
            <w:pPr>
              <w:pStyle w:val="yTableNAm"/>
            </w:pPr>
            <w:r>
              <w:t>$0 — $450 000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yTableNAm"/>
            </w:pPr>
          </w:p>
        </w:tc>
        <w:tc>
          <w:tcPr>
            <w:tcW w:w="2977" w:type="dxa"/>
            <w:tcBorders>
              <w:top w:val="nil"/>
              <w:left w:val="nil"/>
              <w:bottom w:val="nil"/>
              <w:right w:val="nil"/>
            </w:tcBorders>
            <w:noWrap/>
          </w:tcPr>
          <w:p>
            <w:pPr>
              <w:pStyle w:val="yTableNAm"/>
            </w:pPr>
            <w:r>
              <w:t>$450 001 — $600 000</w:t>
            </w:r>
          </w:p>
        </w:tc>
        <w:tc>
          <w:tcPr>
            <w:tcW w:w="2267" w:type="dxa"/>
            <w:tcBorders>
              <w:top w:val="nil"/>
              <w:left w:val="nil"/>
              <w:bottom w:val="nil"/>
              <w:right w:val="nil"/>
            </w:tcBorders>
            <w:noWrap/>
          </w:tcPr>
          <w:p>
            <w:pPr>
              <w:pStyle w:val="yTableNAm"/>
            </w:pPr>
            <w:r>
              <w:t>$15.01 per $100 or part of $100 above $450 000</w:t>
            </w:r>
          </w:p>
        </w:tc>
      </w:tr>
      <w:tr>
        <w:trPr>
          <w:cantSplit/>
        </w:trPr>
        <w:tc>
          <w:tcPr>
            <w:tcW w:w="1735" w:type="dxa"/>
            <w:tcBorders>
              <w:top w:val="nil"/>
              <w:left w:val="nil"/>
              <w:bottom w:val="nil"/>
              <w:right w:val="nil"/>
            </w:tcBorders>
            <w:noWrap/>
          </w:tcPr>
          <w:p>
            <w:pPr>
              <w:pStyle w:val="yTableNAm"/>
            </w:pPr>
            <w:r>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yTableNAm"/>
            </w:pPr>
          </w:p>
        </w:tc>
        <w:tc>
          <w:tcPr>
            <w:tcW w:w="2977" w:type="dxa"/>
            <w:tcBorders>
              <w:top w:val="nil"/>
              <w:left w:val="nil"/>
              <w:bottom w:val="nil"/>
              <w:right w:val="nil"/>
            </w:tcBorders>
            <w:noWrap/>
          </w:tcPr>
          <w:p>
            <w:pPr>
              <w:pStyle w:val="yTableNAm"/>
            </w:pPr>
            <w:r>
              <w:t>$300 001 — $400 000</w:t>
            </w:r>
          </w:p>
        </w:tc>
        <w:tc>
          <w:tcPr>
            <w:tcW w:w="2267" w:type="dxa"/>
            <w:tcBorders>
              <w:top w:val="nil"/>
              <w:left w:val="nil"/>
              <w:bottom w:val="nil"/>
              <w:right w:val="nil"/>
            </w:tcBorders>
            <w:noWrap/>
          </w:tcPr>
          <w:p>
            <w:pPr>
              <w:pStyle w:val="yTableNAm"/>
            </w:pPr>
            <w:r>
              <w:t>$13.01 per $100 or part of $100 above $300 000</w:t>
            </w:r>
          </w:p>
        </w:tc>
      </w:tr>
    </w:tbl>
    <w:p>
      <w:pPr>
        <w:pStyle w:val="DeleteClose"/>
        <w:rPr>
          <w:sz w:val="20"/>
          <w:szCs w:val="20"/>
        </w:rPr>
      </w:pPr>
    </w:p>
    <w:p>
      <w:pPr>
        <w:pStyle w:val="Subsection"/>
        <w:keepNext/>
        <w:spacing w:before="80"/>
      </w:pPr>
      <w:r>
        <w:tab/>
      </w:r>
      <w:r>
        <w:tab/>
        <w:t>and insert:</w:t>
      </w:r>
    </w:p>
    <w:p>
      <w:pPr>
        <w:pStyle w:val="BlankOpen"/>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rPr>
        <w:tc>
          <w:tcPr>
            <w:tcW w:w="1735" w:type="dxa"/>
            <w:tcBorders>
              <w:top w:val="nil"/>
              <w:left w:val="nil"/>
              <w:bottom w:val="nil"/>
              <w:right w:val="nil"/>
            </w:tcBorders>
            <w:noWrap/>
          </w:tcPr>
          <w:p>
            <w:pPr>
              <w:pStyle w:val="zyTableNAm"/>
            </w:pPr>
            <w:r>
              <w:t>If the property does not include a home</w:t>
            </w:r>
          </w:p>
        </w:tc>
        <w:tc>
          <w:tcPr>
            <w:tcW w:w="2977" w:type="dxa"/>
            <w:tcBorders>
              <w:top w:val="nil"/>
              <w:left w:val="nil"/>
              <w:bottom w:val="nil"/>
              <w:right w:val="nil"/>
            </w:tcBorders>
            <w:noWrap/>
          </w:tcPr>
          <w:p>
            <w:pPr>
              <w:pStyle w:val="zyTableNAm"/>
            </w:pPr>
            <w:r>
              <w:t>$0 — $350 000</w:t>
            </w:r>
          </w:p>
          <w:p>
            <w:pPr>
              <w:pStyle w:val="zyTableNAm"/>
            </w:pPr>
          </w:p>
          <w:p>
            <w:pPr>
              <w:pStyle w:val="zyTableNAm"/>
            </w:pPr>
            <w:r>
              <w:t>$350 001 — $450 000</w:t>
            </w:r>
          </w:p>
        </w:tc>
        <w:tc>
          <w:tcPr>
            <w:tcW w:w="2267" w:type="dxa"/>
            <w:tcBorders>
              <w:top w:val="nil"/>
              <w:left w:val="nil"/>
              <w:bottom w:val="nil"/>
              <w:right w:val="nil"/>
            </w:tcBorders>
            <w:noWrap/>
          </w:tcPr>
          <w:p>
            <w:pPr>
              <w:pStyle w:val="zyTableNAm"/>
            </w:pPr>
            <w:r>
              <w:t>Nil</w:t>
            </w:r>
          </w:p>
          <w:p>
            <w:pPr>
              <w:pStyle w:val="zyTableNAm"/>
            </w:pPr>
          </w:p>
          <w:p>
            <w:pPr>
              <w:pStyle w:val="zyTableNAm"/>
            </w:pPr>
            <w:r>
              <w:t>$15.39 per $100 or part of $100 above $350 000</w:t>
            </w:r>
          </w:p>
        </w:tc>
      </w:tr>
      <w:tr>
        <w:trPr>
          <w:cantSplit/>
        </w:trPr>
        <w:tc>
          <w:tcPr>
            <w:tcW w:w="1735" w:type="dxa"/>
            <w:tcBorders>
              <w:top w:val="nil"/>
              <w:left w:val="nil"/>
              <w:bottom w:val="nil"/>
              <w:right w:val="nil"/>
            </w:tcBorders>
            <w:noWrap/>
          </w:tcPr>
          <w:p>
            <w:pPr>
              <w:pStyle w:val="zyTableNAm"/>
            </w:pPr>
            <w:r>
              <w:t>If the property is in the metropolitan region or the Peel region and includes a home</w:t>
            </w:r>
          </w:p>
        </w:tc>
        <w:tc>
          <w:tcPr>
            <w:tcW w:w="2977" w:type="dxa"/>
            <w:tcBorders>
              <w:top w:val="nil"/>
              <w:left w:val="nil"/>
              <w:bottom w:val="nil"/>
              <w:right w:val="nil"/>
            </w:tcBorders>
            <w:noWrap/>
          </w:tcPr>
          <w:p>
            <w:pPr>
              <w:pStyle w:val="zyTableNAm"/>
            </w:pPr>
            <w:r>
              <w:t>$0 — $500 000</w:t>
            </w:r>
          </w:p>
          <w:p>
            <w:pPr>
              <w:pStyle w:val="zyTableNAm"/>
            </w:pPr>
          </w:p>
          <w:p>
            <w:pPr>
              <w:pStyle w:val="zyTableNAm"/>
            </w:pPr>
            <w:r>
              <w:t>$500 001 — $700 000</w:t>
            </w:r>
          </w:p>
        </w:tc>
        <w:tc>
          <w:tcPr>
            <w:tcW w:w="2267" w:type="dxa"/>
            <w:tcBorders>
              <w:top w:val="nil"/>
              <w:left w:val="nil"/>
              <w:bottom w:val="nil"/>
              <w:right w:val="nil"/>
            </w:tcBorders>
            <w:noWrap/>
          </w:tcPr>
          <w:p>
            <w:pPr>
              <w:pStyle w:val="zyTableNAm"/>
            </w:pPr>
            <w:r>
              <w:t>Nil</w:t>
            </w:r>
          </w:p>
          <w:p>
            <w:pPr>
              <w:pStyle w:val="zyTableNAm"/>
            </w:pPr>
          </w:p>
          <w:p>
            <w:pPr>
              <w:pStyle w:val="zyTableNAm"/>
            </w:pPr>
            <w:r>
              <w:t>$13.63 per $100 or part of $100 above $500 000</w:t>
            </w:r>
          </w:p>
        </w:tc>
      </w:tr>
      <w:tr>
        <w:trPr>
          <w:cantSplit/>
        </w:trPr>
        <w:tc>
          <w:tcPr>
            <w:tcW w:w="1735" w:type="dxa"/>
            <w:tcBorders>
              <w:top w:val="nil"/>
              <w:left w:val="nil"/>
              <w:bottom w:val="nil"/>
              <w:right w:val="nil"/>
            </w:tcBorders>
            <w:noWrap/>
          </w:tcPr>
          <w:p>
            <w:pPr>
              <w:pStyle w:val="zyTableNAm"/>
            </w:pPr>
            <w:r>
              <w:t>If the property is outside the metropolitan region and the Peel region and includes a home</w:t>
            </w:r>
          </w:p>
        </w:tc>
        <w:tc>
          <w:tcPr>
            <w:tcW w:w="2977" w:type="dxa"/>
            <w:tcBorders>
              <w:top w:val="nil"/>
              <w:left w:val="nil"/>
              <w:bottom w:val="nil"/>
              <w:right w:val="nil"/>
            </w:tcBorders>
            <w:noWrap/>
          </w:tcPr>
          <w:p>
            <w:pPr>
              <w:pStyle w:val="zyTableNAm"/>
            </w:pPr>
            <w:r>
              <w:t>$0 — $500 000</w:t>
            </w:r>
          </w:p>
          <w:p>
            <w:pPr>
              <w:pStyle w:val="zyTableNAm"/>
            </w:pPr>
          </w:p>
          <w:p>
            <w:pPr>
              <w:pStyle w:val="zyTableNAm"/>
            </w:pPr>
            <w:r>
              <w:t>$500 001 — $750 000</w:t>
            </w:r>
          </w:p>
        </w:tc>
        <w:tc>
          <w:tcPr>
            <w:tcW w:w="2267" w:type="dxa"/>
            <w:tcBorders>
              <w:top w:val="nil"/>
              <w:left w:val="nil"/>
              <w:bottom w:val="nil"/>
              <w:right w:val="nil"/>
            </w:tcBorders>
            <w:noWrap/>
          </w:tcPr>
          <w:p>
            <w:pPr>
              <w:pStyle w:val="zyTableNAm"/>
            </w:pPr>
            <w:r>
              <w:t>Nil</w:t>
            </w:r>
          </w:p>
          <w:p>
            <w:pPr>
              <w:pStyle w:val="zyTableNAm"/>
            </w:pPr>
          </w:p>
          <w:p>
            <w:pPr>
              <w:pStyle w:val="zyTableNAm"/>
            </w:pPr>
            <w:r>
              <w:rPr>
                <w:szCs w:val="18"/>
              </w:rPr>
              <w:t>$11.89</w:t>
            </w:r>
            <w:r>
              <w:t xml:space="preserve"> per $100 or part of $100 above $500 000</w:t>
            </w:r>
          </w:p>
        </w:tc>
      </w:tr>
    </w:tbl>
    <w:p>
      <w:pPr>
        <w:pStyle w:val="BlankClose"/>
        <w:rPr>
          <w:sz w:val="18"/>
          <w:szCs w:val="18"/>
        </w:rPr>
      </w:pPr>
    </w:p>
    <w:p>
      <w:pPr>
        <w:pStyle w:val="Heading5"/>
      </w:pPr>
      <w:bookmarkStart w:id="16" w:name="_Toc201243033"/>
      <w:r>
        <w:rPr>
          <w:rStyle w:val="CharSectno"/>
        </w:rPr>
        <w:lastRenderedPageBreak/>
        <w:t>14</w:t>
      </w:r>
      <w:r>
        <w:t>.</w:t>
      </w:r>
      <w:r>
        <w:tab/>
        <w:t>Schedule 3 amended</w:t>
      </w:r>
      <w:bookmarkEnd w:id="16"/>
    </w:p>
    <w:p>
      <w:pPr>
        <w:pStyle w:val="Subsection"/>
      </w:pPr>
      <w:r>
        <w:tab/>
        <w:t>(1)</w:t>
      </w:r>
      <w:r>
        <w:tab/>
        <w:t>After Schedule 3 clause 77(6) insert:</w:t>
      </w:r>
    </w:p>
    <w:p>
      <w:pPr>
        <w:pStyle w:val="BlankOpen"/>
      </w:pPr>
    </w:p>
    <w:p>
      <w:pPr>
        <w:pStyle w:val="zySubsection"/>
      </w:pPr>
      <w:r>
        <w:tab/>
        <w:t>(7)</w:t>
      </w:r>
      <w:r>
        <w:tab/>
        <w:t>Nothing in this clause affects the application of Chapter 6A to an agreement for the purchase of a lot in a single</w:t>
      </w:r>
      <w:r>
        <w:noBreakHyphen/>
        <w:t xml:space="preserve">tiered scheme. </w:t>
      </w:r>
    </w:p>
    <w:p>
      <w:pPr>
        <w:pStyle w:val="BlankClose"/>
      </w:pPr>
    </w:p>
    <w:p>
      <w:pPr>
        <w:pStyle w:val="Subsection"/>
        <w:keepNext/>
      </w:pPr>
      <w:r>
        <w:tab/>
        <w:t>(2)</w:t>
      </w:r>
      <w:r>
        <w:tab/>
        <w:t>In Schedule 3 clause 78 delete the definitions of:</w:t>
      </w:r>
    </w:p>
    <w:p>
      <w:pPr>
        <w:pStyle w:val="DeleteListSub"/>
        <w:rPr>
          <w:sz w:val="22"/>
          <w:szCs w:val="18"/>
        </w:rPr>
      </w:pPr>
      <w:r>
        <w:rPr>
          <w:b/>
          <w:bCs/>
          <w:i/>
          <w:iCs/>
          <w:sz w:val="22"/>
          <w:szCs w:val="18"/>
        </w:rPr>
        <w:t>first concessional transaction</w:t>
      </w:r>
    </w:p>
    <w:p>
      <w:pPr>
        <w:pStyle w:val="DeleteListSub"/>
        <w:rPr>
          <w:b/>
          <w:bCs/>
          <w:i/>
          <w:iCs/>
          <w:sz w:val="22"/>
          <w:szCs w:val="18"/>
        </w:rPr>
      </w:pPr>
      <w:r>
        <w:rPr>
          <w:b/>
          <w:bCs/>
          <w:i/>
          <w:iCs/>
          <w:sz w:val="22"/>
          <w:szCs w:val="18"/>
        </w:rPr>
        <w:t>further concessional transaction</w:t>
      </w:r>
    </w:p>
    <w:p>
      <w:pPr>
        <w:pStyle w:val="Subsection"/>
        <w:keepNext/>
      </w:pPr>
      <w:r>
        <w:tab/>
        <w:t>(3)</w:t>
      </w:r>
      <w:r>
        <w:tab/>
        <w:t>At the end of Schedule 3 insert:</w:t>
      </w:r>
    </w:p>
    <w:p>
      <w:pPr>
        <w:pStyle w:val="BlankOpen"/>
      </w:pPr>
    </w:p>
    <w:p>
      <w:pPr>
        <w:pStyle w:val="zyHeading3"/>
      </w:pPr>
      <w:bookmarkStart w:id="17" w:name="_Toc201242975"/>
      <w:bookmarkStart w:id="18" w:name="_Toc201242995"/>
      <w:bookmarkStart w:id="19" w:name="_Toc201243034"/>
      <w:r>
        <w:t xml:space="preserve">Division 14 — Provisions for </w:t>
      </w:r>
      <w:r>
        <w:rPr>
          <w:i/>
        </w:rPr>
        <w:t>Duties Amendment Act 2025</w:t>
      </w:r>
      <w:bookmarkEnd w:id="17"/>
      <w:bookmarkEnd w:id="18"/>
      <w:bookmarkEnd w:id="19"/>
    </w:p>
    <w:p>
      <w:pPr>
        <w:pStyle w:val="zyHeading5"/>
      </w:pPr>
      <w:bookmarkStart w:id="20" w:name="_Toc201243035"/>
      <w:r>
        <w:t>81.</w:t>
      </w:r>
      <w:r>
        <w:tab/>
        <w:t>Terms used</w:t>
      </w:r>
      <w:bookmarkEnd w:id="20"/>
    </w:p>
    <w:p>
      <w:pPr>
        <w:pStyle w:val="zySubsection"/>
      </w:pPr>
      <w:r>
        <w:tab/>
      </w:r>
      <w:r>
        <w:tab/>
        <w:t xml:space="preserve">In this Division — </w:t>
      </w:r>
    </w:p>
    <w:p>
      <w:pPr>
        <w:pStyle w:val="zyDefstart"/>
      </w:pPr>
      <w:r>
        <w:tab/>
      </w:r>
      <w:r>
        <w:rPr>
          <w:rStyle w:val="CharDefText"/>
        </w:rPr>
        <w:t>amended Chapter 6A</w:t>
      </w:r>
      <w:r>
        <w:t xml:space="preserve"> means Chapter 6A as amended by the </w:t>
      </w:r>
      <w:r>
        <w:rPr>
          <w:i/>
        </w:rPr>
        <w:t>Duties Amendment Act 2025</w:t>
      </w:r>
      <w:r>
        <w:t xml:space="preserve"> sections 7 to 12 and 15;</w:t>
      </w:r>
    </w:p>
    <w:p>
      <w:pPr>
        <w:pStyle w:val="zyDefstart"/>
      </w:pPr>
      <w:r>
        <w:tab/>
      </w:r>
      <w:r>
        <w:rPr>
          <w:rStyle w:val="CharDefText"/>
        </w:rPr>
        <w:t>amended first home owner concession provisions</w:t>
      </w:r>
      <w:r>
        <w:t xml:space="preserve"> means section 3, Chapter 2 Part 6 Division 3 and Schedule 2 Division 2, as amended by the </w:t>
      </w:r>
      <w:r>
        <w:rPr>
          <w:i/>
        </w:rPr>
        <w:t>Duties Amendment Act 2025</w:t>
      </w:r>
      <w:r>
        <w:t xml:space="preserve"> sections 4 to 6 and 13;</w:t>
      </w:r>
    </w:p>
    <w:p>
      <w:pPr>
        <w:pStyle w:val="zyDefstart"/>
      </w:pPr>
      <w:r>
        <w:tab/>
      </w:r>
      <w:r>
        <w:rPr>
          <w:rStyle w:val="CharDefText"/>
        </w:rPr>
        <w:t>commencement day</w:t>
      </w:r>
      <w:r>
        <w:t xml:space="preserve"> means the day on which the </w:t>
      </w:r>
      <w:r>
        <w:rPr>
          <w:i/>
        </w:rPr>
        <w:t>Duties Amendment Act 2025</w:t>
      </w:r>
      <w:r>
        <w:t xml:space="preserve"> section 3 comes into operation;</w:t>
      </w:r>
    </w:p>
    <w:p>
      <w:pPr>
        <w:pStyle w:val="zyDefstart"/>
      </w:pPr>
      <w:r>
        <w:tab/>
      </w:r>
      <w:r>
        <w:rPr>
          <w:rStyle w:val="CharDefText"/>
        </w:rPr>
        <w:t>pre</w:t>
      </w:r>
      <w:r>
        <w:rPr>
          <w:rStyle w:val="CharDefText"/>
        </w:rPr>
        <w:noBreakHyphen/>
        <w:t>21 March 2025 agreement</w:t>
      </w:r>
      <w:r>
        <w:t xml:space="preserve"> has the meaning given in clause 82(2);</w:t>
      </w:r>
    </w:p>
    <w:p>
      <w:pPr>
        <w:pStyle w:val="zyDefstart"/>
      </w:pPr>
      <w:r>
        <w:tab/>
      </w:r>
      <w:r>
        <w:rPr>
          <w:rStyle w:val="CharDefText"/>
        </w:rPr>
        <w:t>relevant first home owner concessional transaction</w:t>
      </w:r>
      <w:r>
        <w:t xml:space="preserve"> has the meaning given in clause 82;</w:t>
      </w:r>
    </w:p>
    <w:p>
      <w:pPr>
        <w:pStyle w:val="zyDefstart"/>
      </w:pPr>
      <w:r>
        <w:tab/>
      </w:r>
      <w:r>
        <w:rPr>
          <w:rStyle w:val="CharDefText"/>
        </w:rPr>
        <w:t>substituted transferee</w:t>
      </w:r>
      <w:r>
        <w:t xml:space="preserve"> has the meaning given in section 141(3).</w:t>
      </w:r>
    </w:p>
    <w:p>
      <w:pPr>
        <w:pStyle w:val="zyHeading5"/>
      </w:pPr>
      <w:bookmarkStart w:id="21" w:name="_Toc201243036"/>
      <w:r>
        <w:lastRenderedPageBreak/>
        <w:t>82.</w:t>
      </w:r>
      <w:r>
        <w:tab/>
        <w:t>Relevant first home owner concessional transaction</w:t>
      </w:r>
      <w:bookmarkEnd w:id="21"/>
    </w:p>
    <w:p>
      <w:pPr>
        <w:pStyle w:val="zySubsection"/>
      </w:pPr>
      <w:r>
        <w:tab/>
        <w:t>(1)</w:t>
      </w:r>
      <w:r>
        <w:tab/>
        <w:t xml:space="preserve">A </w:t>
      </w:r>
      <w:r>
        <w:rPr>
          <w:rStyle w:val="CharDefText"/>
        </w:rPr>
        <w:t>relevant first home owner concessional transaction</w:t>
      </w:r>
      <w:r>
        <w:t xml:space="preserve"> is a transaction that — </w:t>
      </w:r>
    </w:p>
    <w:p>
      <w:pPr>
        <w:pStyle w:val="zyIndenta"/>
      </w:pPr>
      <w:r>
        <w:tab/>
        <w:t>(a)</w:t>
      </w:r>
      <w:r>
        <w:tab/>
        <w:t>is a first home owner concessional transaction under the amended first home owner concession provisions; and</w:t>
      </w:r>
    </w:p>
    <w:p>
      <w:pPr>
        <w:pStyle w:val="zyIndenta"/>
      </w:pPr>
      <w:r>
        <w:tab/>
        <w:t>(b)</w:t>
      </w:r>
      <w:r>
        <w:tab/>
        <w:t>occurs on or after 21 March 2025.</w:t>
      </w:r>
    </w:p>
    <w:p>
      <w:pPr>
        <w:pStyle w:val="zySubsection"/>
      </w:pPr>
      <w:r>
        <w:tab/>
        <w:t>(2)</w:t>
      </w:r>
      <w:r>
        <w:tab/>
        <w:t xml:space="preserve">An agreement (a </w:t>
      </w:r>
      <w:r>
        <w:rPr>
          <w:rStyle w:val="CharDefText"/>
        </w:rPr>
        <w:t>pre</w:t>
      </w:r>
      <w:r>
        <w:rPr>
          <w:rStyle w:val="CharDefText"/>
        </w:rPr>
        <w:noBreakHyphen/>
        <w:t>21 March 2025 agreement</w:t>
      </w:r>
      <w:r>
        <w:t xml:space="preserve">) for the transfer of dutiable property entered into before 21 March 2025 is not a </w:t>
      </w:r>
      <w:r>
        <w:rPr>
          <w:rStyle w:val="CharDefText"/>
        </w:rPr>
        <w:t>relevant first home owner concessional transaction</w:t>
      </w:r>
      <w:r>
        <w:t xml:space="preserve"> even if the subsequent transfer of the property occurs on or after 21 March 2025.</w:t>
      </w:r>
    </w:p>
    <w:p>
      <w:pPr>
        <w:pStyle w:val="zyHeading5"/>
      </w:pPr>
      <w:bookmarkStart w:id="22" w:name="_Toc201243037"/>
      <w:r>
        <w:t>83.</w:t>
      </w:r>
      <w:r>
        <w:tab/>
        <w:t>Application of amended first home owner concession provisions</w:t>
      </w:r>
      <w:bookmarkEnd w:id="22"/>
    </w:p>
    <w:p>
      <w:pPr>
        <w:pStyle w:val="zySubsection"/>
      </w:pPr>
      <w:r>
        <w:tab/>
        <w:t>(1)</w:t>
      </w:r>
      <w:r>
        <w:tab/>
        <w:t>The amended first home owner concession provisions apply in relation to the imposition of duty on a relevant first home owner concessional transaction even if the transaction occurred before commencement day.</w:t>
      </w:r>
    </w:p>
    <w:p>
      <w:pPr>
        <w:pStyle w:val="zySubsection"/>
        <w:keepNext/>
      </w:pPr>
      <w:r>
        <w:tab/>
        <w:t>(2)</w:t>
      </w:r>
      <w:r>
        <w:tab/>
        <w:t xml:space="preserve">Despite subclause (1), the amended first home owner concession provisions do not apply in relation to the imposition of duty on a relevant first home owner concessional transaction that is a further concessional transaction if the first concessional transaction to which it relates is — </w:t>
      </w:r>
    </w:p>
    <w:p>
      <w:pPr>
        <w:pStyle w:val="zyIndenta"/>
      </w:pPr>
      <w:r>
        <w:tab/>
        <w:t>(a)</w:t>
      </w:r>
      <w:r>
        <w:tab/>
        <w:t>a pre</w:t>
      </w:r>
      <w:r>
        <w:noBreakHyphen/>
        <w:t>21 March 2025 agreement; or</w:t>
      </w:r>
    </w:p>
    <w:p>
      <w:pPr>
        <w:pStyle w:val="zyIndenta"/>
      </w:pPr>
      <w:r>
        <w:tab/>
        <w:t>(b)</w:t>
      </w:r>
      <w:r>
        <w:tab/>
        <w:t xml:space="preserve">a transfer of dutiable property that is — </w:t>
      </w:r>
    </w:p>
    <w:p>
      <w:pPr>
        <w:pStyle w:val="zyIndenti"/>
      </w:pPr>
      <w:r>
        <w:tab/>
        <w:t>(i)</w:t>
      </w:r>
      <w:r>
        <w:tab/>
        <w:t>in conformity with a pre</w:t>
      </w:r>
      <w:r>
        <w:noBreakHyphen/>
        <w:t>21 March 2025 agreement; or</w:t>
      </w:r>
    </w:p>
    <w:p>
      <w:pPr>
        <w:pStyle w:val="zyIndenti"/>
      </w:pPr>
      <w:r>
        <w:tab/>
        <w:t>(ii)</w:t>
      </w:r>
      <w:r>
        <w:tab/>
        <w:t>a transfer of dutiable property the subject of a pre</w:t>
      </w:r>
      <w:r>
        <w:noBreakHyphen/>
        <w:t>21 March 2025 agreement to a substituted transferee in relation to the agreement.</w:t>
      </w:r>
    </w:p>
    <w:p>
      <w:pPr>
        <w:pStyle w:val="zySubsection"/>
        <w:keepNext/>
        <w:keepLines/>
      </w:pPr>
      <w:r>
        <w:lastRenderedPageBreak/>
        <w:tab/>
        <w:t>(3)</w:t>
      </w:r>
      <w:r>
        <w:tab/>
        <w:t>If subclause (2) applies, duty is chargeable on the further concessional transaction at the same rate and using the same thresholds that applied to the pre</w:t>
      </w:r>
      <w:r>
        <w:noBreakHyphen/>
        <w:t>21 March 2025 agreement referred to in whichever of subclause (2)(a) or (b)(i) or (ii) is applicable.</w:t>
      </w:r>
    </w:p>
    <w:p>
      <w:pPr>
        <w:pStyle w:val="zySubsection"/>
      </w:pPr>
      <w:r>
        <w:tab/>
        <w:t>(4)</w:t>
      </w:r>
      <w:r>
        <w:tab/>
        <w:t>If an assessment of duty payable on a relevant first home owner concessional transaction to which the amended first home owner concession provisions apply was made before commencement day, the Commissioner may, on application or on the Commissioner’s own initiative, reassess the duty payable on the transaction in accordance with the amended first home owner concession provisions.</w:t>
      </w:r>
    </w:p>
    <w:p>
      <w:pPr>
        <w:pStyle w:val="zySubsection"/>
      </w:pPr>
      <w:r>
        <w:tab/>
        <w:t>(5)</w:t>
      </w:r>
      <w:r>
        <w:tab/>
        <w:t xml:space="preserve">Despite section 144(2), an application for reassessment referred to in subclause (4) may be made in the approved form on or before the later of the following — </w:t>
      </w:r>
    </w:p>
    <w:p>
      <w:pPr>
        <w:pStyle w:val="zyIndenta"/>
      </w:pPr>
      <w:r>
        <w:tab/>
        <w:t>(a)</w:t>
      </w:r>
      <w:r>
        <w:tab/>
        <w:t>the last day of the period that applies under section 144(2);</w:t>
      </w:r>
    </w:p>
    <w:p>
      <w:pPr>
        <w:pStyle w:val="zyIndenta"/>
      </w:pPr>
      <w:r>
        <w:tab/>
        <w:t>(b)</w:t>
      </w:r>
      <w:r>
        <w:tab/>
        <w:t>the last day of the period of 12 months beginning on commencement day.</w:t>
      </w:r>
    </w:p>
    <w:p>
      <w:pPr>
        <w:pStyle w:val="zySubsection"/>
      </w:pPr>
      <w:r>
        <w:tab/>
        <w:t>(6)</w:t>
      </w:r>
      <w:r>
        <w:tab/>
        <w:t>Subclauses (4) and (5) apply despite the Taxation Administration Act section 17.</w:t>
      </w:r>
    </w:p>
    <w:p>
      <w:pPr>
        <w:pStyle w:val="zyHeading5"/>
      </w:pPr>
      <w:bookmarkStart w:id="23" w:name="_Toc201243038"/>
      <w:r>
        <w:t>84.</w:t>
      </w:r>
      <w:r>
        <w:tab/>
        <w:t>Provisions relating to amendments to Chapter 6A</w:t>
      </w:r>
      <w:bookmarkEnd w:id="23"/>
    </w:p>
    <w:p>
      <w:pPr>
        <w:pStyle w:val="zySubsection"/>
      </w:pPr>
      <w:r>
        <w:tab/>
        <w:t>(1)</w:t>
      </w:r>
      <w:r>
        <w:tab/>
        <w:t>If a term used in this clause is given a meaning in section 266E, it has the same meaning in this clause.</w:t>
      </w:r>
    </w:p>
    <w:p>
      <w:pPr>
        <w:pStyle w:val="zySubsection"/>
      </w:pPr>
      <w:r>
        <w:tab/>
        <w:t>(2)</w:t>
      </w:r>
      <w:r>
        <w:tab/>
        <w:t>Amended Chapter 6A applies in relation to the imposition of duty on a concessional off</w:t>
      </w:r>
      <w:r>
        <w:noBreakHyphen/>
        <w:t>the</w:t>
      </w:r>
      <w:r>
        <w:noBreakHyphen/>
        <w:t>plan agreement entered into on or after 21 March 2025 (including a concessional off</w:t>
      </w:r>
      <w:r>
        <w:noBreakHyphen/>
        <w:t>the</w:t>
      </w:r>
      <w:r>
        <w:noBreakHyphen/>
        <w:t>plan agreement entered into in the period beginning on 21 March 2025 and ending immediately before commencement day).</w:t>
      </w:r>
    </w:p>
    <w:p>
      <w:pPr>
        <w:pStyle w:val="zPermNoteHeading"/>
      </w:pPr>
      <w:r>
        <w:tab/>
        <w:t>Note for this subclause:</w:t>
      </w:r>
    </w:p>
    <w:p>
      <w:pPr>
        <w:pStyle w:val="zPermNoteText"/>
      </w:pPr>
      <w:r>
        <w:tab/>
      </w:r>
      <w:r>
        <w:tab/>
        <w:t>An agreement entered into before 21 March 2025 that relates to a single</w:t>
      </w:r>
      <w:r>
        <w:noBreakHyphen/>
        <w:t>tiered scheme is not a concessional pre</w:t>
      </w:r>
      <w:r>
        <w:noBreakHyphen/>
        <w:t xml:space="preserve">construction agreement under section 266F or a </w:t>
      </w:r>
      <w:r>
        <w:lastRenderedPageBreak/>
        <w:t>concessional under construction agreement under section 266FA.</w:t>
      </w:r>
    </w:p>
    <w:p>
      <w:pPr>
        <w:pStyle w:val="zySubsection"/>
      </w:pPr>
      <w:r>
        <w:tab/>
        <w:t>(3)</w:t>
      </w:r>
      <w:r>
        <w:tab/>
        <w:t>If an assessment of duty payable on a concessional off</w:t>
      </w:r>
      <w:r>
        <w:noBreakHyphen/>
        <w:t>the</w:t>
      </w:r>
      <w:r>
        <w:noBreakHyphen/>
        <w:t>plan agreement entered into on or after 21 March 2025 was made before commencement day, the Commissioner may, on application or on the Commissioner’s own initiative, reassess the duty payable on the agreement in accordance with amended Chapter 6A.</w:t>
      </w:r>
    </w:p>
    <w:p>
      <w:pPr>
        <w:pStyle w:val="zySubsection"/>
      </w:pPr>
      <w:r>
        <w:tab/>
        <w:t>(4)</w:t>
      </w:r>
      <w:r>
        <w:tab/>
        <w:t xml:space="preserve">Despite section 266O, an application for reassessment referred to in subclause (3) may be made in the approved form on or before the later of the following — </w:t>
      </w:r>
    </w:p>
    <w:p>
      <w:pPr>
        <w:pStyle w:val="zyIndenta"/>
      </w:pPr>
      <w:r>
        <w:tab/>
        <w:t>(a)</w:t>
      </w:r>
      <w:r>
        <w:tab/>
        <w:t>the last day of the period that applies under section 266O(1);</w:t>
      </w:r>
    </w:p>
    <w:p>
      <w:pPr>
        <w:pStyle w:val="zyIndenta"/>
      </w:pPr>
      <w:r>
        <w:tab/>
        <w:t>(b)</w:t>
      </w:r>
      <w:r>
        <w:tab/>
        <w:t>the last day of the period of 12 months beginning on commencement day.</w:t>
      </w:r>
    </w:p>
    <w:p>
      <w:pPr>
        <w:pStyle w:val="zySubsection"/>
      </w:pPr>
      <w:r>
        <w:tab/>
        <w:t>(5)</w:t>
      </w:r>
      <w:r>
        <w:tab/>
        <w:t>Subclauses (3) and (4) apply despite the Taxation Administration Act section 17.</w:t>
      </w:r>
    </w:p>
    <w:p>
      <w:pPr>
        <w:pStyle w:val="BlankClose"/>
      </w:pPr>
    </w:p>
    <w:p>
      <w:pPr>
        <w:pStyle w:val="Heading5"/>
      </w:pPr>
      <w:bookmarkStart w:id="24" w:name="_Toc201243039"/>
      <w:r>
        <w:rPr>
          <w:rStyle w:val="CharSectno"/>
        </w:rPr>
        <w:t>15</w:t>
      </w:r>
      <w:r>
        <w:t>.</w:t>
      </w:r>
      <w:r>
        <w:tab/>
        <w:t>Other provisions amended</w:t>
      </w:r>
      <w:bookmarkEnd w:id="24"/>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s. 266F(1)(a) and (2)(a)</w:t>
            </w:r>
          </w:p>
          <w:p>
            <w:pPr>
              <w:pStyle w:val="TableAm"/>
            </w:pPr>
            <w:r>
              <w:t>s. 266FA(1)(a)</w:t>
            </w:r>
          </w:p>
          <w:p>
            <w:pPr>
              <w:pStyle w:val="TableAm"/>
            </w:pPr>
            <w:r>
              <w:t>s. 266M(1)</w:t>
            </w:r>
          </w:p>
        </w:tc>
        <w:tc>
          <w:tcPr>
            <w:tcW w:w="2268" w:type="dxa"/>
          </w:tcPr>
          <w:p>
            <w:pPr>
              <w:pStyle w:val="TableAm"/>
            </w:pPr>
            <w:r>
              <w:t>a multi</w:t>
            </w:r>
            <w:r>
              <w:noBreakHyphen/>
              <w:t>tiered (each occurrence)</w:t>
            </w:r>
          </w:p>
          <w:p>
            <w:pPr>
              <w:pStyle w:val="TableAm"/>
            </w:pPr>
            <w:r>
              <w:t>residential unit or apartment</w:t>
            </w:r>
          </w:p>
        </w:tc>
        <w:tc>
          <w:tcPr>
            <w:tcW w:w="2268" w:type="dxa"/>
          </w:tcPr>
          <w:p>
            <w:pPr>
              <w:pStyle w:val="TableAm"/>
            </w:pPr>
            <w:r>
              <w:t>an eligible</w:t>
            </w:r>
            <w:r>
              <w:br/>
            </w:r>
          </w:p>
          <w:p>
            <w:pPr>
              <w:pStyle w:val="TableAm"/>
            </w:pPr>
            <w:r>
              <w:t>dwelling</w:t>
            </w:r>
          </w:p>
        </w:tc>
      </w:tr>
      <w:tr>
        <w:trPr>
          <w:cantSplit/>
          <w:jc w:val="center"/>
        </w:trPr>
        <w:tc>
          <w:tcPr>
            <w:tcW w:w="2268" w:type="dxa"/>
          </w:tcPr>
          <w:p>
            <w:pPr>
              <w:pStyle w:val="TableAm"/>
            </w:pPr>
            <w:r>
              <w:t>s. 266J(1)</w:t>
            </w:r>
          </w:p>
        </w:tc>
        <w:tc>
          <w:tcPr>
            <w:tcW w:w="2268" w:type="dxa"/>
          </w:tcPr>
          <w:p>
            <w:pPr>
              <w:pStyle w:val="TableAm"/>
            </w:pPr>
            <w:r>
              <w:t>a multi</w:t>
            </w:r>
            <w:r>
              <w:noBreakHyphen/>
              <w:t>tiered (each occurrence)</w:t>
            </w:r>
          </w:p>
        </w:tc>
        <w:tc>
          <w:tcPr>
            <w:tcW w:w="2268" w:type="dxa"/>
          </w:tcPr>
          <w:p>
            <w:pPr>
              <w:pStyle w:val="TableAm"/>
            </w:pPr>
            <w:r>
              <w:t>an eligible</w:t>
            </w:r>
          </w:p>
        </w:tc>
      </w:tr>
      <w:tr>
        <w:trPr>
          <w:cantSplit/>
          <w:jc w:val="center"/>
        </w:trPr>
        <w:tc>
          <w:tcPr>
            <w:tcW w:w="2268" w:type="dxa"/>
          </w:tcPr>
          <w:p>
            <w:pPr>
              <w:pStyle w:val="TableAm"/>
            </w:pPr>
            <w:r>
              <w:lastRenderedPageBreak/>
              <w:t>s. 266J(4)</w:t>
            </w:r>
          </w:p>
        </w:tc>
        <w:tc>
          <w:tcPr>
            <w:tcW w:w="2268" w:type="dxa"/>
          </w:tcPr>
          <w:p>
            <w:pPr>
              <w:pStyle w:val="TableAm"/>
            </w:pPr>
            <w:r>
              <w:t>multi</w:t>
            </w:r>
            <w:r>
              <w:noBreakHyphen/>
              <w:t>tiered (each occurrence)</w:t>
            </w:r>
          </w:p>
        </w:tc>
        <w:tc>
          <w:tcPr>
            <w:tcW w:w="2268" w:type="dxa"/>
          </w:tcPr>
          <w:p>
            <w:pPr>
              <w:pStyle w:val="TableAm"/>
            </w:pPr>
            <w:r>
              <w:t>eligible</w:t>
            </w:r>
          </w:p>
        </w:tc>
      </w:tr>
    </w:tbl>
    <w:p>
      <w:pPr>
        <w:pStyle w:val="CentredBaseLine"/>
        <w:jc w:val="cente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sz w:val="4"/>
          <w:szCs w:val="2"/>
        </w:rPr>
      </w:pPr>
      <w:r>
        <w:rPr>
          <w:noProof/>
          <w:sz w:val="4"/>
          <w:szCs w:val="2"/>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5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Amendment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Amendment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Amendment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Amendment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Amendment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Amendment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2"/>
  </w:num>
  <w:num w:numId="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19162744"/>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331083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31083313_GUID" w:val="6f3a603b-76db-4492-ab19-fe2ff2603679"/>
    <w:docVar w:name="WAFER_20250403130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03130056_GUID" w:val="da4f60c8-0dd6-432f-ad54-ac14f2b9835f"/>
    <w:docVar w:name="WAFER_202506191627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619162744_GUID" w:val="62c8ea8d-9495-4ca0-9a38-96d0fe799f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5:docId w15:val="{C5AE0C06-73B3-4C8F-9393-7A0F9D5AA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47585">
      <w:bodyDiv w:val="1"/>
      <w:marLeft w:val="0"/>
      <w:marRight w:val="0"/>
      <w:marTop w:val="0"/>
      <w:marBottom w:val="0"/>
      <w:divBdr>
        <w:top w:val="none" w:sz="0" w:space="0" w:color="auto"/>
        <w:left w:val="none" w:sz="0" w:space="0" w:color="auto"/>
        <w:bottom w:val="none" w:sz="0" w:space="0" w:color="auto"/>
        <w:right w:val="none" w:sz="0" w:space="0" w:color="auto"/>
      </w:divBdr>
    </w:div>
    <w:div w:id="704519430">
      <w:bodyDiv w:val="1"/>
      <w:marLeft w:val="0"/>
      <w:marRight w:val="0"/>
      <w:marTop w:val="0"/>
      <w:marBottom w:val="0"/>
      <w:divBdr>
        <w:top w:val="none" w:sz="0" w:space="0" w:color="auto"/>
        <w:left w:val="none" w:sz="0" w:space="0" w:color="auto"/>
        <w:bottom w:val="none" w:sz="0" w:space="0" w:color="auto"/>
        <w:right w:val="none" w:sz="0" w:space="0" w:color="auto"/>
      </w:divBdr>
    </w:div>
    <w:div w:id="989410296">
      <w:bodyDiv w:val="1"/>
      <w:marLeft w:val="0"/>
      <w:marRight w:val="0"/>
      <w:marTop w:val="0"/>
      <w:marBottom w:val="0"/>
      <w:divBdr>
        <w:top w:val="none" w:sz="0" w:space="0" w:color="auto"/>
        <w:left w:val="none" w:sz="0" w:space="0" w:color="auto"/>
        <w:bottom w:val="none" w:sz="0" w:space="0" w:color="auto"/>
        <w:right w:val="none" w:sz="0" w:space="0" w:color="auto"/>
      </w:divBdr>
    </w:div>
    <w:div w:id="1011447482">
      <w:bodyDiv w:val="1"/>
      <w:marLeft w:val="0"/>
      <w:marRight w:val="0"/>
      <w:marTop w:val="0"/>
      <w:marBottom w:val="0"/>
      <w:divBdr>
        <w:top w:val="none" w:sz="0" w:space="0" w:color="auto"/>
        <w:left w:val="none" w:sz="0" w:space="0" w:color="auto"/>
        <w:bottom w:val="none" w:sz="0" w:space="0" w:color="auto"/>
        <w:right w:val="none" w:sz="0" w:space="0" w:color="auto"/>
      </w:divBdr>
    </w:div>
    <w:div w:id="1121219806">
      <w:bodyDiv w:val="1"/>
      <w:marLeft w:val="0"/>
      <w:marRight w:val="0"/>
      <w:marTop w:val="0"/>
      <w:marBottom w:val="0"/>
      <w:divBdr>
        <w:top w:val="none" w:sz="0" w:space="0" w:color="auto"/>
        <w:left w:val="none" w:sz="0" w:space="0" w:color="auto"/>
        <w:bottom w:val="none" w:sz="0" w:space="0" w:color="auto"/>
        <w:right w:val="none" w:sz="0" w:space="0" w:color="auto"/>
      </w:divBdr>
    </w:div>
    <w:div w:id="1160266419">
      <w:bodyDiv w:val="1"/>
      <w:marLeft w:val="0"/>
      <w:marRight w:val="0"/>
      <w:marTop w:val="0"/>
      <w:marBottom w:val="0"/>
      <w:divBdr>
        <w:top w:val="none" w:sz="0" w:space="0" w:color="auto"/>
        <w:left w:val="none" w:sz="0" w:space="0" w:color="auto"/>
        <w:bottom w:val="none" w:sz="0" w:space="0" w:color="auto"/>
        <w:right w:val="none" w:sz="0" w:space="0" w:color="auto"/>
      </w:divBdr>
    </w:div>
    <w:div w:id="1380396437">
      <w:bodyDiv w:val="1"/>
      <w:marLeft w:val="0"/>
      <w:marRight w:val="0"/>
      <w:marTop w:val="0"/>
      <w:marBottom w:val="0"/>
      <w:divBdr>
        <w:top w:val="none" w:sz="0" w:space="0" w:color="auto"/>
        <w:left w:val="none" w:sz="0" w:space="0" w:color="auto"/>
        <w:bottom w:val="none" w:sz="0" w:space="0" w:color="auto"/>
        <w:right w:val="none" w:sz="0" w:space="0" w:color="auto"/>
      </w:divBdr>
    </w:div>
    <w:div w:id="1931813265">
      <w:bodyDiv w:val="1"/>
      <w:marLeft w:val="0"/>
      <w:marRight w:val="0"/>
      <w:marTop w:val="0"/>
      <w:marBottom w:val="0"/>
      <w:divBdr>
        <w:top w:val="none" w:sz="0" w:space="0" w:color="auto"/>
        <w:left w:val="none" w:sz="0" w:space="0" w:color="auto"/>
        <w:bottom w:val="none" w:sz="0" w:space="0" w:color="auto"/>
        <w:right w:val="none" w:sz="0" w:space="0" w:color="auto"/>
      </w:divBdr>
    </w:div>
    <w:div w:id="2044743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2297</Words>
  <Characters>11167</Characters>
  <Application>Microsoft Office Word</Application>
  <DocSecurity>0</DocSecurity>
  <Lines>558</Lines>
  <Paragraphs>320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13144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Amendment Act 2025 - 00-00-00</dc:title>
  <dc:subject/>
  <dc:creator/>
  <cp:keywords/>
  <dc:description/>
  <cp:lastModifiedBy>Master Repository Process</cp:lastModifiedBy>
  <cp:revision>4</cp:revision>
  <cp:lastPrinted>2025-06-19T08:00:00Z</cp:lastPrinted>
  <dcterms:created xsi:type="dcterms:W3CDTF">2025-06-19T08:44:00Z</dcterms:created>
  <dcterms:modified xsi:type="dcterms:W3CDTF">2025-06-19T08:44:00Z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2025</vt:lpwstr>
  </property>
  <property fmtid="{D5CDD505-2E9C-101B-9397-08002B2CF9AE}" pid="3" name="DocumentType">
    <vt:lpwstr>Act</vt:lpwstr>
  </property>
  <property fmtid="{D5CDD505-2E9C-101B-9397-08002B2CF9AE}" pid="4" name="AsAtDate">
    <vt:lpwstr>19 Jun 2025</vt:lpwstr>
  </property>
  <property fmtid="{D5CDD505-2E9C-101B-9397-08002B2CF9AE}" pid="5" name="Suffix">
    <vt:lpwstr>00-00-00</vt:lpwstr>
  </property>
  <property fmtid="{D5CDD505-2E9C-101B-9397-08002B2CF9AE}" pid="6" name="Official">
    <vt:lpwstr/>
  </property>
  <property fmtid="{D5CDD505-2E9C-101B-9397-08002B2CF9AE}" pid="7" name="ActNoFooter">
    <vt:lpwstr>No. 5 of 2025</vt:lpwstr>
  </property>
  <property fmtid="{D5CDD505-2E9C-101B-9397-08002B2CF9AE}" pid="8" name="CommencementDate">
    <vt:lpwstr>20250619</vt:lpwstr>
  </property>
  <property fmtid="{D5CDD505-2E9C-101B-9397-08002B2CF9AE}" pid="9" name="CommencementAsAt">
    <vt:filetime>2025-06-18T16:00:00Z</vt:filetime>
  </property>
  <property fmtid="{D5CDD505-2E9C-101B-9397-08002B2CF9AE}" pid="10" name="CommencementYear">
    <vt:lpwstr>2025</vt:lpwstr>
  </property>
</Properties>
</file>