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Act 1975</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Act 1975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The Tribunal</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_Toc201220293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_Toc201220294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_Toc201220295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Tribunal established</w:t>
      </w:r>
    </w:p>
    <w:p>
      <w:pPr>
        <w:pStyle w:val="TOC8"/>
        <w:rPr>
          <w:rFonts w:asciiTheme="minorHAnsi" w:eastAsiaTheme="minorEastAsia" w:hAnsiTheme="minorHAnsi" w:cstheme="minorBidi"/>
          <w:szCs w:val="22"/>
        </w:rPr>
      </w:pPr>
      <w:r>
        <w:t>5</w:t>
      </w:r>
      <w:r>
        <w:rPr>
          <w:snapToGrid w:val="0"/>
        </w:rPr>
        <w:t>.</w:t>
      </w:r>
      <w:r>
        <w:rPr>
          <w:snapToGrid w:val="0"/>
        </w:rPr>
        <w:tab/>
        <w:t>Establishment of Tribunal</w:t>
      </w:r>
      <w:r>
        <w:tab/>
      </w:r>
      <w:r>
        <w:fldChar w:fldCharType="begin"/>
      </w:r>
      <w:r>
        <w:instrText xml:space="preserve"> PAGEREF _Toc201220297 \h </w:instrText>
      </w:r>
      <w:r>
        <w:fldChar w:fldCharType="separate"/>
      </w:r>
      <w:r>
        <w:t>4</w:t>
      </w:r>
      <w:r>
        <w:fldChar w:fldCharType="end"/>
      </w:r>
    </w:p>
    <w:p>
      <w:pPr>
        <w:pStyle w:val="TOC4"/>
        <w:tabs>
          <w:tab w:val="right" w:leader="dot" w:pos="7077"/>
        </w:tabs>
        <w:rPr>
          <w:rFonts w:asciiTheme="minorHAnsi" w:eastAsiaTheme="minorEastAsia" w:hAnsiTheme="minorHAnsi" w:cstheme="minorBidi"/>
          <w:b w:val="0"/>
          <w:szCs w:val="22"/>
        </w:rPr>
      </w:pPr>
      <w:r>
        <w:t>Division 3 — Inquiries, determinations and reports</w:t>
      </w:r>
    </w:p>
    <w:p>
      <w:pPr>
        <w:pStyle w:val="TOC8"/>
        <w:rPr>
          <w:rFonts w:asciiTheme="minorHAnsi" w:eastAsiaTheme="minorEastAsia" w:hAnsiTheme="minorHAnsi" w:cstheme="minorBidi"/>
          <w:szCs w:val="22"/>
        </w:rPr>
      </w:pPr>
      <w:r>
        <w:t>5A</w:t>
      </w:r>
      <w:r>
        <w:rPr>
          <w:snapToGrid w:val="0"/>
        </w:rPr>
        <w:t>.</w:t>
      </w:r>
      <w:r>
        <w:rPr>
          <w:snapToGrid w:val="0"/>
        </w:rPr>
        <w:tab/>
        <w:t>Inquiry into and determination of remuneration of Governor</w:t>
      </w:r>
      <w:r>
        <w:tab/>
      </w:r>
      <w:r>
        <w:fldChar w:fldCharType="begin"/>
      </w:r>
      <w:r>
        <w:instrText xml:space="preserve"> PAGEREF _Toc201220299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Other inquiries into and determinations of remuneration</w:t>
      </w:r>
      <w:r>
        <w:tab/>
      </w:r>
      <w:r>
        <w:fldChar w:fldCharType="begin"/>
      </w:r>
      <w:r>
        <w:instrText xml:space="preserve"> PAGEREF _Toc201220300 \h </w:instrText>
      </w:r>
      <w:r>
        <w:fldChar w:fldCharType="separate"/>
      </w:r>
      <w:r>
        <w:t>7</w:t>
      </w:r>
      <w:r>
        <w:fldChar w:fldCharType="end"/>
      </w:r>
    </w:p>
    <w:p>
      <w:pPr>
        <w:pStyle w:val="TOC8"/>
        <w:rPr>
          <w:rFonts w:asciiTheme="minorHAnsi" w:eastAsiaTheme="minorEastAsia" w:hAnsiTheme="minorHAnsi" w:cstheme="minorBidi"/>
          <w:szCs w:val="22"/>
        </w:rPr>
      </w:pPr>
      <w:r>
        <w:t>6A.</w:t>
      </w:r>
      <w:r>
        <w:tab/>
        <w:t xml:space="preserve">Tribunal’s functions under </w:t>
      </w:r>
      <w:r>
        <w:rPr>
          <w:i/>
        </w:rPr>
        <w:t>Parliamentary Superannuation Act 1970</w:t>
      </w:r>
      <w:r>
        <w:tab/>
      </w:r>
      <w:r>
        <w:fldChar w:fldCharType="begin"/>
      </w:r>
      <w:r>
        <w:instrText xml:space="preserve"> PAGEREF _Toc201220301 \h </w:instrText>
      </w:r>
      <w:r>
        <w:fldChar w:fldCharType="separate"/>
      </w:r>
      <w:r>
        <w:t>11</w:t>
      </w:r>
      <w:r>
        <w:fldChar w:fldCharType="end"/>
      </w:r>
    </w:p>
    <w:p>
      <w:pPr>
        <w:pStyle w:val="TOC8"/>
        <w:rPr>
          <w:rFonts w:asciiTheme="minorHAnsi" w:eastAsiaTheme="minorEastAsia" w:hAnsiTheme="minorHAnsi" w:cstheme="minorBidi"/>
          <w:szCs w:val="22"/>
        </w:rPr>
      </w:pPr>
      <w:r>
        <w:t>6AA.</w:t>
      </w:r>
      <w:r>
        <w:tab/>
        <w:t>Redundancy benefits for members of Parliament</w:t>
      </w:r>
      <w:r>
        <w:tab/>
      </w:r>
      <w:r>
        <w:fldChar w:fldCharType="begin"/>
      </w:r>
      <w:r>
        <w:instrText xml:space="preserve"> PAGEREF _Toc201220302 \h </w:instrText>
      </w:r>
      <w:r>
        <w:fldChar w:fldCharType="separate"/>
      </w:r>
      <w:r>
        <w:t>11</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Determinations relating to entitlements of former Premiers, Ministers and members of Parliament</w:t>
      </w:r>
      <w:r>
        <w:tab/>
      </w:r>
      <w:r>
        <w:fldChar w:fldCharType="begin"/>
      </w:r>
      <w:r>
        <w:instrText xml:space="preserve"> PAGEREF _Toc201220303 \h </w:instrText>
      </w:r>
      <w:r>
        <w:fldChar w:fldCharType="separate"/>
      </w:r>
      <w:r>
        <w:t>12</w:t>
      </w:r>
      <w:r>
        <w:fldChar w:fldCharType="end"/>
      </w:r>
    </w:p>
    <w:p>
      <w:pPr>
        <w:pStyle w:val="TOC8"/>
        <w:rPr>
          <w:rFonts w:asciiTheme="minorHAnsi" w:eastAsiaTheme="minorEastAsia" w:hAnsiTheme="minorHAnsi" w:cstheme="minorBidi"/>
          <w:szCs w:val="22"/>
        </w:rPr>
      </w:pPr>
      <w:r>
        <w:t>6C</w:t>
      </w:r>
      <w:r>
        <w:rPr>
          <w:snapToGrid w:val="0"/>
        </w:rPr>
        <w:t>.</w:t>
      </w:r>
      <w:r>
        <w:rPr>
          <w:snapToGrid w:val="0"/>
        </w:rPr>
        <w:tab/>
        <w:t>Forfeiture of former office entitlements</w:t>
      </w:r>
      <w:r>
        <w:tab/>
      </w:r>
      <w:r>
        <w:fldChar w:fldCharType="begin"/>
      </w:r>
      <w:r>
        <w:instrText xml:space="preserve"> PAGEREF _Toc201220304 \h </w:instrText>
      </w:r>
      <w:r>
        <w:fldChar w:fldCharType="separate"/>
      </w:r>
      <w:r>
        <w:t>12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Inquiry into and report on judicial salaries</w:t>
      </w:r>
      <w:r>
        <w:tab/>
      </w:r>
      <w:r>
        <w:fldChar w:fldCharType="begin"/>
      </w:r>
      <w:r>
        <w:instrText xml:space="preserve"> PAGEREF _Toc201220305 \h </w:instrText>
      </w:r>
      <w:r>
        <w:fldChar w:fldCharType="separate"/>
      </w:r>
      <w:r>
        <w:t>14</w:t>
      </w:r>
      <w:r>
        <w:fldChar w:fldCharType="end"/>
      </w:r>
    </w:p>
    <w:p>
      <w:pPr>
        <w:pStyle w:val="TOC8"/>
        <w:rPr>
          <w:rFonts w:asciiTheme="minorHAnsi" w:eastAsiaTheme="minorEastAsia" w:hAnsiTheme="minorHAnsi" w:cstheme="minorBidi"/>
          <w:szCs w:val="22"/>
        </w:rPr>
      </w:pPr>
      <w:r>
        <w:t>7A.</w:t>
      </w:r>
      <w:r>
        <w:tab/>
        <w:t>Determinations as to remuneration of local government CEOs</w:t>
      </w:r>
      <w:r>
        <w:tab/>
      </w:r>
      <w:r>
        <w:fldChar w:fldCharType="begin"/>
      </w:r>
      <w:r>
        <w:instrText xml:space="preserve"> PAGEREF _Toc201220306 \h </w:instrText>
      </w:r>
      <w:r>
        <w:fldChar w:fldCharType="separate"/>
      </w:r>
      <w:r>
        <w:t>15</w:t>
      </w:r>
      <w:r>
        <w:fldChar w:fldCharType="end"/>
      </w:r>
    </w:p>
    <w:p>
      <w:pPr>
        <w:pStyle w:val="TOC8"/>
        <w:rPr>
          <w:rFonts w:asciiTheme="minorHAnsi" w:eastAsiaTheme="minorEastAsia" w:hAnsiTheme="minorHAnsi" w:cstheme="minorBidi"/>
          <w:szCs w:val="22"/>
        </w:rPr>
      </w:pPr>
      <w:r>
        <w:t>7B.</w:t>
      </w:r>
      <w:r>
        <w:tab/>
        <w:t>Determinations as to fees and allowances of local government councillors</w:t>
      </w:r>
      <w:r>
        <w:tab/>
      </w:r>
      <w:r>
        <w:fldChar w:fldCharType="begin"/>
      </w:r>
      <w:r>
        <w:instrText xml:space="preserve"> PAGEREF _Toc201220307 \h </w:instrText>
      </w:r>
      <w:r>
        <w:fldChar w:fldCharType="separate"/>
      </w:r>
      <w:r>
        <w:t>16</w:t>
      </w:r>
      <w:r>
        <w:fldChar w:fldCharType="end"/>
      </w:r>
    </w:p>
    <w:p>
      <w:pPr>
        <w:pStyle w:val="TOC8"/>
        <w:rPr>
          <w:rFonts w:asciiTheme="minorHAnsi" w:eastAsiaTheme="minorEastAsia" w:hAnsiTheme="minorHAnsi" w:cstheme="minorBidi"/>
          <w:szCs w:val="22"/>
        </w:rPr>
      </w:pPr>
      <w:r>
        <w:t>7BAA.</w:t>
      </w:r>
      <w:r>
        <w:tab/>
        <w:t>Determinations as to fees and allowances of members of local government committees</w:t>
      </w:r>
      <w:r>
        <w:tab/>
      </w:r>
      <w:r>
        <w:fldChar w:fldCharType="begin"/>
      </w:r>
      <w:r>
        <w:instrText xml:space="preserve"> PAGEREF _Toc201220308 \h </w:instrText>
      </w:r>
      <w:r>
        <w:fldChar w:fldCharType="separate"/>
      </w:r>
      <w:r>
        <w:t>16</w:t>
      </w:r>
      <w:r>
        <w:fldChar w:fldCharType="end"/>
      </w:r>
    </w:p>
    <w:p>
      <w:pPr>
        <w:pStyle w:val="TOC8"/>
        <w:rPr>
          <w:rFonts w:asciiTheme="minorHAnsi" w:eastAsiaTheme="minorEastAsia" w:hAnsiTheme="minorHAnsi" w:cstheme="minorBidi"/>
          <w:szCs w:val="22"/>
        </w:rPr>
      </w:pPr>
      <w:r>
        <w:t>7BA.</w:t>
      </w:r>
      <w:r>
        <w:tab/>
        <w:t>Term used: Government entity</w:t>
      </w:r>
      <w:r>
        <w:tab/>
      </w:r>
      <w:r>
        <w:fldChar w:fldCharType="begin"/>
      </w:r>
      <w:r>
        <w:instrText xml:space="preserve"> PAGEREF _Toc201220309 \h </w:instrText>
      </w:r>
      <w:r>
        <w:fldChar w:fldCharType="separate"/>
      </w:r>
      <w:r>
        <w:t>17</w:t>
      </w:r>
      <w:r>
        <w:fldChar w:fldCharType="end"/>
      </w:r>
    </w:p>
    <w:p>
      <w:pPr>
        <w:pStyle w:val="TOC8"/>
        <w:rPr>
          <w:rFonts w:asciiTheme="minorHAnsi" w:eastAsiaTheme="minorEastAsia" w:hAnsiTheme="minorHAnsi" w:cstheme="minorBidi"/>
          <w:szCs w:val="22"/>
        </w:rPr>
      </w:pPr>
      <w:r>
        <w:lastRenderedPageBreak/>
        <w:t>7C.</w:t>
      </w:r>
      <w:r>
        <w:tab/>
        <w:t>Determinations as to remuneration of executive officers of Government entities</w:t>
      </w:r>
      <w:r>
        <w:tab/>
      </w:r>
      <w:r>
        <w:fldChar w:fldCharType="begin"/>
      </w:r>
      <w:r>
        <w:instrText xml:space="preserve"> PAGEREF _Toc201220310 \h </w:instrText>
      </w:r>
      <w:r>
        <w:fldChar w:fldCharType="separate"/>
      </w:r>
      <w:r>
        <w:t>17</w:t>
      </w:r>
      <w:r>
        <w:fldChar w:fldCharType="end"/>
      </w:r>
    </w:p>
    <w:p>
      <w:pPr>
        <w:pStyle w:val="TOC8"/>
        <w:rPr>
          <w:rFonts w:asciiTheme="minorHAnsi" w:eastAsiaTheme="minorEastAsia" w:hAnsiTheme="minorHAnsi" w:cstheme="minorBidi"/>
          <w:szCs w:val="22"/>
        </w:rPr>
      </w:pPr>
      <w:r>
        <w:t>7D.</w:t>
      </w:r>
      <w:r>
        <w:tab/>
        <w:t>Determinations as to remuneration of directors of certain Government entities</w:t>
      </w:r>
      <w:r>
        <w:tab/>
      </w:r>
      <w:r>
        <w:fldChar w:fldCharType="begin"/>
      </w:r>
      <w:r>
        <w:instrText xml:space="preserve"> PAGEREF _Toc201220311 \h </w:instrText>
      </w:r>
      <w:r>
        <w:fldChar w:fldCharType="separate"/>
      </w:r>
      <w:r>
        <w:t>18</w:t>
      </w:r>
      <w:r>
        <w:fldChar w:fldCharType="end"/>
      </w:r>
    </w:p>
    <w:p>
      <w:pPr>
        <w:pStyle w:val="TOC8"/>
        <w:rPr>
          <w:rFonts w:asciiTheme="minorHAnsi" w:eastAsiaTheme="minorEastAsia" w:hAnsiTheme="minorHAnsi" w:cstheme="minorBidi"/>
          <w:szCs w:val="22"/>
        </w:rPr>
      </w:pPr>
      <w:r>
        <w:t>7E.</w:t>
      </w:r>
      <w:r>
        <w:tab/>
        <w:t>Determinations as to allowance for directors of certain GTEs: audit and risk committee members</w:t>
      </w:r>
      <w:r>
        <w:tab/>
      </w:r>
      <w:r>
        <w:fldChar w:fldCharType="begin"/>
      </w:r>
      <w:r>
        <w:instrText xml:space="preserve"> PAGEREF _Toc201220312 \h </w:instrText>
      </w:r>
      <w:r>
        <w:fldChar w:fldCharType="separate"/>
      </w:r>
      <w:r>
        <w:t>18</w:t>
      </w:r>
      <w:r>
        <w:fldChar w:fldCharType="end"/>
      </w:r>
    </w:p>
    <w:p>
      <w:pPr>
        <w:pStyle w:val="TOC8"/>
        <w:rPr>
          <w:rFonts w:asciiTheme="minorHAnsi" w:eastAsiaTheme="minorEastAsia" w:hAnsiTheme="minorHAnsi" w:cstheme="minorBidi"/>
          <w:szCs w:val="22"/>
        </w:rPr>
      </w:pPr>
      <w:r>
        <w:t>8.</w:t>
      </w:r>
      <w:r>
        <w:tab/>
        <w:t>Tribunal to report and make a determination annually</w:t>
      </w:r>
      <w:r>
        <w:tab/>
      </w:r>
      <w:r>
        <w:fldChar w:fldCharType="begin"/>
      </w:r>
      <w:r>
        <w:instrText xml:space="preserve"> PAGEREF _Toc201220313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Meetings of Tribunal</w:t>
      </w:r>
      <w:r>
        <w:tab/>
      </w:r>
      <w:r>
        <w:fldChar w:fldCharType="begin"/>
      </w:r>
      <w:r>
        <w:instrText xml:space="preserve"> PAGEREF _Toc201220314 \h </w:instrText>
      </w:r>
      <w:r>
        <w:fldChar w:fldCharType="separate"/>
      </w:r>
      <w:r>
        <w:t>20</w:t>
      </w:r>
      <w:r>
        <w:fldChar w:fldCharType="end"/>
      </w:r>
    </w:p>
    <w:p>
      <w:pPr>
        <w:pStyle w:val="TOC8"/>
        <w:rPr>
          <w:rFonts w:asciiTheme="minorHAnsi" w:eastAsiaTheme="minorEastAsia" w:hAnsiTheme="minorHAnsi" w:cstheme="minorBidi"/>
          <w:szCs w:val="22"/>
        </w:rPr>
      </w:pPr>
      <w:r>
        <w:t>9A.</w:t>
      </w:r>
      <w:r>
        <w:tab/>
        <w:t>Resolution without meeting</w:t>
      </w:r>
      <w:r>
        <w:tab/>
      </w:r>
      <w:r>
        <w:fldChar w:fldCharType="begin"/>
      </w:r>
      <w:r>
        <w:instrText xml:space="preserve"> PAGEREF _Toc201220315 \h </w:instrText>
      </w:r>
      <w:r>
        <w:fldChar w:fldCharType="separate"/>
      </w:r>
      <w:r>
        <w:t>21</w:t>
      </w:r>
      <w:r>
        <w:fldChar w:fldCharType="end"/>
      </w:r>
    </w:p>
    <w:p>
      <w:pPr>
        <w:pStyle w:val="TOC8"/>
        <w:rPr>
          <w:rFonts w:asciiTheme="minorHAnsi" w:eastAsiaTheme="minorEastAsia" w:hAnsiTheme="minorHAnsi" w:cstheme="minorBidi"/>
          <w:szCs w:val="22"/>
        </w:rPr>
      </w:pPr>
      <w:r>
        <w:t>9B.</w:t>
      </w:r>
      <w:r>
        <w:tab/>
        <w:t>Quorum</w:t>
      </w:r>
      <w:r>
        <w:tab/>
      </w:r>
      <w:r>
        <w:fldChar w:fldCharType="begin"/>
      </w:r>
      <w:r>
        <w:instrText xml:space="preserve"> PAGEREF _Toc201220316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Method of inquiry by Tribunal</w:t>
      </w:r>
      <w:r>
        <w:tab/>
      </w:r>
      <w:r>
        <w:fldChar w:fldCharType="begin"/>
      </w:r>
      <w:r>
        <w:instrText xml:space="preserve"> PAGEREF _Toc201220317 \h </w:instrText>
      </w:r>
      <w:r>
        <w:fldChar w:fldCharType="separate"/>
      </w:r>
      <w:r>
        <w:t>22</w:t>
      </w:r>
      <w:r>
        <w:fldChar w:fldCharType="end"/>
      </w:r>
    </w:p>
    <w:p>
      <w:pPr>
        <w:pStyle w:val="TOC8"/>
        <w:rPr>
          <w:rFonts w:asciiTheme="minorHAnsi" w:eastAsiaTheme="minorEastAsia" w:hAnsiTheme="minorHAnsi" w:cstheme="minorBidi"/>
          <w:szCs w:val="22"/>
        </w:rPr>
      </w:pPr>
      <w:r>
        <w:t>10A.</w:t>
      </w:r>
      <w:r>
        <w:tab/>
        <w:t>Tribunal to have regard to government financial matters</w:t>
      </w:r>
      <w:r>
        <w:tab/>
      </w:r>
      <w:r>
        <w:fldChar w:fldCharType="begin"/>
      </w:r>
      <w:r>
        <w:instrText xml:space="preserve"> PAGEREF _Toc201220318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4 — No remuneration increases before 1 July 2021</w:t>
      </w:r>
    </w:p>
    <w:p>
      <w:pPr>
        <w:pStyle w:val="TOC8"/>
        <w:rPr>
          <w:rFonts w:asciiTheme="minorHAnsi" w:eastAsiaTheme="minorEastAsia" w:hAnsiTheme="minorHAnsi" w:cstheme="minorBidi"/>
          <w:szCs w:val="22"/>
        </w:rPr>
      </w:pPr>
      <w:r>
        <w:t>10B.</w:t>
      </w:r>
      <w:r>
        <w:tab/>
        <w:t>Term used: commencement day</w:t>
      </w:r>
      <w:r>
        <w:tab/>
      </w:r>
      <w:r>
        <w:fldChar w:fldCharType="begin"/>
      </w:r>
      <w:r>
        <w:instrText xml:space="preserve"> PAGEREF _Toc201220320 \h </w:instrText>
      </w:r>
      <w:r>
        <w:fldChar w:fldCharType="separate"/>
      </w:r>
      <w:r>
        <w:t>26</w:t>
      </w:r>
      <w:r>
        <w:fldChar w:fldCharType="end"/>
      </w:r>
    </w:p>
    <w:p>
      <w:pPr>
        <w:pStyle w:val="TOC8"/>
        <w:rPr>
          <w:rFonts w:asciiTheme="minorHAnsi" w:eastAsiaTheme="minorEastAsia" w:hAnsiTheme="minorHAnsi" w:cstheme="minorBidi"/>
          <w:szCs w:val="22"/>
        </w:rPr>
      </w:pPr>
      <w:r>
        <w:t>10C.</w:t>
      </w:r>
      <w:r>
        <w:tab/>
        <w:t>No increases in Governor’s remuneration before 1 July 2021</w:t>
      </w:r>
      <w:r>
        <w:tab/>
      </w:r>
      <w:r>
        <w:fldChar w:fldCharType="begin"/>
      </w:r>
      <w:r>
        <w:instrText xml:space="preserve"> PAGEREF _Toc201220321 \h </w:instrText>
      </w:r>
      <w:r>
        <w:fldChar w:fldCharType="separate"/>
      </w:r>
      <w:r>
        <w:t>26</w:t>
      </w:r>
      <w:r>
        <w:fldChar w:fldCharType="end"/>
      </w:r>
    </w:p>
    <w:p>
      <w:pPr>
        <w:pStyle w:val="TOC8"/>
        <w:rPr>
          <w:rFonts w:asciiTheme="minorHAnsi" w:eastAsiaTheme="minorEastAsia" w:hAnsiTheme="minorHAnsi" w:cstheme="minorBidi"/>
          <w:szCs w:val="22"/>
        </w:rPr>
      </w:pPr>
      <w:r>
        <w:t>10D.</w:t>
      </w:r>
      <w:r>
        <w:tab/>
        <w:t>No increases in remuneration under s. 6 before 1 July 2021</w:t>
      </w:r>
      <w:r>
        <w:tab/>
      </w:r>
      <w:r>
        <w:fldChar w:fldCharType="begin"/>
      </w:r>
      <w:r>
        <w:instrText xml:space="preserve"> PAGEREF _Toc201220322 \h </w:instrText>
      </w:r>
      <w:r>
        <w:fldChar w:fldCharType="separate"/>
      </w:r>
      <w:r>
        <w:t>27</w:t>
      </w:r>
      <w:r>
        <w:fldChar w:fldCharType="end"/>
      </w:r>
    </w:p>
    <w:p>
      <w:pPr>
        <w:pStyle w:val="TOC8"/>
        <w:rPr>
          <w:rFonts w:asciiTheme="minorHAnsi" w:eastAsiaTheme="minorEastAsia" w:hAnsiTheme="minorHAnsi" w:cstheme="minorBidi"/>
          <w:szCs w:val="22"/>
        </w:rPr>
      </w:pPr>
      <w:r>
        <w:t>10E.</w:t>
      </w:r>
      <w:r>
        <w:tab/>
        <w:t>No increases in judicial remuneration before 1 July 2021</w:t>
      </w:r>
      <w:r>
        <w:tab/>
      </w:r>
      <w:r>
        <w:fldChar w:fldCharType="begin"/>
      </w:r>
      <w:r>
        <w:instrText xml:space="preserve"> PAGEREF _Toc201220323 \h </w:instrText>
      </w:r>
      <w:r>
        <w:fldChar w:fldCharType="separate"/>
      </w:r>
      <w:r>
        <w:t>29</w:t>
      </w:r>
      <w:r>
        <w:fldChar w:fldCharType="end"/>
      </w:r>
    </w:p>
    <w:p>
      <w:pPr>
        <w:pStyle w:val="TOC8"/>
        <w:rPr>
          <w:rFonts w:asciiTheme="minorHAnsi" w:eastAsiaTheme="minorEastAsia" w:hAnsiTheme="minorHAnsi" w:cstheme="minorBidi"/>
          <w:szCs w:val="22"/>
        </w:rPr>
      </w:pPr>
      <w:r>
        <w:t>10F.</w:t>
      </w:r>
      <w:r>
        <w:tab/>
        <w:t>No increases in remuneration of certain executive officers of Government entities before 1 July 2021</w:t>
      </w:r>
      <w:r>
        <w:tab/>
      </w:r>
      <w:r>
        <w:fldChar w:fldCharType="begin"/>
      </w:r>
      <w:r>
        <w:instrText xml:space="preserve"> PAGEREF _Toc201220324 \h </w:instrText>
      </w:r>
      <w:r>
        <w:fldChar w:fldCharType="separate"/>
      </w:r>
      <w:r>
        <w:t>29</w:t>
      </w:r>
      <w:r>
        <w:fldChar w:fldCharType="end"/>
      </w:r>
    </w:p>
    <w:p>
      <w:pPr>
        <w:pStyle w:val="TOC8"/>
        <w:rPr>
          <w:rFonts w:asciiTheme="minorHAnsi" w:eastAsiaTheme="minorEastAsia" w:hAnsiTheme="minorHAnsi" w:cstheme="minorBidi"/>
          <w:szCs w:val="22"/>
        </w:rPr>
      </w:pPr>
      <w:r>
        <w:t>10G.</w:t>
      </w:r>
      <w:r>
        <w:tab/>
        <w:t>Compensatory and catch-up determinations after 1 July 2021 prohibited</w:t>
      </w:r>
      <w:r>
        <w:tab/>
      </w:r>
      <w:r>
        <w:fldChar w:fldCharType="begin"/>
      </w:r>
      <w:r>
        <w:instrText xml:space="preserve"> PAGEREF _Toc201220325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11</w:t>
      </w:r>
      <w:r>
        <w:rPr>
          <w:snapToGrid w:val="0"/>
        </w:rPr>
        <w:t>.</w:t>
      </w:r>
      <w:r>
        <w:rPr>
          <w:snapToGrid w:val="0"/>
        </w:rPr>
        <w:tab/>
        <w:t>Fees and allowances</w:t>
      </w:r>
      <w:r>
        <w:tab/>
      </w:r>
      <w:r>
        <w:fldChar w:fldCharType="begin"/>
      </w:r>
      <w:r>
        <w:instrText xml:space="preserve"> PAGEREF _Toc201220327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IA — General</w:t>
      </w:r>
    </w:p>
    <w:p>
      <w:pPr>
        <w:pStyle w:val="TOC8"/>
        <w:rPr>
          <w:rFonts w:asciiTheme="minorHAnsi" w:eastAsiaTheme="minorEastAsia" w:hAnsiTheme="minorHAnsi" w:cstheme="minorBidi"/>
          <w:szCs w:val="22"/>
        </w:rPr>
      </w:pPr>
      <w:r>
        <w:t>11A</w:t>
      </w:r>
      <w:r>
        <w:rPr>
          <w:snapToGrid w:val="0"/>
        </w:rPr>
        <w:t>.</w:t>
      </w:r>
      <w:r>
        <w:rPr>
          <w:snapToGrid w:val="0"/>
        </w:rPr>
        <w:tab/>
        <w:t>Arrangements for payment of travelling expenses by Treasurer</w:t>
      </w:r>
      <w:r>
        <w:tab/>
      </w:r>
      <w:r>
        <w:fldChar w:fldCharType="begin"/>
      </w:r>
      <w:r>
        <w:instrText xml:space="preserve"> PAGEREF _Toc201220329 \h </w:instrText>
      </w:r>
      <w:r>
        <w:fldChar w:fldCharType="separate"/>
      </w:r>
      <w:r>
        <w:t>33</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Regulations</w:t>
      </w:r>
      <w:r>
        <w:tab/>
      </w:r>
      <w:r>
        <w:fldChar w:fldCharType="begin"/>
      </w:r>
      <w:r>
        <w:instrText xml:space="preserve"> PAGEREF _Toc201220330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1B — Transitional provisions</w:t>
      </w:r>
    </w:p>
    <w:p>
      <w:pPr>
        <w:pStyle w:val="TOC8"/>
        <w:rPr>
          <w:rFonts w:asciiTheme="minorHAnsi" w:eastAsiaTheme="minorEastAsia" w:hAnsiTheme="minorHAnsi" w:cstheme="minorBidi"/>
          <w:szCs w:val="22"/>
        </w:rPr>
      </w:pPr>
      <w:r>
        <w:t>12A.</w:t>
      </w:r>
      <w:r>
        <w:tab/>
        <w:t xml:space="preserve">Transitional provisions for </w:t>
      </w:r>
      <w:r>
        <w:rPr>
          <w:i/>
        </w:rPr>
        <w:t>Salaries and Allowances Amendment Act 2025</w:t>
      </w:r>
      <w:r>
        <w:tab/>
      </w:r>
      <w:r>
        <w:fldChar w:fldCharType="begin"/>
      </w:r>
      <w:r>
        <w:instrText xml:space="preserve"> PAGEREF _Toc201220332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1C — Validation</w:t>
      </w:r>
    </w:p>
    <w:p>
      <w:pPr>
        <w:pStyle w:val="TOC8"/>
        <w:rPr>
          <w:rFonts w:asciiTheme="minorHAnsi" w:eastAsiaTheme="minorEastAsia" w:hAnsiTheme="minorHAnsi" w:cstheme="minorBidi"/>
          <w:szCs w:val="22"/>
        </w:rPr>
      </w:pPr>
      <w:r>
        <w:t>12B.</w:t>
      </w:r>
      <w:r>
        <w:tab/>
        <w:t>Validation provisions relating to s. 5(7)</w:t>
      </w:r>
      <w:r>
        <w:tab/>
      </w:r>
      <w:r>
        <w:fldChar w:fldCharType="begin"/>
      </w:r>
      <w:r>
        <w:instrText xml:space="preserve"> PAGEREF _Toc201220334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w:t>
      </w:r>
    </w:p>
    <w:p>
      <w:pPr>
        <w:pStyle w:val="TOC2"/>
        <w:tabs>
          <w:tab w:val="right" w:leader="dot" w:pos="7077"/>
        </w:tabs>
        <w:rPr>
          <w:rFonts w:asciiTheme="minorHAnsi" w:eastAsiaTheme="minorEastAsia" w:hAnsiTheme="minorHAnsi" w:cstheme="minorBidi"/>
          <w:b w:val="0"/>
          <w:sz w:val="22"/>
          <w:szCs w:val="22"/>
        </w:rPr>
      </w:pPr>
      <w:r>
        <w:t>Schedule 2 — Entities that may be prescribed as Government entities and their executive officers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_Toc201220338 \h </w:instrText>
      </w:r>
      <w:r>
        <w:fldChar w:fldCharType="separate"/>
      </w:r>
      <w:r>
        <w:t>42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_Toc201220339 \h </w:instrText>
      </w:r>
      <w:r>
        <w:fldChar w:fldCharType="separate"/>
      </w:r>
      <w:r>
        <w:t>47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_Toc201220340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 xml:space="preserve">An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w:t>
      </w:r>
      <w:r>
        <w:rPr>
          <w:snapToGrid w:val="0"/>
          <w:vertAlign w:val="superscript"/>
        </w:rPr>
        <w:t> 1</w:t>
      </w:r>
      <w:r>
        <w:rPr>
          <w:snapToGrid w:val="0"/>
        </w:rPr>
        <w:t xml:space="preserve">, to authorise the making of arrangements for the payment of certain travelling expenses, and for incidental and other purposes. </w:t>
      </w:r>
    </w:p>
    <w:p>
      <w:pPr>
        <w:pStyle w:val="Footnotelongtitle"/>
      </w:pPr>
      <w:r>
        <w:tab/>
        <w:t xml:space="preserve">[Long title amended: No. 34 of 1980 s. 2; No. 58 of 1986 s. 14; No. 19 of 1989 s. 7; No. 68 of 1992 s. 4(3).] </w:t>
      </w:r>
    </w:p>
    <w:p>
      <w:pPr>
        <w:pStyle w:val="Heading2"/>
      </w:pPr>
      <w:bookmarkStart w:id="2" w:name="_Toc201216027"/>
      <w:bookmarkStart w:id="3" w:name="_Toc201218140"/>
      <w:bookmarkStart w:id="4" w:name="_Toc201220291"/>
      <w:r>
        <w:rPr>
          <w:rStyle w:val="CharPartNo"/>
        </w:rPr>
        <w:lastRenderedPageBreak/>
        <w:t>Part I</w:t>
      </w:r>
      <w:r>
        <w:t> — </w:t>
      </w:r>
      <w:r>
        <w:rPr>
          <w:rStyle w:val="CharPartText"/>
        </w:rPr>
        <w:t>The Tribunal</w:t>
      </w:r>
      <w:bookmarkEnd w:id="2"/>
      <w:bookmarkEnd w:id="3"/>
      <w:bookmarkEnd w:id="4"/>
      <w:r>
        <w:rPr>
          <w:rStyle w:val="CharPartText"/>
        </w:rPr>
        <w:t xml:space="preserve"> </w:t>
      </w:r>
    </w:p>
    <w:p>
      <w:pPr>
        <w:pStyle w:val="Heading3"/>
      </w:pPr>
      <w:bookmarkStart w:id="5" w:name="_Toc201216028"/>
      <w:bookmarkStart w:id="6" w:name="_Toc201218141"/>
      <w:bookmarkStart w:id="7" w:name="_Toc201220292"/>
      <w:r>
        <w:rPr>
          <w:rStyle w:val="CharDivNo"/>
        </w:rPr>
        <w:t>Division 1</w:t>
      </w:r>
      <w:r>
        <w:t> — </w:t>
      </w:r>
      <w:r>
        <w:rPr>
          <w:rStyle w:val="CharDivText"/>
        </w:rPr>
        <w:t>Preliminary</w:t>
      </w:r>
      <w:bookmarkEnd w:id="5"/>
      <w:bookmarkEnd w:id="6"/>
      <w:bookmarkEnd w:id="7"/>
    </w:p>
    <w:p>
      <w:pPr>
        <w:pStyle w:val="Footnoteheading"/>
      </w:pPr>
      <w:r>
        <w:tab/>
        <w:t>[Heading inserted: No. 1 of 2018 s. 4.]</w:t>
      </w:r>
    </w:p>
    <w:p>
      <w:pPr>
        <w:pStyle w:val="Heading5"/>
        <w:rPr>
          <w:snapToGrid w:val="0"/>
        </w:rPr>
      </w:pPr>
      <w:bookmarkStart w:id="8" w:name="_Toc201220293"/>
      <w:r>
        <w:rPr>
          <w:rStyle w:val="CharSectno"/>
        </w:rPr>
        <w:t>1</w:t>
      </w:r>
      <w:r>
        <w:rPr>
          <w:snapToGrid w:val="0"/>
        </w:rPr>
        <w:t>.</w:t>
      </w:r>
      <w:r>
        <w:rPr>
          <w:snapToGrid w:val="0"/>
        </w:rPr>
        <w:tab/>
        <w:t>Short title</w:t>
      </w:r>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w:t>
      </w:r>
    </w:p>
    <w:p>
      <w:pPr>
        <w:pStyle w:val="Footnotesection"/>
      </w:pPr>
      <w:r>
        <w:tab/>
        <w:t xml:space="preserve">[Section 1 amended: No. 34 of 1980 s. 3.] </w:t>
      </w:r>
    </w:p>
    <w:p>
      <w:pPr>
        <w:pStyle w:val="Heading5"/>
        <w:rPr>
          <w:snapToGrid w:val="0"/>
        </w:rPr>
      </w:pPr>
      <w:bookmarkStart w:id="9" w:name="_Toc201220294"/>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p>
    <w:p>
      <w:pPr>
        <w:pStyle w:val="Ednotesection"/>
      </w:pPr>
      <w:r>
        <w:t>[</w:t>
      </w:r>
      <w:r>
        <w:rPr>
          <w:b/>
        </w:rPr>
        <w:t>3.</w:t>
      </w:r>
      <w:r>
        <w:tab/>
        <w:t xml:space="preserve">Deleted: No. 58 of 1986 s. 15.] </w:t>
      </w:r>
    </w:p>
    <w:p>
      <w:pPr>
        <w:pStyle w:val="Heading5"/>
        <w:rPr>
          <w:snapToGrid w:val="0"/>
        </w:rPr>
      </w:pPr>
      <w:bookmarkStart w:id="10" w:name="_Toc201220295"/>
      <w:r>
        <w:rPr>
          <w:rStyle w:val="CharSectno"/>
        </w:rPr>
        <w:t>4</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bookmarkStart w:id="11" w:name="_Hlk201216335"/>
      <w:r>
        <w:tab/>
      </w:r>
      <w:r>
        <w:rPr>
          <w:rStyle w:val="CharDefText"/>
        </w:rPr>
        <w:t>Chairperson</w:t>
      </w:r>
      <w:r>
        <w:t xml:space="preserve"> means Chairperson of the Tribunal and includes a member appointed to act temporarily in place of the Chairperson under the </w:t>
      </w:r>
      <w:r>
        <w:rPr>
          <w:i/>
          <w:iCs/>
        </w:rPr>
        <w:t>Interpretation Act 1984</w:t>
      </w:r>
      <w:r>
        <w:t xml:space="preserve"> section 52;</w:t>
      </w:r>
    </w:p>
    <w:bookmarkEnd w:id="11"/>
    <w:p>
      <w:pPr>
        <w:pStyle w:val="Defstart"/>
      </w:pPr>
      <w:r>
        <w:tab/>
      </w:r>
      <w:r>
        <w:rPr>
          <w:rStyle w:val="CharDefText"/>
        </w:rPr>
        <w:t>GTE</w:t>
      </w:r>
      <w:r>
        <w:t xml:space="preserve"> has the meaning given in the </w:t>
      </w:r>
      <w:r>
        <w:rPr>
          <w:i/>
        </w:rPr>
        <w:t>Government Trading Enterprises Act 2023</w:t>
      </w:r>
      <w:r>
        <w:t xml:space="preserve"> section 3(1);</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lastRenderedPageBreak/>
        <w:tab/>
      </w:r>
      <w:r>
        <w:rPr>
          <w:rStyle w:val="CharDefText"/>
        </w:rPr>
        <w:t>section</w:t>
      </w:r>
      <w:r>
        <w:t xml:space="preserve"> means section of this Act;</w:t>
      </w:r>
    </w:p>
    <w:p>
      <w:pPr>
        <w:pStyle w:val="Defstart"/>
      </w:pPr>
      <w:r>
        <w:rPr>
          <w:b/>
        </w:rPr>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 xml:space="preserve">For the purposes of this Act a person is an officer of Parliament if </w:t>
      </w:r>
      <w:r>
        <w:t>the person</w:t>
      </w:r>
      <w:r>
        <w:rPr>
          <w:snapToGrid w:val="0"/>
        </w:rPr>
        <w:t xml:space="preserv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 No. 78 of 1984 s. 20; No. 34 of 1986 s. 4; No. 19 of 1989 s. 8; No. 38 of 1990 s. 7; No. 68 of 1992 s. 4(1) and (2); No. 56 of 2006 s. 6; No. 46 of 2016 s. 4; No. 13 of 2023 s. 248; No. 3 of 2025 s. 4.]</w:t>
      </w:r>
    </w:p>
    <w:p>
      <w:pPr>
        <w:pStyle w:val="Heading3"/>
        <w:keepLines/>
        <w:pageBreakBefore/>
        <w:spacing w:before="0"/>
      </w:pPr>
      <w:bookmarkStart w:id="12" w:name="_Toc201216032"/>
      <w:bookmarkStart w:id="13" w:name="_Toc201218145"/>
      <w:bookmarkStart w:id="14" w:name="_Toc201220296"/>
      <w:r>
        <w:rPr>
          <w:rStyle w:val="CharDivNo"/>
        </w:rPr>
        <w:lastRenderedPageBreak/>
        <w:t>Division 2</w:t>
      </w:r>
      <w:r>
        <w:t> — </w:t>
      </w:r>
      <w:r>
        <w:rPr>
          <w:rStyle w:val="CharDivText"/>
        </w:rPr>
        <w:t>Tribunal established</w:t>
      </w:r>
      <w:bookmarkEnd w:id="12"/>
      <w:bookmarkEnd w:id="13"/>
      <w:bookmarkEnd w:id="14"/>
    </w:p>
    <w:p>
      <w:pPr>
        <w:pStyle w:val="Footnoteheading"/>
      </w:pPr>
      <w:r>
        <w:tab/>
        <w:t>[Heading inserted: No. 1 of 2018 s. 5.]</w:t>
      </w:r>
    </w:p>
    <w:p>
      <w:pPr>
        <w:pStyle w:val="Heading5"/>
        <w:rPr>
          <w:snapToGrid w:val="0"/>
        </w:rPr>
      </w:pPr>
      <w:bookmarkStart w:id="15" w:name="_Toc201220297"/>
      <w:r>
        <w:rPr>
          <w:rStyle w:val="CharSectno"/>
        </w:rPr>
        <w:t>5</w:t>
      </w:r>
      <w:r>
        <w:rPr>
          <w:snapToGrid w:val="0"/>
        </w:rPr>
        <w:t>.</w:t>
      </w:r>
      <w:r>
        <w:rPr>
          <w:snapToGrid w:val="0"/>
        </w:rPr>
        <w:tab/>
        <w:t>Establishment of Tribunal</w:t>
      </w:r>
      <w:bookmarkEnd w:id="15"/>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pPr>
      <w:r>
        <w:tab/>
        <w:t>(3)</w:t>
      </w:r>
      <w:r>
        <w:tab/>
        <w:t xml:space="preserve">Subject to this Act, a member — </w:t>
      </w:r>
    </w:p>
    <w:p>
      <w:pPr>
        <w:pStyle w:val="Indenta"/>
      </w:pPr>
      <w:r>
        <w:tab/>
        <w:t>(a)</w:t>
      </w:r>
      <w:r>
        <w:tab/>
        <w:t>holds office for the period, not exceeding 3 years, specified in the member’s instrument of appointment; and</w:t>
      </w:r>
    </w:p>
    <w:p>
      <w:pPr>
        <w:pStyle w:val="Indenta"/>
      </w:pPr>
      <w:r>
        <w:tab/>
        <w:t>(b)</w:t>
      </w:r>
      <w:r>
        <w:tab/>
        <w:t>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 xml:space="preserve">becomes permanently incapable of performing </w:t>
      </w:r>
      <w:r>
        <w:t>their</w:t>
      </w:r>
      <w:r>
        <w:rPr>
          <w:snapToGrid w:val="0"/>
        </w:rPr>
        <w:t xml:space="preserve"> duties as a member; or</w:t>
      </w:r>
    </w:p>
    <w:p>
      <w:pPr>
        <w:pStyle w:val="Indenta"/>
        <w:rPr>
          <w:snapToGrid w:val="0"/>
        </w:rPr>
      </w:pPr>
      <w:r>
        <w:rPr>
          <w:snapToGrid w:val="0"/>
        </w:rPr>
        <w:tab/>
        <w:t>(c)</w:t>
      </w:r>
      <w:r>
        <w:rPr>
          <w:snapToGrid w:val="0"/>
        </w:rPr>
        <w:tab/>
        <w:t xml:space="preserve">resigns </w:t>
      </w:r>
      <w:r>
        <w:t>their</w:t>
      </w:r>
      <w:r>
        <w:rPr>
          <w:snapToGrid w:val="0"/>
        </w:rPr>
        <w:t xml:space="preserve"> office by writing under </w:t>
      </w:r>
      <w:r>
        <w:t>their</w:t>
      </w:r>
      <w:r>
        <w:rPr>
          <w:snapToGrid w:val="0"/>
        </w:rPr>
        <w:t xml:space="preserve">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 xml:space="preserve">A person shall not be appointed as a member if </w:t>
      </w:r>
      <w:r>
        <w:t>they are</w:t>
      </w:r>
      <w:r>
        <w:rPr>
          <w:snapToGrid w:val="0"/>
        </w:rPr>
        <w:t xml:space="preserve"> a person whose remuneration is determined or reported upon by the Tribunal under this Act.</w:t>
      </w:r>
    </w:p>
    <w:p>
      <w:pPr>
        <w:pStyle w:val="Subsection"/>
        <w:keepNext/>
        <w:rPr>
          <w:snapToGrid w:val="0"/>
        </w:rPr>
      </w:pPr>
      <w:r>
        <w:rPr>
          <w:snapToGrid w:val="0"/>
        </w:rPr>
        <w:lastRenderedPageBreak/>
        <w:tab/>
        <w:t>(8)</w:t>
      </w:r>
      <w:r>
        <w:rPr>
          <w:snapToGrid w:val="0"/>
        </w:rPr>
        <w:tab/>
        <w:t xml:space="preserve">The Governor shall appoint one of the members to be the </w:t>
      </w:r>
      <w:r>
        <w:t>Chairperson</w:t>
      </w:r>
      <w:r>
        <w:rPr>
          <w:snapToGrid w:val="0"/>
        </w:rPr>
        <w:t xml:space="preserve"> of the Tribunal.</w:t>
      </w:r>
    </w:p>
    <w:p>
      <w:pPr>
        <w:pStyle w:val="Footnotesection"/>
      </w:pPr>
      <w:r>
        <w:tab/>
        <w:t xml:space="preserve">[Section 5 amended: No. 63 of 1978 s. 2; No. 42 of 1997 s. 8; No. 18 of 2009 s. 78; No. 3 of 2025 s. 5.] </w:t>
      </w:r>
    </w:p>
    <w:p>
      <w:pPr>
        <w:pStyle w:val="Heading3"/>
      </w:pPr>
      <w:bookmarkStart w:id="16" w:name="_Toc201216034"/>
      <w:bookmarkStart w:id="17" w:name="_Toc201218147"/>
      <w:bookmarkStart w:id="18" w:name="_Toc201220298"/>
      <w:r>
        <w:rPr>
          <w:rStyle w:val="CharDivNo"/>
        </w:rPr>
        <w:t>Division 3</w:t>
      </w:r>
      <w:r>
        <w:t> — </w:t>
      </w:r>
      <w:r>
        <w:rPr>
          <w:rStyle w:val="CharDivText"/>
        </w:rPr>
        <w:t>Inquiries, determinations and reports</w:t>
      </w:r>
      <w:bookmarkEnd w:id="16"/>
      <w:bookmarkEnd w:id="17"/>
      <w:bookmarkEnd w:id="18"/>
    </w:p>
    <w:p>
      <w:pPr>
        <w:pStyle w:val="Footnoteheading"/>
      </w:pPr>
      <w:r>
        <w:tab/>
        <w:t>[Heading inserted: No. 1 of 2018 s. 6.]</w:t>
      </w:r>
    </w:p>
    <w:p>
      <w:pPr>
        <w:pStyle w:val="Heading5"/>
        <w:rPr>
          <w:snapToGrid w:val="0"/>
        </w:rPr>
      </w:pPr>
      <w:bookmarkStart w:id="19" w:name="_Toc201220299"/>
      <w:r>
        <w:rPr>
          <w:rStyle w:val="CharSectno"/>
        </w:rPr>
        <w:t>5A</w:t>
      </w:r>
      <w:r>
        <w:rPr>
          <w:snapToGrid w:val="0"/>
        </w:rPr>
        <w:t>.</w:t>
      </w:r>
      <w:r>
        <w:rPr>
          <w:snapToGrid w:val="0"/>
        </w:rPr>
        <w:tab/>
        <w:t>Inquiry into and determination of remuneration of Governor</w:t>
      </w:r>
      <w:bookmarkEnd w:id="19"/>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 xml:space="preserve">The Tribunal shall cause one copy of each determination made under this section to be given to the Premier who shall, not later than 14 days from the date on which the Premier receives the determination, inform the Tribunal that </w:t>
      </w:r>
      <w:r>
        <w:t>the Premier</w:t>
      </w:r>
      <w:r>
        <w:rPr>
          <w:snapToGrid w:val="0"/>
        </w:rPr>
        <w:t xml:space="preserve"> agrees or does not agree with that determination and, where </w:t>
      </w:r>
      <w:r>
        <w:t>the Premier</w:t>
      </w:r>
      <w:r>
        <w:rPr>
          <w:snapToGrid w:val="0"/>
        </w:rPr>
        <w:t xml:space="preserve"> </w:t>
      </w:r>
      <w:r>
        <w:rPr>
          <w:snapToGrid w:val="0"/>
        </w:rPr>
        <w:lastRenderedPageBreak/>
        <w:t xml:space="preserve">does not agree, set out the grounds for </w:t>
      </w:r>
      <w:r>
        <w:t>the Premier’s</w:t>
      </w:r>
      <w:r>
        <w:rPr>
          <w:snapToGrid w:val="0"/>
        </w:rPr>
        <w:t xml:space="preserve"> disagreement and recommendations as to the alterations that </w:t>
      </w:r>
      <w:r>
        <w:t>the Premier</w:t>
      </w:r>
      <w:r>
        <w:rPr>
          <w:snapToGrid w:val="0"/>
        </w:rPr>
        <w:t xml:space="preserve"> believes should be made.</w:t>
      </w:r>
    </w:p>
    <w:p>
      <w:pPr>
        <w:pStyle w:val="Subsection"/>
        <w:rPr>
          <w:snapToGrid w:val="0"/>
        </w:rPr>
      </w:pPr>
      <w:r>
        <w:rPr>
          <w:snapToGrid w:val="0"/>
        </w:rPr>
        <w:tab/>
        <w:t>(6)</w:t>
      </w:r>
      <w:r>
        <w:rPr>
          <w:snapToGrid w:val="0"/>
        </w:rPr>
        <w:tab/>
        <w:t xml:space="preserve">The Tribunal, having considered the Premier’s recommendations following </w:t>
      </w:r>
      <w:r>
        <w:t>the Premier’s</w:t>
      </w:r>
      <w:r>
        <w:rPr>
          <w:snapToGrid w:val="0"/>
        </w:rPr>
        <w:t xml:space="preserve">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 xml:space="preserve">[Section 5A inserted: No. 19 of 1989 s. 9; amended: No. 77 of 2006 s. 4; No. 3 of 2025 s. 6.] </w:t>
      </w:r>
    </w:p>
    <w:p>
      <w:pPr>
        <w:pStyle w:val="Heading5"/>
        <w:spacing w:before="240"/>
        <w:rPr>
          <w:snapToGrid w:val="0"/>
        </w:rPr>
      </w:pPr>
      <w:bookmarkStart w:id="20" w:name="_Toc201220300"/>
      <w:r>
        <w:rPr>
          <w:rStyle w:val="CharSectno"/>
        </w:rPr>
        <w:lastRenderedPageBreak/>
        <w:t>6</w:t>
      </w:r>
      <w:r>
        <w:rPr>
          <w:snapToGrid w:val="0"/>
        </w:rPr>
        <w:t>.</w:t>
      </w:r>
      <w:r>
        <w:rPr>
          <w:snapToGrid w:val="0"/>
        </w:rPr>
        <w:tab/>
        <w:t>Other inquiries into and determinations of remuneration</w:t>
      </w:r>
      <w:bookmarkEnd w:id="20"/>
      <w:r>
        <w:rPr>
          <w:snapToGrid w:val="0"/>
        </w:rPr>
        <w:t xml:space="preserve"> </w:t>
      </w:r>
    </w:p>
    <w:p>
      <w:pPr>
        <w:pStyle w:val="Subsection"/>
        <w:keepNext/>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lastRenderedPageBreak/>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keepLines/>
        <w:rPr>
          <w:snapToGrid w:val="0"/>
        </w:rPr>
      </w:pPr>
      <w:r>
        <w:rPr>
          <w:snapToGrid w:val="0"/>
        </w:rPr>
        <w:lastRenderedPageBreak/>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w:t>
      </w:r>
      <w:r>
        <w:t>they remain</w:t>
      </w:r>
      <w:r>
        <w:rPr>
          <w:snapToGrid w:val="0"/>
        </w:rPr>
        <w:t xml:space="preserve">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keepLines/>
        <w:rPr>
          <w:snapToGrid w:val="0"/>
        </w:rPr>
      </w:pPr>
      <w:r>
        <w:rPr>
          <w:snapToGrid w:val="0"/>
        </w:rPr>
        <w:lastRenderedPageBreak/>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of a member becomes inapplicable, or, in the opinion of the </w:t>
      </w:r>
      <w:r>
        <w:t>Chairperson,</w:t>
      </w:r>
      <w:r>
        <w:rPr>
          <w:snapToGrid w:val="0"/>
        </w:rPr>
        <w:t xml:space="preserve"> inequitable as a consequence of </w:t>
      </w:r>
      <w:r>
        <w:t>a subsequent division of the State into electoral districts,</w:t>
      </w:r>
      <w:r>
        <w:rPr>
          <w:snapToGrid w:val="0"/>
        </w:rPr>
        <w:t xml:space="preserve"> the </w:t>
      </w:r>
      <w:r>
        <w:t>Chairperson may</w:t>
      </w:r>
      <w:r>
        <w:rPr>
          <w:snapToGrid w:val="0"/>
        </w:rPr>
        <w:t xml:space="preserve"> without further authority than this subsection alter the determination in that regard to such extent as </w:t>
      </w:r>
      <w:r>
        <w:t>the Chairperson</w:t>
      </w:r>
      <w:r>
        <w:rPr>
          <w:snapToGrid w:val="0"/>
        </w:rPr>
        <w:t xml:space="preserv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r>
      <w:r>
        <w:t>the member of Parliament is not entitled to have their</w:t>
      </w:r>
      <w:r>
        <w:rPr>
          <w:snapToGrid w:val="0"/>
        </w:rPr>
        <w:t xml:space="preserve">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r>
      <w:r>
        <w:t>the member of Parliament</w:t>
      </w:r>
      <w:r>
        <w:rPr>
          <w:snapToGrid w:val="0"/>
        </w:rPr>
        <w:t xml:space="preserv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 xml:space="preserve">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w:t>
      </w:r>
      <w:r>
        <w:rPr>
          <w:snapToGrid w:val="0"/>
        </w:rPr>
        <w:lastRenderedPageBreak/>
        <w:t>reimbursement shall not be regarded as being in satisfaction of any part of the entitlements of the member under those arrangements.</w:t>
      </w:r>
    </w:p>
    <w:p>
      <w:pPr>
        <w:pStyle w:val="Footnotesection"/>
        <w:keepLines w:val="0"/>
        <w:ind w:left="890" w:hanging="890"/>
      </w:pPr>
      <w:r>
        <w:tab/>
        <w:t xml:space="preserve">[Section 6 amended: No. 33 of 1979 s. 2; No. 34 of 1980 s. 5; No. 78 of 1984 s. 21; No. 40 of 1987 s. 104; No. 38 of 1990 s. 8; No. 49 of 1991 s. 3; No. 68 of 1992 s. 4(3) and 5; No. 6 of 1993 s. 11; No. 1 of 1995 s. 37; No. 49 of 1996 s. 64; No. 36 of 2000 </w:t>
      </w:r>
      <w:r>
        <w:rPr>
          <w:spacing w:val="-2"/>
        </w:rPr>
        <w:t>s</w:t>
      </w:r>
      <w:r>
        <w:t>. 57; No. 22 of 2001 s. 3; Gazette 15 Aug 2003 p. 3691; Act No. 1 of 2005 s. 10(2); No. 56 of 2006 s. 7; No. 77 of 2006 s. 4; No. 32 of 2016 s. 192; No. 20 of 2021 s. 96(2); No. 3 of 2025 s. 7.]</w:t>
      </w:r>
    </w:p>
    <w:p>
      <w:pPr>
        <w:pStyle w:val="Heading5"/>
        <w:spacing w:before="180"/>
      </w:pPr>
      <w:bookmarkStart w:id="21" w:name="_Toc201220301"/>
      <w:r>
        <w:rPr>
          <w:rStyle w:val="CharSectno"/>
        </w:rPr>
        <w:t>6A</w:t>
      </w:r>
      <w:r>
        <w:t>.</w:t>
      </w:r>
      <w:r>
        <w:tab/>
        <w:t xml:space="preserve">Tribunal’s functions under </w:t>
      </w:r>
      <w:r>
        <w:rPr>
          <w:i/>
        </w:rPr>
        <w:t>Parliamentary Superannuation Act 1970</w:t>
      </w:r>
      <w:bookmarkEnd w:id="21"/>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 No. 37 of 2000 s. 20.]</w:t>
      </w:r>
    </w:p>
    <w:p>
      <w:pPr>
        <w:pStyle w:val="Heading5"/>
        <w:spacing w:before="180"/>
      </w:pPr>
      <w:bookmarkStart w:id="22" w:name="_Toc201220302"/>
      <w:r>
        <w:rPr>
          <w:rStyle w:val="CharSectno"/>
        </w:rPr>
        <w:t>6AA</w:t>
      </w:r>
      <w:r>
        <w:t>.</w:t>
      </w:r>
      <w:r>
        <w:tab/>
        <w:t>Redundancy benefits for members of Parliament</w:t>
      </w:r>
      <w:bookmarkEnd w:id="22"/>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keepNext/>
      </w:pPr>
      <w:r>
        <w:lastRenderedPageBreak/>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 No. 37 of 2000 s. 20; amended: No. 77 of 2006 s. 4.]</w:t>
      </w:r>
    </w:p>
    <w:p>
      <w:pPr>
        <w:pStyle w:val="Heading5"/>
        <w:rPr>
          <w:snapToGrid w:val="0"/>
        </w:rPr>
      </w:pPr>
      <w:bookmarkStart w:id="23" w:name="_Toc201220303"/>
      <w:r>
        <w:rPr>
          <w:rStyle w:val="CharSectno"/>
        </w:rPr>
        <w:t>6B</w:t>
      </w:r>
      <w:r>
        <w:rPr>
          <w:snapToGrid w:val="0"/>
        </w:rPr>
        <w:t>.</w:t>
      </w:r>
      <w:r>
        <w:rPr>
          <w:snapToGrid w:val="0"/>
        </w:rPr>
        <w:tab/>
        <w:t>Determinations relating to entitlements of former Premiers, Ministers and members of Parliament</w:t>
      </w:r>
      <w:bookmarkEnd w:id="2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 xml:space="preserve">[Section 6B inserted: No. 13 of 1987 s. 3; amended: No. 6 of 1993 s. 11; No. 73 of 1994 s. 4; No. 49 of 1996 s. 64; No. 77 of 2006 s. 4.] </w:t>
      </w:r>
    </w:p>
    <w:p>
      <w:pPr>
        <w:pStyle w:val="Heading5"/>
        <w:rPr>
          <w:snapToGrid w:val="0"/>
        </w:rPr>
      </w:pPr>
      <w:bookmarkStart w:id="24" w:name="_Toc201220304"/>
      <w:r>
        <w:rPr>
          <w:rStyle w:val="CharSectno"/>
        </w:rPr>
        <w:t>6C</w:t>
      </w:r>
      <w:r>
        <w:rPr>
          <w:snapToGrid w:val="0"/>
        </w:rPr>
        <w:t>.</w:t>
      </w:r>
      <w:r>
        <w:rPr>
          <w:snapToGrid w:val="0"/>
        </w:rPr>
        <w:tab/>
        <w:t>Forfeiture of former office entitlements</w:t>
      </w:r>
      <w:bookmarkEnd w:id="2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lastRenderedPageBreak/>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 No. 45 of 1995 s. 4</w:t>
      </w:r>
      <w:r>
        <w:rPr>
          <w:vertAlign w:val="superscript"/>
        </w:rPr>
        <w:t xml:space="preserve"> 2</w:t>
      </w:r>
      <w:r>
        <w:t xml:space="preserve">.] </w:t>
      </w:r>
    </w:p>
    <w:p>
      <w:pPr>
        <w:pStyle w:val="Heading5"/>
        <w:rPr>
          <w:snapToGrid w:val="0"/>
        </w:rPr>
      </w:pPr>
      <w:bookmarkStart w:id="25" w:name="_Toc201220305"/>
      <w:r>
        <w:rPr>
          <w:rStyle w:val="CharSectno"/>
        </w:rPr>
        <w:lastRenderedPageBreak/>
        <w:t>7</w:t>
      </w:r>
      <w:r>
        <w:rPr>
          <w:snapToGrid w:val="0"/>
        </w:rPr>
        <w:t>.</w:t>
      </w:r>
      <w:r>
        <w:rPr>
          <w:snapToGrid w:val="0"/>
        </w:rPr>
        <w:tab/>
        <w:t>Inquiry into and report on judicial salaries</w:t>
      </w:r>
      <w:bookmarkEnd w:id="2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keepNext/>
        <w:rPr>
          <w:snapToGrid w:val="0"/>
        </w:rPr>
      </w:pPr>
      <w:r>
        <w:rPr>
          <w:snapToGrid w:val="0"/>
        </w:rPr>
        <w:tab/>
        <w:t>(5)</w:t>
      </w:r>
      <w:r>
        <w:rPr>
          <w:snapToGrid w:val="0"/>
        </w:rPr>
        <w:tab/>
        <w:t xml:space="preserve">Subject to subsection (6) if either House of Parliament, within 15 sitting days of that House after a copy of a report has been laid before that House pursuant to subsection (3), passes a </w:t>
      </w:r>
      <w:r>
        <w:rPr>
          <w:snapToGrid w:val="0"/>
        </w:rPr>
        <w:lastRenderedPageBreak/>
        <w:t>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 xml:space="preserve">[Section 7 amended: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26" w:name="_Toc201220306"/>
      <w:r>
        <w:rPr>
          <w:rStyle w:val="CharSectno"/>
        </w:rPr>
        <w:t>7A</w:t>
      </w:r>
      <w:r>
        <w:t>.</w:t>
      </w:r>
      <w:r>
        <w:tab/>
        <w:t>Determinations as to remuneration of local government CEOs</w:t>
      </w:r>
      <w:bookmarkEnd w:id="26"/>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 No. 2 of 2012 s. 38.]</w:t>
      </w:r>
    </w:p>
    <w:p>
      <w:pPr>
        <w:pStyle w:val="Heading5"/>
      </w:pPr>
      <w:bookmarkStart w:id="27" w:name="_Toc201220307"/>
      <w:r>
        <w:rPr>
          <w:rStyle w:val="CharSectno"/>
        </w:rPr>
        <w:lastRenderedPageBreak/>
        <w:t>7B</w:t>
      </w:r>
      <w:r>
        <w:t>.</w:t>
      </w:r>
      <w:r>
        <w:tab/>
        <w:t>Determinations as to fees and allowances of local government councillors</w:t>
      </w:r>
      <w:bookmarkEnd w:id="27"/>
    </w:p>
    <w:p>
      <w:pPr>
        <w:pStyle w:val="Subsection"/>
        <w:keepNext/>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 No. 2 of 2012 s. 39.]</w:t>
      </w:r>
    </w:p>
    <w:p>
      <w:pPr>
        <w:pStyle w:val="Heading5"/>
      </w:pPr>
      <w:bookmarkStart w:id="28" w:name="_Toc201220308"/>
      <w:r>
        <w:rPr>
          <w:rStyle w:val="CharSectno"/>
        </w:rPr>
        <w:t>7BAA</w:t>
      </w:r>
      <w:r>
        <w:t>.</w:t>
      </w:r>
      <w:r>
        <w:tab/>
        <w:t>Determinations as to fees and allowances of members of local government committees</w:t>
      </w:r>
      <w:bookmarkEnd w:id="28"/>
    </w:p>
    <w:p>
      <w:pPr>
        <w:pStyle w:val="Subsection"/>
      </w:pPr>
      <w:r>
        <w:tab/>
        <w:t>(1)</w:t>
      </w:r>
      <w:r>
        <w:tab/>
        <w:t xml:space="preserve">In this section — </w:t>
      </w:r>
    </w:p>
    <w:p>
      <w:pPr>
        <w:pStyle w:val="Defstart"/>
      </w:pPr>
      <w:r>
        <w:tab/>
      </w:r>
      <w:r>
        <w:rPr>
          <w:rStyle w:val="CharDefText"/>
        </w:rPr>
        <w:t>committee member</w:t>
      </w:r>
      <w:r>
        <w:t xml:space="preserve"> has the meaning given in the </w:t>
      </w:r>
      <w:r>
        <w:rPr>
          <w:i/>
        </w:rPr>
        <w:t xml:space="preserve">Local Government Act 1995 </w:t>
      </w:r>
      <w:r>
        <w:t>section 5.100(1).</w:t>
      </w:r>
    </w:p>
    <w:p>
      <w:pPr>
        <w:pStyle w:val="Subsection"/>
      </w:pPr>
      <w:r>
        <w:tab/>
        <w:t>(2)</w:t>
      </w:r>
      <w:r>
        <w:tab/>
        <w:t xml:space="preserve">The Tribunal must,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committee members for attendance at meetings; and</w:t>
      </w:r>
    </w:p>
    <w:p>
      <w:pPr>
        <w:pStyle w:val="Indenta"/>
      </w:pPr>
      <w:r>
        <w:lastRenderedPageBreak/>
        <w:tab/>
        <w:t>(b)</w:t>
      </w:r>
      <w:r>
        <w:tab/>
        <w:t xml:space="preserve">the amount of expenses, or the minimum and maximum amounts of expenses, to be reimbursed under the </w:t>
      </w:r>
      <w:r>
        <w:rPr>
          <w:i/>
        </w:rPr>
        <w:t>Local Government Act 1995</w:t>
      </w:r>
      <w:r>
        <w:t xml:space="preserve"> to committee members.</w:t>
      </w:r>
    </w:p>
    <w:p>
      <w:pPr>
        <w:pStyle w:val="Subsection"/>
      </w:pPr>
      <w:r>
        <w:tab/>
        <w:t>(3)</w:t>
      </w:r>
      <w:r>
        <w:tab/>
        <w:t>Section 6(2) and (3) apply to a determination under this section.</w:t>
      </w:r>
    </w:p>
    <w:p>
      <w:pPr>
        <w:pStyle w:val="Footnotesection"/>
      </w:pPr>
      <w:r>
        <w:tab/>
        <w:t>[Section 7BAA inserted: No. 11 of 2023 s. 105.]</w:t>
      </w:r>
    </w:p>
    <w:p>
      <w:pPr>
        <w:pStyle w:val="Heading5"/>
      </w:pPr>
      <w:bookmarkStart w:id="29" w:name="_Toc201220309"/>
      <w:r>
        <w:rPr>
          <w:rStyle w:val="CharSectno"/>
        </w:rPr>
        <w:t>7BA</w:t>
      </w:r>
      <w:r>
        <w:t>.</w:t>
      </w:r>
      <w:r>
        <w:tab/>
        <w:t>Term used: Government entity</w:t>
      </w:r>
      <w:bookmarkEnd w:id="29"/>
    </w:p>
    <w:p>
      <w:pPr>
        <w:pStyle w:val="Subsection"/>
      </w:pPr>
      <w:r>
        <w:tab/>
      </w:r>
      <w:r>
        <w:tab/>
        <w:t xml:space="preserve">In sections 7C and 7D — </w:t>
      </w:r>
    </w:p>
    <w:p>
      <w:pPr>
        <w:pStyle w:val="Defstart"/>
      </w:pPr>
      <w:r>
        <w:tab/>
      </w:r>
      <w:r>
        <w:rPr>
          <w:rStyle w:val="CharDefText"/>
        </w:rPr>
        <w:t>Government entity</w:t>
      </w:r>
      <w:r>
        <w:t xml:space="preserve"> means an entity — </w:t>
      </w:r>
    </w:p>
    <w:p>
      <w:pPr>
        <w:pStyle w:val="Defpara"/>
      </w:pPr>
      <w:r>
        <w:tab/>
        <w:t>(a)</w:t>
      </w:r>
      <w:r>
        <w:tab/>
        <w:t>that is described in column 1 of Schedule 2; and</w:t>
      </w:r>
    </w:p>
    <w:p>
      <w:pPr>
        <w:pStyle w:val="Defpara"/>
      </w:pPr>
      <w:r>
        <w:tab/>
        <w:t>(b)</w:t>
      </w:r>
      <w:r>
        <w:tab/>
        <w:t>that is not prescribed by the regulations for the purposes of this paragraph.</w:t>
      </w:r>
    </w:p>
    <w:p>
      <w:pPr>
        <w:pStyle w:val="Footnotesection"/>
      </w:pPr>
      <w:r>
        <w:tab/>
        <w:t>[Section 7BA inserted: No. 13 of 2023 s. 249.]</w:t>
      </w:r>
    </w:p>
    <w:p>
      <w:pPr>
        <w:pStyle w:val="Heading5"/>
      </w:pPr>
      <w:bookmarkStart w:id="30" w:name="_Toc201220310"/>
      <w:r>
        <w:rPr>
          <w:rStyle w:val="CharSectno"/>
        </w:rPr>
        <w:t>7C</w:t>
      </w:r>
      <w:r>
        <w:t>.</w:t>
      </w:r>
      <w:r>
        <w:tab/>
        <w:t>Determinations as to remuneration of executive officers of Government entities</w:t>
      </w:r>
      <w:bookmarkEnd w:id="30"/>
    </w:p>
    <w:p>
      <w:pPr>
        <w:pStyle w:val="Subsection"/>
      </w:pPr>
      <w:r>
        <w:tab/>
        <w:t>(1)</w:t>
      </w:r>
      <w:r>
        <w:tab/>
        <w:t xml:space="preserve">In this section — </w:t>
      </w:r>
    </w:p>
    <w:p>
      <w:pPr>
        <w:pStyle w:val="Defstart"/>
      </w:pPr>
      <w:r>
        <w:tab/>
      </w:r>
      <w:r>
        <w:rPr>
          <w:rStyle w:val="CharDefText"/>
        </w:rPr>
        <w:t>executive officer</w:t>
      </w:r>
      <w:r>
        <w:t xml:space="preserve">, of an entity described in column 1 of Schedule 2, means a person whose office — </w:t>
      </w:r>
    </w:p>
    <w:p>
      <w:pPr>
        <w:pStyle w:val="Defpara"/>
      </w:pPr>
      <w:r>
        <w:tab/>
        <w:t>(a)</w:t>
      </w:r>
      <w:r>
        <w:tab/>
        <w:t>is described in column 2 of Schedule 2 for the entity, other than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However, a person who holds an office described in column 2 of Schedule 2 for an entity immediately before the day on which </w:t>
      </w:r>
      <w:r>
        <w:lastRenderedPageBreak/>
        <w:t>the entity is described in column 1 of Schedule 2 must be treated, for the purposes of subsection (2), as if they were not an executive officer of the entity during the balance of the person’s term of office that remained immediately before that day.</w:t>
      </w:r>
    </w:p>
    <w:p>
      <w:pPr>
        <w:pStyle w:val="Footnotesection"/>
      </w:pPr>
      <w:r>
        <w:tab/>
        <w:t>[Section 7C inserted: No. 13 of 2023 s. 249.]</w:t>
      </w:r>
    </w:p>
    <w:p>
      <w:pPr>
        <w:pStyle w:val="Heading5"/>
      </w:pPr>
      <w:bookmarkStart w:id="31" w:name="_Toc201220311"/>
      <w:r>
        <w:rPr>
          <w:rStyle w:val="CharSectno"/>
        </w:rPr>
        <w:t>7D</w:t>
      </w:r>
      <w:r>
        <w:t>.</w:t>
      </w:r>
      <w:r>
        <w:tab/>
        <w:t>Determinations as to remuneration of directors of certain Government entities</w:t>
      </w:r>
      <w:bookmarkEnd w:id="31"/>
    </w:p>
    <w:p>
      <w:pPr>
        <w:pStyle w:val="Subsection"/>
      </w:pPr>
      <w:r>
        <w:tab/>
        <w:t>(1)</w:t>
      </w:r>
      <w:r>
        <w:tab/>
        <w:t xml:space="preserve">In this section — </w:t>
      </w:r>
    </w:p>
    <w:p>
      <w:pPr>
        <w:pStyle w:val="Defstart"/>
      </w:pPr>
      <w:r>
        <w:tab/>
      </w:r>
      <w:r>
        <w:rPr>
          <w:rStyle w:val="CharDefText"/>
        </w:rPr>
        <w:t>director</w:t>
      </w:r>
      <w:r>
        <w:t xml:space="preserve">, of an entity described in column 1 of Schedule 2, means a person whose office — </w:t>
      </w:r>
    </w:p>
    <w:p>
      <w:pPr>
        <w:pStyle w:val="Defpara"/>
      </w:pPr>
      <w:r>
        <w:tab/>
        <w:t>(a)</w:t>
      </w:r>
      <w:r>
        <w:tab/>
        <w:t>is described in column 2 of Schedule 2 for the entity as that of director of the entity; and</w:t>
      </w:r>
    </w:p>
    <w:p>
      <w:pPr>
        <w:pStyle w:val="Defpara"/>
      </w:pPr>
      <w:r>
        <w:tab/>
        <w:t>(b)</w:t>
      </w:r>
      <w:r>
        <w:tab/>
        <w:t>is not prescribed by the regulations for the purposes of this paragraph.</w:t>
      </w:r>
    </w:p>
    <w:p>
      <w:pPr>
        <w:pStyle w:val="Subsection"/>
      </w:pPr>
      <w:r>
        <w:tab/>
        <w:t>(2)</w:t>
      </w:r>
      <w:r>
        <w:tab/>
        <w:t>The Tribunal must, from time to time as provided by this Act, inquire into and determine the minimum and maximum amounts of remuneration to be paid or provided to directors of Government entities.</w:t>
      </w:r>
    </w:p>
    <w:p>
      <w:pPr>
        <w:pStyle w:val="Subsection"/>
      </w:pPr>
      <w:r>
        <w:tab/>
        <w:t>(3)</w:t>
      </w:r>
      <w:r>
        <w:tab/>
        <w:t>Section 6(2) and (3) apply to a determination under subsection (2).</w:t>
      </w:r>
    </w:p>
    <w:p>
      <w:pPr>
        <w:pStyle w:val="Footnotesection"/>
      </w:pPr>
      <w:r>
        <w:tab/>
        <w:t>[Section 7D inserted: No. 13 of 2023 s. 249.]</w:t>
      </w:r>
    </w:p>
    <w:p>
      <w:pPr>
        <w:pStyle w:val="Heading5"/>
      </w:pPr>
      <w:bookmarkStart w:id="32" w:name="_Toc201220312"/>
      <w:r>
        <w:rPr>
          <w:rStyle w:val="CharSectno"/>
        </w:rPr>
        <w:t>7E</w:t>
      </w:r>
      <w:r>
        <w:t>.</w:t>
      </w:r>
      <w:r>
        <w:tab/>
        <w:t>Determinations as to allowance for directors of certain GTEs: audit and risk committee members</w:t>
      </w:r>
      <w:bookmarkEnd w:id="32"/>
    </w:p>
    <w:p>
      <w:pPr>
        <w:pStyle w:val="Subsection"/>
      </w:pPr>
      <w:r>
        <w:tab/>
        <w:t>(1)</w:t>
      </w:r>
      <w:r>
        <w:tab/>
        <w:t xml:space="preserve">For the purposes of the </w:t>
      </w:r>
      <w:r>
        <w:rPr>
          <w:i/>
        </w:rPr>
        <w:t>Government Trading Enterprises Act 2023</w:t>
      </w:r>
      <w:r>
        <w:t xml:space="preserve"> section 27(2), the Tribunal must, from time to time as provided by this Act, inquire into and determine the allowance to be paid or provided to members of audit and risk management committees of GTEs who are also directors of the GTE concerned.</w:t>
      </w:r>
    </w:p>
    <w:p>
      <w:pPr>
        <w:pStyle w:val="Subsection"/>
      </w:pPr>
      <w:r>
        <w:lastRenderedPageBreak/>
        <w:tab/>
        <w:t>(2)</w:t>
      </w:r>
      <w:r>
        <w:tab/>
        <w:t>The allowance must be the same for all such members for a particular GTE, other than for the chair of the committee.</w:t>
      </w:r>
    </w:p>
    <w:p>
      <w:pPr>
        <w:pStyle w:val="Subsection"/>
      </w:pPr>
      <w:r>
        <w:tab/>
        <w:t>(3)</w:t>
      </w:r>
      <w:r>
        <w:tab/>
        <w:t>Section 6(2) and (3) apply to a determination under subsection (1).</w:t>
      </w:r>
    </w:p>
    <w:p>
      <w:pPr>
        <w:pStyle w:val="Footnotesection"/>
      </w:pPr>
      <w:r>
        <w:tab/>
        <w:t>[Section 7E inserted: No. 13 of 2023 s. 249.]</w:t>
      </w:r>
    </w:p>
    <w:p>
      <w:pPr>
        <w:pStyle w:val="Heading5"/>
        <w:spacing w:before="180"/>
      </w:pPr>
      <w:bookmarkStart w:id="33" w:name="_Toc201220313"/>
      <w:r>
        <w:rPr>
          <w:rStyle w:val="CharSectno"/>
        </w:rPr>
        <w:t>8</w:t>
      </w:r>
      <w:r>
        <w:t>.</w:t>
      </w:r>
      <w:r>
        <w:tab/>
        <w:t>Tribunal to report and make a determination annually</w:t>
      </w:r>
      <w:bookmarkEnd w:id="33"/>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(da)</w:t>
      </w:r>
      <w:r>
        <w:tab/>
        <w:t>not more than a year elapses between one determination under section 7BAA(2) and another; and</w:t>
      </w:r>
    </w:p>
    <w:p>
      <w:pPr>
        <w:pStyle w:val="Indenta"/>
      </w:pPr>
      <w:r>
        <w:tab/>
        <w:t>(e)</w:t>
      </w:r>
      <w:r>
        <w:tab/>
        <w:t>not more than a year elapses between one determination under section 7C(2) and another; and</w:t>
      </w:r>
    </w:p>
    <w:p>
      <w:pPr>
        <w:pStyle w:val="Indenta"/>
      </w:pPr>
      <w:r>
        <w:tab/>
        <w:t>(f)</w:t>
      </w:r>
      <w:r>
        <w:tab/>
        <w:t>not more than 4 years elapse between one determination under section 7D(2) and another; and</w:t>
      </w:r>
    </w:p>
    <w:p>
      <w:pPr>
        <w:pStyle w:val="Indenta"/>
      </w:pPr>
      <w:r>
        <w:tab/>
        <w:t>(g)</w:t>
      </w:r>
      <w:r>
        <w:tab/>
        <w:t>not more than 4 years elapse between one determination under section 7E(1)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lastRenderedPageBreak/>
        <w:tab/>
        <w:t>(3)</w:t>
      </w:r>
      <w:r>
        <w:tab/>
        <w:t>Subsection (2)(a) does not prevent the Tribunal from making a determination or report referred to in that subsection if the Tribunal considers the circumstances require it.</w:t>
      </w:r>
    </w:p>
    <w:p>
      <w:pPr>
        <w:pStyle w:val="Footnotesection"/>
      </w:pPr>
      <w:r>
        <w:tab/>
        <w:t>[Section 8 inserted: No. 37 of 2000 s. 21; amended: No. 49 of 2004 s. 13; No. 2 of 2012 s. 40; No. 46 of 2016 s. 6; No. 1 of 2018 s. 7; No. 13 of 2023 s. 250; No. 11 of 2023 s. 106.]</w:t>
      </w:r>
    </w:p>
    <w:p>
      <w:pPr>
        <w:pStyle w:val="Heading5"/>
        <w:rPr>
          <w:snapToGrid w:val="0"/>
        </w:rPr>
      </w:pPr>
      <w:bookmarkStart w:id="34" w:name="_Toc201220314"/>
      <w:r>
        <w:rPr>
          <w:rStyle w:val="CharSectno"/>
        </w:rPr>
        <w:t>9</w:t>
      </w:r>
      <w:r>
        <w:rPr>
          <w:snapToGrid w:val="0"/>
        </w:rPr>
        <w:t>.</w:t>
      </w:r>
      <w:r>
        <w:rPr>
          <w:snapToGrid w:val="0"/>
        </w:rPr>
        <w:tab/>
        <w:t>Meetings of Tribunal</w:t>
      </w:r>
      <w:bookmarkEnd w:id="34"/>
      <w:r>
        <w:rPr>
          <w:snapToGrid w:val="0"/>
        </w:rPr>
        <w:t xml:space="preserve"> </w:t>
      </w:r>
    </w:p>
    <w:p>
      <w:pPr>
        <w:pStyle w:val="Subsection"/>
        <w:rPr>
          <w:snapToGrid w:val="0"/>
        </w:rPr>
      </w:pPr>
      <w:r>
        <w:rPr>
          <w:snapToGrid w:val="0"/>
        </w:rPr>
        <w:tab/>
        <w:t>(1)</w:t>
      </w:r>
      <w:r>
        <w:rPr>
          <w:snapToGrid w:val="0"/>
        </w:rPr>
        <w:tab/>
        <w:t xml:space="preserve">The </w:t>
      </w:r>
      <w:r>
        <w:t>Chairperson</w:t>
      </w:r>
      <w:r>
        <w:rPr>
          <w:snapToGrid w:val="0"/>
        </w:rPr>
        <w:t xml:space="preserve"> may convene meetings of the Tribunal and shall preside at all meetings of the Tribunal at which </w:t>
      </w:r>
      <w:r>
        <w:t>the Chairperson</w:t>
      </w:r>
      <w:r>
        <w:rPr>
          <w:snapToGrid w:val="0"/>
        </w:rPr>
        <w:t xml:space="preserve"> is present.</w:t>
      </w:r>
    </w:p>
    <w:p>
      <w:pPr>
        <w:pStyle w:val="Subsection"/>
        <w:keepNext/>
        <w:rPr>
          <w:snapToGrid w:val="0"/>
        </w:rPr>
      </w:pPr>
      <w:r>
        <w:rPr>
          <w:snapToGrid w:val="0"/>
        </w:rPr>
        <w:tab/>
        <w:t>(2)</w:t>
      </w:r>
      <w:r>
        <w:rPr>
          <w:snapToGrid w:val="0"/>
        </w:rPr>
        <w:tab/>
        <w:t xml:space="preserve">In the event of the absence of the </w:t>
      </w:r>
      <w:r>
        <w:t>Chairperson from</w:t>
      </w:r>
      <w:r>
        <w:rPr>
          <w:snapToGrid w:val="0"/>
        </w:rPr>
        <w:t xml:space="preserve"> a meeting — </w:t>
      </w:r>
    </w:p>
    <w:p>
      <w:pPr>
        <w:pStyle w:val="Indenta"/>
        <w:rPr>
          <w:snapToGrid w:val="0"/>
        </w:rPr>
      </w:pPr>
      <w:r>
        <w:rPr>
          <w:snapToGrid w:val="0"/>
        </w:rPr>
        <w:tab/>
        <w:t>(a)</w:t>
      </w:r>
      <w:r>
        <w:rPr>
          <w:snapToGrid w:val="0"/>
        </w:rPr>
        <w:tab/>
        <w:t xml:space="preserve">another member nominated by the </w:t>
      </w:r>
      <w:r>
        <w:t>Chairperson</w:t>
      </w:r>
      <w:r>
        <w:rPr>
          <w:snapToGrid w:val="0"/>
        </w:rPr>
        <w:t xml:space="preserve"> for that purpose shall preside; or</w:t>
      </w:r>
    </w:p>
    <w:p>
      <w:pPr>
        <w:pStyle w:val="Indenta"/>
        <w:rPr>
          <w:snapToGrid w:val="0"/>
        </w:rPr>
      </w:pPr>
      <w:r>
        <w:rPr>
          <w:snapToGrid w:val="0"/>
        </w:rPr>
        <w:tab/>
        <w:t>(b)</w:t>
      </w:r>
      <w:r>
        <w:rPr>
          <w:snapToGrid w:val="0"/>
        </w:rPr>
        <w:tab/>
        <w:t xml:space="preserve">if another member has not been so nominated by the </w:t>
      </w:r>
      <w:r>
        <w:t>Chairperson,</w:t>
      </w:r>
      <w:r>
        <w:rPr>
          <w:snapToGrid w:val="0"/>
        </w:rPr>
        <w:t xml:space="preserve">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 and</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all questions shall be decided by a majority of the votes of the members present and voting; and</w:t>
      </w:r>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Subsection"/>
      </w:pPr>
      <w:r>
        <w:tab/>
        <w:t>(4)</w:t>
      </w:r>
      <w:r>
        <w:tab/>
        <w:t>The Tribunal must ensure that accurate minutes are kept of each of its meetings.</w:t>
      </w:r>
    </w:p>
    <w:p>
      <w:pPr>
        <w:pStyle w:val="Subsection"/>
        <w:keepNext/>
      </w:pPr>
      <w:r>
        <w:lastRenderedPageBreak/>
        <w:tab/>
        <w:t>(5)</w:t>
      </w:r>
      <w:r>
        <w:tab/>
        <w:t xml:space="preserve">A meeting of the Tribunal may be held — </w:t>
      </w:r>
    </w:p>
    <w:p>
      <w:pPr>
        <w:pStyle w:val="Indenta"/>
      </w:pPr>
      <w:r>
        <w:tab/>
        <w:t>(a)</w:t>
      </w:r>
      <w:r>
        <w:tab/>
        <w:t>in person; or</w:t>
      </w:r>
    </w:p>
    <w:p>
      <w:pPr>
        <w:pStyle w:val="Indenta"/>
      </w:pPr>
      <w:r>
        <w:tab/>
        <w:t>(b)</w:t>
      </w:r>
      <w:r>
        <w:tab/>
        <w:t>using remote communication; or</w:t>
      </w:r>
    </w:p>
    <w:p>
      <w:pPr>
        <w:pStyle w:val="Indenta"/>
      </w:pPr>
      <w:r>
        <w:tab/>
        <w:t>(c)</w:t>
      </w:r>
      <w:r>
        <w:tab/>
        <w:t>by a mix of those 2 ways of meeting.</w:t>
      </w:r>
    </w:p>
    <w:p>
      <w:pPr>
        <w:pStyle w:val="Subsection"/>
      </w:pPr>
      <w:r>
        <w:tab/>
        <w:t>(6)</w:t>
      </w:r>
      <w:r>
        <w:tab/>
        <w:t>A person (including the member presiding) who participates in a meeting of the Tribunal using remote communication is taken to be present at the meeting.</w:t>
      </w:r>
    </w:p>
    <w:p>
      <w:pPr>
        <w:pStyle w:val="Subsection"/>
      </w:pPr>
      <w:r>
        <w:tab/>
        <w:t>(7)</w:t>
      </w:r>
      <w:r>
        <w:tab/>
        <w:t xml:space="preserve">In subsections (5) and (6) — </w:t>
      </w:r>
    </w:p>
    <w:p>
      <w:pPr>
        <w:pStyle w:val="Defstart"/>
      </w:pPr>
      <w:r>
        <w:tab/>
      </w:r>
      <w:r>
        <w:rPr>
          <w:rStyle w:val="CharDefText"/>
        </w:rPr>
        <w:t>remote communication</w:t>
      </w:r>
      <w:r>
        <w:t>, in relation to a meeting, means any technology that enables all the persons taking part in the meeting to communicate with each other at the same time in a reasonably continuous way.</w:t>
      </w:r>
    </w:p>
    <w:p>
      <w:pPr>
        <w:pStyle w:val="Footnotesection"/>
      </w:pPr>
      <w:r>
        <w:tab/>
        <w:t>[Section 9 amended: No. 3 of 2025 s. 8.]</w:t>
      </w:r>
    </w:p>
    <w:p>
      <w:pPr>
        <w:pStyle w:val="Heading5"/>
      </w:pPr>
      <w:bookmarkStart w:id="35" w:name="_Toc201065758"/>
      <w:bookmarkStart w:id="36" w:name="_Toc201215455"/>
      <w:bookmarkStart w:id="37" w:name="_Toc201220315"/>
      <w:r>
        <w:rPr>
          <w:rStyle w:val="CharSectno"/>
        </w:rPr>
        <w:t>9A</w:t>
      </w:r>
      <w:r>
        <w:t>.</w:t>
      </w:r>
      <w:r>
        <w:tab/>
        <w:t>Resolution without meeting</w:t>
      </w:r>
      <w:bookmarkEnd w:id="35"/>
      <w:bookmarkEnd w:id="36"/>
      <w:bookmarkEnd w:id="37"/>
    </w:p>
    <w:p>
      <w:pPr>
        <w:pStyle w:val="Subsection"/>
      </w:pPr>
      <w:r>
        <w:tab/>
        <w:t>(1)</w:t>
      </w:r>
      <w:r>
        <w:tab/>
        <w:t>A written resolution that is signed, or otherwise assented to in writing, by the members has the same effect as if it had been passed at a meeting of the Tribunal.</w:t>
      </w:r>
    </w:p>
    <w:p>
      <w:pPr>
        <w:pStyle w:val="Subsection"/>
      </w:pPr>
      <w:r>
        <w:tab/>
        <w:t>(2)</w:t>
      </w:r>
      <w:r>
        <w:tab/>
        <w:t>If the resolution constitutes the making of a determination or report, a member may comply with section 5A(4)(b), 6(2)(b) or 7(2)(b) by assenting to the determination or report in writing otherwise than by signing it.</w:t>
      </w:r>
    </w:p>
    <w:p>
      <w:pPr>
        <w:pStyle w:val="PermNoteHeading"/>
      </w:pPr>
      <w:r>
        <w:tab/>
        <w:t>Note for this subsection:</w:t>
      </w:r>
    </w:p>
    <w:p>
      <w:pPr>
        <w:pStyle w:val="PermNoteText"/>
      </w:pPr>
      <w:r>
        <w:tab/>
      </w:r>
      <w:r>
        <w:tab/>
        <w:t>The reference to section 6(2)(b) includes section 6(2)(b) as applied under section 6A(2), 6AA(3), 6B(2), 7A(2), 7B(3), 7BAA(3), 7C(3), 7D(3) or 7E(3).</w:t>
      </w:r>
    </w:p>
    <w:p>
      <w:pPr>
        <w:pStyle w:val="Subsection"/>
      </w:pPr>
      <w:r>
        <w:tab/>
        <w:t>(3)</w:t>
      </w:r>
      <w:r>
        <w:tab/>
        <w:t>A resolution that has effect under subsection (1) must be recorded in the minutes of the Tribunal’s next meeting.</w:t>
      </w:r>
    </w:p>
    <w:p>
      <w:pPr>
        <w:pStyle w:val="Footnotesection"/>
      </w:pPr>
      <w:r>
        <w:tab/>
        <w:t>[Section 9A inserted: No. 3 of 2025 s. 9.]</w:t>
      </w:r>
    </w:p>
    <w:p>
      <w:pPr>
        <w:pStyle w:val="Heading5"/>
      </w:pPr>
      <w:bookmarkStart w:id="38" w:name="_Toc201065759"/>
      <w:bookmarkStart w:id="39" w:name="_Toc201215456"/>
      <w:bookmarkStart w:id="40" w:name="_Toc201220316"/>
      <w:r>
        <w:rPr>
          <w:rStyle w:val="CharSectno"/>
        </w:rPr>
        <w:lastRenderedPageBreak/>
        <w:t>9B</w:t>
      </w:r>
      <w:r>
        <w:t>.</w:t>
      </w:r>
      <w:r>
        <w:tab/>
        <w:t>Quorum</w:t>
      </w:r>
      <w:bookmarkEnd w:id="38"/>
      <w:bookmarkEnd w:id="39"/>
      <w:bookmarkEnd w:id="40"/>
    </w:p>
    <w:p>
      <w:pPr>
        <w:pStyle w:val="Subsection"/>
      </w:pPr>
      <w:r>
        <w:tab/>
      </w:r>
      <w:r>
        <w:tab/>
        <w:t>Two members constitute a quorum at a meeting of the Tribunal and the functions of the members under sections 5A(4)(b), 6(2)(b) and 7(2)(b) may be performed by 2 members.</w:t>
      </w:r>
    </w:p>
    <w:p>
      <w:pPr>
        <w:pStyle w:val="PermNoteHeading"/>
      </w:pPr>
      <w:r>
        <w:tab/>
        <w:t>Note for this section:</w:t>
      </w:r>
    </w:p>
    <w:p>
      <w:pPr>
        <w:pStyle w:val="PermNoteText"/>
      </w:pPr>
      <w:r>
        <w:tab/>
      </w:r>
      <w:r>
        <w:tab/>
        <w:t>The reference to section 6(2)(b) includes section 6(2)(b) as applied under section 6A(2), 6AA(3), 6B(2), 7A(2), 7B(3), 7BAA(3), 7C(3), 7D(3) or 7E(3).</w:t>
      </w:r>
    </w:p>
    <w:p>
      <w:pPr>
        <w:pStyle w:val="Footnotesection"/>
        <w:rPr>
          <w:snapToGrid/>
        </w:rPr>
      </w:pPr>
      <w:r>
        <w:tab/>
        <w:t>[Section 9B inserted: No. 3 of 2025 s. 9.]</w:t>
      </w:r>
    </w:p>
    <w:p>
      <w:pPr>
        <w:pStyle w:val="Heading5"/>
        <w:rPr>
          <w:snapToGrid w:val="0"/>
        </w:rPr>
      </w:pPr>
      <w:bookmarkStart w:id="41" w:name="_Toc201220317"/>
      <w:r>
        <w:rPr>
          <w:rStyle w:val="CharSectno"/>
        </w:rPr>
        <w:t>10</w:t>
      </w:r>
      <w:r>
        <w:rPr>
          <w:snapToGrid w:val="0"/>
        </w:rPr>
        <w:t>.</w:t>
      </w:r>
      <w:r>
        <w:rPr>
          <w:snapToGrid w:val="0"/>
        </w:rPr>
        <w:tab/>
        <w:t>Method of inquiry by Tribunal</w:t>
      </w:r>
      <w:bookmarkEnd w:id="41"/>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 xml:space="preserve">The Minister may, if </w:t>
      </w:r>
      <w:r>
        <w:t>the Minister</w:t>
      </w:r>
      <w:r>
        <w:rPr>
          <w:snapToGrid w:val="0"/>
        </w:rPr>
        <w:t xml:space="preserv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w:t>
      </w:r>
      <w:r>
        <w:rPr>
          <w:snapToGrid w:val="0"/>
        </w:rPr>
        <w:lastRenderedPageBreak/>
        <w:t xml:space="preserve">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 or</w:t>
      </w:r>
    </w:p>
    <w:p>
      <w:pPr>
        <w:pStyle w:val="Indenti"/>
      </w:pPr>
      <w:r>
        <w:tab/>
        <w:t>(iii)</w:t>
      </w:r>
      <w:r>
        <w:tab/>
        <w:t>the fees and expenses to be paid to committee members referred to in section 7BAA;</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w:t>
      </w:r>
      <w:r>
        <w:lastRenderedPageBreak/>
        <w:t>minimum and maximum amounts of remuneration to be paid or provided to executive officers or directors of Government entities referred to in section 7C(2) or 7D(2) or the amount of remuneration to be paid or provided to those officers as referred to in section 10F(3) or the allowance to be paid or provided under section 7E(1).</w:t>
      </w:r>
    </w:p>
    <w:p>
      <w:pPr>
        <w:pStyle w:val="Footnotesection"/>
      </w:pPr>
      <w:r>
        <w:tab/>
        <w:t xml:space="preserve">[Section 10 amended: No. 33 of 1979 s. 4; No. 38 of 1990 s. 9; No. 68 of 1992 s. 4(3); No. 32 of 1994 s. 19; No. 73 of 1994 s. 4; No. 49 of 2004 s. 13; No. 39 of 2010 s. 83; No. 2 of 2012 s. 41; No. 32 of 2016 s. 193; No. 46 of 2016 s. 7; No. 1 of 2018 s. 8; No. 13 of 2023 s. 251; No. 11 of 2023 s. 107; No. 3 of 2025 s. 10.] </w:t>
      </w:r>
    </w:p>
    <w:p>
      <w:pPr>
        <w:pStyle w:val="Heading5"/>
      </w:pPr>
      <w:bookmarkStart w:id="42" w:name="_Toc201220318"/>
      <w:r>
        <w:rPr>
          <w:rStyle w:val="CharSectno"/>
        </w:rPr>
        <w:t>10A</w:t>
      </w:r>
      <w:r>
        <w:t>.</w:t>
      </w:r>
      <w:r>
        <w:tab/>
        <w:t>Tribunal to have regard to government financial matters</w:t>
      </w:r>
      <w:bookmarkEnd w:id="42"/>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keepNext/>
      </w:pPr>
      <w:r>
        <w:lastRenderedPageBreak/>
        <w:tab/>
        <w:t>(ii)</w:t>
      </w:r>
      <w:r>
        <w:tab/>
      </w:r>
      <w:r>
        <w:rPr>
          <w:spacing w:val="-4"/>
        </w:rPr>
        <w:t>made publicly available under section 9 of that Act;</w:t>
      </w:r>
    </w:p>
    <w:p>
      <w:pPr>
        <w:pStyle w:val="Defstart"/>
        <w:keepNext/>
      </w:pPr>
      <w:r>
        <w:tab/>
      </w:r>
      <w:r>
        <w:rPr>
          <w:rStyle w:val="CharDefText"/>
        </w:rPr>
        <w:t>Public Sector Wages Policy Statement</w:t>
      </w:r>
      <w:r>
        <w:t xml:space="preserve"> 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7C(2), 7D(2) or 7E(1)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 No. 8 of 2014 s. 19; amended: No. 46 of 2016 s. 8; No. 13 of 2023 s. 252.]</w:t>
      </w:r>
    </w:p>
    <w:p>
      <w:pPr>
        <w:pStyle w:val="Heading3"/>
        <w:pageBreakBefore/>
        <w:spacing w:before="0"/>
      </w:pPr>
      <w:bookmarkStart w:id="43" w:name="_Toc201216053"/>
      <w:bookmarkStart w:id="44" w:name="_Toc201218168"/>
      <w:bookmarkStart w:id="45" w:name="_Toc201220319"/>
      <w:r>
        <w:rPr>
          <w:rStyle w:val="CharDivNo"/>
        </w:rPr>
        <w:lastRenderedPageBreak/>
        <w:t>Division 4</w:t>
      </w:r>
      <w:r>
        <w:t> — </w:t>
      </w:r>
      <w:r>
        <w:rPr>
          <w:rStyle w:val="CharDivText"/>
        </w:rPr>
        <w:t>No remuneration increases before 1 July 2021</w:t>
      </w:r>
      <w:bookmarkEnd w:id="43"/>
      <w:bookmarkEnd w:id="44"/>
      <w:bookmarkEnd w:id="45"/>
    </w:p>
    <w:p>
      <w:pPr>
        <w:pStyle w:val="Footnoteheading"/>
      </w:pPr>
      <w:r>
        <w:tab/>
        <w:t>[Heading inserted: No. 1 of 2018 s. 9.]</w:t>
      </w:r>
    </w:p>
    <w:p>
      <w:pPr>
        <w:pStyle w:val="Heading5"/>
      </w:pPr>
      <w:bookmarkStart w:id="46" w:name="_Toc201220320"/>
      <w:r>
        <w:rPr>
          <w:rStyle w:val="CharSectno"/>
        </w:rPr>
        <w:t>10B</w:t>
      </w:r>
      <w:r>
        <w:t>.</w:t>
      </w:r>
      <w:r>
        <w:tab/>
        <w:t>Term used: commencement day</w:t>
      </w:r>
      <w:bookmarkEnd w:id="46"/>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 No. 1 of 2018 s. 9.]</w:t>
      </w:r>
    </w:p>
    <w:p>
      <w:pPr>
        <w:pStyle w:val="Heading5"/>
      </w:pPr>
      <w:bookmarkStart w:id="47" w:name="_Toc201220321"/>
      <w:r>
        <w:rPr>
          <w:rStyle w:val="CharSectno"/>
        </w:rPr>
        <w:t>10C</w:t>
      </w:r>
      <w:r>
        <w:t>.</w:t>
      </w:r>
      <w:r>
        <w:tab/>
        <w:t>No increases in Governor’s remuneration before 1 July 2021</w:t>
      </w:r>
      <w:bookmarkEnd w:id="47"/>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 No. 1 of 2018 s. 9.]</w:t>
      </w:r>
    </w:p>
    <w:p>
      <w:pPr>
        <w:pStyle w:val="Heading5"/>
        <w:pageBreakBefore/>
        <w:spacing w:before="0"/>
      </w:pPr>
      <w:bookmarkStart w:id="48" w:name="_Toc201220322"/>
      <w:r>
        <w:rPr>
          <w:rStyle w:val="CharSectno"/>
        </w:rPr>
        <w:lastRenderedPageBreak/>
        <w:t>10D</w:t>
      </w:r>
      <w:r>
        <w:t>.</w:t>
      </w:r>
      <w:r>
        <w:tab/>
        <w:t>No increases in remuneration under s. 6 before 1 July 2021</w:t>
      </w:r>
      <w:bookmarkEnd w:id="48"/>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 xml:space="preserve">the Tribunal has not previously determined the remuneration to be paid or provided in respect of an </w:t>
      </w:r>
      <w:r>
        <w:lastRenderedPageBreak/>
        <w:t>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w:t>
      </w:r>
      <w:r>
        <w:lastRenderedPageBreak/>
        <w:t xml:space="preserve">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 No. 1 of 2018 s. 9.]</w:t>
      </w:r>
    </w:p>
    <w:p>
      <w:pPr>
        <w:pStyle w:val="Heading5"/>
      </w:pPr>
      <w:bookmarkStart w:id="49" w:name="_Toc201220323"/>
      <w:r>
        <w:rPr>
          <w:rStyle w:val="CharSectno"/>
        </w:rPr>
        <w:t>10E</w:t>
      </w:r>
      <w:r>
        <w:t>.</w:t>
      </w:r>
      <w:r>
        <w:tab/>
        <w:t>No increases in judicial remuneration before 1 July 2021</w:t>
      </w:r>
      <w:bookmarkEnd w:id="49"/>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 No. 1 of 2018 s. 9.]</w:t>
      </w:r>
    </w:p>
    <w:p>
      <w:pPr>
        <w:pStyle w:val="Heading5"/>
      </w:pPr>
      <w:bookmarkStart w:id="50" w:name="_Toc201220324"/>
      <w:r>
        <w:rPr>
          <w:rStyle w:val="CharSectno"/>
        </w:rPr>
        <w:t>10F</w:t>
      </w:r>
      <w:r>
        <w:t>.</w:t>
      </w:r>
      <w:r>
        <w:tab/>
        <w:t>No increases in remuneration of certain executive officers of Government entities before 1 July 2021</w:t>
      </w:r>
      <w:bookmarkEnd w:id="50"/>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lastRenderedPageBreak/>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lastRenderedPageBreak/>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 No. 1 of 2018 s. 9.]</w:t>
      </w:r>
    </w:p>
    <w:p>
      <w:pPr>
        <w:pStyle w:val="Heading5"/>
      </w:pPr>
      <w:bookmarkStart w:id="51" w:name="_Toc201220325"/>
      <w:r>
        <w:rPr>
          <w:rStyle w:val="CharSectno"/>
        </w:rPr>
        <w:t>10G</w:t>
      </w:r>
      <w:r>
        <w:t>.</w:t>
      </w:r>
      <w:r>
        <w:tab/>
        <w:t>Compensatory and catch-up determinations after 1 July 2021 prohibited</w:t>
      </w:r>
      <w:bookmarkEnd w:id="5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 No. 1 of 2018 s. 9.]</w:t>
      </w:r>
    </w:p>
    <w:p>
      <w:pPr>
        <w:pStyle w:val="Heading3"/>
      </w:pPr>
      <w:bookmarkStart w:id="52" w:name="_Toc201216060"/>
      <w:bookmarkStart w:id="53" w:name="_Toc201218175"/>
      <w:bookmarkStart w:id="54" w:name="_Toc201220326"/>
      <w:r>
        <w:rPr>
          <w:rStyle w:val="CharDivNo"/>
        </w:rPr>
        <w:lastRenderedPageBreak/>
        <w:t>Division 5</w:t>
      </w:r>
      <w:r>
        <w:t> — </w:t>
      </w:r>
      <w:r>
        <w:rPr>
          <w:rStyle w:val="CharDivText"/>
        </w:rPr>
        <w:t>Miscellaneous</w:t>
      </w:r>
      <w:bookmarkEnd w:id="52"/>
      <w:bookmarkEnd w:id="53"/>
      <w:bookmarkEnd w:id="54"/>
    </w:p>
    <w:p>
      <w:pPr>
        <w:pStyle w:val="Footnoteheading"/>
        <w:keepNext/>
      </w:pPr>
      <w:r>
        <w:tab/>
        <w:t>[Heading inserted: No. 1 of 2018 s. 10.]</w:t>
      </w:r>
    </w:p>
    <w:p>
      <w:pPr>
        <w:pStyle w:val="Heading5"/>
        <w:rPr>
          <w:snapToGrid w:val="0"/>
        </w:rPr>
      </w:pPr>
      <w:bookmarkStart w:id="55" w:name="_Toc201220327"/>
      <w:r>
        <w:rPr>
          <w:rStyle w:val="CharSectno"/>
        </w:rPr>
        <w:t>11</w:t>
      </w:r>
      <w:r>
        <w:rPr>
          <w:snapToGrid w:val="0"/>
        </w:rPr>
        <w:t>.</w:t>
      </w:r>
      <w:r>
        <w:rPr>
          <w:snapToGrid w:val="0"/>
        </w:rPr>
        <w:tab/>
        <w:t>Fees and allowances</w:t>
      </w:r>
      <w:bookmarkEnd w:id="55"/>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56" w:name="_Toc201216062"/>
      <w:bookmarkStart w:id="57" w:name="_Toc201218177"/>
      <w:bookmarkStart w:id="58" w:name="_Toc201220328"/>
      <w:r>
        <w:rPr>
          <w:rStyle w:val="CharPartNo"/>
        </w:rPr>
        <w:lastRenderedPageBreak/>
        <w:t>Part IA</w:t>
      </w:r>
      <w:r>
        <w:rPr>
          <w:rStyle w:val="CharDivNo"/>
        </w:rPr>
        <w:t> </w:t>
      </w:r>
      <w:r>
        <w:t>—</w:t>
      </w:r>
      <w:r>
        <w:rPr>
          <w:rStyle w:val="CharDivText"/>
        </w:rPr>
        <w:t> </w:t>
      </w:r>
      <w:r>
        <w:rPr>
          <w:rStyle w:val="CharPartText"/>
        </w:rPr>
        <w:t>General</w:t>
      </w:r>
      <w:bookmarkEnd w:id="56"/>
      <w:bookmarkEnd w:id="57"/>
      <w:bookmarkEnd w:id="58"/>
      <w:r>
        <w:rPr>
          <w:rStyle w:val="CharPartText"/>
        </w:rPr>
        <w:t xml:space="preserve"> </w:t>
      </w:r>
    </w:p>
    <w:p>
      <w:pPr>
        <w:pStyle w:val="Footnoteheading"/>
        <w:ind w:left="890"/>
        <w:rPr>
          <w:snapToGrid w:val="0"/>
        </w:rPr>
      </w:pPr>
      <w:r>
        <w:rPr>
          <w:snapToGrid w:val="0"/>
        </w:rPr>
        <w:tab/>
        <w:t xml:space="preserve">[Heading inserted: No. 34 of 1980 s. 7.] </w:t>
      </w:r>
    </w:p>
    <w:p>
      <w:pPr>
        <w:pStyle w:val="Heading5"/>
        <w:rPr>
          <w:snapToGrid w:val="0"/>
        </w:rPr>
      </w:pPr>
      <w:bookmarkStart w:id="59" w:name="_Toc201220329"/>
      <w:r>
        <w:rPr>
          <w:rStyle w:val="CharSectno"/>
        </w:rPr>
        <w:t>11A</w:t>
      </w:r>
      <w:r>
        <w:rPr>
          <w:snapToGrid w:val="0"/>
        </w:rPr>
        <w:t>.</w:t>
      </w:r>
      <w:r>
        <w:rPr>
          <w:snapToGrid w:val="0"/>
        </w:rPr>
        <w:tab/>
        <w:t>Arrangements for payment of travelling expenses by Treasurer</w:t>
      </w:r>
      <w:bookmarkEnd w:id="59"/>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 and</w:t>
      </w:r>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 xml:space="preserve">accommodation or other expenses incurred by a member of Parliament in the course of or in connection with travel by </w:t>
      </w:r>
      <w:r>
        <w:t>that member of Parliament</w:t>
      </w:r>
      <w:r>
        <w:rPr>
          <w:snapToGrid w:val="0"/>
        </w:rPr>
        <w:t xml:space="preserve">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lastRenderedPageBreak/>
        <w:tab/>
        <w:t>(4)</w:t>
      </w:r>
      <w:r>
        <w:rPr>
          <w:snapToGrid w:val="0"/>
        </w:rPr>
        <w:tab/>
        <w:t xml:space="preserve">Subject to this section, where a person ceases to be a member of the Legislative Assembly by reason of the dissolution of that House or the expiry thereof by effluxion of time arrangements made under subsection (1) shall continue to apply to and in relation to </w:t>
      </w:r>
      <w:r>
        <w:t>the person</w:t>
      </w:r>
      <w:r>
        <w:rPr>
          <w:snapToGrid w:val="0"/>
        </w:rPr>
        <w:t xml:space="preserve">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 xml:space="preserve">[Section 11A inserted: No. 34 of 1980 s. 7; amended: No. 6 of 1993 s. 11; No. 49 of 1996 s. 64; No. 36 of 2000 s. 26; No. 77 of 2006 s. 4; No. 3 of 2025 s. 11.] </w:t>
      </w:r>
    </w:p>
    <w:p>
      <w:pPr>
        <w:pStyle w:val="Heading5"/>
        <w:rPr>
          <w:snapToGrid w:val="0"/>
        </w:rPr>
      </w:pPr>
      <w:bookmarkStart w:id="60" w:name="_Toc201220330"/>
      <w:r>
        <w:rPr>
          <w:rStyle w:val="CharSectno"/>
        </w:rPr>
        <w:t>12</w:t>
      </w:r>
      <w:r>
        <w:rPr>
          <w:snapToGrid w:val="0"/>
        </w:rPr>
        <w:t>.</w:t>
      </w:r>
      <w:r>
        <w:rPr>
          <w:snapToGrid w:val="0"/>
        </w:rPr>
        <w:tab/>
        <w:t>Regulations</w:t>
      </w:r>
      <w:bookmarkEnd w:id="60"/>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Heading2"/>
      </w:pPr>
      <w:bookmarkStart w:id="61" w:name="_Toc200382522"/>
      <w:bookmarkStart w:id="62" w:name="_Toc200382557"/>
      <w:bookmarkStart w:id="63" w:name="_Toc201065566"/>
      <w:bookmarkStart w:id="64" w:name="_Toc201065659"/>
      <w:bookmarkStart w:id="65" w:name="_Toc201065763"/>
      <w:bookmarkStart w:id="66" w:name="_Toc201215460"/>
      <w:bookmarkStart w:id="67" w:name="_Toc201218180"/>
      <w:bookmarkStart w:id="68" w:name="_Toc201220331"/>
      <w:r>
        <w:rPr>
          <w:rStyle w:val="CharPartNo"/>
        </w:rPr>
        <w:lastRenderedPageBreak/>
        <w:t>Part 1B</w:t>
      </w:r>
      <w:r>
        <w:t> — </w:t>
      </w:r>
      <w:r>
        <w:rPr>
          <w:rStyle w:val="CharPartText"/>
        </w:rPr>
        <w:t>Transitional provisions</w:t>
      </w:r>
      <w:bookmarkEnd w:id="61"/>
      <w:bookmarkEnd w:id="62"/>
      <w:bookmarkEnd w:id="63"/>
      <w:bookmarkEnd w:id="64"/>
      <w:bookmarkEnd w:id="65"/>
      <w:bookmarkEnd w:id="66"/>
      <w:bookmarkEnd w:id="67"/>
      <w:bookmarkEnd w:id="68"/>
    </w:p>
    <w:p>
      <w:pPr>
        <w:pStyle w:val="Footnoteheading"/>
      </w:pPr>
      <w:r>
        <w:tab/>
        <w:t>[Heading inserted: No. 3 of 2025 s. 12.]</w:t>
      </w:r>
    </w:p>
    <w:p>
      <w:pPr>
        <w:pStyle w:val="Heading5"/>
      </w:pPr>
      <w:bookmarkStart w:id="69" w:name="_Toc201065764"/>
      <w:bookmarkStart w:id="70" w:name="_Toc201215461"/>
      <w:bookmarkStart w:id="71" w:name="_Toc201220332"/>
      <w:r>
        <w:rPr>
          <w:rStyle w:val="CharSectno"/>
        </w:rPr>
        <w:t>12A</w:t>
      </w:r>
      <w:r>
        <w:t>.</w:t>
      </w:r>
      <w:r>
        <w:tab/>
        <w:t xml:space="preserve">Transitional provisions for </w:t>
      </w:r>
      <w:r>
        <w:rPr>
          <w:i/>
        </w:rPr>
        <w:t>Salaries and Allowances Amendment Act 2025</w:t>
      </w:r>
      <w:bookmarkEnd w:id="69"/>
      <w:bookmarkEnd w:id="70"/>
      <w:bookmarkEnd w:id="71"/>
    </w:p>
    <w:p>
      <w:pPr>
        <w:pStyle w:val="Subsection"/>
      </w:pPr>
      <w:r>
        <w:tab/>
        <w:t>(1)</w:t>
      </w:r>
      <w:r>
        <w:tab/>
        <w:t xml:space="preserve">In this section — </w:t>
      </w:r>
    </w:p>
    <w:p>
      <w:pPr>
        <w:pStyle w:val="Defstart"/>
      </w:pPr>
      <w:r>
        <w:tab/>
      </w:r>
      <w:r>
        <w:rPr>
          <w:rStyle w:val="CharDefText"/>
        </w:rPr>
        <w:t>amendment Act</w:t>
      </w:r>
      <w:r>
        <w:t xml:space="preserve"> means the </w:t>
      </w:r>
      <w:r>
        <w:rPr>
          <w:i/>
        </w:rPr>
        <w:t>Salaries and Allowances Amendment Act 2025</w:t>
      </w:r>
      <w:r>
        <w:t>;</w:t>
      </w:r>
    </w:p>
    <w:p>
      <w:pPr>
        <w:pStyle w:val="Defstart"/>
      </w:pPr>
      <w:r>
        <w:tab/>
      </w:r>
      <w:r>
        <w:rPr>
          <w:rStyle w:val="CharDefText"/>
        </w:rPr>
        <w:t>amendment day</w:t>
      </w:r>
      <w:r>
        <w:t xml:space="preserve"> means the day on which section 12 of the amendment Act comes into operation.</w:t>
      </w:r>
    </w:p>
    <w:p>
      <w:pPr>
        <w:pStyle w:val="Subsection"/>
      </w:pPr>
      <w:r>
        <w:tab/>
        <w:t>(2)</w:t>
      </w:r>
      <w:r>
        <w:tab/>
        <w:t>The amendment made by section 5(1) of the amendment Act does not affect the term of office of a member whose appointment was made before amendment day.</w:t>
      </w:r>
    </w:p>
    <w:p>
      <w:pPr>
        <w:pStyle w:val="Subsection"/>
      </w:pPr>
      <w:r>
        <w:tab/>
        <w:t>(3)</w:t>
      </w:r>
      <w:r>
        <w:tab/>
        <w:t>The member who, immediately before amendment day, is the Chairman appointed under section 5(8) is taken to be appointed as the Chairperson under section 5(8), as amended by section 5(5) of the amendment Act, at the beginning of amendment day.</w:t>
      </w:r>
    </w:p>
    <w:p>
      <w:pPr>
        <w:pStyle w:val="Footnotesection"/>
      </w:pPr>
      <w:r>
        <w:tab/>
        <w:t>[Section 12A inserted: No. 3 of 2025 s. 12.]</w:t>
      </w:r>
    </w:p>
    <w:p>
      <w:pPr>
        <w:pStyle w:val="Heading2"/>
      </w:pPr>
      <w:bookmarkStart w:id="72" w:name="_Toc200382524"/>
      <w:bookmarkStart w:id="73" w:name="_Toc200382559"/>
      <w:bookmarkStart w:id="74" w:name="_Toc201065568"/>
      <w:bookmarkStart w:id="75" w:name="_Toc201065661"/>
      <w:bookmarkStart w:id="76" w:name="_Toc201065765"/>
      <w:bookmarkStart w:id="77" w:name="_Toc201215462"/>
      <w:bookmarkStart w:id="78" w:name="_Toc201218182"/>
      <w:bookmarkStart w:id="79" w:name="_Toc201220333"/>
      <w:r>
        <w:rPr>
          <w:rStyle w:val="CharPartNo"/>
        </w:rPr>
        <w:lastRenderedPageBreak/>
        <w:t>Part 1C</w:t>
      </w:r>
      <w:r>
        <w:t> — </w:t>
      </w:r>
      <w:r>
        <w:rPr>
          <w:rStyle w:val="CharPartText"/>
        </w:rPr>
        <w:t>Validation</w:t>
      </w:r>
      <w:bookmarkEnd w:id="72"/>
      <w:bookmarkEnd w:id="73"/>
      <w:bookmarkEnd w:id="74"/>
      <w:bookmarkEnd w:id="75"/>
      <w:bookmarkEnd w:id="76"/>
      <w:bookmarkEnd w:id="77"/>
      <w:bookmarkEnd w:id="78"/>
      <w:bookmarkEnd w:id="79"/>
    </w:p>
    <w:p>
      <w:pPr>
        <w:pStyle w:val="Footnoteheading"/>
      </w:pPr>
      <w:r>
        <w:tab/>
        <w:t>[Heading inserted: No. 3 of 2025 s. 12.]</w:t>
      </w:r>
    </w:p>
    <w:p>
      <w:pPr>
        <w:pStyle w:val="Heading5"/>
      </w:pPr>
      <w:bookmarkStart w:id="80" w:name="_Toc201065766"/>
      <w:bookmarkStart w:id="81" w:name="_Toc201215463"/>
      <w:bookmarkStart w:id="82" w:name="_Toc201220334"/>
      <w:r>
        <w:rPr>
          <w:rStyle w:val="CharSectno"/>
        </w:rPr>
        <w:t>12B</w:t>
      </w:r>
      <w:r>
        <w:t>.</w:t>
      </w:r>
      <w:r>
        <w:tab/>
        <w:t>Validation provisions relating to s. 5(7)</w:t>
      </w:r>
      <w:bookmarkEnd w:id="80"/>
      <w:bookmarkEnd w:id="81"/>
      <w:bookmarkEnd w:id="82"/>
    </w:p>
    <w:p>
      <w:pPr>
        <w:pStyle w:val="Subsection"/>
      </w:pPr>
      <w:r>
        <w:tab/>
        <w:t>(1)</w:t>
      </w:r>
      <w:r>
        <w:tab/>
        <w:t xml:space="preserve">In this section — </w:t>
      </w:r>
    </w:p>
    <w:p>
      <w:pPr>
        <w:pStyle w:val="Defstart"/>
      </w:pPr>
      <w:r>
        <w:tab/>
      </w:r>
      <w:r>
        <w:rPr>
          <w:rStyle w:val="CharDefText"/>
        </w:rPr>
        <w:t>validation day</w:t>
      </w:r>
      <w:r>
        <w:t xml:space="preserve"> means the day on which the </w:t>
      </w:r>
      <w:r>
        <w:rPr>
          <w:i/>
        </w:rPr>
        <w:t>Salaries and Allowances Amendment Act 2025</w:t>
      </w:r>
      <w:r>
        <w:t xml:space="preserve"> section 12 comes into operation;</w:t>
      </w:r>
    </w:p>
    <w:p>
      <w:pPr>
        <w:pStyle w:val="Defstart"/>
      </w:pPr>
      <w:r>
        <w:tab/>
      </w:r>
      <w:r>
        <w:rPr>
          <w:rStyle w:val="CharDefText"/>
        </w:rPr>
        <w:t>validation period</w:t>
      </w:r>
      <w:r>
        <w:t xml:space="preserve"> means the period beginning on 7 September 2021 and ending on the day before validation day.</w:t>
      </w:r>
    </w:p>
    <w:p>
      <w:pPr>
        <w:pStyle w:val="Subsection"/>
      </w:pPr>
      <w:r>
        <w:tab/>
        <w:t>(2)</w:t>
      </w:r>
      <w:r>
        <w:tab/>
        <w:t>Section 5(7) is taken to have had no effect during the validation period.</w:t>
      </w:r>
    </w:p>
    <w:p>
      <w:pPr>
        <w:pStyle w:val="Subsection"/>
      </w:pPr>
      <w:r>
        <w:tab/>
        <w:t>(3)</w:t>
      </w:r>
      <w:r>
        <w:tab/>
        <w:t xml:space="preserve">Subsections (4) to (9) — </w:t>
      </w:r>
    </w:p>
    <w:p>
      <w:pPr>
        <w:pStyle w:val="Indenta"/>
      </w:pPr>
      <w:r>
        <w:tab/>
        <w:t>(a)</w:t>
      </w:r>
      <w:r>
        <w:tab/>
        <w:t>supplement subsection (2); and</w:t>
      </w:r>
    </w:p>
    <w:p>
      <w:pPr>
        <w:pStyle w:val="Indenta"/>
      </w:pPr>
      <w:r>
        <w:tab/>
        <w:t>(b)</w:t>
      </w:r>
      <w:r>
        <w:tab/>
        <w:t>are not to be construed as limiting the effect of subsection (2) or of each other.</w:t>
      </w:r>
    </w:p>
    <w:p>
      <w:pPr>
        <w:pStyle w:val="Subsection"/>
      </w:pPr>
      <w:r>
        <w:tab/>
        <w:t>(4)</w:t>
      </w:r>
      <w:r>
        <w:tab/>
        <w:t>Any written law (including this Act) in force at any time on or after 7 September 2021 is taken to have, or to have had, the same effect at that time as if section 5(7) had had no effect during the validation period.</w:t>
      </w:r>
    </w:p>
    <w:p>
      <w:pPr>
        <w:pStyle w:val="Subsection"/>
      </w:pPr>
      <w:r>
        <w:tab/>
        <w:t>(5)</w:t>
      </w:r>
      <w:r>
        <w:tab/>
        <w:t>An appointment of a person as a member, or a resignation under section 5(4)(c), that was made, or purportedly made, during the validation period is taken to be, and to have always been, as lawful, valid and effective as it would be, or would have been, if section 5(7) had had no effect during the validation period.</w:t>
      </w:r>
    </w:p>
    <w:p>
      <w:pPr>
        <w:pStyle w:val="Subsection"/>
      </w:pPr>
      <w:r>
        <w:tab/>
        <w:t>(6)</w:t>
      </w:r>
      <w:r>
        <w:tab/>
        <w:t>Subsection (5) applies to make a person’s resignation, or purported resignation, lawful, valid and effective even if, at the time, the reason for the resignation was that the person had not been validly appointed as a member.</w:t>
      </w:r>
    </w:p>
    <w:p>
      <w:pPr>
        <w:pStyle w:val="Subsection"/>
        <w:keepLines/>
      </w:pPr>
      <w:r>
        <w:lastRenderedPageBreak/>
        <w:tab/>
        <w:t>(7)</w:t>
      </w:r>
      <w:r>
        <w:tab/>
        <w:t>Anything done, or purportedly done, on or after 7 September 2021 is taken to be, and to have always been, as lawful, valid and effective as it would be, or would have been, if section 5(7) had had no effect during the validation period.</w:t>
      </w:r>
    </w:p>
    <w:p>
      <w:pPr>
        <w:pStyle w:val="Subsection"/>
      </w:pPr>
      <w:r>
        <w:tab/>
        <w:t>(8)</w:t>
      </w:r>
      <w:r>
        <w:tab/>
        <w:t>In subsection (7), a reference to the doing of anything includes a reference to an omission to do anything.</w:t>
      </w:r>
    </w:p>
    <w:p>
      <w:pPr>
        <w:pStyle w:val="Subsection"/>
      </w:pPr>
      <w:r>
        <w:tab/>
        <w:t>(9)</w:t>
      </w:r>
      <w:r>
        <w:tab/>
        <w:t>The functions, rights, obligations and liabilities of the State, and of all persons and bodies, are taken to be, and to have always been, the same as if section 5(7) had had no effect during the validation period.</w:t>
      </w:r>
    </w:p>
    <w:p>
      <w:pPr>
        <w:pStyle w:val="Subsection"/>
      </w:pPr>
      <w:r>
        <w:tab/>
        <w:t>(10)</w:t>
      </w:r>
      <w:r>
        <w:tab/>
        <w:t>Without limiting the effect of this section, this section has effect for the purposes of any civil proceedings before a court (including appeal proceedings) that relate to an act or omission occurring, or other matter arising, on or after 7 September 2021</w:t>
      </w:r>
      <w:r>
        <w:rPr>
          <w:b/>
          <w:bCs/>
        </w:rPr>
        <w:t xml:space="preserve"> </w:t>
      </w:r>
      <w:r>
        <w:t xml:space="preserve">and that — </w:t>
      </w:r>
    </w:p>
    <w:p>
      <w:pPr>
        <w:pStyle w:val="Indenta"/>
      </w:pPr>
      <w:r>
        <w:tab/>
        <w:t>(a)</w:t>
      </w:r>
      <w:r>
        <w:tab/>
        <w:t>are commenced on or after validation day; or</w:t>
      </w:r>
    </w:p>
    <w:p>
      <w:pPr>
        <w:pStyle w:val="Indenta"/>
      </w:pPr>
      <w:r>
        <w:tab/>
        <w:t>(b)</w:t>
      </w:r>
      <w:r>
        <w:tab/>
        <w:t>were commenced, but not completed, before validation day.</w:t>
      </w:r>
    </w:p>
    <w:p>
      <w:pPr>
        <w:pStyle w:val="Footnotesection"/>
      </w:pPr>
      <w:r>
        <w:tab/>
        <w:t>[Section 12B inserted: No. 3 of 2025 s. 12.]</w:t>
      </w:r>
    </w:p>
    <w:p>
      <w:pPr>
        <w:pStyle w:val="Ednotepart"/>
      </w:pPr>
      <w:r>
        <w:t>[Part II deleted: No. 37 of 2000 s. 22.]</w:t>
      </w:r>
    </w:p>
    <w:p>
      <w:pPr>
        <w:rPr>
          <w:rStyle w:val="CharDivText"/>
        </w:rPr>
        <w:sectPr>
          <w:headerReference w:type="even" r:id="rId20"/>
          <w:headerReference w:type="default" r:id="rId21"/>
          <w:headerReference w:type="first" r:id="rId22"/>
          <w:pgSz w:w="11907" w:h="16840" w:code="9"/>
          <w:pgMar w:top="2376" w:right="2405" w:bottom="3542" w:left="2405" w:header="706" w:footer="3544" w:gutter="0"/>
          <w:pgNumType w:start="1"/>
          <w:cols w:space="720"/>
          <w:noEndnote/>
          <w:titlePg/>
          <w:docGrid w:linePitch="326"/>
        </w:sectPr>
      </w:pPr>
    </w:p>
    <w:p>
      <w:pPr>
        <w:pStyle w:val="yScheduleHeading"/>
      </w:pPr>
      <w:bookmarkStart w:id="83" w:name="_Toc201216065"/>
      <w:bookmarkStart w:id="84" w:name="_Toc201218184"/>
      <w:bookmarkStart w:id="85" w:name="_Toc201220335"/>
      <w:r>
        <w:rPr>
          <w:rStyle w:val="CharSchNo"/>
        </w:rPr>
        <w:lastRenderedPageBreak/>
        <w:t>Schedule 1</w:t>
      </w:r>
      <w:r>
        <w:t> — </w:t>
      </w:r>
      <w:r>
        <w:rPr>
          <w:rStyle w:val="CharSchText"/>
        </w:rPr>
        <w:t>Offences</w:t>
      </w:r>
      <w:bookmarkEnd w:id="83"/>
      <w:bookmarkEnd w:id="84"/>
      <w:bookmarkEnd w:id="85"/>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 xml:space="preserve">[Schedule 1 inserted: No. 45 of 1995 s. 5.] </w:t>
      </w:r>
    </w:p>
    <w:p>
      <w:pPr>
        <w:pStyle w:val="yScheduleHeading"/>
      </w:pPr>
      <w:bookmarkStart w:id="86" w:name="_Toc201216066"/>
      <w:bookmarkStart w:id="87" w:name="_Toc201218185"/>
      <w:bookmarkStart w:id="88" w:name="_Toc201220336"/>
      <w:r>
        <w:rPr>
          <w:rStyle w:val="CharSchNo"/>
        </w:rPr>
        <w:lastRenderedPageBreak/>
        <w:t>Schedule 2</w:t>
      </w:r>
      <w:r>
        <w:t> — </w:t>
      </w:r>
      <w:r>
        <w:rPr>
          <w:rStyle w:val="CharSchText"/>
        </w:rPr>
        <w:t>Entities that may be prescribed as Government entities and their executive officers</w:t>
      </w:r>
      <w:bookmarkEnd w:id="86"/>
      <w:bookmarkEnd w:id="87"/>
      <w:bookmarkEnd w:id="88"/>
    </w:p>
    <w:p>
      <w:pPr>
        <w:pStyle w:val="yShoulderClause"/>
        <w:spacing w:after="120"/>
      </w:pPr>
      <w:r>
        <w:t>[s. 7BA, 7C and 7D]</w:t>
      </w:r>
    </w:p>
    <w:p>
      <w:pPr>
        <w:pStyle w:val="yFootnoteheading"/>
        <w:spacing w:after="60"/>
      </w:pPr>
      <w:r>
        <w:tab/>
        <w:t>[Heading inserted: No. 46 of 2016 s. 9; amended: No. 13 of 2023 s. 253.]</w:t>
      </w:r>
    </w:p>
    <w:tbl>
      <w:tblPr>
        <w:tblW w:w="6544"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58"/>
      </w:tblGrid>
      <w:tr>
        <w:trPr>
          <w:tblHeader/>
        </w:trPr>
        <w:tc>
          <w:tcPr>
            <w:tcW w:w="3186" w:type="dxa"/>
          </w:tcPr>
          <w:p>
            <w:pPr>
              <w:pStyle w:val="yTableNAm"/>
              <w:jc w:val="center"/>
            </w:pPr>
            <w:r>
              <w:rPr>
                <w:b/>
              </w:rPr>
              <w:t>Column 1: entities</w:t>
            </w:r>
          </w:p>
        </w:tc>
        <w:tc>
          <w:tcPr>
            <w:tcW w:w="3358" w:type="dxa"/>
          </w:tcPr>
          <w:p>
            <w:pPr>
              <w:pStyle w:val="yTableNAm"/>
              <w:jc w:val="center"/>
            </w:pPr>
            <w:r>
              <w:rPr>
                <w:b/>
              </w:rPr>
              <w:t>Column 2: executive officers</w:t>
            </w:r>
          </w:p>
        </w:tc>
      </w:tr>
      <w:tr>
        <w:trPr>
          <w:cantSplit/>
        </w:trPr>
        <w:tc>
          <w:tcPr>
            <w:tcW w:w="3186" w:type="dxa"/>
            <w:tcBorders>
              <w:bottom w:val="nil"/>
            </w:tcBorders>
            <w:shd w:val="clear" w:color="auto" w:fill="auto"/>
            <w:noWrap/>
          </w:tcPr>
          <w:p>
            <w:pPr>
              <w:pStyle w:val="yTableNAm"/>
            </w:pPr>
            <w:r>
              <w:t>A GTE.</w:t>
            </w:r>
          </w:p>
        </w:tc>
        <w:tc>
          <w:tcPr>
            <w:tcW w:w="3358" w:type="dxa"/>
            <w:tcBorders>
              <w:bottom w:val="nil"/>
            </w:tcBorders>
            <w:shd w:val="clear" w:color="auto" w:fill="auto"/>
            <w:noWrap/>
          </w:tcPr>
          <w:p>
            <w:pPr>
              <w:pStyle w:val="yTableNAm"/>
              <w:tabs>
                <w:tab w:val="clear" w:pos="567"/>
              </w:tabs>
              <w:ind w:left="406" w:hanging="406"/>
            </w:pPr>
            <w:r>
              <w:t>1.</w:t>
            </w:r>
            <w:r>
              <w:tab/>
              <w:t>A person appointed as a director of the GTE.</w:t>
            </w:r>
          </w:p>
        </w:tc>
      </w:tr>
      <w:tr>
        <w:trPr>
          <w:cantSplit/>
        </w:trPr>
        <w:tc>
          <w:tcPr>
            <w:tcW w:w="3186" w:type="dxa"/>
            <w:tcBorders>
              <w:top w:val="nil"/>
              <w:bottom w:val="nil"/>
            </w:tcBorders>
            <w:shd w:val="clear" w:color="auto" w:fill="auto"/>
            <w:noWrap/>
          </w:tcPr>
          <w:p>
            <w:pPr>
              <w:pStyle w:val="yTableNAm"/>
            </w:pPr>
          </w:p>
        </w:tc>
        <w:tc>
          <w:tcPr>
            <w:tcW w:w="3358" w:type="dxa"/>
            <w:tcBorders>
              <w:top w:val="nil"/>
              <w:bottom w:val="nil"/>
            </w:tcBorders>
            <w:shd w:val="clear" w:color="auto" w:fill="auto"/>
            <w:noWrap/>
          </w:tcPr>
          <w:p>
            <w:pPr>
              <w:pStyle w:val="yTableNAm"/>
              <w:tabs>
                <w:tab w:val="clear" w:pos="567"/>
              </w:tabs>
              <w:ind w:left="406" w:hanging="406"/>
            </w:pPr>
            <w:r>
              <w:t>2.</w:t>
            </w:r>
            <w:r>
              <w:tab/>
              <w:t>The person appointed as the chief executive officer of the GTE.</w:t>
            </w:r>
          </w:p>
        </w:tc>
      </w:tr>
      <w:tr>
        <w:trPr>
          <w:cantSplit/>
        </w:trPr>
        <w:tc>
          <w:tcPr>
            <w:tcW w:w="3186" w:type="dxa"/>
            <w:tcBorders>
              <w:top w:val="nil"/>
              <w:bottom w:val="single" w:sz="4" w:space="0" w:color="auto"/>
            </w:tcBorders>
            <w:shd w:val="clear" w:color="auto" w:fill="auto"/>
            <w:noWrap/>
          </w:tcPr>
          <w:p>
            <w:pPr>
              <w:pStyle w:val="yTableNAm"/>
            </w:pPr>
          </w:p>
        </w:tc>
        <w:tc>
          <w:tcPr>
            <w:tcW w:w="3358" w:type="dxa"/>
            <w:tcBorders>
              <w:top w:val="nil"/>
              <w:bottom w:val="single" w:sz="4" w:space="0" w:color="auto"/>
            </w:tcBorders>
            <w:shd w:val="clear" w:color="auto" w:fill="auto"/>
            <w:noWrap/>
          </w:tcPr>
          <w:p>
            <w:pPr>
              <w:pStyle w:val="yTableNAm"/>
              <w:tabs>
                <w:tab w:val="clear" w:pos="567"/>
              </w:tabs>
              <w:ind w:left="406" w:hanging="406"/>
            </w:pPr>
            <w:r>
              <w:t>3.</w:t>
            </w:r>
            <w:r>
              <w:tab/>
              <w:t>A person appointed to act in place of the chief executive officer of the GTE.</w:t>
            </w:r>
          </w:p>
        </w:tc>
      </w:tr>
      <w:tr>
        <w:trPr>
          <w:cantSplit/>
          <w:trHeight w:val="1628"/>
        </w:trPr>
        <w:tc>
          <w:tcPr>
            <w:tcW w:w="3186" w:type="dxa"/>
            <w:tcBorders>
              <w:top w:val="single" w:sz="4" w:space="0" w:color="auto"/>
            </w:tcBorders>
            <w:shd w:val="clear" w:color="auto" w:fill="auto"/>
            <w:noWrap/>
          </w:tcPr>
          <w:p>
            <w:pPr>
              <w:pStyle w:val="yTableNAm"/>
            </w:pPr>
            <w:r>
              <w:t>A wholly</w:t>
            </w:r>
            <w:r>
              <w:noBreakHyphen/>
              <w:t xml:space="preserve">owned subsidiary (as defined in the </w:t>
            </w:r>
            <w:r>
              <w:rPr>
                <w:i/>
              </w:rPr>
              <w:t xml:space="preserve">Government Trading Enterprises Act 2023 </w:t>
            </w:r>
            <w:r>
              <w:t>section 117).</w:t>
            </w:r>
          </w:p>
        </w:tc>
        <w:tc>
          <w:tcPr>
            <w:tcW w:w="3358" w:type="dxa"/>
            <w:tcBorders>
              <w:top w:val="single" w:sz="4" w:space="0" w:color="auto"/>
            </w:tcBorders>
            <w:shd w:val="clear" w:color="auto" w:fill="auto"/>
            <w:noWrap/>
          </w:tcPr>
          <w:p>
            <w:pPr>
              <w:pStyle w:val="yTableNAm"/>
              <w:tabs>
                <w:tab w:val="clear" w:pos="567"/>
              </w:tabs>
              <w:ind w:left="406" w:hanging="406"/>
            </w:pPr>
            <w:r>
              <w:t>1.</w:t>
            </w:r>
            <w:r>
              <w:tab/>
              <w:t>A person appointed as a director of the subsidiary.</w:t>
            </w:r>
          </w:p>
          <w:p>
            <w:pPr>
              <w:pStyle w:val="yTableNAm"/>
              <w:spacing w:before="240"/>
              <w:ind w:left="408" w:hanging="408"/>
            </w:pPr>
            <w:r>
              <w:t>2.</w:t>
            </w:r>
            <w:r>
              <w:tab/>
              <w:t>The person appointed as the chief executive officer (however described) of the subsidiary.</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lastRenderedPageBreak/>
              <w:t xml:space="preserve">GoldCorp as defined in the </w:t>
            </w:r>
            <w:r>
              <w:rPr>
                <w:i/>
              </w:rPr>
              <w:t xml:space="preserve">Gold Corporation Act 1987 </w:t>
            </w:r>
            <w:r>
              <w:t>section 3(1).</w:t>
            </w:r>
          </w:p>
        </w:tc>
        <w:tc>
          <w:tcPr>
            <w:tcW w:w="3358"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58"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lastRenderedPageBreak/>
              <w:t xml:space="preserve">The Corporation as defined in the </w:t>
            </w:r>
            <w:r>
              <w:rPr>
                <w:i/>
              </w:rPr>
              <w:t>Western Australian Treasury Corporation Act 1986</w:t>
            </w:r>
            <w:r>
              <w:t xml:space="preserve"> section 3(1).</w:t>
            </w:r>
          </w:p>
        </w:tc>
        <w:tc>
          <w:tcPr>
            <w:tcW w:w="3358"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58"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 No. 46 of 2016 s. 9; amended: No. 13 of 2023 s. 253.]</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4"/>
          <w:headerReference w:type="default" r:id="rId25"/>
          <w:headerReference w:type="first" r:id="rId26"/>
          <w:pgSz w:w="11907" w:h="16840" w:code="9"/>
          <w:pgMar w:top="2376" w:right="2405" w:bottom="3542" w:left="2405" w:header="706" w:footer="3544" w:gutter="0"/>
          <w:cols w:space="720"/>
          <w:noEndnote/>
          <w:docGrid w:linePitch="326"/>
        </w:sectPr>
      </w:pPr>
    </w:p>
    <w:p>
      <w:pPr>
        <w:pStyle w:val="nHeading2"/>
      </w:pPr>
      <w:bookmarkStart w:id="90" w:name="_Toc201216067"/>
      <w:bookmarkStart w:id="91" w:name="_Toc201218186"/>
      <w:bookmarkStart w:id="92" w:name="_Toc201220337"/>
      <w:r>
        <w:lastRenderedPageBreak/>
        <w:t>Notes</w:t>
      </w:r>
      <w:bookmarkEnd w:id="90"/>
      <w:bookmarkEnd w:id="91"/>
      <w:bookmarkEnd w:id="92"/>
    </w:p>
    <w:p>
      <w:pPr>
        <w:pStyle w:val="nStatement"/>
      </w:pPr>
      <w:r>
        <w:t xml:space="preserve">This is a compilation of the </w:t>
      </w:r>
      <w:r>
        <w:rPr>
          <w:i/>
          <w:noProof/>
        </w:rPr>
        <w:t>Salaries and Allowances Act 1975</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93" w:name="_Toc201220338"/>
      <w:r>
        <w:t>Compilation table</w:t>
      </w:r>
      <w:bookmarkEnd w:id="93"/>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70"/>
              <w:rPr>
                <w:vertAlign w:val="superscript"/>
              </w:rPr>
            </w:pPr>
            <w:r>
              <w:rPr>
                <w:i/>
              </w:rPr>
              <w:t>Salaries and Allowances Tribunal Act 1975</w:t>
            </w:r>
            <w:r>
              <w:rPr>
                <w:vertAlign w:val="superscript"/>
              </w:rPr>
              <w:t> 3</w:t>
            </w:r>
          </w:p>
        </w:tc>
        <w:tc>
          <w:tcPr>
            <w:tcW w:w="1134" w:type="dxa"/>
            <w:tcBorders>
              <w:top w:val="single" w:sz="8" w:space="0" w:color="auto"/>
            </w:tcBorders>
          </w:tcPr>
          <w:p>
            <w:pPr>
              <w:pStyle w:val="nTable"/>
              <w:spacing w:after="40"/>
            </w:pPr>
            <w:r>
              <w:t>27 of 1975</w:t>
            </w:r>
          </w:p>
        </w:tc>
        <w:tc>
          <w:tcPr>
            <w:tcW w:w="1134" w:type="dxa"/>
            <w:tcBorders>
              <w:top w:val="single" w:sz="8" w:space="0" w:color="auto"/>
            </w:tcBorders>
          </w:tcPr>
          <w:p>
            <w:pPr>
              <w:pStyle w:val="nTable"/>
              <w:spacing w:after="40"/>
            </w:pPr>
            <w:r>
              <w:t>16 May 1975</w:t>
            </w:r>
          </w:p>
        </w:tc>
        <w:tc>
          <w:tcPr>
            <w:tcW w:w="2552" w:type="dxa"/>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cantSplit/>
        </w:trPr>
        <w:tc>
          <w:tcPr>
            <w:tcW w:w="2268" w:type="dxa"/>
          </w:tcPr>
          <w:p>
            <w:pPr>
              <w:pStyle w:val="nTable"/>
              <w:spacing w:after="40"/>
              <w:ind w:right="170"/>
            </w:pPr>
            <w:r>
              <w:rPr>
                <w:i/>
              </w:rPr>
              <w:t>Salaries and Allowances Tribunal Act Amendment Act 1975</w:t>
            </w:r>
          </w:p>
        </w:tc>
        <w:tc>
          <w:tcPr>
            <w:tcW w:w="1134" w:type="dxa"/>
          </w:tcPr>
          <w:p>
            <w:pPr>
              <w:pStyle w:val="nTable"/>
              <w:spacing w:after="40"/>
            </w:pPr>
            <w:r>
              <w:t>89 of 1975</w:t>
            </w:r>
          </w:p>
        </w:tc>
        <w:tc>
          <w:tcPr>
            <w:tcW w:w="1134" w:type="dxa"/>
          </w:tcPr>
          <w:p>
            <w:pPr>
              <w:pStyle w:val="nTable"/>
              <w:spacing w:after="40"/>
            </w:pPr>
            <w:r>
              <w:t>20 Nov 1975</w:t>
            </w:r>
          </w:p>
        </w:tc>
        <w:tc>
          <w:tcPr>
            <w:tcW w:w="2552" w:type="dxa"/>
          </w:tcPr>
          <w:p>
            <w:pPr>
              <w:pStyle w:val="nTable"/>
              <w:spacing w:after="40"/>
            </w:pPr>
            <w:r>
              <w:t>19 Sep 1975 (see s. 2)</w:t>
            </w:r>
          </w:p>
        </w:tc>
      </w:tr>
      <w:tr>
        <w:trPr>
          <w:cantSplit/>
        </w:trPr>
        <w:tc>
          <w:tcPr>
            <w:tcW w:w="2268" w:type="dxa"/>
          </w:tcPr>
          <w:p>
            <w:pPr>
              <w:pStyle w:val="nTable"/>
              <w:spacing w:after="40"/>
              <w:ind w:right="170"/>
            </w:pPr>
            <w:r>
              <w:rPr>
                <w:i/>
              </w:rPr>
              <w:t>Salaries and Allowances Tribunal Act Amendment Act 1978</w:t>
            </w:r>
          </w:p>
        </w:tc>
        <w:tc>
          <w:tcPr>
            <w:tcW w:w="1134" w:type="dxa"/>
          </w:tcPr>
          <w:p>
            <w:pPr>
              <w:pStyle w:val="nTable"/>
              <w:spacing w:after="40"/>
            </w:pPr>
            <w:r>
              <w:t>63 of 1978</w:t>
            </w:r>
          </w:p>
        </w:tc>
        <w:tc>
          <w:tcPr>
            <w:tcW w:w="1134" w:type="dxa"/>
          </w:tcPr>
          <w:p>
            <w:pPr>
              <w:pStyle w:val="nTable"/>
              <w:spacing w:after="40"/>
            </w:pPr>
            <w:r>
              <w:t>22 Sep 1978</w:t>
            </w:r>
          </w:p>
        </w:tc>
        <w:tc>
          <w:tcPr>
            <w:tcW w:w="2552" w:type="dxa"/>
          </w:tcPr>
          <w:p>
            <w:pPr>
              <w:pStyle w:val="nTable"/>
              <w:spacing w:after="40"/>
            </w:pPr>
            <w:r>
              <w:t>22 Sep 1978</w:t>
            </w:r>
          </w:p>
        </w:tc>
      </w:tr>
      <w:tr>
        <w:trPr>
          <w:cantSplit/>
        </w:trPr>
        <w:tc>
          <w:tcPr>
            <w:tcW w:w="2268" w:type="dxa"/>
          </w:tcPr>
          <w:p>
            <w:pPr>
              <w:pStyle w:val="nTable"/>
              <w:spacing w:after="40"/>
              <w:ind w:right="170"/>
            </w:pPr>
            <w:r>
              <w:rPr>
                <w:i/>
              </w:rPr>
              <w:t>Salaries and Allowances Tribunal Act Amendment Act 1979</w:t>
            </w:r>
          </w:p>
        </w:tc>
        <w:tc>
          <w:tcPr>
            <w:tcW w:w="1134" w:type="dxa"/>
          </w:tcPr>
          <w:p>
            <w:pPr>
              <w:pStyle w:val="nTable"/>
              <w:spacing w:after="40"/>
            </w:pPr>
            <w:r>
              <w:t>33 of 1979</w:t>
            </w:r>
          </w:p>
        </w:tc>
        <w:tc>
          <w:tcPr>
            <w:tcW w:w="1134" w:type="dxa"/>
          </w:tcPr>
          <w:p>
            <w:pPr>
              <w:pStyle w:val="nTable"/>
              <w:spacing w:after="40"/>
            </w:pPr>
            <w:r>
              <w:t>11 Oct 1979</w:t>
            </w:r>
          </w:p>
        </w:tc>
        <w:tc>
          <w:tcPr>
            <w:tcW w:w="2552" w:type="dxa"/>
          </w:tcPr>
          <w:p>
            <w:pPr>
              <w:pStyle w:val="nTable"/>
              <w:spacing w:after="40"/>
            </w:pPr>
            <w:r>
              <w:t>11 Oct 1979</w:t>
            </w:r>
          </w:p>
        </w:tc>
      </w:tr>
      <w:tr>
        <w:trPr>
          <w:cantSplit/>
        </w:trPr>
        <w:tc>
          <w:tcPr>
            <w:tcW w:w="2268" w:type="dxa"/>
          </w:tcPr>
          <w:p>
            <w:pPr>
              <w:pStyle w:val="nTable"/>
              <w:spacing w:after="40"/>
              <w:ind w:right="170"/>
            </w:pPr>
            <w:r>
              <w:rPr>
                <w:i/>
              </w:rPr>
              <w:t>Salaries and Allowances Tribunal Amendment Act 1980</w:t>
            </w:r>
          </w:p>
        </w:tc>
        <w:tc>
          <w:tcPr>
            <w:tcW w:w="1134" w:type="dxa"/>
          </w:tcPr>
          <w:p>
            <w:pPr>
              <w:pStyle w:val="nTable"/>
              <w:spacing w:after="40"/>
            </w:pPr>
            <w:r>
              <w:t>34 of 1980</w:t>
            </w:r>
          </w:p>
        </w:tc>
        <w:tc>
          <w:tcPr>
            <w:tcW w:w="1134" w:type="dxa"/>
          </w:tcPr>
          <w:p>
            <w:pPr>
              <w:pStyle w:val="nTable"/>
              <w:spacing w:after="40"/>
            </w:pPr>
            <w:r>
              <w:t>5 Nov 1980</w:t>
            </w:r>
          </w:p>
        </w:tc>
        <w:tc>
          <w:tcPr>
            <w:tcW w:w="2552" w:type="dxa"/>
          </w:tcPr>
          <w:p>
            <w:pPr>
              <w:pStyle w:val="nTable"/>
              <w:spacing w:after="40"/>
            </w:pPr>
            <w:r>
              <w:t>5 Nov 1980</w:t>
            </w:r>
          </w:p>
        </w:tc>
      </w:tr>
      <w:tr>
        <w:trPr>
          <w:cantSplit/>
        </w:trPr>
        <w:tc>
          <w:tcPr>
            <w:tcW w:w="2268" w:type="dxa"/>
          </w:tcPr>
          <w:p>
            <w:pPr>
              <w:pStyle w:val="nTable"/>
              <w:spacing w:after="40"/>
              <w:ind w:right="170"/>
            </w:pPr>
            <w:r>
              <w:rPr>
                <w:i/>
              </w:rPr>
              <w:t>Acts Amendment and Repeal (Disqualification for Parliament) Act 1984</w:t>
            </w:r>
            <w:r>
              <w:t xml:space="preserve"> Pt. X</w:t>
            </w:r>
          </w:p>
        </w:tc>
        <w:tc>
          <w:tcPr>
            <w:tcW w:w="1134" w:type="dxa"/>
          </w:tcPr>
          <w:p>
            <w:pPr>
              <w:pStyle w:val="nTable"/>
              <w:spacing w:after="40"/>
            </w:pPr>
            <w:r>
              <w:t>78 of 1984</w:t>
            </w:r>
          </w:p>
        </w:tc>
        <w:tc>
          <w:tcPr>
            <w:tcW w:w="1134" w:type="dxa"/>
          </w:tcPr>
          <w:p>
            <w:pPr>
              <w:pStyle w:val="nTable"/>
              <w:spacing w:after="40"/>
            </w:pPr>
            <w:r>
              <w:t>14 Nov 1984</w:t>
            </w:r>
          </w:p>
        </w:tc>
        <w:tc>
          <w:tcPr>
            <w:tcW w:w="2552" w:type="dxa"/>
          </w:tcPr>
          <w:p>
            <w:pPr>
              <w:pStyle w:val="nTable"/>
              <w:spacing w:after="40"/>
            </w:pPr>
            <w:r>
              <w:t>1 Jul 1985 (see s. 2 and </w:t>
            </w:r>
            <w:r>
              <w:rPr>
                <w:i/>
              </w:rPr>
              <w:t>Gazette</w:t>
            </w:r>
            <w:r>
              <w:t xml:space="preserve"> 17 May 1985 p. 1671)</w:t>
            </w:r>
          </w:p>
        </w:tc>
      </w:tr>
      <w:tr>
        <w:trPr>
          <w:cantSplit/>
        </w:trPr>
        <w:tc>
          <w:tcPr>
            <w:tcW w:w="2268" w:type="dxa"/>
          </w:tcPr>
          <w:p>
            <w:pPr>
              <w:pStyle w:val="nTable"/>
              <w:spacing w:after="40"/>
              <w:ind w:right="170"/>
            </w:pPr>
            <w:r>
              <w:rPr>
                <w:i/>
              </w:rPr>
              <w:t>Salaries and Allowances Amendment Act 1986</w:t>
            </w:r>
          </w:p>
        </w:tc>
        <w:tc>
          <w:tcPr>
            <w:tcW w:w="1134" w:type="dxa"/>
          </w:tcPr>
          <w:p>
            <w:pPr>
              <w:pStyle w:val="nTable"/>
              <w:keepNext/>
              <w:spacing w:after="40"/>
            </w:pPr>
            <w:r>
              <w:t>34 of 1986</w:t>
            </w:r>
          </w:p>
        </w:tc>
        <w:tc>
          <w:tcPr>
            <w:tcW w:w="1134" w:type="dxa"/>
          </w:tcPr>
          <w:p>
            <w:pPr>
              <w:pStyle w:val="nTable"/>
              <w:keepNext/>
              <w:spacing w:after="40"/>
            </w:pPr>
            <w:r>
              <w:t>1 Aug 1986</w:t>
            </w:r>
          </w:p>
        </w:tc>
        <w:tc>
          <w:tcPr>
            <w:tcW w:w="2552" w:type="dxa"/>
          </w:tcPr>
          <w:p>
            <w:pPr>
              <w:pStyle w:val="nTable"/>
              <w:keepNext/>
              <w:spacing w:after="40"/>
            </w:pPr>
            <w:r>
              <w:t>1 Aug 1986 (see s. 2)</w:t>
            </w:r>
          </w:p>
        </w:tc>
      </w:tr>
      <w:tr>
        <w:trPr>
          <w:cantSplit/>
        </w:trPr>
        <w:tc>
          <w:tcPr>
            <w:tcW w:w="2268" w:type="dxa"/>
          </w:tcPr>
          <w:p>
            <w:pPr>
              <w:pStyle w:val="nTable"/>
              <w:spacing w:after="40"/>
              <w:ind w:right="170"/>
            </w:pPr>
            <w:r>
              <w:rPr>
                <w:i/>
              </w:rPr>
              <w:t>Acts Amendment (Parliamentary Superannuation) Act 1986</w:t>
            </w:r>
            <w:r>
              <w:t xml:space="preserve"> Pt. II</w:t>
            </w:r>
          </w:p>
        </w:tc>
        <w:tc>
          <w:tcPr>
            <w:tcW w:w="1134" w:type="dxa"/>
          </w:tcPr>
          <w:p>
            <w:pPr>
              <w:pStyle w:val="nTable"/>
              <w:keepNext/>
              <w:spacing w:after="40"/>
            </w:pPr>
            <w:r>
              <w:t>58 of 1986</w:t>
            </w:r>
          </w:p>
        </w:tc>
        <w:tc>
          <w:tcPr>
            <w:tcW w:w="1134" w:type="dxa"/>
          </w:tcPr>
          <w:p>
            <w:pPr>
              <w:pStyle w:val="nTable"/>
              <w:spacing w:after="40"/>
            </w:pPr>
            <w:r>
              <w:t>26 Nov 1986</w:t>
            </w:r>
          </w:p>
        </w:tc>
        <w:tc>
          <w:tcPr>
            <w:tcW w:w="2552" w:type="dxa"/>
          </w:tcPr>
          <w:p>
            <w:pPr>
              <w:pStyle w:val="nTable"/>
              <w:spacing w:after="40"/>
            </w:pPr>
            <w:r>
              <w:t>24 Dec 1986</w:t>
            </w:r>
          </w:p>
        </w:tc>
      </w:tr>
      <w:tr>
        <w:trPr>
          <w:cantSplit/>
        </w:trPr>
        <w:tc>
          <w:tcPr>
            <w:tcW w:w="2268" w:type="dxa"/>
          </w:tcPr>
          <w:p>
            <w:pPr>
              <w:pStyle w:val="nTable"/>
              <w:spacing w:after="40"/>
              <w:ind w:right="170"/>
            </w:pPr>
            <w:r>
              <w:rPr>
                <w:i/>
              </w:rPr>
              <w:t>Salaries and Allowances Amendment Act 1987</w:t>
            </w:r>
          </w:p>
        </w:tc>
        <w:tc>
          <w:tcPr>
            <w:tcW w:w="1134" w:type="dxa"/>
          </w:tcPr>
          <w:p>
            <w:pPr>
              <w:pStyle w:val="nTable"/>
              <w:spacing w:after="40"/>
            </w:pPr>
            <w:r>
              <w:t>13 of 1987</w:t>
            </w:r>
          </w:p>
        </w:tc>
        <w:tc>
          <w:tcPr>
            <w:tcW w:w="1134" w:type="dxa"/>
          </w:tcPr>
          <w:p>
            <w:pPr>
              <w:pStyle w:val="nTable"/>
              <w:spacing w:after="40"/>
            </w:pPr>
            <w:r>
              <w:t>25 Jun 1987</w:t>
            </w:r>
          </w:p>
        </w:tc>
        <w:tc>
          <w:tcPr>
            <w:tcW w:w="2552" w:type="dxa"/>
          </w:tcPr>
          <w:p>
            <w:pPr>
              <w:pStyle w:val="nTable"/>
              <w:spacing w:after="40"/>
            </w:pPr>
            <w:r>
              <w:t>25 Jun 1987 (see s. 2)</w:t>
            </w:r>
          </w:p>
        </w:tc>
      </w:tr>
      <w:tr>
        <w:trPr>
          <w:cantSplit/>
        </w:trPr>
        <w:tc>
          <w:tcPr>
            <w:tcW w:w="2268" w:type="dxa"/>
          </w:tcPr>
          <w:p>
            <w:pPr>
              <w:pStyle w:val="nTable"/>
              <w:spacing w:after="40"/>
              <w:ind w:right="170"/>
            </w:pPr>
            <w:r>
              <w:rPr>
                <w:i/>
              </w:rPr>
              <w:lastRenderedPageBreak/>
              <w:t>Acts Amendment (Electoral Reform) Act 1987</w:t>
            </w:r>
            <w:r>
              <w:t xml:space="preserve"> Pt. VII</w:t>
            </w:r>
          </w:p>
        </w:tc>
        <w:tc>
          <w:tcPr>
            <w:tcW w:w="1134" w:type="dxa"/>
          </w:tcPr>
          <w:p>
            <w:pPr>
              <w:pStyle w:val="nTable"/>
              <w:spacing w:after="40"/>
            </w:pPr>
            <w:r>
              <w:t>40 of 1987</w:t>
            </w:r>
          </w:p>
        </w:tc>
        <w:tc>
          <w:tcPr>
            <w:tcW w:w="1134" w:type="dxa"/>
          </w:tcPr>
          <w:p>
            <w:pPr>
              <w:pStyle w:val="nTable"/>
              <w:spacing w:after="40"/>
            </w:pPr>
            <w:r>
              <w:t>12 Jul 1987</w:t>
            </w:r>
          </w:p>
        </w:tc>
        <w:tc>
          <w:tcPr>
            <w:tcW w:w="2552"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Acts Amendment (Parliamentary Superannuation) Act 1987</w:t>
            </w:r>
            <w:r>
              <w:t xml:space="preserve"> Pt. II</w:t>
            </w:r>
          </w:p>
        </w:tc>
        <w:tc>
          <w:tcPr>
            <w:tcW w:w="1134" w:type="dxa"/>
          </w:tcPr>
          <w:p>
            <w:pPr>
              <w:pStyle w:val="nTable"/>
              <w:spacing w:after="40"/>
            </w:pPr>
            <w:r>
              <w:t>103 of 1987</w:t>
            </w:r>
          </w:p>
        </w:tc>
        <w:tc>
          <w:tcPr>
            <w:tcW w:w="1134" w:type="dxa"/>
          </w:tcPr>
          <w:p>
            <w:pPr>
              <w:pStyle w:val="nTable"/>
              <w:spacing w:after="40"/>
            </w:pPr>
            <w:r>
              <w:t>16 Dec 1987</w:t>
            </w:r>
          </w:p>
        </w:tc>
        <w:tc>
          <w:tcPr>
            <w:tcW w:w="2552" w:type="dxa"/>
          </w:tcPr>
          <w:p>
            <w:pPr>
              <w:pStyle w:val="nTable"/>
              <w:spacing w:after="40"/>
            </w:pPr>
            <w:r>
              <w:t>16 Dec 1987 (see s. 2)</w:t>
            </w:r>
          </w:p>
        </w:tc>
      </w:tr>
      <w:tr>
        <w:trPr>
          <w:cantSplit/>
        </w:trPr>
        <w:tc>
          <w:tcPr>
            <w:tcW w:w="2268" w:type="dxa"/>
          </w:tcPr>
          <w:p>
            <w:pPr>
              <w:pStyle w:val="nTable"/>
              <w:spacing w:after="40"/>
              <w:ind w:right="170"/>
            </w:pPr>
            <w:r>
              <w:rPr>
                <w:i/>
              </w:rPr>
              <w:t>Acts Amendment (Parliamentary Superannuation) and Transitional Arrangements Act 1988</w:t>
            </w:r>
            <w:r>
              <w:t xml:space="preserve"> Pt. 2</w:t>
            </w:r>
          </w:p>
        </w:tc>
        <w:tc>
          <w:tcPr>
            <w:tcW w:w="1134" w:type="dxa"/>
          </w:tcPr>
          <w:p>
            <w:pPr>
              <w:pStyle w:val="nTable"/>
              <w:spacing w:after="40"/>
            </w:pPr>
            <w:r>
              <w:t>6 of 1988</w:t>
            </w:r>
          </w:p>
        </w:tc>
        <w:tc>
          <w:tcPr>
            <w:tcW w:w="1134" w:type="dxa"/>
          </w:tcPr>
          <w:p>
            <w:pPr>
              <w:pStyle w:val="nTable"/>
              <w:spacing w:after="40"/>
            </w:pPr>
            <w:r>
              <w:t>30 Jun 1988</w:t>
            </w:r>
          </w:p>
        </w:tc>
        <w:tc>
          <w:tcPr>
            <w:tcW w:w="2552" w:type="dxa"/>
          </w:tcPr>
          <w:p>
            <w:pPr>
              <w:pStyle w:val="nTable"/>
              <w:spacing w:after="40"/>
            </w:pPr>
            <w:r>
              <w:t>30 Jun 1988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cantSplit/>
        </w:trPr>
        <w:tc>
          <w:tcPr>
            <w:tcW w:w="2268" w:type="dxa"/>
          </w:tcPr>
          <w:p>
            <w:pPr>
              <w:pStyle w:val="nTable"/>
              <w:spacing w:after="40"/>
              <w:ind w:right="170"/>
            </w:pPr>
            <w:r>
              <w:rPr>
                <w:i/>
              </w:rPr>
              <w:t>Acts Amendment (Remuneration of Governor) Act 1989</w:t>
            </w:r>
            <w:r>
              <w:t xml:space="preserve"> Pt. 3</w:t>
            </w:r>
          </w:p>
        </w:tc>
        <w:tc>
          <w:tcPr>
            <w:tcW w:w="1134" w:type="dxa"/>
          </w:tcPr>
          <w:p>
            <w:pPr>
              <w:pStyle w:val="nTable"/>
              <w:spacing w:after="40"/>
            </w:pPr>
            <w:r>
              <w:t>19 of 1989</w:t>
            </w:r>
          </w:p>
        </w:tc>
        <w:tc>
          <w:tcPr>
            <w:tcW w:w="1134" w:type="dxa"/>
          </w:tcPr>
          <w:p>
            <w:pPr>
              <w:pStyle w:val="nTable"/>
              <w:spacing w:after="40"/>
            </w:pPr>
            <w:r>
              <w:t>1 Dec 1989</w:t>
            </w:r>
          </w:p>
        </w:tc>
        <w:tc>
          <w:tcPr>
            <w:tcW w:w="2552" w:type="dxa"/>
          </w:tcPr>
          <w:p>
            <w:pPr>
              <w:pStyle w:val="nTable"/>
              <w:spacing w:after="40"/>
            </w:pPr>
            <w:r>
              <w:t>1 Dec 1989 (see s. 2(1))</w:t>
            </w:r>
          </w:p>
        </w:tc>
      </w:tr>
      <w:tr>
        <w:trPr>
          <w:cantSplit/>
        </w:trPr>
        <w:tc>
          <w:tcPr>
            <w:tcW w:w="2268" w:type="dxa"/>
          </w:tcPr>
          <w:p>
            <w:pPr>
              <w:pStyle w:val="nTable"/>
              <w:spacing w:after="40"/>
              <w:ind w:right="170"/>
            </w:pPr>
            <w:r>
              <w:rPr>
                <w:i/>
              </w:rPr>
              <w:t>Acts Amendment (Parliamentary Superannuation) Act 1989</w:t>
            </w:r>
            <w:r>
              <w:t xml:space="preserve"> Pt. 5</w:t>
            </w:r>
          </w:p>
        </w:tc>
        <w:tc>
          <w:tcPr>
            <w:tcW w:w="1134" w:type="dxa"/>
          </w:tcPr>
          <w:p>
            <w:pPr>
              <w:pStyle w:val="nTable"/>
              <w:spacing w:after="40"/>
            </w:pPr>
            <w:r>
              <w:t>31 of 1989</w:t>
            </w:r>
          </w:p>
        </w:tc>
        <w:tc>
          <w:tcPr>
            <w:tcW w:w="1134" w:type="dxa"/>
          </w:tcPr>
          <w:p>
            <w:pPr>
              <w:pStyle w:val="nTable"/>
              <w:spacing w:after="40"/>
            </w:pPr>
            <w:r>
              <w:t>15 Dec 1989</w:t>
            </w:r>
          </w:p>
        </w:tc>
        <w:tc>
          <w:tcPr>
            <w:tcW w:w="2552" w:type="dxa"/>
          </w:tcPr>
          <w:p>
            <w:pPr>
              <w:pStyle w:val="nTable"/>
              <w:spacing w:after="40"/>
            </w:pPr>
            <w:r>
              <w:t>15 Dec 1989 (see s. 2)</w:t>
            </w:r>
          </w:p>
        </w:tc>
      </w:tr>
      <w:tr>
        <w:trPr>
          <w:cantSplit/>
        </w:trPr>
        <w:tc>
          <w:tcPr>
            <w:tcW w:w="2268" w:type="dxa"/>
          </w:tcPr>
          <w:p>
            <w:pPr>
              <w:pStyle w:val="nTable"/>
              <w:spacing w:after="40"/>
              <w:ind w:right="170"/>
            </w:pPr>
            <w:r>
              <w:rPr>
                <w:i/>
              </w:rPr>
              <w:t>Acts Amendment (Parliamentary Secretaries) Act 1990</w:t>
            </w:r>
            <w:r>
              <w:t xml:space="preserve"> Pt. 3 </w:t>
            </w:r>
          </w:p>
        </w:tc>
        <w:tc>
          <w:tcPr>
            <w:tcW w:w="1134" w:type="dxa"/>
          </w:tcPr>
          <w:p>
            <w:pPr>
              <w:pStyle w:val="nTable"/>
              <w:keepNext/>
              <w:spacing w:after="40"/>
            </w:pPr>
            <w:r>
              <w:t>38 of 1990</w:t>
            </w:r>
          </w:p>
        </w:tc>
        <w:tc>
          <w:tcPr>
            <w:tcW w:w="1134" w:type="dxa"/>
          </w:tcPr>
          <w:p>
            <w:pPr>
              <w:pStyle w:val="nTable"/>
              <w:keepNext/>
              <w:spacing w:after="40"/>
            </w:pPr>
            <w:r>
              <w:t>8 Nov 1990</w:t>
            </w:r>
          </w:p>
        </w:tc>
        <w:tc>
          <w:tcPr>
            <w:tcW w:w="2552" w:type="dxa"/>
          </w:tcPr>
          <w:p>
            <w:pPr>
              <w:pStyle w:val="nTable"/>
              <w:keepNext/>
              <w:spacing w:after="40"/>
            </w:pPr>
            <w:r>
              <w:t>8 Nov 1990 (see s. 2)</w:t>
            </w:r>
          </w:p>
        </w:tc>
      </w:tr>
      <w:tr>
        <w:trPr>
          <w:cantSplit/>
        </w:trPr>
        <w:tc>
          <w:tcPr>
            <w:tcW w:w="2268" w:type="dxa"/>
          </w:tcPr>
          <w:p>
            <w:pPr>
              <w:pStyle w:val="nTable"/>
              <w:spacing w:after="40"/>
              <w:ind w:right="170"/>
            </w:pPr>
            <w:r>
              <w:rPr>
                <w:i/>
              </w:rPr>
              <w:t>Salaries and Allowances Amendment Act 1991</w:t>
            </w:r>
          </w:p>
        </w:tc>
        <w:tc>
          <w:tcPr>
            <w:tcW w:w="1134" w:type="dxa"/>
          </w:tcPr>
          <w:p>
            <w:pPr>
              <w:pStyle w:val="nTable"/>
              <w:spacing w:after="40"/>
            </w:pPr>
            <w:r>
              <w:t>49 of 1991</w:t>
            </w:r>
          </w:p>
        </w:tc>
        <w:tc>
          <w:tcPr>
            <w:tcW w:w="1134" w:type="dxa"/>
          </w:tcPr>
          <w:p>
            <w:pPr>
              <w:pStyle w:val="nTable"/>
              <w:spacing w:after="40"/>
            </w:pPr>
            <w:r>
              <w:t>17 Dec 1991</w:t>
            </w:r>
          </w:p>
        </w:tc>
        <w:tc>
          <w:tcPr>
            <w:tcW w:w="2552" w:type="dxa"/>
          </w:tcPr>
          <w:p>
            <w:pPr>
              <w:pStyle w:val="nTable"/>
              <w:spacing w:after="40"/>
            </w:pPr>
            <w:r>
              <w:t>17 Dec 1991 (see s. 2)</w:t>
            </w:r>
          </w:p>
        </w:tc>
      </w:tr>
      <w:tr>
        <w:trPr>
          <w:cantSplit/>
        </w:trPr>
        <w:tc>
          <w:tcPr>
            <w:tcW w:w="2268" w:type="dxa"/>
          </w:tcPr>
          <w:p>
            <w:pPr>
              <w:pStyle w:val="nTable"/>
              <w:spacing w:after="40"/>
              <w:ind w:right="170"/>
            </w:pPr>
            <w:r>
              <w:rPr>
                <w:i/>
              </w:rPr>
              <w:t>Salaries and Allowances Amendment Act 1992</w:t>
            </w:r>
          </w:p>
        </w:tc>
        <w:tc>
          <w:tcPr>
            <w:tcW w:w="1134" w:type="dxa"/>
          </w:tcPr>
          <w:p>
            <w:pPr>
              <w:pStyle w:val="nTable"/>
              <w:spacing w:after="40"/>
            </w:pPr>
            <w:r>
              <w:t>68 of 1992</w:t>
            </w:r>
          </w:p>
        </w:tc>
        <w:tc>
          <w:tcPr>
            <w:tcW w:w="1134" w:type="dxa"/>
          </w:tcPr>
          <w:p>
            <w:pPr>
              <w:pStyle w:val="nTable"/>
              <w:spacing w:after="40"/>
            </w:pPr>
            <w:r>
              <w:t>11 Dec 1992</w:t>
            </w:r>
          </w:p>
        </w:tc>
        <w:tc>
          <w:tcPr>
            <w:tcW w:w="2552" w:type="dxa"/>
          </w:tcPr>
          <w:p>
            <w:pPr>
              <w:pStyle w:val="nTable"/>
              <w:spacing w:after="40"/>
            </w:pPr>
            <w:r>
              <w:t>11 Dec 1992 (see s. 2)</w:t>
            </w:r>
          </w:p>
        </w:tc>
      </w:tr>
      <w:tr>
        <w:trPr>
          <w:cantSplit/>
        </w:trPr>
        <w:tc>
          <w:tcPr>
            <w:tcW w:w="2268" w:type="dxa"/>
          </w:tcPr>
          <w:p>
            <w:pPr>
              <w:pStyle w:val="nTable"/>
              <w:spacing w:after="40"/>
              <w:ind w:right="17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ind w:right="170"/>
            </w:pPr>
            <w:r>
              <w:rPr>
                <w:i/>
              </w:rPr>
              <w:t>Acts Amendment (Official Corruption Commission) Act 1994</w:t>
            </w:r>
            <w:r>
              <w:t xml:space="preserve"> s. 20</w:t>
            </w:r>
          </w:p>
        </w:tc>
        <w:tc>
          <w:tcPr>
            <w:tcW w:w="1134" w:type="dxa"/>
          </w:tcPr>
          <w:p>
            <w:pPr>
              <w:pStyle w:val="nTable"/>
              <w:spacing w:after="40"/>
            </w:pPr>
            <w:r>
              <w:t>14 of 1994</w:t>
            </w:r>
          </w:p>
        </w:tc>
        <w:tc>
          <w:tcPr>
            <w:tcW w:w="1134" w:type="dxa"/>
          </w:tcPr>
          <w:p>
            <w:pPr>
              <w:pStyle w:val="nTable"/>
              <w:spacing w:after="40"/>
            </w:pPr>
            <w:r>
              <w:t>22 Apr 1994</w:t>
            </w:r>
          </w:p>
        </w:tc>
        <w:tc>
          <w:tcPr>
            <w:tcW w:w="2552" w:type="dxa"/>
          </w:tcPr>
          <w:p>
            <w:pPr>
              <w:pStyle w:val="nTable"/>
              <w:spacing w:after="40"/>
            </w:pPr>
            <w:r>
              <w:t xml:space="preserve">24 May 1994 (see s. 2 and </w:t>
            </w:r>
            <w:r>
              <w:rPr>
                <w:i/>
              </w:rPr>
              <w:t>Gazette</w:t>
            </w:r>
            <w:r>
              <w:t xml:space="preserve"> 24 May 1994 p. 2193)</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cantSplit/>
        </w:trPr>
        <w:tc>
          <w:tcPr>
            <w:tcW w:w="2268" w:type="dxa"/>
          </w:tcPr>
          <w:p>
            <w:pPr>
              <w:pStyle w:val="nTable"/>
              <w:spacing w:after="40"/>
              <w:ind w:right="170"/>
            </w:pPr>
            <w:r>
              <w:rPr>
                <w:i/>
              </w:rPr>
              <w:lastRenderedPageBreak/>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8" w:type="dxa"/>
          </w:tcPr>
          <w:p>
            <w:pPr>
              <w:pStyle w:val="nTable"/>
              <w:spacing w:after="40"/>
              <w:ind w:right="170"/>
            </w:pPr>
            <w:r>
              <w:rPr>
                <w:i/>
              </w:rPr>
              <w:t>Industrial Legislation Amendment Act 1995</w:t>
            </w:r>
            <w:r>
              <w:t xml:space="preserve"> s. 37</w:t>
            </w:r>
          </w:p>
        </w:tc>
        <w:tc>
          <w:tcPr>
            <w:tcW w:w="1134" w:type="dxa"/>
          </w:tcPr>
          <w:p>
            <w:pPr>
              <w:pStyle w:val="nTable"/>
              <w:spacing w:after="40"/>
            </w:pPr>
            <w:r>
              <w:t>1 of 1995</w:t>
            </w:r>
          </w:p>
        </w:tc>
        <w:tc>
          <w:tcPr>
            <w:tcW w:w="1134" w:type="dxa"/>
          </w:tcPr>
          <w:p>
            <w:pPr>
              <w:pStyle w:val="nTable"/>
              <w:spacing w:after="40"/>
            </w:pPr>
            <w:r>
              <w:t>9 May 1995</w:t>
            </w:r>
          </w:p>
        </w:tc>
        <w:tc>
          <w:tcPr>
            <w:tcW w:w="2552" w:type="dxa"/>
          </w:tcPr>
          <w:p>
            <w:pPr>
              <w:pStyle w:val="nTable"/>
              <w:spacing w:after="40"/>
            </w:pPr>
            <w:r>
              <w:t>9 May 1995 (see s. 2(1))</w:t>
            </w:r>
          </w:p>
        </w:tc>
      </w:tr>
      <w:tr>
        <w:trPr>
          <w:cantSplit/>
        </w:trPr>
        <w:tc>
          <w:tcPr>
            <w:tcW w:w="2268" w:type="dxa"/>
          </w:tcPr>
          <w:p>
            <w:pPr>
              <w:pStyle w:val="nTable"/>
              <w:spacing w:after="40"/>
              <w:ind w:right="170"/>
            </w:pPr>
            <w:r>
              <w:rPr>
                <w:i/>
              </w:rPr>
              <w:t>Salaries and Allowances Amendment Act 1995</w:t>
            </w:r>
            <w:r>
              <w:rPr>
                <w:vertAlign w:val="superscript"/>
              </w:rPr>
              <w:t> 2</w:t>
            </w:r>
          </w:p>
        </w:tc>
        <w:tc>
          <w:tcPr>
            <w:tcW w:w="1134" w:type="dxa"/>
          </w:tcPr>
          <w:p>
            <w:pPr>
              <w:pStyle w:val="nTable"/>
              <w:spacing w:after="40"/>
            </w:pPr>
            <w:r>
              <w:t>45 of 1995</w:t>
            </w:r>
          </w:p>
        </w:tc>
        <w:tc>
          <w:tcPr>
            <w:tcW w:w="1134" w:type="dxa"/>
          </w:tcPr>
          <w:p>
            <w:pPr>
              <w:pStyle w:val="nTable"/>
              <w:spacing w:after="40"/>
            </w:pPr>
            <w:r>
              <w:t>18 Oct 1995</w:t>
            </w:r>
          </w:p>
        </w:tc>
        <w:tc>
          <w:tcPr>
            <w:tcW w:w="2552" w:type="dxa"/>
          </w:tcPr>
          <w:p>
            <w:pPr>
              <w:pStyle w:val="nTable"/>
              <w:spacing w:after="40"/>
            </w:pPr>
            <w:r>
              <w:t>18 Oct 1995 (see s. 2)</w:t>
            </w:r>
          </w:p>
        </w:tc>
      </w:tr>
      <w:tr>
        <w:trPr>
          <w:cantSplit/>
        </w:trPr>
        <w:tc>
          <w:tcPr>
            <w:tcW w:w="2268" w:type="dxa"/>
          </w:tcPr>
          <w:p>
            <w:pPr>
              <w:pStyle w:val="nTable"/>
              <w:spacing w:after="40"/>
              <w:ind w:right="170"/>
            </w:pPr>
            <w:r>
              <w:rPr>
                <w:i/>
              </w:rPr>
              <w:t>Official Corruption Commission Amendment Act 1996</w:t>
            </w:r>
            <w:r>
              <w:t xml:space="preserve"> s. 26</w:t>
            </w:r>
          </w:p>
        </w:tc>
        <w:tc>
          <w:tcPr>
            <w:tcW w:w="1134" w:type="dxa"/>
          </w:tcPr>
          <w:p>
            <w:pPr>
              <w:pStyle w:val="nTable"/>
              <w:keepNext/>
              <w:spacing w:after="40"/>
            </w:pPr>
            <w:r>
              <w:t>29 of 1996</w:t>
            </w:r>
          </w:p>
        </w:tc>
        <w:tc>
          <w:tcPr>
            <w:tcW w:w="1134" w:type="dxa"/>
          </w:tcPr>
          <w:p>
            <w:pPr>
              <w:pStyle w:val="nTable"/>
              <w:keepNext/>
              <w:spacing w:after="40"/>
            </w:pPr>
            <w:r>
              <w:t>28 Aug 1996</w:t>
            </w:r>
          </w:p>
        </w:tc>
        <w:tc>
          <w:tcPr>
            <w:tcW w:w="2552" w:type="dxa"/>
          </w:tcPr>
          <w:p>
            <w:pPr>
              <w:pStyle w:val="nTable"/>
              <w:keepNext/>
              <w:spacing w:after="40"/>
            </w:pPr>
            <w:r>
              <w:t xml:space="preserve">30 Aug 1996 (see s. 2 and </w:t>
            </w:r>
            <w:r>
              <w:rPr>
                <w:i/>
              </w:rPr>
              <w:t>Gazette</w:t>
            </w:r>
            <w:r>
              <w:t xml:space="preserve"> 30 Aug 1996 p. 4365)</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70"/>
            </w:pPr>
            <w:r>
              <w:rPr>
                <w:i/>
              </w:rPr>
              <w:t>Acts Amendment (Auxiliary Judges) Act 1997</w:t>
            </w:r>
            <w:r>
              <w:t xml:space="preserve"> Pt. 9</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8" w:type="dxa"/>
          </w:tcPr>
          <w:p>
            <w:pPr>
              <w:pStyle w:val="nTable"/>
              <w:spacing w:after="40"/>
              <w:ind w:right="170"/>
            </w:pPr>
            <w:r>
              <w:rPr>
                <w:i/>
              </w:rPr>
              <w:t>Equal Opportunity Amendment Act (No. 3) 1997</w:t>
            </w:r>
            <w:r>
              <w:t xml:space="preserve"> s. 8</w:t>
            </w:r>
          </w:p>
        </w:tc>
        <w:tc>
          <w:tcPr>
            <w:tcW w:w="1134" w:type="dxa"/>
          </w:tcPr>
          <w:p>
            <w:pPr>
              <w:pStyle w:val="nTable"/>
              <w:spacing w:after="40"/>
            </w:pPr>
            <w:r>
              <w:t>42 of 1997</w:t>
            </w:r>
          </w:p>
        </w:tc>
        <w:tc>
          <w:tcPr>
            <w:tcW w:w="1134" w:type="dxa"/>
          </w:tcPr>
          <w:p>
            <w:pPr>
              <w:pStyle w:val="nTable"/>
              <w:spacing w:after="40"/>
            </w:pPr>
            <w:r>
              <w:t>9 Dec 1997</w:t>
            </w:r>
          </w:p>
        </w:tc>
        <w:tc>
          <w:tcPr>
            <w:tcW w:w="2552" w:type="dxa"/>
          </w:tcPr>
          <w:p>
            <w:pPr>
              <w:pStyle w:val="nTable"/>
              <w:spacing w:after="40"/>
            </w:pPr>
            <w:r>
              <w:t>6 Jan 1998 (see s. 2(1))</w:t>
            </w:r>
          </w:p>
        </w:tc>
      </w:tr>
      <w:tr>
        <w:trPr>
          <w:cantSplit/>
        </w:trPr>
        <w:tc>
          <w:tcPr>
            <w:tcW w:w="7088" w:type="dxa"/>
            <w:gridSpan w:val="4"/>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cantSplit/>
        </w:trPr>
        <w:tc>
          <w:tcPr>
            <w:tcW w:w="2268" w:type="dxa"/>
          </w:tcPr>
          <w:p>
            <w:pPr>
              <w:pStyle w:val="nTable"/>
              <w:spacing w:after="40"/>
              <w:ind w:right="170"/>
            </w:pPr>
            <w:r>
              <w:rPr>
                <w:i/>
              </w:rPr>
              <w:t xml:space="preserve">Electoral Amendment Act 2000 </w:t>
            </w:r>
            <w:r>
              <w:t>s. 26 and 57</w:t>
            </w:r>
          </w:p>
        </w:tc>
        <w:tc>
          <w:tcPr>
            <w:tcW w:w="1134" w:type="dxa"/>
          </w:tcPr>
          <w:p>
            <w:pPr>
              <w:pStyle w:val="nTable"/>
              <w:spacing w:after="40"/>
            </w:pPr>
            <w:r>
              <w:t>36 of 2000</w:t>
            </w:r>
          </w:p>
        </w:tc>
        <w:tc>
          <w:tcPr>
            <w:tcW w:w="1134" w:type="dxa"/>
          </w:tcPr>
          <w:p>
            <w:pPr>
              <w:pStyle w:val="nTable"/>
              <w:spacing w:after="40"/>
            </w:pPr>
            <w:r>
              <w:t>10 Oct 2000</w:t>
            </w:r>
          </w:p>
        </w:tc>
        <w:tc>
          <w:tcPr>
            <w:tcW w:w="2552" w:type="dxa"/>
          </w:tcPr>
          <w:p>
            <w:pPr>
              <w:pStyle w:val="nTable"/>
              <w:spacing w:after="40"/>
            </w:pPr>
            <w:r>
              <w:t xml:space="preserve">21 Oct 2000 (see s. 2 and </w:t>
            </w:r>
            <w:r>
              <w:rPr>
                <w:i/>
              </w:rPr>
              <w:t>Gazette</w:t>
            </w:r>
            <w:r>
              <w:t xml:space="preserve"> 20 Oct 2000 p. 5899)</w:t>
            </w:r>
          </w:p>
        </w:tc>
      </w:tr>
      <w:tr>
        <w:trPr>
          <w:cantSplit/>
        </w:trPr>
        <w:tc>
          <w:tcPr>
            <w:tcW w:w="2268" w:type="dxa"/>
          </w:tcPr>
          <w:p>
            <w:pPr>
              <w:pStyle w:val="nTable"/>
              <w:spacing w:after="40"/>
              <w:ind w:right="170"/>
              <w:rPr>
                <w:i/>
              </w:rPr>
            </w:pPr>
            <w:r>
              <w:rPr>
                <w:i/>
              </w:rPr>
              <w:t xml:space="preserve">Parliamentary Superannuation Legislation Amendment Act 2000 </w:t>
            </w:r>
            <w:r>
              <w:t>Pt. 3</w:t>
            </w:r>
          </w:p>
        </w:tc>
        <w:tc>
          <w:tcPr>
            <w:tcW w:w="1134" w:type="dxa"/>
          </w:tcPr>
          <w:p>
            <w:pPr>
              <w:pStyle w:val="nTable"/>
              <w:spacing w:after="40"/>
            </w:pPr>
            <w:r>
              <w:t>37 of 2000</w:t>
            </w:r>
          </w:p>
        </w:tc>
        <w:tc>
          <w:tcPr>
            <w:tcW w:w="1134" w:type="dxa"/>
          </w:tcPr>
          <w:p>
            <w:pPr>
              <w:pStyle w:val="nTable"/>
              <w:spacing w:after="40"/>
            </w:pPr>
            <w:r>
              <w:t>10 Oct 2000</w:t>
            </w:r>
          </w:p>
        </w:tc>
        <w:tc>
          <w:tcPr>
            <w:tcW w:w="2552" w:type="dxa"/>
          </w:tcPr>
          <w:p>
            <w:pPr>
              <w:pStyle w:val="nTable"/>
              <w:spacing w:after="40"/>
            </w:pPr>
            <w:r>
              <w:t>10 Oct 2000 (see s. 2)</w:t>
            </w:r>
          </w:p>
        </w:tc>
      </w:tr>
      <w:tr>
        <w:trPr>
          <w:cantSplit/>
        </w:trPr>
        <w:tc>
          <w:tcPr>
            <w:tcW w:w="2268" w:type="dxa"/>
          </w:tcPr>
          <w:p>
            <w:pPr>
              <w:pStyle w:val="nTable"/>
              <w:spacing w:after="40"/>
              <w:ind w:right="170"/>
              <w:rPr>
                <w:i/>
              </w:rPr>
            </w:pPr>
            <w:r>
              <w:rPr>
                <w:i/>
              </w:rPr>
              <w:t>Salaries and Allowances Amendment Act 2001</w:t>
            </w:r>
          </w:p>
        </w:tc>
        <w:tc>
          <w:tcPr>
            <w:tcW w:w="1134" w:type="dxa"/>
          </w:tcPr>
          <w:p>
            <w:pPr>
              <w:pStyle w:val="nTable"/>
              <w:spacing w:after="40"/>
            </w:pPr>
            <w:r>
              <w:t>22 of 2001</w:t>
            </w:r>
          </w:p>
        </w:tc>
        <w:tc>
          <w:tcPr>
            <w:tcW w:w="1134" w:type="dxa"/>
          </w:tcPr>
          <w:p>
            <w:pPr>
              <w:pStyle w:val="nTable"/>
              <w:spacing w:after="40"/>
            </w:pPr>
            <w:r>
              <w:t>26 Nov 2001</w:t>
            </w:r>
          </w:p>
        </w:tc>
        <w:tc>
          <w:tcPr>
            <w:tcW w:w="2552" w:type="dxa"/>
          </w:tcPr>
          <w:p>
            <w:pPr>
              <w:pStyle w:val="nTable"/>
              <w:spacing w:after="40"/>
            </w:pPr>
            <w:r>
              <w:t>26 Nov 2001 (see s. 2)</w:t>
            </w:r>
          </w:p>
        </w:tc>
      </w:tr>
      <w:tr>
        <w:trPr>
          <w:cantSplit/>
        </w:trPr>
        <w:tc>
          <w:tcPr>
            <w:tcW w:w="2268" w:type="dxa"/>
          </w:tcPr>
          <w:p>
            <w:pPr>
              <w:pStyle w:val="nTable"/>
              <w:spacing w:after="40"/>
              <w:ind w:right="170"/>
            </w:pPr>
            <w:r>
              <w:rPr>
                <w:i/>
              </w:rPr>
              <w:t>Corruption and Crime Commission Act 2003</w:t>
            </w:r>
            <w:r>
              <w:t xml:space="preserve"> Sch. 4 cl. 9</w:t>
            </w:r>
          </w:p>
        </w:tc>
        <w:tc>
          <w:tcPr>
            <w:tcW w:w="1134" w:type="dxa"/>
          </w:tcPr>
          <w:p>
            <w:pPr>
              <w:pStyle w:val="nTable"/>
              <w:spacing w:after="40"/>
            </w:pPr>
            <w:r>
              <w:t>48 of 2003</w:t>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2" w:type="dxa"/>
          </w:tcPr>
          <w:p>
            <w:pPr>
              <w:pStyle w:val="nTable"/>
              <w:spacing w:after="40"/>
            </w:pPr>
            <w:r>
              <w:rPr>
                <w:spacing w:val="-2"/>
              </w:rPr>
              <w:t>15 Sep 2003 (see r. 2)</w:t>
            </w:r>
          </w:p>
        </w:tc>
      </w:tr>
      <w:tr>
        <w:trPr>
          <w:cantSplit/>
        </w:trPr>
        <w:tc>
          <w:tcPr>
            <w:tcW w:w="2268" w:type="dxa"/>
          </w:tcPr>
          <w:p>
            <w:pPr>
              <w:pStyle w:val="nTable"/>
              <w:spacing w:after="40"/>
              <w:ind w:right="170"/>
            </w:pPr>
            <w:r>
              <w:rPr>
                <w:i/>
              </w:rPr>
              <w:lastRenderedPageBreak/>
              <w:t>Corruption and Crime Commission Amendment and Repeal Act 2003</w:t>
            </w:r>
            <w:r>
              <w:t xml:space="preserve"> s. 74(2)</w:t>
            </w:r>
            <w:r>
              <w:rPr>
                <w:vertAlign w:val="superscript"/>
              </w:rPr>
              <w:t xml:space="preserve"> </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rPr>
          <w:cantSplit/>
        </w:trPr>
        <w:tc>
          <w:tcPr>
            <w:tcW w:w="2268" w:type="dxa"/>
          </w:tcPr>
          <w:p>
            <w:pPr>
              <w:pStyle w:val="nTable"/>
              <w:spacing w:after="40"/>
              <w:ind w:right="17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tcPr>
          <w:p>
            <w:pPr>
              <w:pStyle w:val="nTable"/>
              <w:spacing w:after="40"/>
              <w:rPr>
                <w:snapToGrid w:val="0"/>
              </w:rPr>
            </w:pPr>
            <w:r>
              <w:t>49 of 2004</w:t>
            </w:r>
          </w:p>
        </w:tc>
        <w:tc>
          <w:tcPr>
            <w:tcW w:w="1134" w:type="dxa"/>
          </w:tcPr>
          <w:p>
            <w:pPr>
              <w:pStyle w:val="nTable"/>
              <w:spacing w:after="40"/>
            </w:pPr>
            <w:r>
              <w:t>12 Nov 2004</w:t>
            </w:r>
          </w:p>
        </w:tc>
        <w:tc>
          <w:tcPr>
            <w:tcW w:w="2552" w:type="dxa"/>
          </w:tcPr>
          <w:p>
            <w:pPr>
              <w:pStyle w:val="nTable"/>
              <w:spacing w:after="40"/>
              <w:rPr>
                <w:snapToGrid w:val="0"/>
              </w:rPr>
            </w:pPr>
            <w:r>
              <w:t xml:space="preserve">1 Apr 2005 (see s. 2 and </w:t>
            </w:r>
            <w:r>
              <w:rPr>
                <w:i/>
              </w:rPr>
              <w:t>Gazette</w:t>
            </w:r>
            <w:r>
              <w:t xml:space="preserve"> 31 Mar 2005 p. 1029)</w:t>
            </w:r>
          </w:p>
        </w:tc>
      </w:tr>
      <w:tr>
        <w:trPr>
          <w:cantSplit/>
        </w:trPr>
        <w:tc>
          <w:tcPr>
            <w:tcW w:w="2268" w:type="dxa"/>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tcPr>
          <w:p>
            <w:pPr>
              <w:pStyle w:val="nTable"/>
              <w:spacing w:after="40"/>
            </w:pPr>
            <w:r>
              <w:rPr>
                <w:snapToGrid w:val="0"/>
              </w:rPr>
              <w:t>1 of 2005</w:t>
            </w:r>
          </w:p>
        </w:tc>
        <w:tc>
          <w:tcPr>
            <w:tcW w:w="1134" w:type="dxa"/>
          </w:tcPr>
          <w:p>
            <w:pPr>
              <w:pStyle w:val="nTable"/>
              <w:spacing w:after="40"/>
            </w:pPr>
            <w:r>
              <w:t>20 May 2005</w:t>
            </w:r>
          </w:p>
        </w:tc>
        <w:tc>
          <w:tcPr>
            <w:tcW w:w="2552" w:type="dxa"/>
          </w:tcPr>
          <w:p>
            <w:pPr>
              <w:pStyle w:val="nTable"/>
              <w:spacing w:after="40"/>
            </w:pPr>
            <w:r>
              <w:rPr>
                <w:snapToGrid w:val="0"/>
              </w:rPr>
              <w:t>20 May 2005 (see s. 2)</w:t>
            </w:r>
          </w:p>
        </w:tc>
      </w:tr>
      <w:tr>
        <w:trPr>
          <w:cantSplit/>
        </w:trPr>
        <w:tc>
          <w:tcPr>
            <w:tcW w:w="7088" w:type="dxa"/>
            <w:gridSpan w:val="4"/>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cantSplit/>
        </w:trPr>
        <w:tc>
          <w:tcPr>
            <w:tcW w:w="2268" w:type="dxa"/>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tcPr>
          <w:p>
            <w:pPr>
              <w:pStyle w:val="nTable"/>
              <w:spacing w:after="40"/>
            </w:pPr>
            <w:r>
              <w:rPr>
                <w:snapToGrid w:val="0"/>
              </w:rPr>
              <w:t>56 of 2006</w:t>
            </w:r>
          </w:p>
        </w:tc>
        <w:tc>
          <w:tcPr>
            <w:tcW w:w="1134" w:type="dxa"/>
          </w:tcPr>
          <w:p>
            <w:pPr>
              <w:pStyle w:val="nTable"/>
              <w:spacing w:after="40"/>
            </w:pPr>
            <w:r>
              <w:t>16 Nov 2006</w:t>
            </w:r>
          </w:p>
        </w:tc>
        <w:tc>
          <w:tcPr>
            <w:tcW w:w="2552" w:type="dxa"/>
          </w:tcPr>
          <w:p>
            <w:pPr>
              <w:pStyle w:val="nTable"/>
              <w:spacing w:after="40"/>
            </w:pPr>
            <w:r>
              <w:rPr>
                <w:snapToGrid w:val="0"/>
              </w:rPr>
              <w:t>17 Nov 2006 (see s. 2)</w:t>
            </w:r>
          </w:p>
        </w:tc>
      </w:tr>
      <w:tr>
        <w:trPr>
          <w:cantSplit/>
        </w:trPr>
        <w:tc>
          <w:tcPr>
            <w:tcW w:w="2268" w:type="dxa"/>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tcPr>
          <w:p>
            <w:pPr>
              <w:pStyle w:val="nTable"/>
              <w:spacing w:after="40"/>
              <w:rPr>
                <w:snapToGrid w:val="0"/>
              </w:rPr>
            </w:pPr>
            <w:r>
              <w:rPr>
                <w:snapToGrid w:val="0"/>
              </w:rPr>
              <w:t>77 of 2006</w:t>
            </w:r>
          </w:p>
        </w:tc>
        <w:tc>
          <w:tcPr>
            <w:tcW w:w="1134" w:type="dxa"/>
          </w:tcPr>
          <w:p>
            <w:pPr>
              <w:pStyle w:val="nTable"/>
              <w:spacing w:after="40"/>
            </w:pPr>
            <w:r>
              <w:t>21 Dec 2006</w:t>
            </w:r>
          </w:p>
        </w:tc>
        <w:tc>
          <w:tcPr>
            <w:tcW w:w="2552"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114</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78</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7088" w:type="dxa"/>
            <w:gridSpan w:val="4"/>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cantSplit/>
        </w:trPr>
        <w:tc>
          <w:tcPr>
            <w:tcW w:w="2268" w:type="dxa"/>
          </w:tcPr>
          <w:p>
            <w:pPr>
              <w:pStyle w:val="nTable"/>
              <w:spacing w:after="40"/>
              <w:rPr>
                <w:iCs/>
                <w:snapToGrid w:val="0"/>
              </w:rPr>
            </w:pPr>
            <w:r>
              <w:rPr>
                <w:i/>
                <w:snapToGrid w:val="0"/>
              </w:rPr>
              <w:t>Public Sector Reform Act 2010</w:t>
            </w:r>
            <w:r>
              <w:rPr>
                <w:iCs/>
                <w:snapToGrid w:val="0"/>
              </w:rPr>
              <w:t xml:space="preserve"> s. 83</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shd w:val="clear" w:color="auto" w:fill="auto"/>
          </w:tcPr>
          <w:p>
            <w:pPr>
              <w:pStyle w:val="nTable"/>
              <w:spacing w:after="40"/>
              <w:rPr>
                <w:snapToGrid w:val="0"/>
              </w:rPr>
            </w:pPr>
            <w:r>
              <w:rPr>
                <w:snapToGrid w:val="0"/>
              </w:rPr>
              <w:t>2 of 2012</w:t>
            </w:r>
          </w:p>
        </w:tc>
        <w:tc>
          <w:tcPr>
            <w:tcW w:w="1134" w:type="dxa"/>
            <w:shd w:val="clear" w:color="auto" w:fill="auto"/>
          </w:tcPr>
          <w:p>
            <w:pPr>
              <w:pStyle w:val="nTable"/>
              <w:spacing w:after="40"/>
            </w:pPr>
            <w:r>
              <w:t>4 Apr 2012</w:t>
            </w:r>
          </w:p>
        </w:tc>
        <w:tc>
          <w:tcPr>
            <w:tcW w:w="2552" w:type="dxa"/>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cantSplit/>
        </w:trPr>
        <w:tc>
          <w:tcPr>
            <w:tcW w:w="2268" w:type="dxa"/>
            <w:shd w:val="clear" w:color="auto" w:fill="auto"/>
          </w:tcPr>
          <w:p>
            <w:pPr>
              <w:pStyle w:val="nTable"/>
              <w:spacing w:after="40"/>
              <w:rPr>
                <w:i/>
                <w:snapToGrid w:val="0"/>
              </w:rPr>
            </w:pPr>
            <w:r>
              <w:rPr>
                <w:i/>
              </w:rPr>
              <w:lastRenderedPageBreak/>
              <w:t>Workforce Reform Act 2014</w:t>
            </w:r>
            <w:r>
              <w:t xml:space="preserve"> Pt. 4</w:t>
            </w:r>
          </w:p>
        </w:tc>
        <w:tc>
          <w:tcPr>
            <w:tcW w:w="1134" w:type="dxa"/>
            <w:shd w:val="clear" w:color="auto" w:fill="auto"/>
          </w:tcPr>
          <w:p>
            <w:pPr>
              <w:pStyle w:val="nTable"/>
              <w:spacing w:after="40"/>
              <w:rPr>
                <w:snapToGrid w:val="0"/>
              </w:rPr>
            </w:pPr>
            <w:r>
              <w:t>8 of 2014</w:t>
            </w:r>
          </w:p>
        </w:tc>
        <w:tc>
          <w:tcPr>
            <w:tcW w:w="1134" w:type="dxa"/>
            <w:shd w:val="clear" w:color="auto" w:fill="auto"/>
          </w:tcPr>
          <w:p>
            <w:pPr>
              <w:pStyle w:val="nTable"/>
              <w:spacing w:after="40"/>
            </w:pPr>
            <w:r>
              <w:t>20 May 2014</w:t>
            </w:r>
          </w:p>
        </w:tc>
        <w:tc>
          <w:tcPr>
            <w:tcW w:w="2552" w:type="dxa"/>
            <w:shd w:val="clear" w:color="auto" w:fill="auto"/>
          </w:tcPr>
          <w:p>
            <w:pPr>
              <w:pStyle w:val="nTable"/>
              <w:spacing w:after="40"/>
              <w:rPr>
                <w:snapToGrid w:val="0"/>
              </w:rPr>
            </w:pPr>
            <w:r>
              <w:t xml:space="preserve">1 Jul 2014 (see s. 2(b) and </w:t>
            </w:r>
            <w:r>
              <w:rPr>
                <w:i/>
              </w:rPr>
              <w:t>Gazette</w:t>
            </w:r>
            <w:r>
              <w:t xml:space="preserve"> 27 Jun 2014 p. 2301)</w:t>
            </w:r>
          </w:p>
        </w:tc>
      </w:tr>
      <w:tr>
        <w:trPr>
          <w:cantSplit/>
        </w:trPr>
        <w:tc>
          <w:tcPr>
            <w:tcW w:w="2268" w:type="dxa"/>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shd w:val="clear" w:color="auto" w:fill="auto"/>
          </w:tcPr>
          <w:p>
            <w:pPr>
              <w:pStyle w:val="nTable"/>
              <w:spacing w:after="40"/>
            </w:pPr>
            <w:r>
              <w:rPr>
                <w:snapToGrid w:val="0"/>
              </w:rPr>
              <w:t>35 of 2014</w:t>
            </w:r>
          </w:p>
        </w:tc>
        <w:tc>
          <w:tcPr>
            <w:tcW w:w="1134" w:type="dxa"/>
            <w:shd w:val="clear" w:color="auto" w:fill="auto"/>
          </w:tcPr>
          <w:p>
            <w:pPr>
              <w:pStyle w:val="nTable"/>
              <w:spacing w:after="40"/>
            </w:pPr>
            <w:r>
              <w:t>9 Dec 2014</w:t>
            </w:r>
          </w:p>
        </w:tc>
        <w:tc>
          <w:tcPr>
            <w:tcW w:w="2552" w:type="dxa"/>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cantSplit/>
        </w:trPr>
        <w:tc>
          <w:tcPr>
            <w:tcW w:w="2268" w:type="dxa"/>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shd w:val="clear" w:color="auto" w:fill="auto"/>
          </w:tcPr>
          <w:p>
            <w:pPr>
              <w:pStyle w:val="nTable"/>
              <w:spacing w:after="40"/>
              <w:rPr>
                <w:snapToGrid w:val="0"/>
              </w:rPr>
            </w:pPr>
            <w:r>
              <w:t>32 of 2016</w:t>
            </w:r>
          </w:p>
        </w:tc>
        <w:tc>
          <w:tcPr>
            <w:tcW w:w="1134" w:type="dxa"/>
            <w:shd w:val="clear" w:color="auto" w:fill="auto"/>
          </w:tcPr>
          <w:p>
            <w:pPr>
              <w:pStyle w:val="nTable"/>
              <w:spacing w:after="40"/>
            </w:pPr>
            <w:r>
              <w:t>19 Oct 2016</w:t>
            </w:r>
          </w:p>
        </w:tc>
        <w:tc>
          <w:tcPr>
            <w:tcW w:w="2552" w:type="dxa"/>
            <w:shd w:val="clear" w:color="auto" w:fill="auto"/>
          </w:tcPr>
          <w:p>
            <w:pPr>
              <w:pStyle w:val="nTable"/>
              <w:spacing w:after="40"/>
              <w:rPr>
                <w:snapToGrid w:val="0"/>
              </w:rPr>
            </w:pPr>
            <w:r>
              <w:t xml:space="preserve">1 Oct 2017 (see s. 2(b) and </w:t>
            </w:r>
            <w:r>
              <w:rPr>
                <w:i/>
              </w:rPr>
              <w:t>Gazette</w:t>
            </w:r>
            <w:r>
              <w:t xml:space="preserve"> 9 Dec 2016 p. 5557)</w:t>
            </w:r>
          </w:p>
        </w:tc>
      </w:tr>
      <w:tr>
        <w:trPr>
          <w:cantSplit/>
        </w:trPr>
        <w:tc>
          <w:tcPr>
            <w:tcW w:w="2268" w:type="dxa"/>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shd w:val="clear" w:color="auto" w:fill="auto"/>
          </w:tcPr>
          <w:p>
            <w:pPr>
              <w:pStyle w:val="nTable"/>
              <w:spacing w:after="40"/>
              <w:rPr>
                <w:snapToGrid w:val="0"/>
              </w:rPr>
            </w:pPr>
            <w:r>
              <w:rPr>
                <w:snapToGrid w:val="0"/>
              </w:rPr>
              <w:t>46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rPr>
            </w:pPr>
            <w:r>
              <w:rPr>
                <w:snapToGrid w:val="0"/>
              </w:rPr>
              <w:t>8 Dec 2016 (see s. 2(b))</w:t>
            </w:r>
          </w:p>
        </w:tc>
      </w:tr>
      <w:tr>
        <w:trPr>
          <w:cantSplit/>
        </w:trPr>
        <w:tc>
          <w:tcPr>
            <w:tcW w:w="2268" w:type="dxa"/>
            <w:shd w:val="clear" w:color="auto" w:fill="auto"/>
          </w:tcPr>
          <w:p>
            <w:pPr>
              <w:pStyle w:val="nTable"/>
              <w:spacing w:after="40"/>
              <w:rPr>
                <w:i/>
                <w:snapToGrid w:val="0"/>
              </w:rPr>
            </w:pPr>
            <w:r>
              <w:rPr>
                <w:i/>
              </w:rPr>
              <w:t>Salaries and Allowances Amendment (Debt and Deficit Remediation) Act 2018</w:t>
            </w:r>
          </w:p>
        </w:tc>
        <w:tc>
          <w:tcPr>
            <w:tcW w:w="1134" w:type="dxa"/>
            <w:shd w:val="clear" w:color="auto" w:fill="auto"/>
          </w:tcPr>
          <w:p>
            <w:pPr>
              <w:pStyle w:val="nTable"/>
              <w:spacing w:after="40"/>
              <w:rPr>
                <w:snapToGrid w:val="0"/>
              </w:rPr>
            </w:pPr>
            <w:r>
              <w:rPr>
                <w:snapToGrid w:val="0"/>
              </w:rPr>
              <w:t>1 of 2018</w:t>
            </w:r>
          </w:p>
        </w:tc>
        <w:tc>
          <w:tcPr>
            <w:tcW w:w="1134" w:type="dxa"/>
            <w:shd w:val="clear" w:color="auto" w:fill="auto"/>
          </w:tcPr>
          <w:p>
            <w:pPr>
              <w:pStyle w:val="nTable"/>
              <w:spacing w:after="40"/>
            </w:pPr>
            <w:r>
              <w:t>27 Feb 2018</w:t>
            </w:r>
          </w:p>
        </w:tc>
        <w:tc>
          <w:tcPr>
            <w:tcW w:w="2552" w:type="dxa"/>
            <w:shd w:val="clear" w:color="auto" w:fill="auto"/>
          </w:tcPr>
          <w:p>
            <w:pPr>
              <w:pStyle w:val="nTable"/>
              <w:spacing w:after="40"/>
              <w:rPr>
                <w:snapToGrid w:val="0"/>
              </w:rPr>
            </w:pPr>
            <w:r>
              <w:rPr>
                <w:snapToGrid w:val="0"/>
              </w:rPr>
              <w:t>s. 1 and 2: 27 Feb 2018 (see s. 2(a));</w:t>
            </w:r>
            <w:r>
              <w:rPr>
                <w:snapToGrid w:val="0"/>
              </w:rPr>
              <w:br/>
              <w:t>Act other than s. 1 and 2: 28 Feb 2018 (see s. 2(b))</w:t>
            </w:r>
          </w:p>
        </w:tc>
      </w:tr>
      <w:tr>
        <w:trPr>
          <w:cantSplit/>
        </w:trPr>
        <w:tc>
          <w:tcPr>
            <w:tcW w:w="7088" w:type="dxa"/>
            <w:gridSpan w:val="4"/>
            <w:shd w:val="clear" w:color="auto" w:fill="auto"/>
          </w:tcPr>
          <w:p>
            <w:pPr>
              <w:pStyle w:val="nTable"/>
              <w:spacing w:after="40"/>
              <w:rPr>
                <w:snapToGrid w:val="0"/>
              </w:rPr>
            </w:pPr>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p>
        </w:tc>
      </w:tr>
      <w:tr>
        <w:trPr>
          <w:cantSplit/>
        </w:trPr>
        <w:tc>
          <w:tcPr>
            <w:tcW w:w="2268" w:type="dxa"/>
            <w:shd w:val="clear" w:color="auto" w:fill="auto"/>
          </w:tcPr>
          <w:p>
            <w:pPr>
              <w:pStyle w:val="nTable"/>
              <w:spacing w:after="40"/>
              <w:rPr>
                <w:i/>
              </w:rPr>
            </w:pPr>
            <w:r>
              <w:rPr>
                <w:i/>
              </w:rPr>
              <w:t>Constitutional and Electoral Legislation Amendment (Electoral Equality) Act 2021</w:t>
            </w:r>
            <w:r>
              <w:t xml:space="preserve"> s. 96</w:t>
            </w:r>
          </w:p>
        </w:tc>
        <w:tc>
          <w:tcPr>
            <w:tcW w:w="1134" w:type="dxa"/>
            <w:shd w:val="clear" w:color="auto" w:fill="auto"/>
          </w:tcPr>
          <w:p>
            <w:pPr>
              <w:pStyle w:val="nTable"/>
              <w:spacing w:after="40"/>
              <w:rPr>
                <w:snapToGrid w:val="0"/>
              </w:rPr>
            </w:pPr>
            <w:r>
              <w:rPr>
                <w:snapToGrid w:val="0"/>
              </w:rPr>
              <w:t>20 of 2021</w:t>
            </w:r>
          </w:p>
        </w:tc>
        <w:tc>
          <w:tcPr>
            <w:tcW w:w="1134" w:type="dxa"/>
            <w:shd w:val="clear" w:color="auto" w:fill="auto"/>
          </w:tcPr>
          <w:p>
            <w:pPr>
              <w:pStyle w:val="nTable"/>
              <w:spacing w:after="40"/>
            </w:pPr>
            <w:r>
              <w:rPr>
                <w:snapToGrid w:val="0"/>
              </w:rPr>
              <w:t>24 Nov 2021</w:t>
            </w:r>
          </w:p>
        </w:tc>
        <w:tc>
          <w:tcPr>
            <w:tcW w:w="2552" w:type="dxa"/>
            <w:shd w:val="clear" w:color="auto" w:fill="auto"/>
          </w:tcPr>
          <w:p>
            <w:pPr>
              <w:pStyle w:val="nTable"/>
              <w:spacing w:after="40"/>
              <w:rPr>
                <w:snapToGrid w:val="0"/>
              </w:rPr>
            </w:pPr>
            <w:r>
              <w:rPr>
                <w:snapToGrid w:val="0"/>
              </w:rPr>
              <w:t>25 Nov 2021 (see s. 2(b))</w:t>
            </w:r>
          </w:p>
        </w:tc>
      </w:tr>
      <w:tr>
        <w:trPr>
          <w:cantSplit/>
        </w:trPr>
        <w:tc>
          <w:tcPr>
            <w:tcW w:w="2268" w:type="dxa"/>
            <w:shd w:val="clear" w:color="auto" w:fill="auto"/>
          </w:tcPr>
          <w:p>
            <w:pPr>
              <w:pStyle w:val="nTable"/>
              <w:spacing w:after="40"/>
              <w:rPr>
                <w:i/>
              </w:rPr>
            </w:pPr>
            <w:r>
              <w:rPr>
                <w:i/>
              </w:rPr>
              <w:t>Government Trading Enterprises Act 2023</w:t>
            </w:r>
            <w:r>
              <w:t xml:space="preserve"> Pt. 12 Div. 7</w:t>
            </w:r>
          </w:p>
        </w:tc>
        <w:tc>
          <w:tcPr>
            <w:tcW w:w="1134" w:type="dxa"/>
            <w:shd w:val="clear" w:color="auto" w:fill="auto"/>
          </w:tcPr>
          <w:p>
            <w:pPr>
              <w:pStyle w:val="nTable"/>
              <w:spacing w:after="40"/>
              <w:rPr>
                <w:snapToGrid w:val="0"/>
              </w:rPr>
            </w:pPr>
            <w:r>
              <w:t>13 of 2023</w:t>
            </w:r>
          </w:p>
        </w:tc>
        <w:tc>
          <w:tcPr>
            <w:tcW w:w="1134" w:type="dxa"/>
            <w:shd w:val="clear" w:color="auto" w:fill="auto"/>
          </w:tcPr>
          <w:p>
            <w:pPr>
              <w:pStyle w:val="nTable"/>
              <w:spacing w:after="40"/>
              <w:rPr>
                <w:snapToGrid w:val="0"/>
              </w:rPr>
            </w:pPr>
            <w:r>
              <w:t>22 Jun 2023</w:t>
            </w:r>
          </w:p>
        </w:tc>
        <w:tc>
          <w:tcPr>
            <w:tcW w:w="2552" w:type="dxa"/>
            <w:shd w:val="clear" w:color="auto" w:fill="auto"/>
          </w:tcPr>
          <w:p>
            <w:pPr>
              <w:pStyle w:val="nTable"/>
              <w:spacing w:after="40"/>
              <w:rPr>
                <w:snapToGrid w:val="0"/>
              </w:rPr>
            </w:pPr>
            <w:r>
              <w:t>1 Jul 2023 (see s. 2(b) and SL 2023/89 cl. 2)</w:t>
            </w:r>
          </w:p>
        </w:tc>
      </w:tr>
      <w:tr>
        <w:trPr>
          <w:cantSplit/>
        </w:trPr>
        <w:tc>
          <w:tcPr>
            <w:tcW w:w="2268" w:type="dxa"/>
            <w:shd w:val="clear" w:color="auto" w:fill="auto"/>
          </w:tcPr>
          <w:p>
            <w:pPr>
              <w:pStyle w:val="nTable"/>
              <w:spacing w:after="40"/>
              <w:rPr>
                <w:i/>
              </w:rPr>
            </w:pPr>
            <w:r>
              <w:rPr>
                <w:i/>
              </w:rPr>
              <w:t>Local Government Amendment Act 2023</w:t>
            </w:r>
            <w:r>
              <w:t xml:space="preserve"> Pt. 3 Div. 3</w:t>
            </w:r>
          </w:p>
        </w:tc>
        <w:tc>
          <w:tcPr>
            <w:tcW w:w="1134" w:type="dxa"/>
            <w:shd w:val="clear" w:color="auto" w:fill="auto"/>
          </w:tcPr>
          <w:p>
            <w:pPr>
              <w:pStyle w:val="nTable"/>
              <w:spacing w:after="40"/>
            </w:pPr>
            <w:r>
              <w:t>11 of 2023</w:t>
            </w:r>
          </w:p>
        </w:tc>
        <w:tc>
          <w:tcPr>
            <w:tcW w:w="1134" w:type="dxa"/>
            <w:shd w:val="clear" w:color="auto" w:fill="auto"/>
          </w:tcPr>
          <w:p>
            <w:pPr>
              <w:pStyle w:val="nTable"/>
              <w:spacing w:after="40"/>
            </w:pPr>
            <w:r>
              <w:t>18 May 2023</w:t>
            </w:r>
          </w:p>
        </w:tc>
        <w:tc>
          <w:tcPr>
            <w:tcW w:w="2552" w:type="dxa"/>
            <w:shd w:val="clear" w:color="auto" w:fill="auto"/>
          </w:tcPr>
          <w:p>
            <w:pPr>
              <w:pStyle w:val="nTable"/>
              <w:spacing w:after="40"/>
            </w:pPr>
            <w:r>
              <w:t>1 Jan 2024 (see s. 2(d) and SL 2023/92 cl. 2(b))</w:t>
            </w:r>
          </w:p>
        </w:tc>
      </w:tr>
      <w:tr>
        <w:trPr>
          <w:cantSplit/>
        </w:trPr>
        <w:tc>
          <w:tcPr>
            <w:tcW w:w="2268" w:type="dxa"/>
            <w:tcBorders>
              <w:bottom w:val="single" w:sz="4" w:space="0" w:color="auto"/>
            </w:tcBorders>
            <w:shd w:val="clear" w:color="auto" w:fill="auto"/>
          </w:tcPr>
          <w:p>
            <w:pPr>
              <w:pStyle w:val="nTable"/>
              <w:spacing w:after="40"/>
              <w:rPr>
                <w:iCs/>
              </w:rPr>
            </w:pPr>
            <w:r>
              <w:rPr>
                <w:i/>
              </w:rPr>
              <w:t>Salaries and Allowances Amendment Act 2025</w:t>
            </w:r>
            <w:r>
              <w:rPr>
                <w:iCs/>
              </w:rPr>
              <w:t xml:space="preserve"> Pt. 2</w:t>
            </w:r>
          </w:p>
        </w:tc>
        <w:tc>
          <w:tcPr>
            <w:tcW w:w="1134" w:type="dxa"/>
            <w:tcBorders>
              <w:bottom w:val="single" w:sz="4" w:space="0" w:color="auto"/>
            </w:tcBorders>
            <w:shd w:val="clear" w:color="auto" w:fill="auto"/>
          </w:tcPr>
          <w:p>
            <w:pPr>
              <w:pStyle w:val="nTable"/>
              <w:spacing w:after="40"/>
            </w:pPr>
            <w:r>
              <w:t>3 of 2025</w:t>
            </w:r>
          </w:p>
        </w:tc>
        <w:tc>
          <w:tcPr>
            <w:tcW w:w="1134" w:type="dxa"/>
            <w:tcBorders>
              <w:bottom w:val="single" w:sz="4" w:space="0" w:color="auto"/>
            </w:tcBorders>
            <w:shd w:val="clear" w:color="auto" w:fill="auto"/>
          </w:tcPr>
          <w:p>
            <w:pPr>
              <w:pStyle w:val="nTable"/>
              <w:spacing w:after="40"/>
            </w:pPr>
            <w:r>
              <w:t>19 Jun 2025</w:t>
            </w:r>
          </w:p>
        </w:tc>
        <w:tc>
          <w:tcPr>
            <w:tcW w:w="2552" w:type="dxa"/>
            <w:tcBorders>
              <w:bottom w:val="single" w:sz="4" w:space="0" w:color="auto"/>
            </w:tcBorders>
            <w:shd w:val="clear" w:color="auto" w:fill="auto"/>
          </w:tcPr>
          <w:p>
            <w:pPr>
              <w:pStyle w:val="nTable"/>
              <w:spacing w:after="40"/>
            </w:pPr>
            <w:r>
              <w:t>20 Jun 2025 (see s. 2(b))</w:t>
            </w:r>
          </w:p>
        </w:tc>
      </w:tr>
    </w:tbl>
    <w:p>
      <w:pPr>
        <w:pStyle w:val="nHeading3"/>
      </w:pPr>
      <w:bookmarkStart w:id="94" w:name="_Toc201220339"/>
      <w:r>
        <w:lastRenderedPageBreak/>
        <w:t>Uncommenced provisions table</w:t>
      </w:r>
      <w:bookmarkEnd w:id="9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single" w:sz="4" w:space="0" w:color="auto"/>
            </w:tcBorders>
          </w:tcPr>
          <w:p>
            <w:pPr>
              <w:pStyle w:val="nTable"/>
              <w:spacing w:after="40"/>
            </w:pPr>
            <w:r>
              <w:rPr>
                <w:i/>
              </w:rPr>
              <w:t>TAB (Disposal) Act 2019</w:t>
            </w:r>
            <w:r>
              <w:t xml:space="preserve"> s. 156</w:t>
            </w:r>
          </w:p>
        </w:tc>
        <w:tc>
          <w:tcPr>
            <w:tcW w:w="1134" w:type="dxa"/>
            <w:tcBorders>
              <w:bottom w:val="single" w:sz="4" w:space="0" w:color="auto"/>
            </w:tcBorders>
          </w:tcPr>
          <w:p>
            <w:pPr>
              <w:pStyle w:val="nTable"/>
              <w:spacing w:after="40"/>
            </w:pPr>
            <w:r>
              <w:t>21 of 2019</w:t>
            </w:r>
          </w:p>
        </w:tc>
        <w:tc>
          <w:tcPr>
            <w:tcW w:w="1134" w:type="dxa"/>
            <w:tcBorders>
              <w:bottom w:val="single" w:sz="4" w:space="0" w:color="auto"/>
            </w:tcBorders>
          </w:tcPr>
          <w:p>
            <w:pPr>
              <w:pStyle w:val="nTable"/>
              <w:spacing w:after="40"/>
            </w:pPr>
            <w:r>
              <w:t>18 Sep 2019</w:t>
            </w:r>
          </w:p>
        </w:tc>
        <w:tc>
          <w:tcPr>
            <w:tcW w:w="2552" w:type="dxa"/>
            <w:tcBorders>
              <w:bottom w:val="single" w:sz="4" w:space="0" w:color="auto"/>
            </w:tcBorders>
          </w:tcPr>
          <w:p>
            <w:pPr>
              <w:pStyle w:val="nTable"/>
              <w:spacing w:after="40"/>
            </w:pPr>
            <w:r>
              <w:t>To be proclaimed (see s. 2(1)(b)(xiii))</w:t>
            </w:r>
          </w:p>
        </w:tc>
      </w:tr>
    </w:tbl>
    <w:p>
      <w:pPr>
        <w:pStyle w:val="nHeading3"/>
      </w:pPr>
      <w:bookmarkStart w:id="95" w:name="_Toc201220340"/>
      <w:r>
        <w:t>Other notes</w:t>
      </w:r>
      <w:bookmarkEnd w:id="95"/>
    </w:p>
    <w:p>
      <w:pPr>
        <w:pStyle w:val="nNote"/>
        <w:spacing w:before="160"/>
        <w:rPr>
          <w:snapToGrid w:val="0"/>
        </w:rPr>
      </w:pPr>
      <w:r>
        <w:rPr>
          <w:snapToGrid w:val="0"/>
          <w:vertAlign w:val="superscript"/>
        </w:rPr>
        <w:t>1</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Note"/>
        <w:keepNext/>
        <w:rPr>
          <w:snapToGrid w:val="0"/>
        </w:rPr>
      </w:pPr>
      <w:r>
        <w:rPr>
          <w:vertAlign w:val="superscript"/>
        </w:rPr>
        <w:t>2</w:t>
      </w:r>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Note"/>
      </w:pPr>
      <w:r>
        <w:rPr>
          <w:vertAlign w:val="superscript"/>
        </w:rPr>
        <w:t>3</w:t>
      </w:r>
      <w:r>
        <w:tab/>
        <w:t xml:space="preserve">Now known as the </w:t>
      </w:r>
      <w:r>
        <w:rPr>
          <w:i/>
        </w:rPr>
        <w:t>Salaries and Allowances Act 1975</w:t>
      </w:r>
      <w:r>
        <w:t>; short title changed (see note under s. 1).</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97" w:name="_Toc201220341"/>
      <w:r>
        <w:rPr>
          <w:sz w:val="28"/>
        </w:rPr>
        <w:lastRenderedPageBreak/>
        <w:t>Defined terms</w:t>
      </w:r>
      <w:bookmarkEnd w:id="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Act</w:t>
      </w:r>
      <w:r>
        <w:tab/>
        <w:t>12A(1)</w:t>
      </w:r>
    </w:p>
    <w:p>
      <w:pPr>
        <w:pStyle w:val="DefinedTerms"/>
      </w:pPr>
      <w:r>
        <w:t>amendment day</w:t>
      </w:r>
      <w:r>
        <w:tab/>
        <w:t>12A(1)</w:t>
      </w:r>
    </w:p>
    <w:p>
      <w:pPr>
        <w:pStyle w:val="DefinedTerms"/>
      </w:pPr>
      <w:r>
        <w:t>Chairperson</w:t>
      </w:r>
      <w:r>
        <w:tab/>
        <w:t>4(1)</w:t>
      </w:r>
    </w:p>
    <w:p>
      <w:pPr>
        <w:pStyle w:val="DefinedTerms"/>
      </w:pPr>
      <w:r>
        <w:t>classification framework</w:t>
      </w:r>
      <w:r>
        <w:tab/>
        <w:t>10D(1)</w:t>
      </w:r>
    </w:p>
    <w:p>
      <w:pPr>
        <w:pStyle w:val="DefinedTerms"/>
      </w:pPr>
      <w:r>
        <w:t>commencement day</w:t>
      </w:r>
      <w:r>
        <w:tab/>
        <w:t>10B</w:t>
      </w:r>
    </w:p>
    <w:p>
      <w:pPr>
        <w:pStyle w:val="DefinedTerms"/>
      </w:pPr>
      <w:r>
        <w:t>committee member</w:t>
      </w:r>
      <w:r>
        <w:tab/>
        <w:t>7BAA(1)</w:t>
      </w:r>
    </w:p>
    <w:p>
      <w:pPr>
        <w:pStyle w:val="DefinedTerms"/>
      </w:pPr>
      <w:r>
        <w:t>director</w:t>
      </w:r>
      <w:r>
        <w:tab/>
        <w:t>7D(1)</w:t>
      </w:r>
    </w:p>
    <w:p>
      <w:pPr>
        <w:pStyle w:val="DefinedTerms"/>
      </w:pPr>
      <w:r>
        <w:t>elected council member</w:t>
      </w:r>
      <w:r>
        <w:tab/>
        <w:t>7B(1)</w:t>
      </w:r>
    </w:p>
    <w:p>
      <w:pPr>
        <w:pStyle w:val="DefinedTerms"/>
      </w:pPr>
      <w:r>
        <w:t>entity</w:t>
      </w:r>
      <w:r>
        <w:tab/>
        <w:t>10F(1)</w:t>
      </w:r>
    </w:p>
    <w:p>
      <w:pPr>
        <w:pStyle w:val="DefinedTerms"/>
      </w:pPr>
      <w:r>
        <w:t>executive officer</w:t>
      </w:r>
      <w:r>
        <w:tab/>
        <w:t>7C(1), 10F(1)</w:t>
      </w:r>
    </w:p>
    <w:p>
      <w:pPr>
        <w:pStyle w:val="DefinedTerms"/>
      </w:pPr>
      <w:r>
        <w:t>former office entitlement</w:t>
      </w:r>
      <w:r>
        <w:tab/>
        <w:t>6C(1)</w:t>
      </w:r>
    </w:p>
    <w:p>
      <w:pPr>
        <w:pStyle w:val="DefinedTerms"/>
      </w:pPr>
      <w:r>
        <w:t>fresh election</w:t>
      </w:r>
      <w:r>
        <w:tab/>
        <w:t>6(5b)</w:t>
      </w:r>
    </w:p>
    <w:p>
      <w:pPr>
        <w:pStyle w:val="DefinedTerms"/>
      </w:pPr>
      <w:r>
        <w:t>Government entity</w:t>
      </w:r>
      <w:r>
        <w:tab/>
        <w:t>7BA, 10F(3)</w:t>
      </w:r>
    </w:p>
    <w:p>
      <w:pPr>
        <w:pStyle w:val="DefinedTerms"/>
      </w:pPr>
      <w:r>
        <w:t>Government Financial Projections Statement</w:t>
      </w:r>
      <w:r>
        <w:tab/>
        <w:t>10A(1)</w:t>
      </w:r>
    </w:p>
    <w:p>
      <w:pPr>
        <w:pStyle w:val="DefinedTerms"/>
      </w:pPr>
      <w:r>
        <w:t>GTE</w:t>
      </w:r>
      <w:r>
        <w:tab/>
        <w:t>4(1)</w:t>
      </w:r>
    </w:p>
    <w:p>
      <w:pPr>
        <w:pStyle w:val="DefinedTerms"/>
      </w:pPr>
      <w:r>
        <w:t>holding public office</w:t>
      </w:r>
      <w:r>
        <w:tab/>
        <w:t>6C(1)</w:t>
      </w:r>
    </w:p>
    <w:p>
      <w:pPr>
        <w:pStyle w:val="DefinedTerms"/>
      </w:pPr>
      <w:r>
        <w:t>member</w:t>
      </w:r>
      <w:r>
        <w:tab/>
        <w:t>4(1)</w:t>
      </w:r>
    </w:p>
    <w:p>
      <w:pPr>
        <w:pStyle w:val="DefinedTerms"/>
      </w:pPr>
      <w:r>
        <w:t>Minister of the Crown</w:t>
      </w:r>
      <w:r>
        <w:tab/>
        <w:t>4(1)</w:t>
      </w:r>
    </w:p>
    <w:p>
      <w:pPr>
        <w:pStyle w:val="DefinedTerms"/>
      </w:pPr>
      <w:r>
        <w:t xml:space="preserve">Public Sector Wages Policy Statement </w:t>
      </w:r>
      <w:r>
        <w:tab/>
        <w:t>10A(1)</w:t>
      </w:r>
    </w:p>
    <w:p>
      <w:pPr>
        <w:pStyle w:val="DefinedTerms"/>
      </w:pPr>
      <w:r>
        <w:t>remote communication</w:t>
      </w:r>
      <w:r>
        <w:tab/>
        <w:t>9(7)</w:t>
      </w:r>
    </w:p>
    <w:p>
      <w:pPr>
        <w:pStyle w:val="DefinedTerms"/>
      </w:pPr>
      <w:r>
        <w:t>remuneration</w:t>
      </w:r>
      <w:r>
        <w:tab/>
        <w:t>4(1)</w:t>
      </w:r>
    </w:p>
    <w:p>
      <w:pPr>
        <w:pStyle w:val="DefinedTerms"/>
      </w:pPr>
      <w:r>
        <w:t>Schedule 1 offence</w:t>
      </w:r>
      <w:r>
        <w:tab/>
        <w:t>6C(1)</w:t>
      </w:r>
    </w:p>
    <w:p>
      <w:pPr>
        <w:pStyle w:val="DefinedTerms"/>
      </w:pPr>
      <w:r>
        <w:t>section</w:t>
      </w:r>
      <w:r>
        <w:tab/>
        <w:t>4(1)</w:t>
      </w:r>
    </w:p>
    <w:p>
      <w:pPr>
        <w:pStyle w:val="DefinedTerms"/>
      </w:pPr>
      <w:r>
        <w:t>Tribunal</w:t>
      </w:r>
      <w:r>
        <w:tab/>
        <w:t>4(1)</w:t>
      </w:r>
    </w:p>
    <w:p>
      <w:pPr>
        <w:pStyle w:val="DefinedTerms"/>
      </w:pPr>
      <w:r>
        <w:t>validation day</w:t>
      </w:r>
      <w:r>
        <w:tab/>
        <w:t>12B(1)</w:t>
      </w:r>
    </w:p>
    <w:p>
      <w:pPr>
        <w:pStyle w:val="DefinedTerms"/>
      </w:pPr>
      <w:r>
        <w:t>validation period</w:t>
      </w:r>
      <w:r>
        <w:tab/>
        <w:t>12B(1)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5751FA4"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9BB76E8" w14:textId="5CF400C1" w:rsidR="00F25470" w:rsidRDefault="0022757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46D5A">
                        <w:rPr>
                          <w:sz w:val="16"/>
                        </w:rPr>
                        <w:t>2025</w:t>
                      </w:r>
                      <w:r>
                        <w:rPr>
                          <w:sz w:val="16"/>
                        </w:rPr>
                        <w:fldChar w:fldCharType="end"/>
                      </w:r>
                      <w:r>
                        <w:rPr>
                          <w:sz w:val="16"/>
                        </w:rPr>
                        <w:t>.</w:t>
                      </w:r>
                    </w:p>
                    <w:p w14:paraId="17CD66FE" w14:textId="77777777" w:rsidR="00F25470" w:rsidRDefault="0022757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F4E767" w14:textId="301C02E5" w:rsidR="00F25470" w:rsidRDefault="0022757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46D5A">
                        <w:rPr>
                          <w:sz w:val="16"/>
                        </w:rPr>
                        <w:t>2025</w:t>
                      </w:r>
                      <w:r>
                        <w:rPr>
                          <w:sz w:val="16"/>
                        </w:rPr>
                        <w:fldChar w:fldCharType="end"/>
                      </w:r>
                      <w:r>
                        <w:rPr>
                          <w:sz w:val="16"/>
                        </w:rPr>
                        <w:t>.</w:t>
                      </w:r>
                    </w:p>
                    <w:p w14:paraId="775E3F0B" w14:textId="77777777" w:rsidR="00F25470" w:rsidRDefault="0022757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42"/>
      <w:gridCol w:w="152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rPr>
        <w:jc w:val="center"/>
      </w:trP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42" w:type="dxa"/>
        </w:tcPr>
        <w:p>
          <w:pPr>
            <w:pStyle w:val="Header"/>
            <w:spacing w:before="40"/>
            <w:jc w:val="right"/>
          </w:pPr>
        </w:p>
      </w:tc>
      <w:tc>
        <w:tcPr>
          <w:tcW w:w="1521" w:type="dxa"/>
        </w:tcPr>
        <w:p>
          <w:pPr>
            <w:pStyle w:val="Header"/>
            <w:spacing w:before="40"/>
            <w:ind w:right="17"/>
            <w:jc w:val="right"/>
          </w:pPr>
        </w:p>
      </w:tc>
    </w:tr>
    <w:tr>
      <w:trPr>
        <w:cantSplit/>
        <w:jc w:val="center"/>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89" w:name="Schedule"/>
    <w:bookmarkEnd w:id="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8" w:name="DefinedTerms"/>
    <w:bookmarkEnd w:id="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9" w:name="Coversheet"/>
    <w:bookmarkEnd w:id="9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19085843"/>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 w:name="WAFER_20190920163016" w:val="RemoveTocBookmarks,RemoveUnusedBookmarks,RemoveLanguageTags,ResetPageSize,RunningHeaders,UpdateStyles,UsedStyles"/>
    <w:docVar w:name="WAFER_20190920163016_GUID" w:val="669cdcf7-8ecf-4274-9251-103f92bda7ec"/>
    <w:docVar w:name="WAFER_2020021214562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5622_GUID" w:val="d5691a68-9177-429d-8581-8cff1d9ce893"/>
    <w:docVar w:name="WAFER_202111171230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7123049_GUID" w:val="d2f933bd-a3f2-415b-9a46-d30fd16eed6e"/>
    <w:docVar w:name="WAFER_2023051910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102239_GUID" w:val="c90c58e3-1b46-4e96-abdb-3c216ca96090"/>
    <w:docVar w:name="WAFER_202306231009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00954_GUID" w:val="8fa74854-efbe-49c3-9ae0-b204d186f712"/>
    <w:docVar w:name="WAFER_202306231623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3162321_GUID" w:val="d50831e2-479a-46c3-a4db-a1c35ed3d4cd"/>
    <w:docVar w:name="WAFER_202312200951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112_GUID" w:val="09ad9f79-994e-4013-9ae9-78bf377958d3"/>
    <w:docVar w:name="WAFER_202506190858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19085843_GUID" w:val="4e08afbc-73db-4c5b-a69c-45b455bae59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76C6A034-887C-4118-A5EF-66D51684E6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qFormat/>
    <w:pPr>
      <w:keepNext/>
      <w:keepLines/>
      <w:jc w:val="center"/>
    </w:pPr>
    <w:rPr>
      <w:szCs w:val="24"/>
    </w:rPr>
  </w:style>
  <w:style w:type="paragraph" w:customStyle="1" w:styleId="BlankClose">
    <w:name w:val="BlankClose"/>
    <w:basedOn w:val="Normal"/>
    <w:qFormat/>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yTableNAm">
    <w:name w:val="yTableNAm"/>
    <w:basedOn w:val="TableNAm"/>
    <w:rPr>
      <w:sz w:val="22"/>
    </w:rPr>
  </w:style>
  <w:style w:type="paragraph" w:customStyle="1" w:styleId="zyTableNAm">
    <w:name w:val="zyTableNAm"/>
    <w:basedOn w:val="yTable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11894</Words>
  <Characters>56380</Characters>
  <Application>Microsoft Office Word</Application>
  <DocSecurity>0</DocSecurity>
  <Lines>1761</Lines>
  <Paragraphs>935</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67339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1975 - 06-h0-00</dc:title>
  <dc:subject/>
  <dc:creator/>
  <cp:keywords/>
  <dc:description/>
  <cp:lastModifiedBy>Master Repository Process</cp:lastModifiedBy>
  <cp:revision>4</cp:revision>
  <cp:lastPrinted>2018-04-24T00:58:00Z</cp:lastPrinted>
  <dcterms:created xsi:type="dcterms:W3CDTF">2025-06-19T09:09:00Z</dcterms:created>
  <dcterms:modified xsi:type="dcterms:W3CDTF">2025-06-19T09:09:00Z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AsAtDate">
    <vt:lpwstr>20 Jun 2025</vt:lpwstr>
  </property>
  <property fmtid="{D5CDD505-2E9C-101B-9397-08002B2CF9AE}" pid="8" name="Suffix">
    <vt:lpwstr>06-h0-00</vt:lpwstr>
  </property>
  <property fmtid="{D5CDD505-2E9C-101B-9397-08002B2CF9AE}" pid="9" name="Official">
    <vt:lpwstr/>
  </property>
  <property fmtid="{D5CDD505-2E9C-101B-9397-08002B2CF9AE}" pid="10" name="CommencementDate">
    <vt:lpwstr>20250620</vt:lpwstr>
  </property>
  <property fmtid="{D5CDD505-2E9C-101B-9397-08002B2CF9AE}" pid="11" name="CommencementAsAt">
    <vt:filetime>2025-06-19T16:00:00Z</vt:filetime>
  </property>
  <property fmtid="{D5CDD505-2E9C-101B-9397-08002B2CF9AE}" pid="12" name="CommencementYear">
    <vt:lpwstr>2025</vt:lpwstr>
  </property>
</Properties>
</file>