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Conservation and Land Management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Amendment Act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_Toc201656759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_Toc201656760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_Toc201656761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55 amended</w:t>
      </w:r>
      <w:r>
        <w:tab/>
      </w:r>
      <w:r>
        <w:fldChar w:fldCharType="begin"/>
      </w:r>
      <w:r>
        <w:instrText xml:space="preserve"> PAGEREF _Toc201656762 \h </w:instrText>
      </w:r>
      <w:r>
        <w:fldChar w:fldCharType="separate"/>
      </w:r>
      <w:r>
        <w:t>2</w:t>
      </w:r>
      <w:r>
        <w:fldChar w:fldCharType="end"/>
      </w:r>
    </w:p>
    <w:p>
      <w:pPr>
        <w:pStyle w:val="TOC8"/>
        <w:rPr>
          <w:rFonts w:asciiTheme="minorHAnsi" w:eastAsiaTheme="minorEastAsia" w:hAnsiTheme="minorHAnsi" w:cstheme="minorBidi"/>
          <w:szCs w:val="22"/>
        </w:rPr>
      </w:pPr>
      <w:r>
        <w:t>5.</w:t>
      </w:r>
      <w:r>
        <w:tab/>
        <w:t>Schedule 1 clause 1 amended</w:t>
      </w:r>
      <w:r>
        <w:tab/>
      </w:r>
      <w:r>
        <w:fldChar w:fldCharType="begin"/>
      </w:r>
      <w:r>
        <w:instrText xml:space="preserve"> PAGEREF _Toc201656763 \h </w:instrText>
      </w:r>
      <w:r>
        <w:fldChar w:fldCharType="separate"/>
      </w:r>
      <w:r>
        <w:t>3</w:t>
      </w:r>
      <w:r>
        <w:fldChar w:fldCharType="end"/>
      </w:r>
    </w:p>
    <w:p>
      <w:pPr>
        <w:pStyle w:val="TOC8"/>
        <w:rPr>
          <w:rFonts w:asciiTheme="minorHAnsi" w:eastAsiaTheme="minorEastAsia" w:hAnsiTheme="minorHAnsi" w:cstheme="minorBidi"/>
          <w:szCs w:val="22"/>
        </w:rPr>
      </w:pPr>
      <w:r>
        <w:t>6.</w:t>
      </w:r>
      <w:r>
        <w:tab/>
        <w:t>Schedule 1 clause 2 amended</w:t>
      </w:r>
      <w:r>
        <w:tab/>
      </w:r>
      <w:r>
        <w:fldChar w:fldCharType="begin"/>
      </w:r>
      <w:r>
        <w:instrText xml:space="preserve"> PAGEREF _Toc201656764 \h </w:instrText>
      </w:r>
      <w:r>
        <w:fldChar w:fldCharType="separate"/>
      </w:r>
      <w:r>
        <w:t>3</w:t>
      </w:r>
      <w:r>
        <w:fldChar w:fldCharType="end"/>
      </w:r>
    </w:p>
    <w:p>
      <w:pPr>
        <w:pStyle w:val="TOC8"/>
        <w:rPr>
          <w:rFonts w:asciiTheme="minorHAnsi" w:eastAsiaTheme="minorEastAsia" w:hAnsiTheme="minorHAnsi" w:cstheme="minorBidi"/>
          <w:szCs w:val="22"/>
        </w:rPr>
      </w:pPr>
      <w:r>
        <w:t>7.</w:t>
      </w:r>
      <w:r>
        <w:tab/>
        <w:t>Schedule 1 clause 3 amended</w:t>
      </w:r>
      <w:r>
        <w:tab/>
      </w:r>
      <w:r>
        <w:fldChar w:fldCharType="begin"/>
      </w:r>
      <w:r>
        <w:instrText xml:space="preserve"> PAGEREF _Toc201656765 \h </w:instrText>
      </w:r>
      <w:r>
        <w:fldChar w:fldCharType="separate"/>
      </w:r>
      <w:r>
        <w:t>4</w:t>
      </w:r>
      <w:r>
        <w:fldChar w:fldCharType="end"/>
      </w:r>
    </w:p>
    <w:p>
      <w:pPr>
        <w:pStyle w:val="TOC8"/>
        <w:rPr>
          <w:rFonts w:asciiTheme="minorHAnsi" w:eastAsiaTheme="minorEastAsia" w:hAnsiTheme="minorHAnsi" w:cstheme="minorBidi"/>
          <w:szCs w:val="22"/>
        </w:rPr>
      </w:pPr>
      <w:r>
        <w:t>8.</w:t>
      </w:r>
      <w:r>
        <w:tab/>
        <w:t>Schedule 1 clause 4 amended</w:t>
      </w:r>
      <w:r>
        <w:tab/>
      </w:r>
      <w:r>
        <w:fldChar w:fldCharType="begin"/>
      </w:r>
      <w:r>
        <w:instrText xml:space="preserve"> PAGEREF _Toc201656766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Conservation and Land Management Amendment Act 2025</w:t>
      </w:r>
    </w:p>
    <w:p>
      <w:pPr>
        <w:pStyle w:val="ABillFor"/>
        <w:pBdr>
          <w:top w:val="single" w:sz="4" w:space="6" w:color="auto"/>
          <w:bottom w:val="single" w:sz="4" w:space="6" w:color="auto"/>
        </w:pBdr>
        <w:spacing w:before="0" w:after="240"/>
        <w:ind w:left="2551" w:right="2551"/>
      </w:pPr>
      <w:bookmarkStart w:id="2" w:name="BillCited"/>
      <w:bookmarkEnd w:id="2"/>
      <w:r>
        <w:t>No. 6 of 2025</w:t>
      </w:r>
    </w:p>
    <w:p>
      <w:pPr>
        <w:pStyle w:val="LongTitle"/>
      </w:pPr>
      <w:r>
        <w:t xml:space="preserve">An Act to amend the </w:t>
      </w:r>
      <w:r>
        <w:rPr>
          <w:i/>
        </w:rPr>
        <w:t>Conservation and Land Management Act 1984</w:t>
      </w:r>
      <w:r>
        <w:t>.</w:t>
      </w:r>
    </w:p>
    <w:p>
      <w:pPr>
        <w:pStyle w:val="AssentDate"/>
        <w:spacing w:before="240" w:after="480"/>
      </w:pPr>
      <w:r>
        <w:t>[</w:t>
      </w:r>
      <w:r>
        <w:rPr>
          <w:i/>
        </w:rPr>
        <w:t>Assented to 24 June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201656759"/>
      <w:r>
        <w:rPr>
          <w:rStyle w:val="CharSectno"/>
        </w:rPr>
        <w:lastRenderedPageBreak/>
        <w:t>1</w:t>
      </w:r>
      <w:r>
        <w:t>.</w:t>
      </w:r>
      <w:r>
        <w:tab/>
        <w:t>Short title</w:t>
      </w:r>
      <w:bookmarkEnd w:id="3"/>
    </w:p>
    <w:p>
      <w:pPr>
        <w:pStyle w:val="Subsection"/>
      </w:pPr>
      <w:r>
        <w:tab/>
      </w:r>
      <w:r>
        <w:tab/>
        <w:t>This is the</w:t>
      </w:r>
      <w:r>
        <w:rPr>
          <w:i/>
        </w:rPr>
        <w:t xml:space="preserve"> Conservation and Land Management Amendment Act 2025</w:t>
      </w:r>
      <w:r>
        <w:t>.</w:t>
      </w:r>
    </w:p>
    <w:p>
      <w:pPr>
        <w:pStyle w:val="Heading5"/>
      </w:pPr>
      <w:bookmarkStart w:id="4" w:name="_Toc201656760"/>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201656761"/>
      <w:r>
        <w:rPr>
          <w:rStyle w:val="CharSectno"/>
        </w:rPr>
        <w:t>3</w:t>
      </w:r>
      <w:r>
        <w:rPr>
          <w:snapToGrid w:val="0"/>
        </w:rPr>
        <w:t>.</w:t>
      </w:r>
      <w:r>
        <w:rPr>
          <w:snapToGrid w:val="0"/>
        </w:rPr>
        <w:tab/>
        <w:t>Act amended</w:t>
      </w:r>
      <w:bookmarkEnd w:id="5"/>
    </w:p>
    <w:p>
      <w:pPr>
        <w:pStyle w:val="Subsection"/>
      </w:pPr>
      <w:r>
        <w:tab/>
      </w:r>
      <w:r>
        <w:tab/>
        <w:t xml:space="preserve">This Act amends the </w:t>
      </w:r>
      <w:r>
        <w:rPr>
          <w:i/>
        </w:rPr>
        <w:t>Conservation and Land Management Act 1984</w:t>
      </w:r>
      <w:r>
        <w:t>.</w:t>
      </w:r>
    </w:p>
    <w:p>
      <w:pPr>
        <w:pStyle w:val="Heading5"/>
      </w:pPr>
      <w:bookmarkStart w:id="6" w:name="_Toc201656762"/>
      <w:r>
        <w:rPr>
          <w:rStyle w:val="CharSectno"/>
        </w:rPr>
        <w:t>4</w:t>
      </w:r>
      <w:r>
        <w:t>.</w:t>
      </w:r>
      <w:r>
        <w:tab/>
        <w:t>Section 55 amended</w:t>
      </w:r>
      <w:bookmarkEnd w:id="6"/>
    </w:p>
    <w:p>
      <w:pPr>
        <w:pStyle w:val="Subsection"/>
      </w:pPr>
      <w:r>
        <w:tab/>
        <w:t>(1)</w:t>
      </w:r>
      <w:r>
        <w:tab/>
        <w:t>Delete section 55(1a)(c).</w:t>
      </w:r>
    </w:p>
    <w:p>
      <w:pPr>
        <w:pStyle w:val="Subsection"/>
      </w:pPr>
      <w:r>
        <w:tab/>
        <w:t>(2)</w:t>
      </w:r>
      <w:r>
        <w:tab/>
        <w:t>After section 55(1a) insert:</w:t>
      </w:r>
    </w:p>
    <w:p>
      <w:pPr>
        <w:pStyle w:val="BlankOpen"/>
      </w:pPr>
    </w:p>
    <w:p>
      <w:pPr>
        <w:pStyle w:val="zSubsection"/>
      </w:pPr>
      <w:r>
        <w:tab/>
        <w:t>(1B)</w:t>
      </w:r>
      <w:r>
        <w:tab/>
        <w:t>The purpose of timber production cannot be prescribed under subsection (1a)(e).</w:t>
      </w:r>
    </w:p>
    <w:p>
      <w:pPr>
        <w:pStyle w:val="zSubsection"/>
      </w:pPr>
      <w:r>
        <w:tab/>
        <w:t>(1C)</w:t>
      </w:r>
      <w:r>
        <w:tab/>
        <w:t xml:space="preserve">In subsection (1B) — </w:t>
      </w:r>
    </w:p>
    <w:p>
      <w:pPr>
        <w:pStyle w:val="zDefstart"/>
      </w:pPr>
      <w:r>
        <w:tab/>
      </w:r>
      <w:r>
        <w:rPr>
          <w:rStyle w:val="CharDefText"/>
        </w:rPr>
        <w:t>timber production</w:t>
      </w:r>
      <w:r>
        <w:t xml:space="preserve"> does not include the removal of salvaged forest products in circumstances set out in a regulation that prescribes the removal of salvaged forest products under subsection (1a)(e).</w:t>
      </w:r>
    </w:p>
    <w:p>
      <w:pPr>
        <w:pStyle w:val="BlankClose"/>
      </w:pPr>
    </w:p>
    <w:p>
      <w:pPr>
        <w:pStyle w:val="Heading5"/>
        <w:tabs>
          <w:tab w:val="left" w:pos="5372"/>
        </w:tabs>
      </w:pPr>
      <w:bookmarkStart w:id="7" w:name="_Toc201656763"/>
      <w:r>
        <w:rPr>
          <w:rStyle w:val="CharSectno"/>
        </w:rPr>
        <w:lastRenderedPageBreak/>
        <w:t>5</w:t>
      </w:r>
      <w:r>
        <w:t>.</w:t>
      </w:r>
      <w:r>
        <w:tab/>
        <w:t>Schedule 1 clause 1 amended</w:t>
      </w:r>
      <w:bookmarkEnd w:id="7"/>
    </w:p>
    <w:p>
      <w:pPr>
        <w:pStyle w:val="Subsection"/>
        <w:keepNext/>
      </w:pPr>
      <w:r>
        <w:tab/>
        <w:t>(1)</w:t>
      </w:r>
      <w:r>
        <w:tab/>
        <w:t>In Schedule 1 clause 1(1):</w:t>
      </w:r>
    </w:p>
    <w:p>
      <w:pPr>
        <w:pStyle w:val="Indenta"/>
        <w:keepNext/>
      </w:pPr>
      <w:r>
        <w:tab/>
        <w:t>(a)</w:t>
      </w:r>
      <w:r>
        <w:tab/>
        <w:t>delete “</w:t>
      </w:r>
      <w:r>
        <w:rPr>
          <w:sz w:val="22"/>
        </w:rPr>
        <w:t>his</w:t>
      </w:r>
      <w:r>
        <w:t>” and insert:</w:t>
      </w:r>
    </w:p>
    <w:p>
      <w:pPr>
        <w:pStyle w:val="BlankOpen"/>
      </w:pPr>
    </w:p>
    <w:p>
      <w:pPr>
        <w:pStyle w:val="Indenta"/>
        <w:keepNext/>
        <w:rPr>
          <w:sz w:val="22"/>
        </w:rPr>
      </w:pPr>
      <w:r>
        <w:rPr>
          <w:sz w:val="22"/>
        </w:rPr>
        <w:tab/>
      </w:r>
      <w:r>
        <w:rPr>
          <w:sz w:val="22"/>
        </w:rPr>
        <w:tab/>
        <w:t>the member’s</w:t>
      </w:r>
    </w:p>
    <w:p>
      <w:pPr>
        <w:pStyle w:val="BlankClose"/>
      </w:pPr>
    </w:p>
    <w:p>
      <w:pPr>
        <w:pStyle w:val="Indenta"/>
      </w:pPr>
      <w:r>
        <w:tab/>
        <w:t>(b)</w:t>
      </w:r>
      <w:r>
        <w:tab/>
        <w:t>delete “</w:t>
      </w:r>
      <w:r>
        <w:rPr>
          <w:sz w:val="22"/>
        </w:rPr>
        <w:t>he</w:t>
      </w:r>
      <w:r>
        <w:t>” and insert:</w:t>
      </w:r>
    </w:p>
    <w:p>
      <w:pPr>
        <w:pStyle w:val="BlankOpen"/>
      </w:pPr>
    </w:p>
    <w:p>
      <w:pPr>
        <w:pStyle w:val="Indenta"/>
        <w:rPr>
          <w:sz w:val="22"/>
        </w:rPr>
      </w:pPr>
      <w:r>
        <w:tab/>
      </w:r>
      <w:r>
        <w:tab/>
      </w:r>
      <w:r>
        <w:rPr>
          <w:sz w:val="22"/>
        </w:rPr>
        <w:t>the member</w:t>
      </w:r>
    </w:p>
    <w:p>
      <w:pPr>
        <w:pStyle w:val="BlankClose"/>
      </w:pPr>
    </w:p>
    <w:p>
      <w:pPr>
        <w:pStyle w:val="Subsection"/>
      </w:pPr>
      <w:r>
        <w:tab/>
        <w:t>(2)</w:t>
      </w:r>
      <w:r>
        <w:tab/>
        <w:t>In Schedule 1 clause 1(2):</w:t>
      </w:r>
    </w:p>
    <w:p>
      <w:pPr>
        <w:pStyle w:val="Indenta"/>
      </w:pPr>
      <w:r>
        <w:tab/>
        <w:t>(a)</w:t>
      </w:r>
      <w:r>
        <w:tab/>
        <w:t>delete “</w:t>
      </w:r>
      <w:r>
        <w:rPr>
          <w:sz w:val="22"/>
          <w:szCs w:val="22"/>
        </w:rPr>
        <w:t>he</w:t>
      </w:r>
      <w:r>
        <w:t>” (1</w:t>
      </w:r>
      <w:r>
        <w:rPr>
          <w:vertAlign w:val="superscript"/>
        </w:rPr>
        <w:t>st</w:t>
      </w:r>
      <w:r>
        <w:t xml:space="preserve"> occurrence) and insert:</w:t>
      </w:r>
    </w:p>
    <w:p>
      <w:pPr>
        <w:pStyle w:val="BlankOpen"/>
      </w:pPr>
    </w:p>
    <w:p>
      <w:pPr>
        <w:pStyle w:val="Indenta"/>
        <w:rPr>
          <w:sz w:val="22"/>
        </w:rPr>
      </w:pPr>
      <w:r>
        <w:rPr>
          <w:sz w:val="22"/>
        </w:rPr>
        <w:tab/>
      </w:r>
      <w:r>
        <w:rPr>
          <w:sz w:val="22"/>
        </w:rPr>
        <w:tab/>
        <w:t>the member</w:t>
      </w:r>
    </w:p>
    <w:p>
      <w:pPr>
        <w:pStyle w:val="BlankClose"/>
      </w:pPr>
    </w:p>
    <w:p>
      <w:pPr>
        <w:pStyle w:val="Indenta"/>
      </w:pPr>
      <w:r>
        <w:tab/>
        <w:t>(b)</w:t>
      </w:r>
      <w:r>
        <w:tab/>
        <w:t>delete “</w:t>
      </w:r>
      <w:r>
        <w:rPr>
          <w:sz w:val="22"/>
        </w:rPr>
        <w:t>his</w:t>
      </w:r>
      <w:r>
        <w:t>” and insert:</w:t>
      </w:r>
    </w:p>
    <w:p>
      <w:pPr>
        <w:pStyle w:val="BlankOpen"/>
      </w:pPr>
    </w:p>
    <w:p>
      <w:pPr>
        <w:pStyle w:val="Indenta"/>
        <w:rPr>
          <w:sz w:val="22"/>
        </w:rPr>
      </w:pPr>
      <w:r>
        <w:tab/>
      </w:r>
      <w:r>
        <w:tab/>
      </w:r>
      <w:r>
        <w:rPr>
          <w:sz w:val="22"/>
        </w:rPr>
        <w:t>the member’s</w:t>
      </w:r>
    </w:p>
    <w:p>
      <w:pPr>
        <w:pStyle w:val="BlankClose"/>
      </w:pPr>
    </w:p>
    <w:p>
      <w:pPr>
        <w:pStyle w:val="Indenta"/>
      </w:pPr>
      <w:r>
        <w:tab/>
        <w:t>(c)</w:t>
      </w:r>
      <w:r>
        <w:tab/>
        <w:t>delete “</w:t>
      </w:r>
      <w:r>
        <w:rPr>
          <w:sz w:val="22"/>
          <w:szCs w:val="22"/>
        </w:rPr>
        <w:t>he</w:t>
      </w:r>
      <w:r>
        <w:t>” (2</w:t>
      </w:r>
      <w:r>
        <w:rPr>
          <w:vertAlign w:val="superscript"/>
        </w:rPr>
        <w:t>nd</w:t>
      </w:r>
      <w:r>
        <w:t xml:space="preserve"> occurrence) and insert:</w:t>
      </w:r>
    </w:p>
    <w:p>
      <w:pPr>
        <w:pStyle w:val="BlankOpen"/>
      </w:pPr>
    </w:p>
    <w:p>
      <w:pPr>
        <w:pStyle w:val="Indenta"/>
        <w:rPr>
          <w:sz w:val="22"/>
        </w:rPr>
      </w:pPr>
      <w:r>
        <w:rPr>
          <w:sz w:val="22"/>
        </w:rPr>
        <w:tab/>
      </w:r>
      <w:r>
        <w:rPr>
          <w:sz w:val="22"/>
        </w:rPr>
        <w:tab/>
        <w:t>the member</w:t>
      </w:r>
    </w:p>
    <w:p>
      <w:pPr>
        <w:pStyle w:val="BlankClose"/>
      </w:pPr>
    </w:p>
    <w:p>
      <w:pPr>
        <w:pStyle w:val="Heading5"/>
      </w:pPr>
      <w:bookmarkStart w:id="8" w:name="_Toc201656764"/>
      <w:r>
        <w:rPr>
          <w:rStyle w:val="CharSectno"/>
        </w:rPr>
        <w:t>6</w:t>
      </w:r>
      <w:r>
        <w:t>.</w:t>
      </w:r>
      <w:r>
        <w:tab/>
        <w:t>Schedule 1 clause 2 amended</w:t>
      </w:r>
      <w:bookmarkEnd w:id="8"/>
    </w:p>
    <w:p>
      <w:pPr>
        <w:pStyle w:val="Subsection"/>
      </w:pPr>
      <w:r>
        <w:tab/>
      </w:r>
      <w:r>
        <w:tab/>
        <w:t>In Schedule 1 clause 2:</w:t>
      </w:r>
    </w:p>
    <w:p>
      <w:pPr>
        <w:pStyle w:val="Indenta"/>
      </w:pPr>
      <w:r>
        <w:tab/>
        <w:t>(a)</w:t>
      </w:r>
      <w:r>
        <w:tab/>
        <w:t>in paragraph (a) delete “</w:t>
      </w:r>
      <w:r>
        <w:rPr>
          <w:sz w:val="22"/>
          <w:szCs w:val="22"/>
        </w:rPr>
        <w:t>he</w:t>
      </w:r>
      <w:r>
        <w:t>” and insert:</w:t>
      </w:r>
    </w:p>
    <w:p>
      <w:pPr>
        <w:pStyle w:val="BlankOpen"/>
      </w:pPr>
    </w:p>
    <w:p>
      <w:pPr>
        <w:pStyle w:val="Indenta"/>
        <w:rPr>
          <w:sz w:val="22"/>
        </w:rPr>
      </w:pPr>
      <w:r>
        <w:rPr>
          <w:sz w:val="22"/>
        </w:rPr>
        <w:tab/>
      </w:r>
      <w:r>
        <w:rPr>
          <w:sz w:val="22"/>
        </w:rPr>
        <w:tab/>
        <w:t>the member</w:t>
      </w:r>
    </w:p>
    <w:p>
      <w:pPr>
        <w:pStyle w:val="BlankClose"/>
      </w:pPr>
    </w:p>
    <w:p>
      <w:pPr>
        <w:pStyle w:val="Indenta"/>
        <w:keepNext/>
      </w:pPr>
      <w:r>
        <w:lastRenderedPageBreak/>
        <w:tab/>
        <w:t>(b)</w:t>
      </w:r>
      <w:r>
        <w:tab/>
        <w:t>in paragraph (a) delete “</w:t>
      </w:r>
      <w:r>
        <w:rPr>
          <w:sz w:val="22"/>
        </w:rPr>
        <w:t>his</w:t>
      </w:r>
      <w:r>
        <w:t>” and insert:</w:t>
      </w:r>
    </w:p>
    <w:p>
      <w:pPr>
        <w:pStyle w:val="BlankOpen"/>
      </w:pPr>
    </w:p>
    <w:p>
      <w:pPr>
        <w:pStyle w:val="Indenta"/>
        <w:rPr>
          <w:sz w:val="22"/>
        </w:rPr>
      </w:pPr>
      <w:r>
        <w:tab/>
      </w:r>
      <w:r>
        <w:tab/>
      </w:r>
      <w:r>
        <w:rPr>
          <w:sz w:val="22"/>
        </w:rPr>
        <w:t>the member’s</w:t>
      </w:r>
    </w:p>
    <w:p>
      <w:pPr>
        <w:pStyle w:val="BlankClose"/>
      </w:pPr>
    </w:p>
    <w:p>
      <w:pPr>
        <w:pStyle w:val="Indenta"/>
      </w:pPr>
      <w:r>
        <w:tab/>
        <w:t>(c)</w:t>
      </w:r>
      <w:r>
        <w:tab/>
        <w:t>in paragraphs (b) and (c) delete “</w:t>
      </w:r>
      <w:r>
        <w:rPr>
          <w:sz w:val="22"/>
          <w:szCs w:val="22"/>
        </w:rPr>
        <w:t>he</w:t>
      </w:r>
      <w:r>
        <w:t>” and insert:</w:t>
      </w:r>
    </w:p>
    <w:p>
      <w:pPr>
        <w:pStyle w:val="BlankOpen"/>
      </w:pPr>
    </w:p>
    <w:p>
      <w:pPr>
        <w:pStyle w:val="Indenta"/>
        <w:rPr>
          <w:sz w:val="22"/>
        </w:rPr>
      </w:pPr>
      <w:r>
        <w:rPr>
          <w:sz w:val="22"/>
        </w:rPr>
        <w:tab/>
      </w:r>
      <w:r>
        <w:rPr>
          <w:sz w:val="22"/>
        </w:rPr>
        <w:tab/>
        <w:t>the member</w:t>
      </w:r>
    </w:p>
    <w:p>
      <w:pPr>
        <w:pStyle w:val="BlankClose"/>
      </w:pPr>
    </w:p>
    <w:p>
      <w:pPr>
        <w:pStyle w:val="Indenta"/>
        <w:keepNext/>
      </w:pPr>
      <w:r>
        <w:tab/>
        <w:t>(d)</w:t>
      </w:r>
      <w:r>
        <w:tab/>
        <w:t>in paragraph (c) delete “</w:t>
      </w:r>
      <w:r>
        <w:rPr>
          <w:sz w:val="22"/>
        </w:rPr>
        <w:t>his</w:t>
      </w:r>
      <w:r>
        <w:t>” and insert:</w:t>
      </w:r>
    </w:p>
    <w:p>
      <w:pPr>
        <w:pStyle w:val="BlankOpen"/>
      </w:pPr>
    </w:p>
    <w:p>
      <w:pPr>
        <w:pStyle w:val="Indenta"/>
        <w:rPr>
          <w:sz w:val="22"/>
        </w:rPr>
      </w:pPr>
      <w:r>
        <w:tab/>
      </w:r>
      <w:r>
        <w:tab/>
      </w:r>
      <w:r>
        <w:rPr>
          <w:sz w:val="22"/>
        </w:rPr>
        <w:t>the member’s</w:t>
      </w:r>
    </w:p>
    <w:p>
      <w:pPr>
        <w:pStyle w:val="BlankClose"/>
      </w:pPr>
    </w:p>
    <w:p>
      <w:pPr>
        <w:pStyle w:val="Heading5"/>
      </w:pPr>
      <w:bookmarkStart w:id="9" w:name="_Toc201656765"/>
      <w:r>
        <w:rPr>
          <w:rStyle w:val="CharSectno"/>
        </w:rPr>
        <w:t>7</w:t>
      </w:r>
      <w:r>
        <w:t>.</w:t>
      </w:r>
      <w:r>
        <w:tab/>
        <w:t>Schedule 1 clause 3 amended</w:t>
      </w:r>
      <w:bookmarkEnd w:id="9"/>
    </w:p>
    <w:p>
      <w:pPr>
        <w:pStyle w:val="Subsection"/>
      </w:pPr>
      <w:r>
        <w:tab/>
        <w:t>(1)</w:t>
      </w:r>
      <w:r>
        <w:tab/>
        <w:t>In Schedule 1 clause 3(1) delete “</w:t>
      </w:r>
      <w:r>
        <w:rPr>
          <w:sz w:val="22"/>
        </w:rPr>
        <w:t>his</w:t>
      </w:r>
      <w:r>
        <w:t>” and insert:</w:t>
      </w:r>
    </w:p>
    <w:p>
      <w:pPr>
        <w:pStyle w:val="BlankOpen"/>
      </w:pPr>
    </w:p>
    <w:p>
      <w:pPr>
        <w:pStyle w:val="Subsection"/>
        <w:rPr>
          <w:sz w:val="22"/>
        </w:rPr>
      </w:pPr>
      <w:r>
        <w:rPr>
          <w:sz w:val="22"/>
        </w:rPr>
        <w:tab/>
      </w:r>
      <w:r>
        <w:rPr>
          <w:sz w:val="22"/>
        </w:rPr>
        <w:tab/>
        <w:t>the person’s</w:t>
      </w:r>
    </w:p>
    <w:p>
      <w:pPr>
        <w:pStyle w:val="BlankClose"/>
      </w:pPr>
    </w:p>
    <w:p>
      <w:pPr>
        <w:pStyle w:val="Subsection"/>
      </w:pPr>
      <w:r>
        <w:tab/>
        <w:t>(2)</w:t>
      </w:r>
      <w:r>
        <w:tab/>
        <w:t>In Schedule 1 clause 3(2):</w:t>
      </w:r>
    </w:p>
    <w:p>
      <w:pPr>
        <w:pStyle w:val="Indenta"/>
      </w:pPr>
      <w:r>
        <w:tab/>
        <w:t>(a)</w:t>
      </w:r>
      <w:r>
        <w:tab/>
        <w:t>delete “</w:t>
      </w:r>
      <w:r>
        <w:rPr>
          <w:sz w:val="22"/>
        </w:rPr>
        <w:t>his</w:t>
      </w:r>
      <w:r>
        <w:t>” (1</w:t>
      </w:r>
      <w:r>
        <w:rPr>
          <w:vertAlign w:val="superscript"/>
        </w:rPr>
        <w:t>st</w:t>
      </w:r>
      <w:r>
        <w:t xml:space="preserve"> occurrence) and insert:</w:t>
      </w:r>
    </w:p>
    <w:p>
      <w:pPr>
        <w:pStyle w:val="BlankOpen"/>
      </w:pPr>
    </w:p>
    <w:p>
      <w:pPr>
        <w:pStyle w:val="Indenta"/>
        <w:rPr>
          <w:sz w:val="22"/>
        </w:rPr>
      </w:pPr>
      <w:r>
        <w:tab/>
      </w:r>
      <w:r>
        <w:tab/>
      </w:r>
      <w:r>
        <w:rPr>
          <w:sz w:val="22"/>
        </w:rPr>
        <w:t>the member’s</w:t>
      </w:r>
    </w:p>
    <w:p>
      <w:pPr>
        <w:pStyle w:val="BlankClose"/>
      </w:pPr>
    </w:p>
    <w:p>
      <w:pPr>
        <w:pStyle w:val="Indenta"/>
      </w:pPr>
      <w:r>
        <w:tab/>
        <w:t>(b)</w:t>
      </w:r>
      <w:r>
        <w:tab/>
        <w:t>delete “</w:t>
      </w:r>
      <w:r>
        <w:rPr>
          <w:sz w:val="22"/>
        </w:rPr>
        <w:t>his</w:t>
      </w:r>
      <w:r>
        <w:rPr>
          <w:szCs w:val="24"/>
        </w:rPr>
        <w:t>”</w:t>
      </w:r>
      <w:r>
        <w:t xml:space="preserve"> (2</w:t>
      </w:r>
      <w:r>
        <w:rPr>
          <w:vertAlign w:val="superscript"/>
        </w:rPr>
        <w:t>nd</w:t>
      </w:r>
      <w:r>
        <w:t xml:space="preserve"> occurrence) and insert:</w:t>
      </w:r>
    </w:p>
    <w:p>
      <w:pPr>
        <w:pStyle w:val="BlankOpen"/>
      </w:pPr>
    </w:p>
    <w:p>
      <w:pPr>
        <w:pStyle w:val="Indenta"/>
        <w:rPr>
          <w:sz w:val="22"/>
        </w:rPr>
      </w:pPr>
      <w:r>
        <w:tab/>
      </w:r>
      <w:r>
        <w:tab/>
      </w:r>
      <w:r>
        <w:rPr>
          <w:sz w:val="22"/>
        </w:rPr>
        <w:t>the</w:t>
      </w:r>
    </w:p>
    <w:p>
      <w:pPr>
        <w:pStyle w:val="BlankClose"/>
      </w:pPr>
    </w:p>
    <w:p>
      <w:pPr>
        <w:pStyle w:val="Subsection"/>
      </w:pPr>
      <w:r>
        <w:tab/>
        <w:t>(3)</w:t>
      </w:r>
      <w:r>
        <w:tab/>
        <w:t>In Schedule 1 clause 3(4) delete “</w:t>
      </w:r>
      <w:r>
        <w:rPr>
          <w:sz w:val="22"/>
        </w:rPr>
        <w:t>his</w:t>
      </w:r>
      <w:r>
        <w:t>” and insert:</w:t>
      </w:r>
    </w:p>
    <w:p>
      <w:pPr>
        <w:pStyle w:val="BlankOpen"/>
      </w:pPr>
    </w:p>
    <w:p>
      <w:pPr>
        <w:pStyle w:val="Subsection"/>
        <w:rPr>
          <w:sz w:val="22"/>
        </w:rPr>
      </w:pPr>
      <w:r>
        <w:rPr>
          <w:sz w:val="22"/>
        </w:rPr>
        <w:tab/>
      </w:r>
      <w:r>
        <w:rPr>
          <w:sz w:val="22"/>
        </w:rPr>
        <w:tab/>
        <w:t>the person’s</w:t>
      </w:r>
    </w:p>
    <w:p>
      <w:pPr>
        <w:pStyle w:val="BlankClose"/>
      </w:pPr>
    </w:p>
    <w:p>
      <w:pPr>
        <w:pStyle w:val="Heading5"/>
      </w:pPr>
      <w:bookmarkStart w:id="10" w:name="_Toc201656766"/>
      <w:r>
        <w:rPr>
          <w:rStyle w:val="CharSectno"/>
        </w:rPr>
        <w:lastRenderedPageBreak/>
        <w:t>8</w:t>
      </w:r>
      <w:r>
        <w:t>.</w:t>
      </w:r>
      <w:r>
        <w:tab/>
        <w:t>Schedule 1 clause 4 amended</w:t>
      </w:r>
      <w:bookmarkEnd w:id="10"/>
    </w:p>
    <w:p>
      <w:pPr>
        <w:pStyle w:val="Subsection"/>
      </w:pPr>
      <w:r>
        <w:tab/>
      </w:r>
      <w:r>
        <w:tab/>
        <w:t>After Schedule 1 clause 4(4) insert:</w:t>
      </w:r>
    </w:p>
    <w:p>
      <w:pPr>
        <w:pStyle w:val="BlankOpen"/>
      </w:pPr>
    </w:p>
    <w:p>
      <w:pPr>
        <w:pStyle w:val="zySubsection"/>
      </w:pPr>
      <w:r>
        <w:tab/>
        <w:t>(4A)</w:t>
      </w:r>
      <w:r>
        <w:tab/>
        <w:t>The presence of a person at a meeting of the Commission need not be by attendance in person but may be by that person and each other person at the meeting being simultaneously in contact by telephone or other means of instantaneous communication.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6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4112309"/>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6144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6144657_GUID" w:val="f320cedc-24bb-4623-a97b-13d62b6c7f4d"/>
    <w:docVar w:name="WAFER_20250422101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2101235_GUID" w:val="31504c8b-c1b0-4a65-b961-c860ca94fc3b"/>
    <w:docVar w:name="WAFER_20250624112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24112309_GUID" w:val="ae28e9c9-5487-4fb7-a849-ba1754debc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C17327-B4D1-4720-8C8C-4E45972BF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560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565</Words>
  <Characters>2742</Characters>
  <Application>Microsoft Office Word</Application>
  <DocSecurity>0</DocSecurity>
  <Lines>161</Lines>
  <Paragraphs>106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Amendment Act 2025 - 00-00-00</dc:title>
  <dc:subject/>
  <dc:creator/>
  <cp:keywords/>
  <dc:description/>
  <cp:lastModifiedBy>Master Repository Process</cp:lastModifiedBy>
  <cp:revision>4</cp:revision>
  <cp:lastPrinted>2025-06-24T02:48:00Z</cp:lastPrinted>
  <dcterms:created xsi:type="dcterms:W3CDTF">2025-06-24T04:21:00Z</dcterms:created>
  <dcterms:modified xsi:type="dcterms:W3CDTF">2025-06-24T04:21:00Z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2025</vt:lpwstr>
  </property>
  <property fmtid="{D5CDD505-2E9C-101B-9397-08002B2CF9AE}" pid="3" name="DocumentType">
    <vt:lpwstr>Act</vt:lpwstr>
  </property>
  <property fmtid="{D5CDD505-2E9C-101B-9397-08002B2CF9AE}" pid="4" name="AsAtDate">
    <vt:lpwstr>24 Jun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6 of 2025</vt:lpwstr>
  </property>
  <property fmtid="{D5CDD505-2E9C-101B-9397-08002B2CF9AE}" pid="8" name="CommencementDate">
    <vt:lpwstr>20250624</vt:lpwstr>
  </property>
  <property fmtid="{D5CDD505-2E9C-101B-9397-08002B2CF9AE}" pid="9" name="CommencementAsAt">
    <vt:filetime>2025-06-23T16:00:00Z</vt:filetime>
  </property>
  <property fmtid="{D5CDD505-2E9C-101B-9397-08002B2CF9AE}" pid="10" name="CommencementYear">
    <vt:lpwstr>2025</vt:lpwstr>
  </property>
</Properties>
</file>