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Aboriginal Heritage Act 1972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Aboriginal Heritage (Fees) Amendment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Aboriginal Heritage (Fees) Amendment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_Toc201658726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_Toc201658727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_Toc201658728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4 amended</w:t>
      </w:r>
      <w:r>
        <w:tab/>
      </w:r>
      <w:r>
        <w:fldChar w:fldCharType="begin"/>
      </w:r>
      <w:r>
        <w:instrText xml:space="preserve"> PAGEREF _Toc201658729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5 amended</w:t>
      </w:r>
      <w:r>
        <w:tab/>
      </w:r>
      <w:r>
        <w:fldChar w:fldCharType="begin"/>
      </w:r>
      <w:r>
        <w:instrText xml:space="preserve"> PAGEREF _Toc201658730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Aboriginal Heritage Act 1972</w:t>
      </w:r>
    </w:p>
    <w:p>
      <w:pPr>
        <w:pStyle w:val="NameofActReg"/>
      </w:pPr>
      <w:r>
        <w:t>Aboriginal Heritage (Fees) Amendment Regulations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1238769"/>
      <w:bookmarkStart w:id="3" w:name="_Toc201658726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Aboriginal Heritage (Fees) Amendment Regulations 2025</w:t>
      </w:r>
      <w:r>
        <w:t>.</w:t>
      </w:r>
    </w:p>
    <w:p>
      <w:pPr>
        <w:pStyle w:val="Heading5"/>
        <w:rPr>
          <w:spacing w:val="-2"/>
        </w:rPr>
      </w:pPr>
      <w:bookmarkStart w:id="5" w:name="_Toc201238770"/>
      <w:bookmarkStart w:id="6" w:name="_Toc20165872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 xml:space="preserve"> — 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2025.</w:t>
      </w:r>
    </w:p>
    <w:p>
      <w:pPr>
        <w:pStyle w:val="Heading5"/>
        <w:rPr>
          <w:snapToGrid w:val="0"/>
        </w:rPr>
      </w:pPr>
      <w:bookmarkStart w:id="7" w:name="_Toc201238771"/>
      <w:bookmarkStart w:id="8" w:name="_Toc20165872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Aboriginal Heritage (Fees) Regulations 2023</w:t>
      </w:r>
      <w:r>
        <w:t>.</w:t>
      </w:r>
    </w:p>
    <w:p>
      <w:pPr>
        <w:pStyle w:val="Heading5"/>
      </w:pPr>
      <w:bookmarkStart w:id="9" w:name="_Toc201238772"/>
      <w:bookmarkStart w:id="10" w:name="_Toc201658729"/>
      <w:r>
        <w:rPr>
          <w:rStyle w:val="CharSectno"/>
        </w:rPr>
        <w:t>4</w:t>
      </w:r>
      <w:r>
        <w:t>.</w:t>
      </w:r>
      <w:r>
        <w:tab/>
        <w:t>Regulation 4 amended</w:t>
      </w:r>
      <w:bookmarkEnd w:id="9"/>
      <w:bookmarkEnd w:id="10"/>
    </w:p>
    <w:p>
      <w:pPr>
        <w:pStyle w:val="Subsection"/>
      </w:pPr>
      <w:r>
        <w:tab/>
      </w:r>
      <w:r>
        <w:tab/>
        <w:t>In regulation 4(1):</w:t>
      </w:r>
    </w:p>
    <w:p>
      <w:pPr>
        <w:pStyle w:val="Indenta"/>
      </w:pPr>
      <w:r>
        <w:tab/>
        <w:t>(a)</w:t>
      </w:r>
      <w:r>
        <w:tab/>
        <w:t>in paragraph (a) delete “$250; or”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$256; or</w:t>
      </w:r>
    </w:p>
    <w:p>
      <w:pPr>
        <w:pStyle w:val="BlankClose"/>
      </w:pPr>
    </w:p>
    <w:p>
      <w:pPr>
        <w:pStyle w:val="Indenta"/>
        <w:tabs>
          <w:tab w:val="left" w:pos="1590"/>
        </w:tabs>
      </w:pPr>
      <w:r>
        <w:tab/>
        <w:t>(b)</w:t>
      </w:r>
      <w:r>
        <w:tab/>
        <w:t>delete paragraph (b)(i) and insert:</w:t>
      </w:r>
    </w:p>
    <w:p>
      <w:pPr>
        <w:pStyle w:val="BlankOpen"/>
      </w:pPr>
    </w:p>
    <w:p>
      <w:pPr>
        <w:pStyle w:val="zIndenti"/>
      </w:pPr>
      <w:r>
        <w:tab/>
        <w:t>(i)</w:t>
      </w:r>
      <w:r>
        <w:tab/>
        <w:t>$256; and</w:t>
      </w:r>
    </w:p>
    <w:p>
      <w:pPr>
        <w:pStyle w:val="BlankClose"/>
      </w:pPr>
    </w:p>
    <w:p>
      <w:pPr>
        <w:pStyle w:val="Heading5"/>
      </w:pPr>
      <w:bookmarkStart w:id="11" w:name="_Toc201238773"/>
      <w:bookmarkStart w:id="12" w:name="_Toc201658730"/>
      <w:r>
        <w:rPr>
          <w:rStyle w:val="CharSectno"/>
        </w:rPr>
        <w:lastRenderedPageBreak/>
        <w:t>5</w:t>
      </w:r>
      <w:r>
        <w:t>.</w:t>
      </w:r>
      <w:r>
        <w:tab/>
        <w:t>Regulation 5 amended</w:t>
      </w:r>
      <w:bookmarkEnd w:id="11"/>
      <w:bookmarkEnd w:id="12"/>
    </w:p>
    <w:p>
      <w:pPr>
        <w:pStyle w:val="Subsection"/>
      </w:pPr>
      <w:r>
        <w:tab/>
      </w:r>
      <w:r>
        <w:tab/>
        <w:t>In regulation 5(1):</w:t>
      </w:r>
    </w:p>
    <w:p>
      <w:pPr>
        <w:pStyle w:val="Indenta"/>
      </w:pPr>
      <w:r>
        <w:tab/>
        <w:t>(a)</w:t>
      </w:r>
      <w:r>
        <w:tab/>
        <w:t>in paragraph (a) delete “$250; or”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$256; or</w:t>
      </w:r>
    </w:p>
    <w:p>
      <w:pPr>
        <w:pStyle w:val="BlankClose"/>
      </w:pPr>
    </w:p>
    <w:p>
      <w:pPr>
        <w:pStyle w:val="Indenta"/>
        <w:tabs>
          <w:tab w:val="left" w:pos="1590"/>
        </w:tabs>
      </w:pPr>
      <w:r>
        <w:tab/>
        <w:t>(b)</w:t>
      </w:r>
      <w:r>
        <w:tab/>
        <w:t>delete paragraph (b)(i) and insert:</w:t>
      </w:r>
    </w:p>
    <w:p>
      <w:pPr>
        <w:pStyle w:val="BlankOpen"/>
      </w:pPr>
    </w:p>
    <w:p>
      <w:pPr>
        <w:pStyle w:val="zIndenti"/>
      </w:pPr>
      <w:r>
        <w:tab/>
        <w:t>(i)</w:t>
      </w:r>
      <w:r>
        <w:tab/>
        <w:t>$256; and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2025/107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2025/107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2025/107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2025/107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2025/107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2025/107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Aboriginal Heritage (Fees)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Aboriginal Heritage (Fees)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Aboriginal Heritage (Fees)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Aboriginal Heritage (Fees)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619151826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51914135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519141355_GUID" w:val="d0fef981-4648-4a65-a91e-0aec1f78006a"/>
    <w:docVar w:name="WAFER_2025060316402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03164025_GUID" w:val="840d4097-b337-47f3-b7c1-2273981bbfd1"/>
    <w:docVar w:name="WAFER_202506191518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619151826_GUID" w:val="53a442f7-9d24-427a-a06e-9077a65357d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5:docId w15:val="{97EAA55D-59C4-4D33-82AC-36EA7C9FE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274</Words>
  <Characters>1524</Characters>
  <Application>Microsoft Office Word</Application>
  <DocSecurity>0</DocSecurity>
  <Lines>84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Aboriginal Heritage (Fees) Amendment Regulations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2025-06-24T06:48:00Z</dcterms:created>
  <dcterms:modified xsi:type="dcterms:W3CDTF">2025-06-24T06:48:00Z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55456</vt:lpwstr>
  </property>
  <property fmtid="{D5CDD505-2E9C-101B-9397-08002B2CF9AE}" pid="3" name="DocumentType">
    <vt:lpwstr>Reg</vt:lpwstr>
  </property>
  <property fmtid="{D5CDD505-2E9C-101B-9397-08002B2CF9AE}" pid="4" name="AsAtDate">
    <vt:lpwstr>25 Jun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2025/107</vt:lpwstr>
  </property>
  <property fmtid="{D5CDD505-2E9C-101B-9397-08002B2CF9AE}" pid="8" name="PublishDate">
    <vt:lpwstr>25 Jun 2025</vt:lpwstr>
  </property>
  <property fmtid="{D5CDD505-2E9C-101B-9397-08002B2CF9AE}" pid="9" name="CommencementDate">
    <vt:lpwstr>20250625</vt:lpwstr>
  </property>
  <property fmtid="{D5CDD505-2E9C-101B-9397-08002B2CF9AE}" pid="10" name="CommencementAsAt">
    <vt:filetime>2025-06-24T16:00:00Z</vt:filetime>
  </property>
  <property fmtid="{D5CDD505-2E9C-101B-9397-08002B2CF9AE}" pid="11" name="CommencementYear">
    <vt:lpwstr>2025</vt:lpwstr>
  </property>
</Properties>
</file>