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Alteration of Statutory Designations Act 1974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Alteration of Statutory Designations Order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Alteration of Statutory Designations Order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_Toc201659045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_Toc201659046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 used: previous order</w:t>
      </w:r>
      <w:r>
        <w:tab/>
      </w:r>
      <w:r>
        <w:fldChar w:fldCharType="begin"/>
      </w:r>
      <w:r>
        <w:instrText xml:space="preserve"> PAGEREF _Toc201659047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References to Department of Energy, Mines, Industry Regulation and Safety altered</w:t>
      </w:r>
      <w:r>
        <w:tab/>
      </w:r>
      <w:r>
        <w:fldChar w:fldCharType="begin"/>
      </w:r>
      <w:r>
        <w:instrText xml:space="preserve"> PAGEREF _Toc201659048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References to Department of Finance altered</w:t>
      </w:r>
      <w:r>
        <w:tab/>
      </w:r>
      <w:r>
        <w:fldChar w:fldCharType="begin"/>
      </w:r>
      <w:r>
        <w:instrText xml:space="preserve"> PAGEREF _Toc201659049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References to Department of Jobs, Tourism, Science and Innovation altered</w:t>
      </w:r>
      <w:r>
        <w:tab/>
      </w:r>
      <w:r>
        <w:fldChar w:fldCharType="begin"/>
      </w:r>
      <w:r>
        <w:instrText xml:space="preserve"> PAGEREF _Toc201659050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References to Department of Local Government, Sport and Cultural Industries altered</w:t>
      </w:r>
      <w:r>
        <w:tab/>
      </w:r>
      <w:r>
        <w:fldChar w:fldCharType="begin"/>
      </w:r>
      <w:r>
        <w:instrText xml:space="preserve"> PAGEREF _Toc201659051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References to Department of Transport altered</w:t>
      </w:r>
      <w:r>
        <w:tab/>
      </w:r>
      <w:r>
        <w:fldChar w:fldCharType="begin"/>
      </w:r>
      <w:r>
        <w:instrText xml:space="preserve"> PAGEREF _Toc201659052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References to Department of Treasury altered</w:t>
      </w:r>
      <w:r>
        <w:tab/>
      </w:r>
      <w:r>
        <w:fldChar w:fldCharType="begin"/>
      </w:r>
      <w:r>
        <w:instrText xml:space="preserve"> PAGEREF _Toc201659053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</w:r>
      <w:r>
        <w:rPr>
          <w:i/>
          <w:iCs/>
        </w:rPr>
        <w:t>Alteration of Statutory Designations Order 2010</w:t>
      </w:r>
      <w:r>
        <w:t xml:space="preserve"> amended</w:t>
      </w:r>
      <w:r>
        <w:tab/>
      </w:r>
      <w:r>
        <w:fldChar w:fldCharType="begin"/>
      </w:r>
      <w:r>
        <w:instrText xml:space="preserve"> PAGEREF _Toc201659054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jc w:val="center"/>
      </w:pPr>
    </w:p>
    <w:p>
      <w:pPr>
        <w:pStyle w:val="PrincipalActReg"/>
      </w:pPr>
      <w:r>
        <w:t>Alteration of Statutory Designations Act 1974</w:t>
      </w:r>
    </w:p>
    <w:p>
      <w:pPr>
        <w:pStyle w:val="NameofActReg"/>
      </w:pPr>
      <w:r>
        <w:t>Alteration of Statutory Designations Order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236484"/>
      <w:bookmarkStart w:id="3" w:name="_Toc20165904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Alteration of Statutory Designations Order 2025</w:t>
      </w:r>
      <w:r>
        <w:t>.</w:t>
      </w:r>
    </w:p>
    <w:p>
      <w:pPr>
        <w:pStyle w:val="Heading5"/>
        <w:rPr>
          <w:spacing w:val="-2"/>
        </w:rPr>
      </w:pPr>
      <w:bookmarkStart w:id="5" w:name="_Toc201236485"/>
      <w:bookmarkStart w:id="6" w:name="_Toc20165904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 xml:space="preserve">order comes into operation </w:t>
      </w:r>
      <w:r>
        <w:t>on 1 July 2025.</w:t>
      </w:r>
    </w:p>
    <w:p>
      <w:pPr>
        <w:pStyle w:val="Heading5"/>
      </w:pPr>
      <w:bookmarkStart w:id="7" w:name="_Toc201236486"/>
      <w:bookmarkStart w:id="8" w:name="_Toc201659047"/>
      <w:r>
        <w:rPr>
          <w:rStyle w:val="CharSectno"/>
        </w:rPr>
        <w:t>3</w:t>
      </w:r>
      <w:r>
        <w:t>.</w:t>
      </w:r>
      <w:r>
        <w:tab/>
        <w:t>Term used: previous order</w:t>
      </w:r>
      <w:bookmarkEnd w:id="7"/>
      <w:bookmarkEnd w:id="8"/>
    </w:p>
    <w:p>
      <w:pPr>
        <w:pStyle w:val="Subsection"/>
      </w:pPr>
      <w:r>
        <w:tab/>
      </w:r>
      <w:r>
        <w:tab/>
        <w:t xml:space="preserve">In this order — </w:t>
      </w:r>
    </w:p>
    <w:p>
      <w:pPr>
        <w:pStyle w:val="Defstart"/>
      </w:pPr>
      <w:r>
        <w:tab/>
      </w:r>
      <w:r>
        <w:rPr>
          <w:rStyle w:val="CharDefText"/>
        </w:rPr>
        <w:t>previous order</w:t>
      </w:r>
      <w:r>
        <w:t xml:space="preserve"> means an order made under the Act before this order.</w:t>
      </w:r>
    </w:p>
    <w:p>
      <w:pPr>
        <w:pStyle w:val="Heading5"/>
      </w:pPr>
      <w:bookmarkStart w:id="9" w:name="_Toc201236487"/>
      <w:bookmarkStart w:id="10" w:name="_Toc201659048"/>
      <w:r>
        <w:rPr>
          <w:rStyle w:val="CharSectno"/>
        </w:rPr>
        <w:t>4</w:t>
      </w:r>
      <w:r>
        <w:t>.</w:t>
      </w:r>
      <w:r>
        <w:tab/>
        <w:t>References to Department of Energy, Mines, Industry Regulation and Safety altered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 xml:space="preserve">In this clause — </w:t>
      </w:r>
    </w:p>
    <w:p>
      <w:pPr>
        <w:pStyle w:val="Defstart"/>
      </w:pPr>
      <w:r>
        <w:tab/>
      </w:r>
      <w:r>
        <w:rPr>
          <w:rStyle w:val="CharDefText"/>
        </w:rPr>
        <w:t>relevant successor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the Department of Energy and Economic Diversification if the reference to be read and construed relates to a function, office or other matter that on 1 July 2025 becomes a function of, office in, or other matter relating to, that department; or</w:t>
      </w:r>
    </w:p>
    <w:p>
      <w:pPr>
        <w:pStyle w:val="Defpara"/>
      </w:pPr>
      <w:r>
        <w:tab/>
        <w:t>(b)</w:t>
      </w:r>
      <w:r>
        <w:tab/>
        <w:t xml:space="preserve">the Department of Local Government, Industry Regulation and Safety if the reference to be read and construed relates to a function, office or other matter </w:t>
      </w:r>
      <w:r>
        <w:lastRenderedPageBreak/>
        <w:t>that on 1 July 2025 becomes a function of, office in, or other matter relating to, that department; or</w:t>
      </w:r>
    </w:p>
    <w:p>
      <w:pPr>
        <w:pStyle w:val="Defpara"/>
        <w:keepLines/>
      </w:pPr>
      <w:r>
        <w:tab/>
        <w:t>(c)</w:t>
      </w:r>
      <w:r>
        <w:tab/>
        <w:t>the Department of Mines, Petroleum and Exploration if the reference to be read and construed relates to a function, office or other matter that on 1 July 2025 becomes a function of, office in, or other matter relating to, that department.</w:t>
      </w:r>
    </w:p>
    <w:p>
      <w:pPr>
        <w:pStyle w:val="Subsection"/>
      </w:pPr>
      <w:r>
        <w:tab/>
        <w:t>(2)</w:t>
      </w:r>
      <w:r>
        <w:tab/>
        <w:t xml:space="preserve">A reference to the Department of Energy, Mines, Industry Regulation and Safety (including a reference to a department that, under a previous order, is to be read and construed as a reference to the Department of Energy, Mines, Industry Regulation and Safety) contained in any law, or in any instrument, contract or legal proceedings made or commenced before 1 July 2025, is to be read and construed as a reference to the relevant successor. </w:t>
      </w:r>
    </w:p>
    <w:p>
      <w:pPr>
        <w:pStyle w:val="Subsection"/>
      </w:pPr>
      <w:r>
        <w:tab/>
        <w:t>(3)</w:t>
      </w:r>
      <w:r>
        <w:tab/>
        <w:t>Subclause (2) does not apply to a reference if the context of the reference requires otherwise.</w:t>
      </w:r>
    </w:p>
    <w:p>
      <w:pPr>
        <w:pStyle w:val="Heading5"/>
      </w:pPr>
      <w:bookmarkStart w:id="11" w:name="_Toc201236488"/>
      <w:bookmarkStart w:id="12" w:name="_Toc201659049"/>
      <w:r>
        <w:rPr>
          <w:rStyle w:val="CharSectno"/>
        </w:rPr>
        <w:t>5</w:t>
      </w:r>
      <w:r>
        <w:t>.</w:t>
      </w:r>
      <w:r>
        <w:tab/>
        <w:t>References to Department of Finance altered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 xml:space="preserve">In this clause — </w:t>
      </w:r>
    </w:p>
    <w:p>
      <w:pPr>
        <w:pStyle w:val="Defstart"/>
      </w:pPr>
      <w:r>
        <w:tab/>
      </w:r>
      <w:r>
        <w:rPr>
          <w:rStyle w:val="CharDefText"/>
        </w:rPr>
        <w:t>relevant successor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the Department of Housing and Works if the reference to be read and construed relates to a function, office or other matter that on 1 July 2025 becomes a function of, office in, or other matter relating to, that department; or</w:t>
      </w:r>
    </w:p>
    <w:p>
      <w:pPr>
        <w:pStyle w:val="Defpara"/>
        <w:keepLines/>
      </w:pPr>
      <w:r>
        <w:tab/>
        <w:t>(b)</w:t>
      </w:r>
      <w:r>
        <w:tab/>
        <w:t>the Department of Treasury and Finance if the reference to be read and construed relates to a function, office or other matter that on 1 July 2025 becomes a function of, office in, or other matter relating to, that department.</w:t>
      </w:r>
    </w:p>
    <w:p>
      <w:pPr>
        <w:pStyle w:val="Subsection"/>
      </w:pPr>
      <w:r>
        <w:tab/>
        <w:t>(2)</w:t>
      </w:r>
      <w:r>
        <w:tab/>
        <w:t xml:space="preserve">A reference to the Department of Finance (including a reference to a department that, under a previous order, is to be read and construed as a reference to the Department of Finance) contained in any law, or in any instrument, contract or legal </w:t>
      </w:r>
      <w:r>
        <w:lastRenderedPageBreak/>
        <w:t xml:space="preserve">proceedings made or commenced before 1 July 2025, is to be read and construed as a reference to the relevant successor. </w:t>
      </w:r>
    </w:p>
    <w:p>
      <w:pPr>
        <w:pStyle w:val="Subsection"/>
      </w:pPr>
      <w:r>
        <w:tab/>
        <w:t>(3)</w:t>
      </w:r>
      <w:r>
        <w:tab/>
        <w:t>Subclause (2) does not apply to a reference if the context of the reference requires otherwise.</w:t>
      </w:r>
    </w:p>
    <w:p>
      <w:pPr>
        <w:pStyle w:val="Heading5"/>
      </w:pPr>
      <w:bookmarkStart w:id="13" w:name="_Toc201236489"/>
      <w:bookmarkStart w:id="14" w:name="_Toc201659050"/>
      <w:r>
        <w:rPr>
          <w:rStyle w:val="CharSectno"/>
        </w:rPr>
        <w:t>6</w:t>
      </w:r>
      <w:r>
        <w:t>.</w:t>
      </w:r>
      <w:r>
        <w:tab/>
        <w:t>References to Department of Jobs, Tourism, Science and Innovation altered</w:t>
      </w:r>
      <w:bookmarkEnd w:id="13"/>
      <w:bookmarkEnd w:id="14"/>
    </w:p>
    <w:p>
      <w:pPr>
        <w:pStyle w:val="Subsection"/>
      </w:pPr>
      <w:r>
        <w:tab/>
        <w:t>(1)</w:t>
      </w:r>
      <w:r>
        <w:tab/>
        <w:t xml:space="preserve">In this clause — </w:t>
      </w:r>
    </w:p>
    <w:p>
      <w:pPr>
        <w:pStyle w:val="Defstart"/>
      </w:pPr>
      <w:r>
        <w:tab/>
      </w:r>
      <w:r>
        <w:rPr>
          <w:rStyle w:val="CharDefText"/>
        </w:rPr>
        <w:t>relevant successor</w:t>
      </w:r>
      <w:r>
        <w:t xml:space="preserve"> means — </w:t>
      </w:r>
    </w:p>
    <w:p>
      <w:pPr>
        <w:pStyle w:val="Defpara"/>
        <w:keepLines/>
      </w:pPr>
      <w:r>
        <w:tab/>
        <w:t>(a)</w:t>
      </w:r>
      <w:r>
        <w:tab/>
        <w:t>the Department of Creative Industries, Tourism and Sport if the reference to be read and construed relates to a function, office or other matter that on 1 July 2025 becomes a function of, office in, or other matter relating to, that department; or</w:t>
      </w:r>
    </w:p>
    <w:p>
      <w:pPr>
        <w:pStyle w:val="Defpara"/>
        <w:keepLines/>
      </w:pPr>
      <w:r>
        <w:tab/>
        <w:t>(b)</w:t>
      </w:r>
      <w:r>
        <w:tab/>
        <w:t>the Department of Energy and Economic Diversification if the reference to be read and construed relates to a function, office or other matter that on 1 July 2025 becomes a function of, office in, or other matter relating to, that department; or</w:t>
      </w:r>
    </w:p>
    <w:p>
      <w:pPr>
        <w:pStyle w:val="Defpara"/>
      </w:pPr>
      <w:r>
        <w:tab/>
        <w:t>(c)</w:t>
      </w:r>
      <w:r>
        <w:tab/>
        <w:t>the Department of the Premier and Cabinet if the reference to be read and construed relates to a function, office or other matter that on 1 July 2025 becomes a function of, office in, or other matter relating to, that department.</w:t>
      </w:r>
    </w:p>
    <w:p>
      <w:pPr>
        <w:pStyle w:val="Subsection"/>
      </w:pPr>
      <w:r>
        <w:tab/>
        <w:t>(2)</w:t>
      </w:r>
      <w:r>
        <w:tab/>
        <w:t xml:space="preserve">A reference to the Department of Jobs, Tourism, Science and Innovation (including a reference to a department that, under a previous order, is to be read and construed as a reference to the Department of Jobs, Tourism, Science and Innovation) contained in any law, or in any instrument, contract or legal proceedings made or commenced before 1 July 2025, is to be read and construed as a reference to the relevant successor. </w:t>
      </w:r>
    </w:p>
    <w:p>
      <w:pPr>
        <w:pStyle w:val="Subsection"/>
      </w:pPr>
      <w:r>
        <w:tab/>
        <w:t>(3)</w:t>
      </w:r>
      <w:r>
        <w:tab/>
        <w:t>Subclause (2) does not apply to a reference if the context of the reference requires otherwise.</w:t>
      </w:r>
    </w:p>
    <w:p>
      <w:pPr>
        <w:pStyle w:val="Heading5"/>
      </w:pPr>
      <w:bookmarkStart w:id="15" w:name="_Toc201236490"/>
      <w:bookmarkStart w:id="16" w:name="_Toc201659051"/>
      <w:r>
        <w:rPr>
          <w:rStyle w:val="CharSectno"/>
        </w:rPr>
        <w:lastRenderedPageBreak/>
        <w:t>7</w:t>
      </w:r>
      <w:r>
        <w:t>.</w:t>
      </w:r>
      <w:r>
        <w:tab/>
        <w:t>References to Department of Local Government, Sport and Cultural Industries altered</w:t>
      </w:r>
      <w:bookmarkEnd w:id="15"/>
      <w:bookmarkEnd w:id="16"/>
    </w:p>
    <w:p>
      <w:pPr>
        <w:pStyle w:val="Subsection"/>
      </w:pPr>
      <w:r>
        <w:tab/>
        <w:t>(1)</w:t>
      </w:r>
      <w:r>
        <w:tab/>
        <w:t xml:space="preserve">In this clause — </w:t>
      </w:r>
    </w:p>
    <w:p>
      <w:pPr>
        <w:pStyle w:val="Defstart"/>
      </w:pPr>
      <w:r>
        <w:tab/>
      </w:r>
      <w:r>
        <w:rPr>
          <w:rStyle w:val="CharDefText"/>
        </w:rPr>
        <w:t>relevant successor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the Department of Creative Industries, Tourism and Sport if the reference to be read and construed relates to a function, office or other matter that on 1 July 2025 becomes a function of, office in, or other matter relating to, that department; or</w:t>
      </w:r>
    </w:p>
    <w:p>
      <w:pPr>
        <w:pStyle w:val="Defpara"/>
        <w:keepLines/>
      </w:pPr>
      <w:r>
        <w:tab/>
        <w:t>(b)</w:t>
      </w:r>
      <w:r>
        <w:tab/>
        <w:t>the Department of Local Government, Industry Regulation and Safety if the reference to be read and construed relates to a function, office or other matter that on 1 July 2025 becomes a function of, office in, or other matter relating to, that department.</w:t>
      </w:r>
    </w:p>
    <w:p>
      <w:pPr>
        <w:pStyle w:val="Subsection"/>
      </w:pPr>
      <w:r>
        <w:tab/>
        <w:t>(2)</w:t>
      </w:r>
      <w:r>
        <w:tab/>
        <w:t xml:space="preserve">A reference to the Department of Local Government, Sport and Cultural Industries (including a reference to a department that, under a previous order, is to be read and construed as a reference to the Department of Local Government, Sport and Cultural Industries) contained in any law, or in any instrument, contract or legal proceedings made or commenced before 1 July 2025, is to be read and construed as a reference to the relevant successor. </w:t>
      </w:r>
    </w:p>
    <w:p>
      <w:pPr>
        <w:pStyle w:val="Subsection"/>
      </w:pPr>
      <w:r>
        <w:tab/>
        <w:t>(3)</w:t>
      </w:r>
      <w:r>
        <w:tab/>
        <w:t>Subclause (2) does not apply to a reference if the context of the reference requires otherwise.</w:t>
      </w:r>
    </w:p>
    <w:p>
      <w:pPr>
        <w:pStyle w:val="Heading5"/>
      </w:pPr>
      <w:bookmarkStart w:id="17" w:name="_Toc201236491"/>
      <w:bookmarkStart w:id="18" w:name="_Toc201659052"/>
      <w:r>
        <w:rPr>
          <w:rStyle w:val="CharSectno"/>
        </w:rPr>
        <w:t>8</w:t>
      </w:r>
      <w:r>
        <w:t>.</w:t>
      </w:r>
      <w:r>
        <w:tab/>
        <w:t>References to Department of Transport altered</w:t>
      </w:r>
      <w:bookmarkEnd w:id="17"/>
      <w:bookmarkEnd w:id="18"/>
    </w:p>
    <w:p>
      <w:pPr>
        <w:pStyle w:val="Subsection"/>
      </w:pPr>
      <w:r>
        <w:tab/>
        <w:t>(1)</w:t>
      </w:r>
      <w:r>
        <w:tab/>
        <w:t>A reference to the Department of Transport (including a reference to a department that, under a previous order, is to be read and construed as a reference to the Department of Transport) contained in any law, or in any instrument, contract or legal proceedings made or commenced before 1 July 2025, is to be read and construed as a reference to the Department of Transport and Major Infrastructure.</w:t>
      </w:r>
    </w:p>
    <w:p>
      <w:pPr>
        <w:pStyle w:val="Subsection"/>
      </w:pPr>
      <w:r>
        <w:lastRenderedPageBreak/>
        <w:tab/>
        <w:t>(2)</w:t>
      </w:r>
      <w:r>
        <w:tab/>
        <w:t>Subclause (1) does not apply to a reference if the context of the reference requires otherwise.</w:t>
      </w:r>
    </w:p>
    <w:p>
      <w:pPr>
        <w:pStyle w:val="Heading5"/>
      </w:pPr>
      <w:bookmarkStart w:id="19" w:name="_Toc201236492"/>
      <w:bookmarkStart w:id="20" w:name="_Toc201659053"/>
      <w:r>
        <w:rPr>
          <w:rStyle w:val="CharSectno"/>
        </w:rPr>
        <w:t>9</w:t>
      </w:r>
      <w:r>
        <w:t>.</w:t>
      </w:r>
      <w:r>
        <w:tab/>
        <w:t>References to Department of Treasury altered</w:t>
      </w:r>
      <w:bookmarkEnd w:id="19"/>
      <w:bookmarkEnd w:id="20"/>
    </w:p>
    <w:p>
      <w:pPr>
        <w:pStyle w:val="Subsection"/>
        <w:keepNext/>
        <w:keepLines/>
      </w:pPr>
      <w:r>
        <w:tab/>
        <w:t>(1)</w:t>
      </w:r>
      <w:r>
        <w:tab/>
        <w:t>A reference to the Department of Treasury (including a reference to a department that, under a previous order, is to be read and construed as a reference to the Department of Treasury) contained in any law, or in any instrument, contract or legal proceedings made or commenced before 1 July 2025, is to be read and construed as a reference to the Department of Treasury and Finance.</w:t>
      </w:r>
    </w:p>
    <w:p>
      <w:pPr>
        <w:pStyle w:val="Subsection"/>
      </w:pPr>
      <w:r>
        <w:tab/>
        <w:t>(2)</w:t>
      </w:r>
      <w:r>
        <w:tab/>
        <w:t>Subclause (1) does not apply to a reference if the context of the reference requires otherwise.</w:t>
      </w:r>
    </w:p>
    <w:p>
      <w:pPr>
        <w:pStyle w:val="Heading5"/>
      </w:pPr>
      <w:bookmarkStart w:id="21" w:name="_Toc201236493"/>
      <w:bookmarkStart w:id="22" w:name="_Toc201659054"/>
      <w:r>
        <w:rPr>
          <w:rStyle w:val="CharSectno"/>
        </w:rPr>
        <w:t>10</w:t>
      </w:r>
      <w:r>
        <w:t>.</w:t>
      </w:r>
      <w:r>
        <w:tab/>
      </w:r>
      <w:r>
        <w:rPr>
          <w:i/>
          <w:iCs/>
        </w:rPr>
        <w:t>Alteration of Statutory Designations Order 2010</w:t>
      </w:r>
      <w:r>
        <w:t xml:space="preserve"> amended</w:t>
      </w:r>
      <w:bookmarkEnd w:id="21"/>
      <w:bookmarkEnd w:id="22"/>
    </w:p>
    <w:p>
      <w:pPr>
        <w:pStyle w:val="Subsection"/>
      </w:pPr>
      <w:r>
        <w:tab/>
        <w:t>(1)</w:t>
      </w:r>
      <w:r>
        <w:tab/>
        <w:t xml:space="preserve">This clause amends the </w:t>
      </w:r>
      <w:r>
        <w:rPr>
          <w:i/>
        </w:rPr>
        <w:t>Alteration of Statutory Designations Order 2010</w:t>
      </w:r>
      <w:r>
        <w:t>.</w:t>
      </w:r>
    </w:p>
    <w:p>
      <w:pPr>
        <w:pStyle w:val="Subsection"/>
      </w:pPr>
      <w:r>
        <w:tab/>
        <w:t>(2)</w:t>
      </w:r>
      <w:r>
        <w:tab/>
        <w:t>In clause 4 in the Table delete item 1.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49BA3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33B4796" w14:textId="3BA60C7A" w:rsidR="00680B88" w:rsidRDefault="00680B8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41EA8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43629F9" w14:textId="77777777" w:rsidR="00680B88" w:rsidRDefault="00680B8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CF4FF30" w14:textId="2805C48E" w:rsidR="00680B88" w:rsidRDefault="00680B8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41EA8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DEEA415" w14:textId="77777777" w:rsidR="00680B88" w:rsidRDefault="00680B8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Alteration of Statutory Designations Order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Alteration of Statutory Designations Order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Alteration of Statutory Designations Order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Alteration of Statutory Designations Order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3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1914404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6161214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616121404_GUID" w:val="32c0d21a-f361-4091-a160-566b72256345"/>
    <w:docVar w:name="WAFER_202506171551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617155157_GUID" w:val="2ef2730b-687f-4e64-a903-da4a88712a8c"/>
    <w:docVar w:name="WAFER_202506181206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618120609_GUID" w:val="29868ed6-010b-491d-8f1e-1b886445b528"/>
    <w:docVar w:name="WAFER_202506191440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19144043_GUID" w:val="b6502aa0-82d7-4e40-9abe-cd87df5f922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."/>
  <w:listSeparator w:val=","/>
  <w15:docId w15:val="{647E1351-F14F-4908-8B7B-8DA4D2BAD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6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1378</Words>
  <Characters>6863</Characters>
  <Application>Microsoft Office Word</Application>
  <DocSecurity>0</DocSecurity>
  <Lines>185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Alteration of Statutory Designations Order 2025 - 00-00-00</dc:title>
  <dc:subject/>
  <dc:creator/>
  <cp:keywords/>
  <dc:description/>
  <cp:lastModifiedBy>Master Repository Process</cp:lastModifiedBy>
  <cp:revision>4</cp:revision>
  <cp:lastPrinted>2025-06-13T08:01:00Z</cp:lastPrinted>
  <dcterms:created xsi:type="dcterms:W3CDTF">2025-06-24T06:48:00Z</dcterms:created>
  <dcterms:modified xsi:type="dcterms:W3CDTF">2025-06-24T06:49:00Z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55469</vt:lpwstr>
  </property>
  <property fmtid="{D5CDD505-2E9C-101B-9397-08002B2CF9AE}" pid="3" name="DocumentType">
    <vt:lpwstr>Reg</vt:lpwstr>
  </property>
  <property fmtid="{D5CDD505-2E9C-101B-9397-08002B2CF9AE}" pid="4" name="AsAtDate">
    <vt:lpwstr>25 Jun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2025/103</vt:lpwstr>
  </property>
  <property fmtid="{D5CDD505-2E9C-101B-9397-08002B2CF9AE}" pid="8" name="PublishDate">
    <vt:lpwstr>25 Jun 2025</vt:lpwstr>
  </property>
  <property fmtid="{D5CDD505-2E9C-101B-9397-08002B2CF9AE}" pid="9" name="CommencementDate">
    <vt:lpwstr>20250625</vt:lpwstr>
  </property>
  <property fmtid="{D5CDD505-2E9C-101B-9397-08002B2CF9AE}" pid="10" name="CommencementAsAt">
    <vt:filetime>2025-06-24T16:00:00Z</vt:filetime>
  </property>
  <property fmtid="{D5CDD505-2E9C-101B-9397-08002B2CF9AE}" pid="11" name="CommencementYear">
    <vt:lpwstr>2025</vt:lpwstr>
  </property>
</Properties>
</file>