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Water Services Regulations Amendment (Fees and Charges)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Water Services Regulations Amendment (Fees and Charges) Regulations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_Toc201661564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_Toc201661565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Water Services Regulations 2013</w:t>
      </w:r>
      <w:r>
        <w:t xml:space="preserve"> amended</w:t>
      </w:r>
    </w:p>
    <w:p>
      <w:pPr>
        <w:pStyle w:val="TOC8"/>
        <w:rPr>
          <w:rFonts w:asciiTheme="minorHAnsi" w:eastAsiaTheme="minorEastAsia" w:hAnsiTheme="minorHAnsi" w:cstheme="minorBidi"/>
          <w:szCs w:val="22"/>
        </w:rPr>
      </w:pPr>
      <w:r>
        <w:t>3.</w:t>
      </w:r>
      <w:r>
        <w:tab/>
        <w:t>Regulations amended</w:t>
      </w:r>
      <w:r>
        <w:tab/>
      </w:r>
      <w:r>
        <w:fldChar w:fldCharType="begin"/>
      </w:r>
      <w:r>
        <w:instrText xml:space="preserve"> PAGEREF _Toc201661567 \h </w:instrText>
      </w:r>
      <w:r>
        <w:fldChar w:fldCharType="separate"/>
      </w:r>
      <w:r>
        <w:t>2</w:t>
      </w:r>
      <w:r>
        <w:fldChar w:fldCharType="end"/>
      </w:r>
    </w:p>
    <w:p>
      <w:pPr>
        <w:pStyle w:val="TOC8"/>
        <w:rPr>
          <w:rFonts w:asciiTheme="minorHAnsi" w:eastAsiaTheme="minorEastAsia" w:hAnsiTheme="minorHAnsi" w:cstheme="minorBidi"/>
          <w:szCs w:val="22"/>
        </w:rPr>
      </w:pPr>
      <w:r>
        <w:t>4.</w:t>
      </w:r>
      <w:r>
        <w:tab/>
        <w:t>Regulation 82 amended</w:t>
      </w:r>
      <w:r>
        <w:tab/>
      </w:r>
      <w:r>
        <w:fldChar w:fldCharType="begin"/>
      </w:r>
      <w:r>
        <w:instrText xml:space="preserve"> PAGEREF _Toc201661568 \h </w:instrText>
      </w:r>
      <w:r>
        <w:fldChar w:fldCharType="separate"/>
      </w:r>
      <w:r>
        <w:t>2</w:t>
      </w:r>
      <w:r>
        <w:fldChar w:fldCharType="end"/>
      </w:r>
    </w:p>
    <w:p>
      <w:pPr>
        <w:pStyle w:val="TOC8"/>
        <w:rPr>
          <w:rFonts w:asciiTheme="minorHAnsi" w:eastAsiaTheme="minorEastAsia" w:hAnsiTheme="minorHAnsi" w:cstheme="minorBidi"/>
          <w:szCs w:val="22"/>
        </w:rPr>
      </w:pPr>
      <w:r>
        <w:t>5.</w:t>
      </w:r>
      <w:r>
        <w:tab/>
        <w:t>Schedule 4 replaced</w:t>
      </w:r>
      <w:r>
        <w:tab/>
      </w:r>
      <w:r>
        <w:fldChar w:fldCharType="begin"/>
      </w:r>
      <w:r>
        <w:instrText xml:space="preserve"> PAGEREF _Toc201661569 \h </w:instrText>
      </w:r>
      <w:r>
        <w:fldChar w:fldCharType="separate"/>
      </w:r>
      <w:r>
        <w:t>2</w:t>
      </w:r>
      <w:r>
        <w:fldChar w:fldCharType="end"/>
      </w:r>
    </w:p>
    <w:p>
      <w:pPr>
        <w:pStyle w:val="TOC3"/>
        <w:tabs>
          <w:tab w:val="right" w:leader="dot" w:pos="7077"/>
        </w:tabs>
        <w:rPr>
          <w:rFonts w:asciiTheme="minorHAnsi" w:eastAsiaTheme="minorEastAsia" w:hAnsiTheme="minorHAnsi" w:cstheme="minorBidi"/>
          <w:b w:val="0"/>
          <w:sz w:val="22"/>
          <w:szCs w:val="22"/>
        </w:rPr>
      </w:pPr>
      <w:r>
        <w:t>Schedule 4 — Fees</w:t>
      </w:r>
    </w:p>
    <w:p>
      <w:pPr>
        <w:pStyle w:val="TOC9"/>
        <w:rPr>
          <w:rFonts w:asciiTheme="minorHAnsi" w:eastAsiaTheme="minorEastAsia" w:hAnsiTheme="minorHAnsi" w:cstheme="minorBidi"/>
          <w:noProof/>
          <w:sz w:val="22"/>
          <w:szCs w:val="22"/>
        </w:rPr>
      </w:pPr>
      <w:r>
        <w:rPr>
          <w:noProof/>
        </w:rPr>
        <w:t>1.</w:t>
      </w:r>
      <w:r>
        <w:rPr>
          <w:noProof/>
        </w:rPr>
        <w:tab/>
        <w:t>General fees applicable to all licensees</w:t>
      </w:r>
      <w:r>
        <w:rPr>
          <w:noProof/>
        </w:rPr>
        <w:tab/>
      </w:r>
      <w:r>
        <w:rPr>
          <w:noProof/>
        </w:rPr>
        <w:fldChar w:fldCharType="begin"/>
      </w:r>
      <w:r>
        <w:rPr>
          <w:noProof/>
        </w:rPr>
        <w:instrText xml:space="preserve"> PAGEREF _Toc201661571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Fees applicable to water corporations (Act s. 95)</w:t>
      </w:r>
      <w:r>
        <w:rPr>
          <w:noProof/>
        </w:rPr>
        <w:tab/>
      </w:r>
      <w:r>
        <w:rPr>
          <w:noProof/>
        </w:rPr>
        <w:fldChar w:fldCharType="begin"/>
      </w:r>
      <w:r>
        <w:rPr>
          <w:noProof/>
        </w:rPr>
        <w:instrText xml:space="preserve"> PAGEREF _Toc201661572 \h </w:instrText>
      </w:r>
      <w:r>
        <w:rPr>
          <w:noProof/>
        </w:rPr>
      </w:r>
      <w:r>
        <w:rPr>
          <w:noProof/>
        </w:rPr>
        <w:fldChar w:fldCharType="separate"/>
      </w:r>
      <w:r>
        <w:rPr>
          <w:noProof/>
        </w:rPr>
        <w:t>3</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iCs/>
        </w:rPr>
        <w:t>Water Services (Water Corporations Charges) Regulations 2014</w:t>
      </w:r>
      <w:r>
        <w:t xml:space="preserve"> amended</w:t>
      </w:r>
    </w:p>
    <w:p>
      <w:pPr>
        <w:pStyle w:val="TOC8"/>
        <w:rPr>
          <w:rFonts w:asciiTheme="minorHAnsi" w:eastAsiaTheme="minorEastAsia" w:hAnsiTheme="minorHAnsi" w:cstheme="minorBidi"/>
          <w:szCs w:val="22"/>
        </w:rPr>
      </w:pPr>
      <w:r>
        <w:t>6</w:t>
      </w:r>
      <w:r>
        <w:rPr>
          <w:snapToGrid w:val="0"/>
        </w:rPr>
        <w:t>.</w:t>
      </w:r>
      <w:r>
        <w:rPr>
          <w:snapToGrid w:val="0"/>
        </w:rPr>
        <w:tab/>
        <w:t>Regulations amended</w:t>
      </w:r>
      <w:r>
        <w:tab/>
      </w:r>
      <w:r>
        <w:fldChar w:fldCharType="begin"/>
      </w:r>
      <w:r>
        <w:instrText xml:space="preserve"> PAGEREF _Toc201661574 \h </w:instrText>
      </w:r>
      <w:r>
        <w:fldChar w:fldCharType="separate"/>
      </w:r>
      <w:r>
        <w:t>5</w:t>
      </w:r>
      <w:r>
        <w:fldChar w:fldCharType="end"/>
      </w:r>
    </w:p>
    <w:p>
      <w:pPr>
        <w:pStyle w:val="TOC8"/>
        <w:rPr>
          <w:rFonts w:asciiTheme="minorHAnsi" w:eastAsiaTheme="minorEastAsia" w:hAnsiTheme="minorHAnsi" w:cstheme="minorBidi"/>
          <w:szCs w:val="22"/>
        </w:rPr>
      </w:pPr>
      <w:r>
        <w:t>7.</w:t>
      </w:r>
      <w:r>
        <w:tab/>
        <w:t>Regulation 6 amended</w:t>
      </w:r>
      <w:r>
        <w:tab/>
      </w:r>
      <w:r>
        <w:fldChar w:fldCharType="begin"/>
      </w:r>
      <w:r>
        <w:instrText xml:space="preserve"> PAGEREF _Toc201661575 \h </w:instrText>
      </w:r>
      <w:r>
        <w:fldChar w:fldCharType="separate"/>
      </w:r>
      <w:r>
        <w:t>5</w:t>
      </w:r>
      <w:r>
        <w:fldChar w:fldCharType="end"/>
      </w:r>
    </w:p>
    <w:p>
      <w:pPr>
        <w:pStyle w:val="TOC8"/>
        <w:rPr>
          <w:rFonts w:asciiTheme="minorHAnsi" w:eastAsiaTheme="minorEastAsia" w:hAnsiTheme="minorHAnsi" w:cstheme="minorBidi"/>
          <w:szCs w:val="22"/>
        </w:rPr>
      </w:pPr>
      <w:r>
        <w:t>8.</w:t>
      </w:r>
      <w:r>
        <w:tab/>
        <w:t>Regulation 7 amended</w:t>
      </w:r>
      <w:r>
        <w:tab/>
      </w:r>
      <w:r>
        <w:fldChar w:fldCharType="begin"/>
      </w:r>
      <w:r>
        <w:instrText xml:space="preserve"> PAGEREF _Toc201661576 \h </w:instrText>
      </w:r>
      <w:r>
        <w:fldChar w:fldCharType="separate"/>
      </w:r>
      <w:r>
        <w:t>5</w:t>
      </w:r>
      <w:r>
        <w:fldChar w:fldCharType="end"/>
      </w:r>
    </w:p>
    <w:p>
      <w:pPr>
        <w:pStyle w:val="TOC8"/>
        <w:rPr>
          <w:rFonts w:asciiTheme="minorHAnsi" w:eastAsiaTheme="minorEastAsia" w:hAnsiTheme="minorHAnsi" w:cstheme="minorBidi"/>
          <w:szCs w:val="22"/>
        </w:rPr>
      </w:pPr>
      <w:r>
        <w:t>9.</w:t>
      </w:r>
      <w:r>
        <w:tab/>
        <w:t>Regulation 10 amended</w:t>
      </w:r>
      <w:r>
        <w:tab/>
      </w:r>
      <w:r>
        <w:fldChar w:fldCharType="begin"/>
      </w:r>
      <w:r>
        <w:instrText xml:space="preserve"> PAGEREF _Toc201661577 \h </w:instrText>
      </w:r>
      <w:r>
        <w:fldChar w:fldCharType="separate"/>
      </w:r>
      <w:r>
        <w:t>6</w:t>
      </w:r>
      <w:r>
        <w:fldChar w:fldCharType="end"/>
      </w:r>
    </w:p>
    <w:p>
      <w:pPr>
        <w:pStyle w:val="TOC8"/>
        <w:rPr>
          <w:rFonts w:asciiTheme="minorHAnsi" w:eastAsiaTheme="minorEastAsia" w:hAnsiTheme="minorHAnsi" w:cstheme="minorBidi"/>
          <w:szCs w:val="22"/>
        </w:rPr>
      </w:pPr>
      <w:r>
        <w:t>10.</w:t>
      </w:r>
      <w:r>
        <w:tab/>
        <w:t>Schedules 1 to 7 replaced</w:t>
      </w:r>
      <w:r>
        <w:tab/>
      </w:r>
      <w:r>
        <w:fldChar w:fldCharType="begin"/>
      </w:r>
      <w:r>
        <w:instrText xml:space="preserve"> PAGEREF _Toc201661578 \h </w:instrText>
      </w:r>
      <w:r>
        <w:fldChar w:fldCharType="separate"/>
      </w:r>
      <w:r>
        <w:t>6</w:t>
      </w:r>
      <w:r>
        <w:fldChar w:fldCharType="end"/>
      </w:r>
    </w:p>
    <w:p>
      <w:pPr>
        <w:pStyle w:val="TOC3"/>
        <w:tabs>
          <w:tab w:val="right" w:leader="dot" w:pos="7077"/>
        </w:tabs>
        <w:rPr>
          <w:rFonts w:asciiTheme="minorHAnsi" w:eastAsiaTheme="minorEastAsia" w:hAnsiTheme="minorHAnsi" w:cstheme="minorBidi"/>
          <w:b w:val="0"/>
          <w:sz w:val="22"/>
          <w:szCs w:val="22"/>
        </w:rPr>
      </w:pPr>
      <w:r>
        <w:lastRenderedPageBreak/>
        <w:t>Schedule 1 — Charges for Bunbury Water Corporation</w:t>
      </w:r>
    </w:p>
    <w:p>
      <w:pPr>
        <w:pStyle w:val="TOC5"/>
        <w:tabs>
          <w:tab w:val="right" w:leader="dot" w:pos="7077"/>
        </w:tabs>
        <w:rPr>
          <w:rFonts w:asciiTheme="minorHAnsi" w:eastAsiaTheme="minorEastAsia" w:hAnsiTheme="minorHAnsi" w:cstheme="minorBidi"/>
          <w:b w:val="0"/>
          <w:sz w:val="22"/>
          <w:szCs w:val="22"/>
        </w:rPr>
      </w:pPr>
      <w:r>
        <w:t>Division 1 — Service charges</w:t>
      </w:r>
    </w:p>
    <w:p>
      <w:pPr>
        <w:pStyle w:val="TOC9"/>
        <w:rPr>
          <w:rFonts w:asciiTheme="minorHAnsi" w:eastAsiaTheme="minorEastAsia" w:hAnsiTheme="minorHAnsi" w:cstheme="minorBidi"/>
          <w:noProof/>
          <w:sz w:val="22"/>
          <w:szCs w:val="22"/>
        </w:rPr>
      </w:pPr>
      <w:r>
        <w:rPr>
          <w:noProof/>
        </w:rPr>
        <w:t>1.</w:t>
      </w:r>
      <w:r>
        <w:rPr>
          <w:noProof/>
        </w:rPr>
        <w:tab/>
        <w:t>Service charges for 2025/26 and subsequent years</w:t>
      </w:r>
      <w:r>
        <w:rPr>
          <w:noProof/>
        </w:rPr>
        <w:tab/>
      </w:r>
      <w:r>
        <w:rPr>
          <w:noProof/>
        </w:rPr>
        <w:fldChar w:fldCharType="begin"/>
      </w:r>
      <w:r>
        <w:rPr>
          <w:noProof/>
        </w:rPr>
        <w:instrText xml:space="preserve"> PAGEREF _Toc201661581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Residential lots</w:t>
      </w:r>
      <w:r>
        <w:rPr>
          <w:noProof/>
        </w:rPr>
        <w:tab/>
      </w:r>
      <w:r>
        <w:rPr>
          <w:noProof/>
        </w:rPr>
        <w:fldChar w:fldCharType="begin"/>
      </w:r>
      <w:r>
        <w:rPr>
          <w:noProof/>
        </w:rPr>
        <w:instrText xml:space="preserve"> PAGEREF _Toc201661582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Non</w:t>
      </w:r>
      <w:r>
        <w:rPr>
          <w:noProof/>
        </w:rPr>
        <w:noBreakHyphen/>
        <w:t>residential lots</w:t>
      </w:r>
      <w:r>
        <w:rPr>
          <w:noProof/>
        </w:rPr>
        <w:tab/>
      </w:r>
      <w:r>
        <w:rPr>
          <w:noProof/>
        </w:rPr>
        <w:fldChar w:fldCharType="begin"/>
      </w:r>
      <w:r>
        <w:rPr>
          <w:noProof/>
        </w:rPr>
        <w:instrText xml:space="preserve"> PAGEREF _Toc201661583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3A.</w:t>
      </w:r>
      <w:r>
        <w:rPr>
          <w:noProof/>
        </w:rPr>
        <w:tab/>
        <w:t>Vacant land</w:t>
      </w:r>
      <w:r>
        <w:rPr>
          <w:noProof/>
        </w:rPr>
        <w:tab/>
      </w:r>
      <w:r>
        <w:rPr>
          <w:noProof/>
        </w:rPr>
        <w:fldChar w:fldCharType="begin"/>
      </w:r>
      <w:r>
        <w:rPr>
          <w:noProof/>
        </w:rPr>
        <w:instrText xml:space="preserve"> PAGEREF _Toc201661584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Fire service connections</w:t>
      </w:r>
      <w:r>
        <w:rPr>
          <w:noProof/>
        </w:rPr>
        <w:tab/>
      </w:r>
      <w:r>
        <w:rPr>
          <w:noProof/>
        </w:rPr>
        <w:fldChar w:fldCharType="begin"/>
      </w:r>
      <w:r>
        <w:rPr>
          <w:noProof/>
        </w:rPr>
        <w:instrText xml:space="preserve"> PAGEREF _Toc201661585 \h </w:instrText>
      </w:r>
      <w:r>
        <w:rPr>
          <w:noProof/>
        </w:rPr>
      </w:r>
      <w:r>
        <w:rPr>
          <w:noProof/>
        </w:rPr>
        <w:fldChar w:fldCharType="separate"/>
      </w:r>
      <w:r>
        <w:rPr>
          <w:noProof/>
        </w:rPr>
        <w:t>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Consumption charges</w:t>
      </w:r>
    </w:p>
    <w:p>
      <w:pPr>
        <w:pStyle w:val="TOC9"/>
        <w:rPr>
          <w:rFonts w:asciiTheme="minorHAnsi" w:eastAsiaTheme="minorEastAsia" w:hAnsiTheme="minorHAnsi" w:cstheme="minorBidi"/>
          <w:noProof/>
          <w:sz w:val="22"/>
          <w:szCs w:val="22"/>
        </w:rPr>
      </w:pPr>
      <w:r>
        <w:rPr>
          <w:noProof/>
        </w:rPr>
        <w:t>5.</w:t>
      </w:r>
      <w:r>
        <w:rPr>
          <w:noProof/>
        </w:rPr>
        <w:tab/>
        <w:t>Consumption charges for 2025/26 and subsequent years</w:t>
      </w:r>
      <w:r>
        <w:rPr>
          <w:noProof/>
        </w:rPr>
        <w:tab/>
      </w:r>
      <w:r>
        <w:rPr>
          <w:noProof/>
        </w:rPr>
        <w:fldChar w:fldCharType="begin"/>
      </w:r>
      <w:r>
        <w:rPr>
          <w:noProof/>
        </w:rPr>
        <w:instrText xml:space="preserve"> PAGEREF _Toc201661587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Residential lots</w:t>
      </w:r>
      <w:r>
        <w:rPr>
          <w:noProof/>
        </w:rPr>
        <w:tab/>
      </w:r>
      <w:r>
        <w:rPr>
          <w:noProof/>
        </w:rPr>
        <w:fldChar w:fldCharType="begin"/>
      </w:r>
      <w:r>
        <w:rPr>
          <w:noProof/>
        </w:rPr>
        <w:instrText xml:space="preserve"> PAGEREF _Toc201661588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Non</w:t>
      </w:r>
      <w:r>
        <w:rPr>
          <w:noProof/>
        </w:rPr>
        <w:noBreakHyphen/>
        <w:t>residential lots</w:t>
      </w:r>
      <w:r>
        <w:rPr>
          <w:noProof/>
        </w:rPr>
        <w:tab/>
      </w:r>
      <w:r>
        <w:rPr>
          <w:noProof/>
        </w:rPr>
        <w:fldChar w:fldCharType="begin"/>
      </w:r>
      <w:r>
        <w:rPr>
          <w:noProof/>
        </w:rPr>
        <w:instrText xml:space="preserve"> PAGEREF _Toc201661589 \h </w:instrText>
      </w:r>
      <w:r>
        <w:rPr>
          <w:noProof/>
        </w:rPr>
      </w:r>
      <w:r>
        <w:rPr>
          <w:noProof/>
        </w:rPr>
        <w:fldChar w:fldCharType="separate"/>
      </w:r>
      <w:r>
        <w:rPr>
          <w:noProof/>
        </w:rPr>
        <w:t>8</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Schedule 2 — Charges for Busselton Water Corporation</w:t>
      </w:r>
    </w:p>
    <w:p>
      <w:pPr>
        <w:pStyle w:val="TOC5"/>
        <w:tabs>
          <w:tab w:val="right" w:leader="dot" w:pos="7077"/>
        </w:tabs>
        <w:rPr>
          <w:rFonts w:asciiTheme="minorHAnsi" w:eastAsiaTheme="minorEastAsia" w:hAnsiTheme="minorHAnsi" w:cstheme="minorBidi"/>
          <w:b w:val="0"/>
          <w:sz w:val="22"/>
          <w:szCs w:val="22"/>
        </w:rPr>
      </w:pPr>
      <w:r>
        <w:t>Division 1 — Service charges</w:t>
      </w:r>
    </w:p>
    <w:p>
      <w:pPr>
        <w:pStyle w:val="TOC9"/>
        <w:rPr>
          <w:rFonts w:asciiTheme="minorHAnsi" w:eastAsiaTheme="minorEastAsia" w:hAnsiTheme="minorHAnsi" w:cstheme="minorBidi"/>
          <w:noProof/>
          <w:sz w:val="22"/>
          <w:szCs w:val="22"/>
        </w:rPr>
      </w:pPr>
      <w:r>
        <w:rPr>
          <w:noProof/>
        </w:rPr>
        <w:t>1.</w:t>
      </w:r>
      <w:r>
        <w:rPr>
          <w:noProof/>
        </w:rPr>
        <w:tab/>
        <w:t>Service charges for 2025/26 and subsequent years</w:t>
      </w:r>
      <w:r>
        <w:rPr>
          <w:noProof/>
        </w:rPr>
        <w:tab/>
      </w:r>
      <w:r>
        <w:rPr>
          <w:noProof/>
        </w:rPr>
        <w:fldChar w:fldCharType="begin"/>
      </w:r>
      <w:r>
        <w:rPr>
          <w:noProof/>
        </w:rPr>
        <w:instrText xml:space="preserve"> PAGEREF _Toc201661592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Residential lots</w:t>
      </w:r>
      <w:r>
        <w:rPr>
          <w:noProof/>
        </w:rPr>
        <w:tab/>
      </w:r>
      <w:r>
        <w:rPr>
          <w:noProof/>
        </w:rPr>
        <w:fldChar w:fldCharType="begin"/>
      </w:r>
      <w:r>
        <w:rPr>
          <w:noProof/>
        </w:rPr>
        <w:instrText xml:space="preserve"> PAGEREF _Toc201661593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Non</w:t>
      </w:r>
      <w:r>
        <w:rPr>
          <w:noProof/>
        </w:rPr>
        <w:noBreakHyphen/>
        <w:t>residential lots</w:t>
      </w:r>
      <w:r>
        <w:rPr>
          <w:noProof/>
        </w:rPr>
        <w:tab/>
      </w:r>
      <w:r>
        <w:rPr>
          <w:noProof/>
        </w:rPr>
        <w:fldChar w:fldCharType="begin"/>
      </w:r>
      <w:r>
        <w:rPr>
          <w:noProof/>
        </w:rPr>
        <w:instrText xml:space="preserve"> PAGEREF _Toc201661594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Vacant land</w:t>
      </w:r>
      <w:r>
        <w:rPr>
          <w:noProof/>
        </w:rPr>
        <w:tab/>
      </w:r>
      <w:r>
        <w:rPr>
          <w:noProof/>
        </w:rPr>
        <w:fldChar w:fldCharType="begin"/>
      </w:r>
      <w:r>
        <w:rPr>
          <w:noProof/>
        </w:rPr>
        <w:instrText xml:space="preserve"> PAGEREF _Toc201661595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Fire service connections</w:t>
      </w:r>
      <w:r>
        <w:rPr>
          <w:noProof/>
        </w:rPr>
        <w:tab/>
      </w:r>
      <w:r>
        <w:rPr>
          <w:noProof/>
        </w:rPr>
        <w:fldChar w:fldCharType="begin"/>
      </w:r>
      <w:r>
        <w:rPr>
          <w:noProof/>
        </w:rPr>
        <w:instrText xml:space="preserve"> PAGEREF _Toc201661596 \h </w:instrText>
      </w:r>
      <w:r>
        <w:rPr>
          <w:noProof/>
        </w:rPr>
      </w:r>
      <w:r>
        <w:rPr>
          <w:noProof/>
        </w:rPr>
        <w:fldChar w:fldCharType="separate"/>
      </w:r>
      <w:r>
        <w:rPr>
          <w:noProof/>
        </w:rPr>
        <w:t>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Consumption charges</w:t>
      </w:r>
    </w:p>
    <w:p>
      <w:pPr>
        <w:pStyle w:val="TOC9"/>
        <w:rPr>
          <w:rFonts w:asciiTheme="minorHAnsi" w:eastAsiaTheme="minorEastAsia" w:hAnsiTheme="minorHAnsi" w:cstheme="minorBidi"/>
          <w:noProof/>
          <w:sz w:val="22"/>
          <w:szCs w:val="22"/>
        </w:rPr>
      </w:pPr>
      <w:r>
        <w:rPr>
          <w:noProof/>
        </w:rPr>
        <w:t>6.</w:t>
      </w:r>
      <w:r>
        <w:rPr>
          <w:noProof/>
        </w:rPr>
        <w:tab/>
        <w:t>Consumption charges for 2025/26 and subsequent years</w:t>
      </w:r>
      <w:r>
        <w:rPr>
          <w:noProof/>
        </w:rPr>
        <w:tab/>
      </w:r>
      <w:r>
        <w:rPr>
          <w:noProof/>
        </w:rPr>
        <w:fldChar w:fldCharType="begin"/>
      </w:r>
      <w:r>
        <w:rPr>
          <w:noProof/>
        </w:rPr>
        <w:instrText xml:space="preserve"> PAGEREF _Toc201661598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Residential lots</w:t>
      </w:r>
      <w:r>
        <w:rPr>
          <w:noProof/>
        </w:rPr>
        <w:tab/>
      </w:r>
      <w:r>
        <w:rPr>
          <w:noProof/>
        </w:rPr>
        <w:fldChar w:fldCharType="begin"/>
      </w:r>
      <w:r>
        <w:rPr>
          <w:noProof/>
        </w:rPr>
        <w:instrText xml:space="preserve"> PAGEREF _Toc201661599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Non</w:t>
      </w:r>
      <w:r>
        <w:rPr>
          <w:noProof/>
        </w:rPr>
        <w:noBreakHyphen/>
        <w:t>residential lots</w:t>
      </w:r>
      <w:r>
        <w:rPr>
          <w:noProof/>
        </w:rPr>
        <w:tab/>
      </w:r>
      <w:r>
        <w:rPr>
          <w:noProof/>
        </w:rPr>
        <w:fldChar w:fldCharType="begin"/>
      </w:r>
      <w:r>
        <w:rPr>
          <w:noProof/>
        </w:rPr>
        <w:instrText xml:space="preserve"> PAGEREF _Toc201661600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Water supply service (fire)</w:t>
      </w:r>
      <w:r>
        <w:rPr>
          <w:noProof/>
        </w:rPr>
        <w:tab/>
      </w:r>
      <w:r>
        <w:rPr>
          <w:noProof/>
        </w:rPr>
        <w:fldChar w:fldCharType="begin"/>
      </w:r>
      <w:r>
        <w:rPr>
          <w:noProof/>
        </w:rPr>
        <w:instrText xml:space="preserve"> PAGEREF _Toc201661601 \h </w:instrText>
      </w:r>
      <w:r>
        <w:rPr>
          <w:noProof/>
        </w:rPr>
      </w:r>
      <w:r>
        <w:rPr>
          <w:noProof/>
        </w:rPr>
        <w:fldChar w:fldCharType="separate"/>
      </w:r>
      <w:r>
        <w:rPr>
          <w:noProof/>
        </w:rPr>
        <w:t>9</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Schedule 3 — Water supply charges for Water Corporation</w:t>
      </w:r>
    </w:p>
    <w:p>
      <w:pPr>
        <w:pStyle w:val="TOC5"/>
        <w:tabs>
          <w:tab w:val="right" w:leader="dot" w:pos="7077"/>
        </w:tabs>
        <w:rPr>
          <w:rFonts w:asciiTheme="minorHAnsi" w:eastAsiaTheme="minorEastAsia" w:hAnsiTheme="minorHAnsi" w:cstheme="minorBidi"/>
          <w:b w:val="0"/>
          <w:sz w:val="22"/>
          <w:szCs w:val="22"/>
        </w:rPr>
      </w:pPr>
      <w:r>
        <w:t>Division 1 — Service charges</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1.</w:t>
      </w:r>
      <w:r>
        <w:rPr>
          <w:noProof/>
        </w:rPr>
        <w:tab/>
        <w:t>Service charges for 2025/26 and subsequent years</w:t>
      </w:r>
      <w:r>
        <w:rPr>
          <w:noProof/>
        </w:rPr>
        <w:tab/>
      </w:r>
      <w:r>
        <w:rPr>
          <w:noProof/>
        </w:rPr>
        <w:fldChar w:fldCharType="begin"/>
      </w:r>
      <w:r>
        <w:rPr>
          <w:noProof/>
        </w:rPr>
        <w:instrText xml:space="preserve"> PAGEREF _Toc201661605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Table of meter</w:t>
      </w:r>
      <w:r>
        <w:rPr>
          <w:noProof/>
        </w:rPr>
        <w:noBreakHyphen/>
        <w:t>based charges</w:t>
      </w:r>
      <w:r>
        <w:rPr>
          <w:noProof/>
        </w:rPr>
        <w:tab/>
      </w:r>
      <w:r>
        <w:rPr>
          <w:noProof/>
        </w:rPr>
        <w:fldChar w:fldCharType="begin"/>
      </w:r>
      <w:r>
        <w:rPr>
          <w:noProof/>
        </w:rPr>
        <w:instrText xml:space="preserve"> PAGEREF _Toc201661606 \h </w:instrText>
      </w:r>
      <w:r>
        <w:rPr>
          <w:noProof/>
        </w:rPr>
      </w:r>
      <w:r>
        <w:rPr>
          <w:noProof/>
        </w:rPr>
        <w:fldChar w:fldCharType="separate"/>
      </w:r>
      <w:r>
        <w:rPr>
          <w:noProof/>
        </w:rPr>
        <w:t>10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Service charges that apply for land</w:t>
      </w:r>
    </w:p>
    <w:p>
      <w:pPr>
        <w:pStyle w:val="TOC9"/>
        <w:rPr>
          <w:rFonts w:asciiTheme="minorHAnsi" w:eastAsiaTheme="minorEastAsia" w:hAnsiTheme="minorHAnsi" w:cstheme="minorBidi"/>
          <w:noProof/>
          <w:sz w:val="22"/>
          <w:szCs w:val="22"/>
        </w:rPr>
      </w:pPr>
      <w:r>
        <w:rPr>
          <w:noProof/>
        </w:rPr>
        <w:t>3.</w:t>
      </w:r>
      <w:r>
        <w:rPr>
          <w:noProof/>
        </w:rPr>
        <w:tab/>
        <w:t>Residential</w:t>
      </w:r>
      <w:r>
        <w:rPr>
          <w:noProof/>
        </w:rPr>
        <w:tab/>
      </w:r>
      <w:r>
        <w:rPr>
          <w:noProof/>
        </w:rPr>
        <w:fldChar w:fldCharType="begin"/>
      </w:r>
      <w:r>
        <w:rPr>
          <w:noProof/>
        </w:rPr>
        <w:instrText xml:space="preserve"> PAGEREF _Toc201661608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Metropolitan concessional</w:t>
      </w:r>
      <w:r>
        <w:rPr>
          <w:noProof/>
        </w:rPr>
        <w:tab/>
      </w:r>
      <w:r>
        <w:rPr>
          <w:noProof/>
        </w:rPr>
        <w:fldChar w:fldCharType="begin"/>
      </w:r>
      <w:r>
        <w:rPr>
          <w:noProof/>
        </w:rPr>
        <w:instrText xml:space="preserve"> PAGEREF _Toc201661609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Strata</w:t>
      </w:r>
      <w:r>
        <w:rPr>
          <w:noProof/>
        </w:rPr>
        <w:noBreakHyphen/>
        <w:t>titled or long</w:t>
      </w:r>
      <w:r>
        <w:rPr>
          <w:noProof/>
        </w:rPr>
        <w:noBreakHyphen/>
        <w:t>term residential caravan bays and park homes</w:t>
      </w:r>
      <w:r>
        <w:rPr>
          <w:noProof/>
        </w:rPr>
        <w:tab/>
      </w:r>
      <w:r>
        <w:rPr>
          <w:noProof/>
        </w:rPr>
        <w:fldChar w:fldCharType="begin"/>
      </w:r>
      <w:r>
        <w:rPr>
          <w:noProof/>
        </w:rPr>
        <w:instrText xml:space="preserve"> PAGEREF _Toc201661610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Storage units or parking bays in strata titles scheme or community titles scheme</w:t>
      </w:r>
      <w:r>
        <w:rPr>
          <w:noProof/>
        </w:rPr>
        <w:tab/>
      </w:r>
      <w:r>
        <w:rPr>
          <w:noProof/>
        </w:rPr>
        <w:fldChar w:fldCharType="begin"/>
      </w:r>
      <w:r>
        <w:rPr>
          <w:noProof/>
        </w:rPr>
        <w:instrText xml:space="preserve"> PAGEREF _Toc201661611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lastRenderedPageBreak/>
        <w:t>7.</w:t>
      </w:r>
      <w:r>
        <w:rPr>
          <w:noProof/>
        </w:rPr>
        <w:tab/>
        <w:t>Non</w:t>
      </w:r>
      <w:r>
        <w:rPr>
          <w:noProof/>
        </w:rPr>
        <w:noBreakHyphen/>
        <w:t>residential lots in strata titles scheme or community titles scheme that share a service</w:t>
      </w:r>
      <w:r>
        <w:rPr>
          <w:noProof/>
        </w:rPr>
        <w:tab/>
      </w:r>
      <w:r>
        <w:rPr>
          <w:noProof/>
        </w:rPr>
        <w:fldChar w:fldCharType="begin"/>
      </w:r>
      <w:r>
        <w:rPr>
          <w:noProof/>
        </w:rPr>
        <w:instrText xml:space="preserve"> PAGEREF _Toc201661612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Community residential</w:t>
      </w:r>
      <w:r>
        <w:rPr>
          <w:noProof/>
        </w:rPr>
        <w:tab/>
      </w:r>
      <w:r>
        <w:rPr>
          <w:noProof/>
        </w:rPr>
        <w:fldChar w:fldCharType="begin"/>
      </w:r>
      <w:r>
        <w:rPr>
          <w:noProof/>
        </w:rPr>
        <w:instrText xml:space="preserve"> PAGEREF _Toc201661613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Semi</w:t>
      </w:r>
      <w:r>
        <w:rPr>
          <w:noProof/>
        </w:rPr>
        <w:noBreakHyphen/>
        <w:t>rural residential</w:t>
      </w:r>
      <w:r>
        <w:rPr>
          <w:noProof/>
        </w:rPr>
        <w:tab/>
      </w:r>
      <w:r>
        <w:rPr>
          <w:noProof/>
        </w:rPr>
        <w:fldChar w:fldCharType="begin"/>
      </w:r>
      <w:r>
        <w:rPr>
          <w:noProof/>
        </w:rPr>
        <w:instrText xml:space="preserve"> PAGEREF _Toc201661614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Non</w:t>
      </w:r>
      <w:r>
        <w:rPr>
          <w:noProof/>
        </w:rPr>
        <w:noBreakHyphen/>
        <w:t>metropolitan concessional</w:t>
      </w:r>
      <w:r>
        <w:rPr>
          <w:noProof/>
        </w:rPr>
        <w:tab/>
      </w:r>
      <w:r>
        <w:rPr>
          <w:noProof/>
        </w:rPr>
        <w:fldChar w:fldCharType="begin"/>
      </w:r>
      <w:r>
        <w:rPr>
          <w:noProof/>
        </w:rPr>
        <w:instrText xml:space="preserve"> PAGEREF _Toc201661615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Non</w:t>
      </w:r>
      <w:r>
        <w:rPr>
          <w:noProof/>
        </w:rPr>
        <w:noBreakHyphen/>
        <w:t>residential or commercial residential (except storage units, parking bays and certain lots in strata titles scheme or community titles scheme)</w:t>
      </w:r>
      <w:r>
        <w:rPr>
          <w:noProof/>
        </w:rPr>
        <w:tab/>
      </w:r>
      <w:r>
        <w:rPr>
          <w:noProof/>
        </w:rPr>
        <w:fldChar w:fldCharType="begin"/>
      </w:r>
      <w:r>
        <w:rPr>
          <w:noProof/>
        </w:rPr>
        <w:instrText xml:space="preserve"> PAGEREF _Toc201661616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12.</w:t>
      </w:r>
      <w:r>
        <w:rPr>
          <w:noProof/>
        </w:rPr>
        <w:tab/>
        <w:t>Additional connections</w:t>
      </w:r>
      <w:r>
        <w:rPr>
          <w:noProof/>
        </w:rPr>
        <w:tab/>
      </w:r>
      <w:r>
        <w:rPr>
          <w:noProof/>
        </w:rPr>
        <w:fldChar w:fldCharType="begin"/>
      </w:r>
      <w:r>
        <w:rPr>
          <w:noProof/>
        </w:rPr>
        <w:instrText xml:space="preserve"> PAGEREF _Toc201661617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Vacant land</w:t>
      </w:r>
      <w:r>
        <w:rPr>
          <w:noProof/>
        </w:rPr>
        <w:tab/>
      </w:r>
      <w:r>
        <w:rPr>
          <w:noProof/>
        </w:rPr>
        <w:fldChar w:fldCharType="begin"/>
      </w:r>
      <w:r>
        <w:rPr>
          <w:noProof/>
        </w:rPr>
        <w:instrText xml:space="preserve"> PAGEREF _Toc201661618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Garden service connections</w:t>
      </w:r>
      <w:r>
        <w:rPr>
          <w:noProof/>
        </w:rPr>
        <w:tab/>
      </w:r>
      <w:r>
        <w:rPr>
          <w:noProof/>
        </w:rPr>
        <w:fldChar w:fldCharType="begin"/>
      </w:r>
      <w:r>
        <w:rPr>
          <w:noProof/>
        </w:rPr>
        <w:instrText xml:space="preserve"> PAGEREF _Toc201661619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Government trading organisations and non</w:t>
      </w:r>
      <w:r>
        <w:rPr>
          <w:noProof/>
        </w:rPr>
        <w:noBreakHyphen/>
        <w:t>commercial government property</w:t>
      </w:r>
      <w:r>
        <w:rPr>
          <w:noProof/>
        </w:rPr>
        <w:tab/>
      </w:r>
      <w:r>
        <w:rPr>
          <w:noProof/>
        </w:rPr>
        <w:fldChar w:fldCharType="begin"/>
      </w:r>
      <w:r>
        <w:rPr>
          <w:noProof/>
        </w:rPr>
        <w:instrText xml:space="preserve"> PAGEREF _Toc201661620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16.</w:t>
      </w:r>
      <w:r>
        <w:rPr>
          <w:noProof/>
        </w:rPr>
        <w:tab/>
        <w:t>Government trading organisations and non</w:t>
      </w:r>
      <w:r>
        <w:rPr>
          <w:noProof/>
        </w:rPr>
        <w:noBreakHyphen/>
        <w:t>commercial government property: on</w:t>
      </w:r>
      <w:r>
        <w:rPr>
          <w:noProof/>
        </w:rPr>
        <w:noBreakHyphen/>
        <w:t>supply to lessees or ships</w:t>
      </w:r>
      <w:r>
        <w:rPr>
          <w:noProof/>
        </w:rPr>
        <w:tab/>
      </w:r>
      <w:r>
        <w:rPr>
          <w:noProof/>
        </w:rPr>
        <w:fldChar w:fldCharType="begin"/>
      </w:r>
      <w:r>
        <w:rPr>
          <w:noProof/>
        </w:rPr>
        <w:instrText xml:space="preserve"> PAGEREF _Toc201661621 \h </w:instrText>
      </w:r>
      <w:r>
        <w:rPr>
          <w:noProof/>
        </w:rPr>
      </w:r>
      <w:r>
        <w:rPr>
          <w:noProof/>
        </w:rPr>
        <w:fldChar w:fldCharType="separate"/>
      </w:r>
      <w:r>
        <w:rPr>
          <w:noProof/>
        </w:rPr>
        <w:t>17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Other service charges</w:t>
      </w:r>
    </w:p>
    <w:p>
      <w:pPr>
        <w:pStyle w:val="TOC9"/>
        <w:rPr>
          <w:rFonts w:asciiTheme="minorHAnsi" w:eastAsiaTheme="minorEastAsia" w:hAnsiTheme="minorHAnsi" w:cstheme="minorBidi"/>
          <w:noProof/>
          <w:sz w:val="22"/>
          <w:szCs w:val="22"/>
        </w:rPr>
      </w:pPr>
      <w:r>
        <w:rPr>
          <w:noProof/>
        </w:rPr>
        <w:t>17.</w:t>
      </w:r>
      <w:r>
        <w:rPr>
          <w:noProof/>
        </w:rPr>
        <w:tab/>
        <w:t>Farmland</w:t>
      </w:r>
      <w:r>
        <w:rPr>
          <w:noProof/>
        </w:rPr>
        <w:tab/>
      </w:r>
      <w:r>
        <w:rPr>
          <w:noProof/>
        </w:rPr>
        <w:fldChar w:fldCharType="begin"/>
      </w:r>
      <w:r>
        <w:rPr>
          <w:noProof/>
        </w:rPr>
        <w:instrText xml:space="preserve"> PAGEREF _Toc201661623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18.</w:t>
      </w:r>
      <w:r>
        <w:rPr>
          <w:noProof/>
        </w:rPr>
        <w:tab/>
        <w:t>Stock</w:t>
      </w:r>
      <w:r>
        <w:rPr>
          <w:noProof/>
        </w:rPr>
        <w:tab/>
      </w:r>
      <w:r>
        <w:rPr>
          <w:noProof/>
        </w:rPr>
        <w:fldChar w:fldCharType="begin"/>
      </w:r>
      <w:r>
        <w:rPr>
          <w:noProof/>
        </w:rPr>
        <w:instrText xml:space="preserve"> PAGEREF _Toc201661624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19.</w:t>
      </w:r>
      <w:r>
        <w:rPr>
          <w:noProof/>
        </w:rPr>
        <w:tab/>
        <w:t>Shipping</w:t>
      </w:r>
      <w:r>
        <w:rPr>
          <w:noProof/>
        </w:rPr>
        <w:tab/>
      </w:r>
      <w:r>
        <w:rPr>
          <w:noProof/>
        </w:rPr>
        <w:fldChar w:fldCharType="begin"/>
      </w:r>
      <w:r>
        <w:rPr>
          <w:noProof/>
        </w:rPr>
        <w:instrText xml:space="preserve"> PAGEREF _Toc201661625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20.</w:t>
      </w:r>
      <w:r>
        <w:rPr>
          <w:noProof/>
        </w:rPr>
        <w:tab/>
        <w:t>Local government standpipes</w:t>
      </w:r>
      <w:r>
        <w:rPr>
          <w:noProof/>
        </w:rPr>
        <w:tab/>
      </w:r>
      <w:r>
        <w:rPr>
          <w:noProof/>
        </w:rPr>
        <w:fldChar w:fldCharType="begin"/>
      </w:r>
      <w:r>
        <w:rPr>
          <w:noProof/>
        </w:rPr>
        <w:instrText xml:space="preserve"> PAGEREF _Toc201661626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21.</w:t>
      </w:r>
      <w:r>
        <w:rPr>
          <w:noProof/>
        </w:rPr>
        <w:tab/>
        <w:t>Fire service connections</w:t>
      </w:r>
      <w:r>
        <w:rPr>
          <w:noProof/>
        </w:rPr>
        <w:tab/>
      </w:r>
      <w:r>
        <w:rPr>
          <w:noProof/>
        </w:rPr>
        <w:fldChar w:fldCharType="begin"/>
      </w:r>
      <w:r>
        <w:rPr>
          <w:noProof/>
        </w:rPr>
        <w:instrText xml:space="preserve"> PAGEREF _Toc201661627 \h </w:instrText>
      </w:r>
      <w:r>
        <w:rPr>
          <w:noProof/>
        </w:rPr>
      </w:r>
      <w:r>
        <w:rPr>
          <w:noProof/>
        </w:rPr>
        <w:fldChar w:fldCharType="separate"/>
      </w:r>
      <w:r>
        <w:rPr>
          <w:noProof/>
        </w:rPr>
        <w:t>18</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Consumption charges</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22.</w:t>
      </w:r>
      <w:r>
        <w:rPr>
          <w:noProof/>
        </w:rPr>
        <w:tab/>
        <w:t>Consumption charges for 2025/26 and subsequent years</w:t>
      </w:r>
      <w:r>
        <w:rPr>
          <w:noProof/>
        </w:rPr>
        <w:tab/>
      </w:r>
      <w:r>
        <w:rPr>
          <w:noProof/>
        </w:rPr>
        <w:fldChar w:fldCharType="begin"/>
      </w:r>
      <w:r>
        <w:rPr>
          <w:noProof/>
        </w:rPr>
        <w:instrText xml:space="preserve"> PAGEREF _Toc201661630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23.</w:t>
      </w:r>
      <w:r>
        <w:rPr>
          <w:noProof/>
        </w:rPr>
        <w:tab/>
        <w:t>Residential or non</w:t>
      </w:r>
      <w:r>
        <w:rPr>
          <w:noProof/>
        </w:rPr>
        <w:noBreakHyphen/>
        <w:t>residential class of town or area</w:t>
      </w:r>
      <w:r>
        <w:rPr>
          <w:noProof/>
        </w:rPr>
        <w:tab/>
      </w:r>
      <w:r>
        <w:rPr>
          <w:noProof/>
        </w:rPr>
        <w:fldChar w:fldCharType="begin"/>
      </w:r>
      <w:r>
        <w:rPr>
          <w:noProof/>
        </w:rPr>
        <w:instrText xml:space="preserve"> PAGEREF _Toc201661631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24.</w:t>
      </w:r>
      <w:r>
        <w:rPr>
          <w:noProof/>
        </w:rPr>
        <w:tab/>
        <w:t>Table of class</w:t>
      </w:r>
      <w:r>
        <w:rPr>
          <w:noProof/>
        </w:rPr>
        <w:noBreakHyphen/>
        <w:t>based charges</w:t>
      </w:r>
      <w:r>
        <w:rPr>
          <w:noProof/>
        </w:rPr>
        <w:tab/>
      </w:r>
      <w:r>
        <w:rPr>
          <w:noProof/>
        </w:rPr>
        <w:fldChar w:fldCharType="begin"/>
      </w:r>
      <w:r>
        <w:rPr>
          <w:noProof/>
        </w:rPr>
        <w:instrText xml:space="preserve"> PAGEREF _Toc201661632 \h </w:instrText>
      </w:r>
      <w:r>
        <w:rPr>
          <w:noProof/>
        </w:rPr>
      </w:r>
      <w:r>
        <w:rPr>
          <w:noProof/>
        </w:rPr>
        <w:fldChar w:fldCharType="separate"/>
      </w:r>
      <w:r>
        <w:rPr>
          <w:noProof/>
        </w:rPr>
        <w:t>19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Consumption charges that apply to land</w:t>
      </w:r>
    </w:p>
    <w:p>
      <w:pPr>
        <w:pStyle w:val="TOC9"/>
        <w:rPr>
          <w:rFonts w:asciiTheme="minorHAnsi" w:eastAsiaTheme="minorEastAsia" w:hAnsiTheme="minorHAnsi" w:cstheme="minorBidi"/>
          <w:noProof/>
          <w:sz w:val="22"/>
          <w:szCs w:val="22"/>
        </w:rPr>
      </w:pPr>
      <w:r>
        <w:rPr>
          <w:noProof/>
        </w:rPr>
        <w:t>25.</w:t>
      </w:r>
      <w:r>
        <w:rPr>
          <w:noProof/>
        </w:rPr>
        <w:tab/>
        <w:t>Metropolitan residential and semi</w:t>
      </w:r>
      <w:r>
        <w:rPr>
          <w:noProof/>
        </w:rPr>
        <w:noBreakHyphen/>
        <w:t>rural residential</w:t>
      </w:r>
      <w:r>
        <w:rPr>
          <w:noProof/>
        </w:rPr>
        <w:tab/>
      </w:r>
      <w:r>
        <w:rPr>
          <w:noProof/>
        </w:rPr>
        <w:fldChar w:fldCharType="begin"/>
      </w:r>
      <w:r>
        <w:rPr>
          <w:noProof/>
        </w:rPr>
        <w:instrText xml:space="preserve"> PAGEREF _Toc201661634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26.</w:t>
      </w:r>
      <w:r>
        <w:rPr>
          <w:noProof/>
        </w:rPr>
        <w:tab/>
        <w:t>Metropolitan non</w:t>
      </w:r>
      <w:r>
        <w:rPr>
          <w:noProof/>
        </w:rPr>
        <w:noBreakHyphen/>
        <w:t>residential</w:t>
      </w:r>
      <w:r>
        <w:rPr>
          <w:noProof/>
        </w:rPr>
        <w:tab/>
      </w:r>
      <w:r>
        <w:rPr>
          <w:noProof/>
        </w:rPr>
        <w:fldChar w:fldCharType="begin"/>
      </w:r>
      <w:r>
        <w:rPr>
          <w:noProof/>
        </w:rPr>
        <w:instrText xml:space="preserve"> PAGEREF _Toc201661635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27.</w:t>
      </w:r>
      <w:r>
        <w:rPr>
          <w:noProof/>
        </w:rPr>
        <w:tab/>
        <w:t>Metropolitan non</w:t>
      </w:r>
      <w:r>
        <w:rPr>
          <w:noProof/>
        </w:rPr>
        <w:noBreakHyphen/>
        <w:t>residential concessional</w:t>
      </w:r>
      <w:r>
        <w:rPr>
          <w:noProof/>
        </w:rPr>
        <w:tab/>
      </w:r>
      <w:r>
        <w:rPr>
          <w:noProof/>
        </w:rPr>
        <w:fldChar w:fldCharType="begin"/>
      </w:r>
      <w:r>
        <w:rPr>
          <w:noProof/>
        </w:rPr>
        <w:instrText xml:space="preserve"> PAGEREF _Toc201661636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28.</w:t>
      </w:r>
      <w:r>
        <w:rPr>
          <w:noProof/>
        </w:rPr>
        <w:tab/>
        <w:t>Community residential</w:t>
      </w:r>
      <w:r>
        <w:rPr>
          <w:noProof/>
        </w:rPr>
        <w:tab/>
      </w:r>
      <w:r>
        <w:rPr>
          <w:noProof/>
        </w:rPr>
        <w:fldChar w:fldCharType="begin"/>
      </w:r>
      <w:r>
        <w:rPr>
          <w:noProof/>
        </w:rPr>
        <w:instrText xml:space="preserve"> PAGEREF _Toc201661637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29.</w:t>
      </w:r>
      <w:r>
        <w:rPr>
          <w:noProof/>
        </w:rPr>
        <w:tab/>
        <w:t>Non</w:t>
      </w:r>
      <w:r>
        <w:rPr>
          <w:noProof/>
        </w:rPr>
        <w:noBreakHyphen/>
        <w:t>metropolitan residential</w:t>
      </w:r>
      <w:r>
        <w:rPr>
          <w:noProof/>
        </w:rPr>
        <w:tab/>
      </w:r>
      <w:r>
        <w:rPr>
          <w:noProof/>
        </w:rPr>
        <w:fldChar w:fldCharType="begin"/>
      </w:r>
      <w:r>
        <w:rPr>
          <w:noProof/>
        </w:rPr>
        <w:instrText xml:space="preserve"> PAGEREF _Toc201661638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30.</w:t>
      </w:r>
      <w:r>
        <w:rPr>
          <w:noProof/>
        </w:rPr>
        <w:tab/>
        <w:t>Non</w:t>
      </w:r>
      <w:r>
        <w:rPr>
          <w:noProof/>
        </w:rPr>
        <w:noBreakHyphen/>
        <w:t>metropolitan non</w:t>
      </w:r>
      <w:r>
        <w:rPr>
          <w:noProof/>
        </w:rPr>
        <w:noBreakHyphen/>
        <w:t>residential</w:t>
      </w:r>
      <w:r>
        <w:rPr>
          <w:noProof/>
        </w:rPr>
        <w:tab/>
      </w:r>
      <w:r>
        <w:rPr>
          <w:noProof/>
        </w:rPr>
        <w:fldChar w:fldCharType="begin"/>
      </w:r>
      <w:r>
        <w:rPr>
          <w:noProof/>
        </w:rPr>
        <w:instrText xml:space="preserve"> PAGEREF _Toc201661639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31.</w:t>
      </w:r>
      <w:r>
        <w:rPr>
          <w:noProof/>
        </w:rPr>
        <w:tab/>
        <w:t>Strata</w:t>
      </w:r>
      <w:r>
        <w:rPr>
          <w:noProof/>
        </w:rPr>
        <w:noBreakHyphen/>
        <w:t>titled or long</w:t>
      </w:r>
      <w:r>
        <w:rPr>
          <w:noProof/>
        </w:rPr>
        <w:noBreakHyphen/>
        <w:t>term residential caravan bays</w:t>
      </w:r>
      <w:r>
        <w:rPr>
          <w:noProof/>
        </w:rPr>
        <w:tab/>
      </w:r>
      <w:r>
        <w:rPr>
          <w:noProof/>
        </w:rPr>
        <w:fldChar w:fldCharType="begin"/>
      </w:r>
      <w:r>
        <w:rPr>
          <w:noProof/>
        </w:rPr>
        <w:instrText xml:space="preserve"> PAGEREF _Toc201661640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32.</w:t>
      </w:r>
      <w:r>
        <w:rPr>
          <w:noProof/>
        </w:rPr>
        <w:tab/>
        <w:t>Government trading organisations and non</w:t>
      </w:r>
      <w:r>
        <w:rPr>
          <w:noProof/>
        </w:rPr>
        <w:noBreakHyphen/>
        <w:t>commercial government property</w:t>
      </w:r>
      <w:r>
        <w:rPr>
          <w:noProof/>
        </w:rPr>
        <w:tab/>
      </w:r>
      <w:r>
        <w:rPr>
          <w:noProof/>
        </w:rPr>
        <w:fldChar w:fldCharType="begin"/>
      </w:r>
      <w:r>
        <w:rPr>
          <w:noProof/>
        </w:rPr>
        <w:instrText xml:space="preserve"> PAGEREF _Toc201661641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33.</w:t>
      </w:r>
      <w:r>
        <w:rPr>
          <w:noProof/>
        </w:rPr>
        <w:tab/>
        <w:t>Coral Bay desalinated</w:t>
      </w:r>
      <w:r>
        <w:rPr>
          <w:noProof/>
        </w:rPr>
        <w:tab/>
      </w:r>
      <w:r>
        <w:rPr>
          <w:noProof/>
        </w:rPr>
        <w:fldChar w:fldCharType="begin"/>
      </w:r>
      <w:r>
        <w:rPr>
          <w:noProof/>
        </w:rPr>
        <w:instrText xml:space="preserve"> PAGEREF _Toc201661642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34.</w:t>
      </w:r>
      <w:r>
        <w:rPr>
          <w:noProof/>
        </w:rPr>
        <w:tab/>
        <w:t>Denham desalinated</w:t>
      </w:r>
      <w:r>
        <w:rPr>
          <w:noProof/>
        </w:rPr>
        <w:tab/>
      </w:r>
      <w:r>
        <w:rPr>
          <w:noProof/>
        </w:rPr>
        <w:fldChar w:fldCharType="begin"/>
      </w:r>
      <w:r>
        <w:rPr>
          <w:noProof/>
        </w:rPr>
        <w:instrText xml:space="preserve"> PAGEREF _Toc201661643 \h </w:instrText>
      </w:r>
      <w:r>
        <w:rPr>
          <w:noProof/>
        </w:rPr>
      </w:r>
      <w:r>
        <w:rPr>
          <w:noProof/>
        </w:rPr>
        <w:fldChar w:fldCharType="separate"/>
      </w:r>
      <w:r>
        <w:rPr>
          <w:noProof/>
        </w:rPr>
        <w:t>24</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lastRenderedPageBreak/>
        <w:t>Subdivision 3 — Other consumption charges</w:t>
      </w:r>
    </w:p>
    <w:p>
      <w:pPr>
        <w:pStyle w:val="TOC9"/>
        <w:rPr>
          <w:rFonts w:asciiTheme="minorHAnsi" w:eastAsiaTheme="minorEastAsia" w:hAnsiTheme="minorHAnsi" w:cstheme="minorBidi"/>
          <w:noProof/>
          <w:sz w:val="22"/>
          <w:szCs w:val="22"/>
        </w:rPr>
      </w:pPr>
      <w:r>
        <w:rPr>
          <w:noProof/>
        </w:rPr>
        <w:t>35.</w:t>
      </w:r>
      <w:r>
        <w:rPr>
          <w:noProof/>
        </w:rPr>
        <w:tab/>
        <w:t>Local government standpipes</w:t>
      </w:r>
      <w:r>
        <w:rPr>
          <w:noProof/>
        </w:rPr>
        <w:tab/>
      </w:r>
      <w:r>
        <w:rPr>
          <w:noProof/>
        </w:rPr>
        <w:fldChar w:fldCharType="begin"/>
      </w:r>
      <w:r>
        <w:rPr>
          <w:noProof/>
        </w:rPr>
        <w:instrText xml:space="preserve"> PAGEREF _Toc201661645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36.</w:t>
      </w:r>
      <w:r>
        <w:rPr>
          <w:noProof/>
        </w:rPr>
        <w:tab/>
        <w:t>Shipping</w:t>
      </w:r>
      <w:r>
        <w:rPr>
          <w:noProof/>
        </w:rPr>
        <w:tab/>
      </w:r>
      <w:r>
        <w:rPr>
          <w:noProof/>
        </w:rPr>
        <w:fldChar w:fldCharType="begin"/>
      </w:r>
      <w:r>
        <w:rPr>
          <w:noProof/>
        </w:rPr>
        <w:instrText xml:space="preserve"> PAGEREF _Toc201661646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Stock</w:t>
      </w:r>
      <w:r>
        <w:rPr>
          <w:noProof/>
        </w:rPr>
        <w:tab/>
      </w:r>
      <w:r>
        <w:rPr>
          <w:noProof/>
        </w:rPr>
        <w:fldChar w:fldCharType="begin"/>
      </w:r>
      <w:r>
        <w:rPr>
          <w:noProof/>
        </w:rPr>
        <w:instrText xml:space="preserve"> PAGEREF _Toc201661647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38.</w:t>
      </w:r>
      <w:r>
        <w:rPr>
          <w:noProof/>
        </w:rPr>
        <w:tab/>
        <w:t>Hydrant standpipes</w:t>
      </w:r>
      <w:r>
        <w:rPr>
          <w:noProof/>
        </w:rPr>
        <w:tab/>
      </w:r>
      <w:r>
        <w:rPr>
          <w:noProof/>
        </w:rPr>
        <w:fldChar w:fldCharType="begin"/>
      </w:r>
      <w:r>
        <w:rPr>
          <w:noProof/>
        </w:rPr>
        <w:instrText xml:space="preserve"> PAGEREF _Toc201661648 \h </w:instrText>
      </w:r>
      <w:r>
        <w:rPr>
          <w:noProof/>
        </w:rPr>
      </w:r>
      <w:r>
        <w:rPr>
          <w:noProof/>
        </w:rPr>
        <w:fldChar w:fldCharType="separate"/>
      </w:r>
      <w:r>
        <w:rPr>
          <w:noProof/>
        </w:rPr>
        <w:t>25</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Schedule 4 — Sewerage charges for Water Corporation</w:t>
      </w:r>
    </w:p>
    <w:p>
      <w:pPr>
        <w:pStyle w:val="TOC5"/>
        <w:tabs>
          <w:tab w:val="right" w:leader="dot" w:pos="7077"/>
        </w:tabs>
        <w:rPr>
          <w:rFonts w:asciiTheme="minorHAnsi" w:eastAsiaTheme="minorEastAsia" w:hAnsiTheme="minorHAnsi" w:cstheme="minorBidi"/>
          <w:b w:val="0"/>
          <w:sz w:val="22"/>
          <w:szCs w:val="22"/>
        </w:rPr>
      </w:pPr>
      <w:r>
        <w:t>Division 1 — Service charges</w:t>
      </w:r>
    </w:p>
    <w:p>
      <w:pPr>
        <w:pStyle w:val="TOC9"/>
        <w:rPr>
          <w:rFonts w:asciiTheme="minorHAnsi" w:eastAsiaTheme="minorEastAsia" w:hAnsiTheme="minorHAnsi" w:cstheme="minorBidi"/>
          <w:noProof/>
          <w:sz w:val="22"/>
          <w:szCs w:val="22"/>
        </w:rPr>
      </w:pPr>
      <w:r>
        <w:rPr>
          <w:noProof/>
        </w:rPr>
        <w:t>1.</w:t>
      </w:r>
      <w:r>
        <w:rPr>
          <w:noProof/>
        </w:rPr>
        <w:tab/>
        <w:t>Service charges for 2025/26 and subsequent years</w:t>
      </w:r>
      <w:r>
        <w:rPr>
          <w:noProof/>
        </w:rPr>
        <w:tab/>
      </w:r>
      <w:r>
        <w:rPr>
          <w:noProof/>
        </w:rPr>
        <w:fldChar w:fldCharType="begin"/>
      </w:r>
      <w:r>
        <w:rPr>
          <w:noProof/>
        </w:rPr>
        <w:instrText xml:space="preserve"> PAGEREF _Toc201661651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Metropolitan residential</w:t>
      </w:r>
      <w:r>
        <w:rPr>
          <w:noProof/>
        </w:rPr>
        <w:tab/>
      </w:r>
      <w:r>
        <w:rPr>
          <w:noProof/>
        </w:rPr>
        <w:fldChar w:fldCharType="begin"/>
      </w:r>
      <w:r>
        <w:rPr>
          <w:noProof/>
        </w:rPr>
        <w:instrText xml:space="preserve"> PAGEREF _Toc201661652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Metropolitan vacant land</w:t>
      </w:r>
      <w:r>
        <w:rPr>
          <w:noProof/>
        </w:rPr>
        <w:tab/>
      </w:r>
      <w:r>
        <w:rPr>
          <w:noProof/>
        </w:rPr>
        <w:fldChar w:fldCharType="begin"/>
      </w:r>
      <w:r>
        <w:rPr>
          <w:noProof/>
        </w:rPr>
        <w:instrText xml:space="preserve"> PAGEREF _Toc201661653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Metropolitan concessional</w:t>
      </w:r>
      <w:r>
        <w:rPr>
          <w:noProof/>
        </w:rPr>
        <w:tab/>
      </w:r>
      <w:r>
        <w:rPr>
          <w:noProof/>
        </w:rPr>
        <w:fldChar w:fldCharType="begin"/>
      </w:r>
      <w:r>
        <w:rPr>
          <w:noProof/>
        </w:rPr>
        <w:instrText xml:space="preserve"> PAGEREF _Toc201661654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Strata</w:t>
      </w:r>
      <w:r>
        <w:rPr>
          <w:noProof/>
        </w:rPr>
        <w:noBreakHyphen/>
        <w:t>titled long</w:t>
      </w:r>
      <w:r>
        <w:rPr>
          <w:noProof/>
        </w:rPr>
        <w:noBreakHyphen/>
        <w:t>term residential caravan bays and park homes</w:t>
      </w:r>
      <w:r>
        <w:rPr>
          <w:noProof/>
        </w:rPr>
        <w:tab/>
      </w:r>
      <w:r>
        <w:rPr>
          <w:noProof/>
        </w:rPr>
        <w:fldChar w:fldCharType="begin"/>
      </w:r>
      <w:r>
        <w:rPr>
          <w:noProof/>
        </w:rPr>
        <w:instrText xml:space="preserve"> PAGEREF _Toc201661655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Storage units or parking bays in strata titles scheme or community titles scheme</w:t>
      </w:r>
      <w:r>
        <w:rPr>
          <w:noProof/>
        </w:rPr>
        <w:tab/>
      </w:r>
      <w:r>
        <w:rPr>
          <w:noProof/>
        </w:rPr>
        <w:fldChar w:fldCharType="begin"/>
      </w:r>
      <w:r>
        <w:rPr>
          <w:noProof/>
        </w:rPr>
        <w:instrText xml:space="preserve"> PAGEREF _Toc201661656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Land from which trade waste is discharged into sewer</w:t>
      </w:r>
      <w:r>
        <w:rPr>
          <w:noProof/>
        </w:rPr>
        <w:tab/>
      </w:r>
      <w:r>
        <w:rPr>
          <w:noProof/>
        </w:rPr>
        <w:fldChar w:fldCharType="begin"/>
      </w:r>
      <w:r>
        <w:rPr>
          <w:noProof/>
        </w:rPr>
        <w:instrText xml:space="preserve"> PAGEREF _Toc201661657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Land from which trade waste is discharged into sewer through grease arrestor</w:t>
      </w:r>
      <w:r>
        <w:rPr>
          <w:noProof/>
        </w:rPr>
        <w:tab/>
      </w:r>
      <w:r>
        <w:rPr>
          <w:noProof/>
        </w:rPr>
        <w:fldChar w:fldCharType="begin"/>
      </w:r>
      <w:r>
        <w:rPr>
          <w:noProof/>
        </w:rPr>
        <w:instrText xml:space="preserve"> PAGEREF _Toc201661658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Trade waste discharged from open area</w:t>
      </w:r>
      <w:r>
        <w:rPr>
          <w:noProof/>
        </w:rPr>
        <w:tab/>
      </w:r>
      <w:r>
        <w:rPr>
          <w:noProof/>
        </w:rPr>
        <w:fldChar w:fldCharType="begin"/>
      </w:r>
      <w:r>
        <w:rPr>
          <w:noProof/>
        </w:rPr>
        <w:instrText xml:space="preserve"> PAGEREF _Toc201661659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Non</w:t>
      </w:r>
      <w:r>
        <w:rPr>
          <w:noProof/>
        </w:rPr>
        <w:noBreakHyphen/>
        <w:t>metropolitan concessional</w:t>
      </w:r>
      <w:r>
        <w:rPr>
          <w:noProof/>
        </w:rPr>
        <w:tab/>
      </w:r>
      <w:r>
        <w:rPr>
          <w:noProof/>
        </w:rPr>
        <w:fldChar w:fldCharType="begin"/>
      </w:r>
      <w:r>
        <w:rPr>
          <w:noProof/>
        </w:rPr>
        <w:instrText xml:space="preserve"> PAGEREF _Toc201661660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Community residential</w:t>
      </w:r>
      <w:r>
        <w:rPr>
          <w:noProof/>
        </w:rPr>
        <w:tab/>
      </w:r>
      <w:r>
        <w:rPr>
          <w:noProof/>
        </w:rPr>
        <w:fldChar w:fldCharType="begin"/>
      </w:r>
      <w:r>
        <w:rPr>
          <w:noProof/>
        </w:rPr>
        <w:instrText xml:space="preserve"> PAGEREF _Toc201661661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12.</w:t>
      </w:r>
      <w:r>
        <w:rPr>
          <w:noProof/>
        </w:rPr>
        <w:tab/>
        <w:t>Non</w:t>
      </w:r>
      <w:r>
        <w:rPr>
          <w:noProof/>
        </w:rPr>
        <w:noBreakHyphen/>
        <w:t>metropolitan residential or vacant land</w:t>
      </w:r>
      <w:r>
        <w:rPr>
          <w:noProof/>
        </w:rPr>
        <w:tab/>
      </w:r>
      <w:r>
        <w:rPr>
          <w:noProof/>
        </w:rPr>
        <w:fldChar w:fldCharType="begin"/>
      </w:r>
      <w:r>
        <w:rPr>
          <w:noProof/>
        </w:rPr>
        <w:instrText xml:space="preserve"> PAGEREF _Toc201661662 \h </w:instrText>
      </w:r>
      <w:r>
        <w:rPr>
          <w:noProof/>
        </w:rPr>
      </w:r>
      <w:r>
        <w:rPr>
          <w:noProof/>
        </w:rPr>
        <w:fldChar w:fldCharType="separate"/>
      </w:r>
      <w:r>
        <w:rPr>
          <w:noProof/>
        </w:rPr>
        <w:t>30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Combined charges for certain non</w:t>
      </w:r>
      <w:r>
        <w:noBreakHyphen/>
        <w:t>residential property</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13.</w:t>
      </w:r>
      <w:r>
        <w:rPr>
          <w:noProof/>
        </w:rPr>
        <w:tab/>
        <w:t>Combined charges for 2025/26 and subsequent years</w:t>
      </w:r>
      <w:r>
        <w:rPr>
          <w:noProof/>
        </w:rPr>
        <w:tab/>
      </w:r>
      <w:r>
        <w:rPr>
          <w:noProof/>
        </w:rPr>
        <w:fldChar w:fldCharType="begin"/>
      </w:r>
      <w:r>
        <w:rPr>
          <w:noProof/>
        </w:rPr>
        <w:instrText xml:space="preserve"> PAGEREF _Toc201661665 \h </w:instrText>
      </w:r>
      <w:r>
        <w:rPr>
          <w:noProof/>
        </w:rPr>
      </w:r>
      <w:r>
        <w:rPr>
          <w:noProof/>
        </w:rPr>
        <w:fldChar w:fldCharType="separate"/>
      </w:r>
      <w:r>
        <w:rPr>
          <w:noProof/>
        </w:rPr>
        <w:t>36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Combined charges: metropolitan</w:t>
      </w:r>
    </w:p>
    <w:p>
      <w:pPr>
        <w:pStyle w:val="TOC9"/>
        <w:rPr>
          <w:rFonts w:asciiTheme="minorHAnsi" w:eastAsiaTheme="minorEastAsia" w:hAnsiTheme="minorHAnsi" w:cstheme="minorBidi"/>
          <w:noProof/>
          <w:sz w:val="22"/>
          <w:szCs w:val="22"/>
        </w:rPr>
      </w:pPr>
      <w:r>
        <w:rPr>
          <w:noProof/>
        </w:rPr>
        <w:t>14.</w:t>
      </w:r>
      <w:r>
        <w:rPr>
          <w:noProof/>
        </w:rPr>
        <w:tab/>
        <w:t>Metropolitan non</w:t>
      </w:r>
      <w:r>
        <w:rPr>
          <w:noProof/>
        </w:rPr>
        <w:noBreakHyphen/>
        <w:t>residential</w:t>
      </w:r>
      <w:r>
        <w:rPr>
          <w:noProof/>
        </w:rPr>
        <w:tab/>
      </w:r>
      <w:r>
        <w:rPr>
          <w:noProof/>
        </w:rPr>
        <w:fldChar w:fldCharType="begin"/>
      </w:r>
      <w:r>
        <w:rPr>
          <w:noProof/>
        </w:rPr>
        <w:instrText xml:space="preserve"> PAGEREF _Toc201661667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Metropolitan government trading organisation and non</w:t>
      </w:r>
      <w:r>
        <w:rPr>
          <w:noProof/>
        </w:rPr>
        <w:noBreakHyphen/>
        <w:t>commercial government property</w:t>
      </w:r>
      <w:r>
        <w:rPr>
          <w:noProof/>
        </w:rPr>
        <w:tab/>
      </w:r>
      <w:r>
        <w:rPr>
          <w:noProof/>
        </w:rPr>
        <w:fldChar w:fldCharType="begin"/>
      </w:r>
      <w:r>
        <w:rPr>
          <w:noProof/>
        </w:rPr>
        <w:instrText xml:space="preserve"> PAGEREF _Toc201661668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16.</w:t>
      </w:r>
      <w:r>
        <w:rPr>
          <w:noProof/>
        </w:rPr>
        <w:tab/>
        <w:t>Metropolitan non</w:t>
      </w:r>
      <w:r>
        <w:rPr>
          <w:noProof/>
        </w:rPr>
        <w:noBreakHyphen/>
        <w:t>strata titled caravan park with long</w:t>
      </w:r>
      <w:r>
        <w:rPr>
          <w:noProof/>
        </w:rPr>
        <w:noBreakHyphen/>
        <w:t>term residential caravan bays</w:t>
      </w:r>
      <w:r>
        <w:rPr>
          <w:noProof/>
        </w:rPr>
        <w:tab/>
      </w:r>
      <w:r>
        <w:rPr>
          <w:noProof/>
        </w:rPr>
        <w:fldChar w:fldCharType="begin"/>
      </w:r>
      <w:r>
        <w:rPr>
          <w:noProof/>
        </w:rPr>
        <w:instrText xml:space="preserve"> PAGEREF _Toc201661669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17.</w:t>
      </w:r>
      <w:r>
        <w:rPr>
          <w:noProof/>
        </w:rPr>
        <w:tab/>
        <w:t>Metropolitan nursing home</w:t>
      </w:r>
      <w:r>
        <w:rPr>
          <w:noProof/>
        </w:rPr>
        <w:tab/>
      </w:r>
      <w:r>
        <w:rPr>
          <w:noProof/>
        </w:rPr>
        <w:fldChar w:fldCharType="begin"/>
      </w:r>
      <w:r>
        <w:rPr>
          <w:noProof/>
        </w:rPr>
        <w:instrText xml:space="preserve"> PAGEREF _Toc201661670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18.</w:t>
      </w:r>
      <w:r>
        <w:rPr>
          <w:noProof/>
        </w:rPr>
        <w:tab/>
        <w:t>Certain metropolitan units</w:t>
      </w:r>
      <w:r>
        <w:rPr>
          <w:noProof/>
        </w:rPr>
        <w:tab/>
      </w:r>
      <w:r>
        <w:rPr>
          <w:noProof/>
        </w:rPr>
        <w:fldChar w:fldCharType="begin"/>
      </w:r>
      <w:r>
        <w:rPr>
          <w:noProof/>
        </w:rPr>
        <w:instrText xml:space="preserve"> PAGEREF _Toc201661671 \h </w:instrText>
      </w:r>
      <w:r>
        <w:rPr>
          <w:noProof/>
        </w:rPr>
      </w:r>
      <w:r>
        <w:rPr>
          <w:noProof/>
        </w:rPr>
        <w:fldChar w:fldCharType="separate"/>
      </w:r>
      <w:r>
        <w:rPr>
          <w:noProof/>
        </w:rPr>
        <w:t>38</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Calculation of certain factors for Subdivision 2</w:t>
      </w:r>
    </w:p>
    <w:p>
      <w:pPr>
        <w:pStyle w:val="TOC9"/>
        <w:rPr>
          <w:rFonts w:asciiTheme="minorHAnsi" w:eastAsiaTheme="minorEastAsia" w:hAnsiTheme="minorHAnsi" w:cstheme="minorBidi"/>
          <w:noProof/>
          <w:sz w:val="22"/>
          <w:szCs w:val="22"/>
        </w:rPr>
      </w:pPr>
      <w:r>
        <w:rPr>
          <w:noProof/>
        </w:rPr>
        <w:t>19.</w:t>
      </w:r>
      <w:r>
        <w:rPr>
          <w:noProof/>
        </w:rPr>
        <w:tab/>
        <w:t>Service charge</w:t>
      </w:r>
      <w:r>
        <w:rPr>
          <w:noProof/>
        </w:rPr>
        <w:tab/>
      </w:r>
      <w:r>
        <w:rPr>
          <w:noProof/>
        </w:rPr>
        <w:fldChar w:fldCharType="begin"/>
      </w:r>
      <w:r>
        <w:rPr>
          <w:noProof/>
        </w:rPr>
        <w:instrText xml:space="preserve"> PAGEREF _Toc201661673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20.</w:t>
      </w:r>
      <w:r>
        <w:rPr>
          <w:noProof/>
        </w:rPr>
        <w:tab/>
        <w:t>Discharge charge</w:t>
      </w:r>
      <w:r>
        <w:rPr>
          <w:noProof/>
        </w:rPr>
        <w:tab/>
      </w:r>
      <w:r>
        <w:rPr>
          <w:noProof/>
        </w:rPr>
        <w:fldChar w:fldCharType="begin"/>
      </w:r>
      <w:r>
        <w:rPr>
          <w:noProof/>
        </w:rPr>
        <w:instrText xml:space="preserve"> PAGEREF _Toc201661674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21.</w:t>
      </w:r>
      <w:r>
        <w:rPr>
          <w:noProof/>
        </w:rPr>
        <w:tab/>
        <w:t>Discharge allowance</w:t>
      </w:r>
      <w:r>
        <w:rPr>
          <w:noProof/>
        </w:rPr>
        <w:tab/>
      </w:r>
      <w:r>
        <w:rPr>
          <w:noProof/>
        </w:rPr>
        <w:fldChar w:fldCharType="begin"/>
      </w:r>
      <w:r>
        <w:rPr>
          <w:noProof/>
        </w:rPr>
        <w:instrText xml:space="preserve"> PAGEREF _Toc201661675 \h </w:instrText>
      </w:r>
      <w:r>
        <w:rPr>
          <w:noProof/>
        </w:rPr>
      </w:r>
      <w:r>
        <w:rPr>
          <w:noProof/>
        </w:rPr>
        <w:fldChar w:fldCharType="separate"/>
      </w:r>
      <w:r>
        <w:rPr>
          <w:noProof/>
        </w:rPr>
        <w:t>40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lastRenderedPageBreak/>
        <w:t>Subdivision 4 — Combined charges: non</w:t>
      </w:r>
      <w:r>
        <w:rPr>
          <w:noProof/>
        </w:rPr>
        <w:noBreakHyphen/>
        <w:t>metropolitan</w:t>
      </w:r>
    </w:p>
    <w:p>
      <w:pPr>
        <w:pStyle w:val="TOC9"/>
        <w:rPr>
          <w:rFonts w:asciiTheme="minorHAnsi" w:eastAsiaTheme="minorEastAsia" w:hAnsiTheme="minorHAnsi" w:cstheme="minorBidi"/>
          <w:noProof/>
          <w:sz w:val="22"/>
          <w:szCs w:val="22"/>
        </w:rPr>
      </w:pPr>
      <w:r>
        <w:rPr>
          <w:noProof/>
        </w:rPr>
        <w:t>22.</w:t>
      </w:r>
      <w:r>
        <w:rPr>
          <w:noProof/>
        </w:rPr>
        <w:tab/>
        <w:t>Non</w:t>
      </w:r>
      <w:r>
        <w:rPr>
          <w:noProof/>
        </w:rPr>
        <w:noBreakHyphen/>
        <w:t>metropolitan non</w:t>
      </w:r>
      <w:r>
        <w:rPr>
          <w:noProof/>
        </w:rPr>
        <w:noBreakHyphen/>
        <w:t>residential</w:t>
      </w:r>
      <w:r>
        <w:rPr>
          <w:noProof/>
        </w:rPr>
        <w:tab/>
      </w:r>
      <w:r>
        <w:rPr>
          <w:noProof/>
        </w:rPr>
        <w:fldChar w:fldCharType="begin"/>
      </w:r>
      <w:r>
        <w:rPr>
          <w:noProof/>
        </w:rPr>
        <w:instrText xml:space="preserve"> PAGEREF _Toc201661677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t>23.</w:t>
      </w:r>
      <w:r>
        <w:rPr>
          <w:noProof/>
        </w:rPr>
        <w:tab/>
        <w:t>Non</w:t>
      </w:r>
      <w:r>
        <w:rPr>
          <w:noProof/>
        </w:rPr>
        <w:noBreakHyphen/>
        <w:t>metropolitan non</w:t>
      </w:r>
      <w:r>
        <w:rPr>
          <w:noProof/>
        </w:rPr>
        <w:noBreakHyphen/>
        <w:t>strata titled caravan park with long</w:t>
      </w:r>
      <w:r>
        <w:rPr>
          <w:noProof/>
        </w:rPr>
        <w:noBreakHyphen/>
        <w:t>term residential caravan bays</w:t>
      </w:r>
      <w:r>
        <w:rPr>
          <w:noProof/>
        </w:rPr>
        <w:tab/>
      </w:r>
      <w:r>
        <w:rPr>
          <w:noProof/>
        </w:rPr>
        <w:fldChar w:fldCharType="begin"/>
      </w:r>
      <w:r>
        <w:rPr>
          <w:noProof/>
        </w:rPr>
        <w:instrText xml:space="preserve"> PAGEREF _Toc201661678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24.</w:t>
      </w:r>
      <w:r>
        <w:rPr>
          <w:noProof/>
        </w:rPr>
        <w:tab/>
        <w:t>Non</w:t>
      </w:r>
      <w:r>
        <w:rPr>
          <w:noProof/>
        </w:rPr>
        <w:noBreakHyphen/>
        <w:t>metropolitan nursing home</w:t>
      </w:r>
      <w:r>
        <w:rPr>
          <w:noProof/>
        </w:rPr>
        <w:tab/>
      </w:r>
      <w:r>
        <w:rPr>
          <w:noProof/>
        </w:rPr>
        <w:fldChar w:fldCharType="begin"/>
      </w:r>
      <w:r>
        <w:rPr>
          <w:noProof/>
        </w:rPr>
        <w:instrText xml:space="preserve"> PAGEREF _Toc201661679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rPr>
        <w:t>25.</w:t>
      </w:r>
      <w:r>
        <w:rPr>
          <w:noProof/>
        </w:rPr>
        <w:tab/>
        <w:t>Certain non</w:t>
      </w:r>
      <w:r>
        <w:rPr>
          <w:noProof/>
        </w:rPr>
        <w:noBreakHyphen/>
        <w:t>metropolitan units</w:t>
      </w:r>
      <w:r>
        <w:rPr>
          <w:noProof/>
        </w:rPr>
        <w:tab/>
      </w:r>
      <w:r>
        <w:rPr>
          <w:noProof/>
        </w:rPr>
        <w:fldChar w:fldCharType="begin"/>
      </w:r>
      <w:r>
        <w:rPr>
          <w:noProof/>
        </w:rPr>
        <w:instrText xml:space="preserve"> PAGEREF _Toc201661680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26.</w:t>
      </w:r>
      <w:r>
        <w:rPr>
          <w:noProof/>
        </w:rPr>
        <w:tab/>
        <w:t>Non</w:t>
      </w:r>
      <w:r>
        <w:rPr>
          <w:noProof/>
        </w:rPr>
        <w:noBreakHyphen/>
        <w:t>metropolitan government trading organisation and non</w:t>
      </w:r>
      <w:r>
        <w:rPr>
          <w:noProof/>
        </w:rPr>
        <w:noBreakHyphen/>
        <w:t>commercial government property</w:t>
      </w:r>
      <w:r>
        <w:rPr>
          <w:noProof/>
        </w:rPr>
        <w:tab/>
      </w:r>
      <w:r>
        <w:rPr>
          <w:noProof/>
        </w:rPr>
        <w:fldChar w:fldCharType="begin"/>
      </w:r>
      <w:r>
        <w:rPr>
          <w:noProof/>
        </w:rPr>
        <w:instrText xml:space="preserve"> PAGEREF _Toc201661681 \h </w:instrText>
      </w:r>
      <w:r>
        <w:rPr>
          <w:noProof/>
        </w:rPr>
      </w:r>
      <w:r>
        <w:rPr>
          <w:noProof/>
        </w:rPr>
        <w:fldChar w:fldCharType="separate"/>
      </w:r>
      <w:r>
        <w:rPr>
          <w:noProof/>
        </w:rPr>
        <w:t>43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5 — Calculation of certain factors for Subdivision 4</w:t>
      </w:r>
    </w:p>
    <w:p>
      <w:pPr>
        <w:pStyle w:val="TOC9"/>
        <w:rPr>
          <w:rFonts w:asciiTheme="minorHAnsi" w:eastAsiaTheme="minorEastAsia" w:hAnsiTheme="minorHAnsi" w:cstheme="minorBidi"/>
          <w:noProof/>
          <w:sz w:val="22"/>
          <w:szCs w:val="22"/>
        </w:rPr>
      </w:pPr>
      <w:r>
        <w:rPr>
          <w:noProof/>
        </w:rPr>
        <w:t>27.</w:t>
      </w:r>
      <w:r>
        <w:rPr>
          <w:noProof/>
        </w:rPr>
        <w:tab/>
        <w:t>Service charge</w:t>
      </w:r>
      <w:r>
        <w:rPr>
          <w:noProof/>
        </w:rPr>
        <w:tab/>
      </w:r>
      <w:r>
        <w:rPr>
          <w:noProof/>
        </w:rPr>
        <w:fldChar w:fldCharType="begin"/>
      </w:r>
      <w:r>
        <w:rPr>
          <w:noProof/>
        </w:rPr>
        <w:instrText xml:space="preserve"> PAGEREF _Toc201661683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28.</w:t>
      </w:r>
      <w:r>
        <w:rPr>
          <w:noProof/>
        </w:rPr>
        <w:tab/>
        <w:t>Discharge charge</w:t>
      </w:r>
      <w:r>
        <w:rPr>
          <w:noProof/>
        </w:rPr>
        <w:tab/>
      </w:r>
      <w:r>
        <w:rPr>
          <w:noProof/>
        </w:rPr>
        <w:fldChar w:fldCharType="begin"/>
      </w:r>
      <w:r>
        <w:rPr>
          <w:noProof/>
        </w:rPr>
        <w:instrText xml:space="preserve"> PAGEREF _Toc201661684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29.</w:t>
      </w:r>
      <w:r>
        <w:rPr>
          <w:noProof/>
        </w:rPr>
        <w:tab/>
        <w:t>Discharge allowance</w:t>
      </w:r>
      <w:r>
        <w:rPr>
          <w:noProof/>
        </w:rPr>
        <w:tab/>
      </w:r>
      <w:r>
        <w:rPr>
          <w:noProof/>
        </w:rPr>
        <w:fldChar w:fldCharType="begin"/>
      </w:r>
      <w:r>
        <w:rPr>
          <w:noProof/>
        </w:rPr>
        <w:instrText xml:space="preserve"> PAGEREF _Toc201661685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30.</w:t>
      </w:r>
      <w:r>
        <w:rPr>
          <w:noProof/>
        </w:rPr>
        <w:tab/>
        <w:t>Maximum charge</w:t>
      </w:r>
      <w:r>
        <w:rPr>
          <w:noProof/>
        </w:rPr>
        <w:tab/>
      </w:r>
      <w:r>
        <w:rPr>
          <w:noProof/>
        </w:rPr>
        <w:fldChar w:fldCharType="begin"/>
      </w:r>
      <w:r>
        <w:rPr>
          <w:noProof/>
        </w:rPr>
        <w:instrText xml:space="preserve"> PAGEREF _Toc201661686 \h </w:instrText>
      </w:r>
      <w:r>
        <w:rPr>
          <w:noProof/>
        </w:rPr>
      </w:r>
      <w:r>
        <w:rPr>
          <w:noProof/>
        </w:rPr>
        <w:fldChar w:fldCharType="separate"/>
      </w:r>
      <w:r>
        <w:rPr>
          <w:noProof/>
        </w:rPr>
        <w:t>46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Discharge charges: trade waste and effluent</w:t>
      </w:r>
    </w:p>
    <w:p>
      <w:pPr>
        <w:pStyle w:val="TOC9"/>
        <w:rPr>
          <w:rFonts w:asciiTheme="minorHAnsi" w:eastAsiaTheme="minorEastAsia" w:hAnsiTheme="minorHAnsi" w:cstheme="minorBidi"/>
          <w:noProof/>
          <w:sz w:val="22"/>
          <w:szCs w:val="22"/>
        </w:rPr>
      </w:pPr>
      <w:r>
        <w:rPr>
          <w:noProof/>
        </w:rPr>
        <w:t>31.</w:t>
      </w:r>
      <w:r>
        <w:rPr>
          <w:noProof/>
        </w:rPr>
        <w:tab/>
        <w:t>Discharge charges for 2025/26 and subsequent years</w:t>
      </w:r>
      <w:r>
        <w:rPr>
          <w:noProof/>
        </w:rPr>
        <w:tab/>
      </w:r>
      <w:r>
        <w:rPr>
          <w:noProof/>
        </w:rPr>
        <w:fldChar w:fldCharType="begin"/>
      </w:r>
      <w:r>
        <w:rPr>
          <w:noProof/>
        </w:rPr>
        <w:instrText xml:space="preserve"> PAGEREF _Toc201661688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32.</w:t>
      </w:r>
      <w:r>
        <w:rPr>
          <w:noProof/>
        </w:rPr>
        <w:tab/>
        <w:t>Trade waste discharged into sewer under approval</w:t>
      </w:r>
      <w:r>
        <w:rPr>
          <w:noProof/>
        </w:rPr>
        <w:tab/>
      </w:r>
      <w:r>
        <w:rPr>
          <w:noProof/>
        </w:rPr>
        <w:fldChar w:fldCharType="begin"/>
      </w:r>
      <w:r>
        <w:rPr>
          <w:noProof/>
        </w:rPr>
        <w:instrText xml:space="preserve"> PAGEREF _Toc201661689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33.</w:t>
      </w:r>
      <w:r>
        <w:rPr>
          <w:noProof/>
        </w:rPr>
        <w:tab/>
        <w:t>Effluent discharged from septic tank effluent pumping system into sewer</w:t>
      </w:r>
      <w:r>
        <w:rPr>
          <w:noProof/>
        </w:rPr>
        <w:tab/>
      </w:r>
      <w:r>
        <w:rPr>
          <w:noProof/>
        </w:rPr>
        <w:fldChar w:fldCharType="begin"/>
      </w:r>
      <w:r>
        <w:rPr>
          <w:noProof/>
        </w:rPr>
        <w:instrText xml:space="preserve"> PAGEREF _Toc201661690 \h </w:instrText>
      </w:r>
      <w:r>
        <w:rPr>
          <w:noProof/>
        </w:rPr>
      </w:r>
      <w:r>
        <w:rPr>
          <w:noProof/>
        </w:rPr>
        <w:fldChar w:fldCharType="separate"/>
      </w:r>
      <w:r>
        <w:rPr>
          <w:noProof/>
        </w:rPr>
        <w:t>49</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Schedule 5 — Drainage charges for Water Corporation</w:t>
      </w:r>
    </w:p>
    <w:p>
      <w:pPr>
        <w:pStyle w:val="TOC9"/>
        <w:rPr>
          <w:rFonts w:asciiTheme="minorHAnsi" w:eastAsiaTheme="minorEastAsia" w:hAnsiTheme="minorHAnsi" w:cstheme="minorBidi"/>
          <w:noProof/>
          <w:sz w:val="22"/>
          <w:szCs w:val="22"/>
        </w:rPr>
      </w:pPr>
      <w:r>
        <w:rPr>
          <w:noProof/>
        </w:rPr>
        <w:t>1.</w:t>
      </w:r>
      <w:r>
        <w:rPr>
          <w:noProof/>
        </w:rPr>
        <w:tab/>
        <w:t>Drainage charges for 2025/26 and subsequent years</w:t>
      </w:r>
      <w:r>
        <w:rPr>
          <w:noProof/>
        </w:rPr>
        <w:tab/>
      </w:r>
      <w:r>
        <w:rPr>
          <w:noProof/>
        </w:rPr>
        <w:fldChar w:fldCharType="begin"/>
      </w:r>
      <w:r>
        <w:rPr>
          <w:noProof/>
        </w:rPr>
        <w:instrText xml:space="preserve"> PAGEREF _Toc201661692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Strata</w:t>
      </w:r>
      <w:r>
        <w:rPr>
          <w:noProof/>
        </w:rPr>
        <w:noBreakHyphen/>
        <w:t>titled long</w:t>
      </w:r>
      <w:r>
        <w:rPr>
          <w:noProof/>
        </w:rPr>
        <w:noBreakHyphen/>
        <w:t>term residential caravan bays and park homes</w:t>
      </w:r>
      <w:r>
        <w:rPr>
          <w:noProof/>
        </w:rPr>
        <w:tab/>
      </w:r>
      <w:r>
        <w:rPr>
          <w:noProof/>
        </w:rPr>
        <w:fldChar w:fldCharType="begin"/>
      </w:r>
      <w:r>
        <w:rPr>
          <w:noProof/>
        </w:rPr>
        <w:instrText xml:space="preserve"> PAGEREF _Toc201661693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Storage units or parking bays in strata titles scheme or community titles scheme</w:t>
      </w:r>
      <w:r>
        <w:rPr>
          <w:noProof/>
        </w:rPr>
        <w:tab/>
      </w:r>
      <w:r>
        <w:rPr>
          <w:noProof/>
        </w:rPr>
        <w:fldChar w:fldCharType="begin"/>
      </w:r>
      <w:r>
        <w:rPr>
          <w:noProof/>
        </w:rPr>
        <w:instrText xml:space="preserve"> PAGEREF _Toc201661694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Residential or semi</w:t>
      </w:r>
      <w:r>
        <w:rPr>
          <w:noProof/>
        </w:rPr>
        <w:noBreakHyphen/>
        <w:t>rural residential</w:t>
      </w:r>
      <w:r>
        <w:rPr>
          <w:noProof/>
        </w:rPr>
        <w:tab/>
      </w:r>
      <w:r>
        <w:rPr>
          <w:noProof/>
        </w:rPr>
        <w:fldChar w:fldCharType="begin"/>
      </w:r>
      <w:r>
        <w:rPr>
          <w:noProof/>
        </w:rPr>
        <w:instrText xml:space="preserve"> PAGEREF _Toc201661695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Vacant land</w:t>
      </w:r>
      <w:r>
        <w:rPr>
          <w:noProof/>
        </w:rPr>
        <w:tab/>
      </w:r>
      <w:r>
        <w:rPr>
          <w:noProof/>
        </w:rPr>
        <w:fldChar w:fldCharType="begin"/>
      </w:r>
      <w:r>
        <w:rPr>
          <w:noProof/>
        </w:rPr>
        <w:instrText xml:space="preserve"> PAGEREF _Toc201661696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Non</w:t>
      </w:r>
      <w:r>
        <w:rPr>
          <w:noProof/>
        </w:rPr>
        <w:noBreakHyphen/>
        <w:t>residential (except strata titled caravan bays and storage units or parking bays in strata titles scheme or community titles scheme)</w:t>
      </w:r>
      <w:r>
        <w:rPr>
          <w:noProof/>
        </w:rPr>
        <w:tab/>
      </w:r>
      <w:r>
        <w:rPr>
          <w:noProof/>
        </w:rPr>
        <w:fldChar w:fldCharType="begin"/>
      </w:r>
      <w:r>
        <w:rPr>
          <w:noProof/>
        </w:rPr>
        <w:instrText xml:space="preserve"> PAGEREF _Toc201661697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Concessional land</w:t>
      </w:r>
      <w:r>
        <w:rPr>
          <w:noProof/>
        </w:rPr>
        <w:tab/>
      </w:r>
      <w:r>
        <w:rPr>
          <w:noProof/>
        </w:rPr>
        <w:fldChar w:fldCharType="begin"/>
      </w:r>
      <w:r>
        <w:rPr>
          <w:noProof/>
        </w:rPr>
        <w:instrText xml:space="preserve"> PAGEREF _Toc201661698 \h </w:instrText>
      </w:r>
      <w:r>
        <w:rPr>
          <w:noProof/>
        </w:rPr>
      </w:r>
      <w:r>
        <w:rPr>
          <w:noProof/>
        </w:rPr>
        <w:fldChar w:fldCharType="separate"/>
      </w:r>
      <w:r>
        <w:rPr>
          <w:noProof/>
        </w:rPr>
        <w:t>51</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Schedule 6 — Irrigation charges for Water Corporation (Ord Irrigation District)</w:t>
      </w:r>
    </w:p>
    <w:p>
      <w:pPr>
        <w:pStyle w:val="TOC9"/>
        <w:rPr>
          <w:rFonts w:asciiTheme="minorHAnsi" w:eastAsiaTheme="minorEastAsia" w:hAnsiTheme="minorHAnsi" w:cstheme="minorBidi"/>
          <w:noProof/>
          <w:sz w:val="22"/>
          <w:szCs w:val="22"/>
        </w:rPr>
      </w:pPr>
      <w:r>
        <w:rPr>
          <w:noProof/>
        </w:rPr>
        <w:t>1.</w:t>
      </w:r>
      <w:r>
        <w:rPr>
          <w:noProof/>
        </w:rPr>
        <w:tab/>
        <w:t>Irrigation charges for 2025/26 and subsequent years</w:t>
      </w:r>
      <w:r>
        <w:rPr>
          <w:noProof/>
        </w:rPr>
        <w:tab/>
      </w:r>
      <w:r>
        <w:rPr>
          <w:noProof/>
        </w:rPr>
        <w:fldChar w:fldCharType="begin"/>
      </w:r>
      <w:r>
        <w:rPr>
          <w:noProof/>
        </w:rPr>
        <w:instrText xml:space="preserve"> PAGEREF _Toc201661700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Water provided as irrigation service</w:t>
      </w:r>
      <w:r>
        <w:rPr>
          <w:noProof/>
        </w:rPr>
        <w:tab/>
      </w:r>
      <w:r>
        <w:rPr>
          <w:noProof/>
        </w:rPr>
        <w:fldChar w:fldCharType="begin"/>
      </w:r>
      <w:r>
        <w:rPr>
          <w:noProof/>
        </w:rPr>
        <w:instrText xml:space="preserve"> PAGEREF _Toc201661701 \h </w:instrText>
      </w:r>
      <w:r>
        <w:rPr>
          <w:noProof/>
        </w:rPr>
      </w:r>
      <w:r>
        <w:rPr>
          <w:noProof/>
        </w:rPr>
        <w:fldChar w:fldCharType="separate"/>
      </w:r>
      <w:r>
        <w:rPr>
          <w:noProof/>
        </w:rPr>
        <w:t>51</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lastRenderedPageBreak/>
        <w:t>Schedule 7 — Miscellaneous charges for Water Corporation</w:t>
      </w:r>
    </w:p>
    <w:p>
      <w:pPr>
        <w:pStyle w:val="TOC9"/>
        <w:rPr>
          <w:rFonts w:asciiTheme="minorHAnsi" w:eastAsiaTheme="minorEastAsia" w:hAnsiTheme="minorHAnsi" w:cstheme="minorBidi"/>
          <w:noProof/>
          <w:sz w:val="22"/>
          <w:szCs w:val="22"/>
        </w:rPr>
      </w:pPr>
      <w:r>
        <w:rPr>
          <w:noProof/>
        </w:rPr>
        <w:t>1.</w:t>
      </w:r>
      <w:r>
        <w:rPr>
          <w:noProof/>
        </w:rPr>
        <w:tab/>
        <w:t>Requests for sub</w:t>
      </w:r>
      <w:r>
        <w:rPr>
          <w:noProof/>
        </w:rPr>
        <w:noBreakHyphen/>
        <w:t>meter installations: multi</w:t>
      </w:r>
      <w:r>
        <w:rPr>
          <w:noProof/>
        </w:rPr>
        <w:noBreakHyphen/>
        <w:t>unit developments</w:t>
      </w:r>
      <w:r>
        <w:rPr>
          <w:noProof/>
        </w:rPr>
        <w:tab/>
      </w:r>
      <w:r>
        <w:rPr>
          <w:noProof/>
        </w:rPr>
        <w:fldChar w:fldCharType="begin"/>
      </w:r>
      <w:r>
        <w:rPr>
          <w:noProof/>
        </w:rPr>
        <w:instrText xml:space="preserve"> PAGEREF _Toc201661703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Sub</w:t>
      </w:r>
      <w:r>
        <w:rPr>
          <w:noProof/>
        </w:rPr>
        <w:noBreakHyphen/>
        <w:t>meter installations: multi</w:t>
      </w:r>
      <w:r>
        <w:rPr>
          <w:noProof/>
        </w:rPr>
        <w:noBreakHyphen/>
        <w:t>unit developments</w:t>
      </w:r>
      <w:r>
        <w:rPr>
          <w:noProof/>
        </w:rPr>
        <w:tab/>
      </w:r>
      <w:r>
        <w:rPr>
          <w:noProof/>
        </w:rPr>
        <w:fldChar w:fldCharType="begin"/>
      </w:r>
      <w:r>
        <w:rPr>
          <w:noProof/>
        </w:rPr>
        <w:instrText xml:space="preserve"> PAGEREF _Toc201661704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Testing meters</w:t>
      </w:r>
      <w:r>
        <w:rPr>
          <w:noProof/>
        </w:rPr>
        <w:tab/>
      </w:r>
      <w:r>
        <w:rPr>
          <w:noProof/>
        </w:rPr>
        <w:fldChar w:fldCharType="begin"/>
      </w:r>
      <w:r>
        <w:rPr>
          <w:noProof/>
        </w:rPr>
        <w:instrText xml:space="preserve"> PAGEREF _Toc201661705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Installing water supply connection</w:t>
      </w:r>
      <w:r>
        <w:rPr>
          <w:noProof/>
        </w:rPr>
        <w:tab/>
      </w:r>
      <w:r>
        <w:rPr>
          <w:noProof/>
        </w:rPr>
        <w:fldChar w:fldCharType="begin"/>
      </w:r>
      <w:r>
        <w:rPr>
          <w:noProof/>
        </w:rPr>
        <w:instrText xml:space="preserve"> PAGEREF _Toc201661706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Activating water supply connection</w:t>
      </w:r>
      <w:r>
        <w:rPr>
          <w:noProof/>
        </w:rPr>
        <w:tab/>
      </w:r>
      <w:r>
        <w:rPr>
          <w:noProof/>
        </w:rPr>
        <w:fldChar w:fldCharType="begin"/>
      </w:r>
      <w:r>
        <w:rPr>
          <w:noProof/>
        </w:rPr>
        <w:instrText xml:space="preserve"> PAGEREF _Toc201661707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Disconnecting water supply connection</w:t>
      </w:r>
      <w:r>
        <w:rPr>
          <w:noProof/>
        </w:rPr>
        <w:tab/>
      </w:r>
      <w:r>
        <w:rPr>
          <w:noProof/>
        </w:rPr>
        <w:fldChar w:fldCharType="begin"/>
      </w:r>
      <w:r>
        <w:rPr>
          <w:noProof/>
        </w:rPr>
        <w:instrText xml:space="preserve"> PAGEREF _Toc201661708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Relocating water supply connection</w:t>
      </w:r>
      <w:r>
        <w:rPr>
          <w:noProof/>
        </w:rPr>
        <w:tab/>
      </w:r>
      <w:r>
        <w:rPr>
          <w:noProof/>
        </w:rPr>
        <w:fldChar w:fldCharType="begin"/>
      </w:r>
      <w:r>
        <w:rPr>
          <w:noProof/>
        </w:rPr>
        <w:instrText xml:space="preserve"> PAGEREF _Toc201661709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Proposal to connect to sewer</w:t>
      </w:r>
      <w:r>
        <w:rPr>
          <w:noProof/>
        </w:rPr>
        <w:tab/>
      </w:r>
      <w:r>
        <w:rPr>
          <w:noProof/>
        </w:rPr>
        <w:fldChar w:fldCharType="begin"/>
      </w:r>
      <w:r>
        <w:rPr>
          <w:noProof/>
        </w:rPr>
        <w:instrText xml:space="preserve"> PAGEREF _Toc201661710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Installing sewer junction</w:t>
      </w:r>
      <w:r>
        <w:rPr>
          <w:noProof/>
        </w:rPr>
        <w:tab/>
      </w:r>
      <w:r>
        <w:rPr>
          <w:noProof/>
        </w:rPr>
        <w:fldChar w:fldCharType="begin"/>
      </w:r>
      <w:r>
        <w:rPr>
          <w:noProof/>
        </w:rPr>
        <w:instrText xml:space="preserve"> PAGEREF _Toc201661711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Hire of standpipe for fire hydrant</w:t>
      </w:r>
      <w:r>
        <w:rPr>
          <w:noProof/>
        </w:rPr>
        <w:tab/>
      </w:r>
      <w:r>
        <w:rPr>
          <w:noProof/>
        </w:rPr>
        <w:fldChar w:fldCharType="begin"/>
      </w:r>
      <w:r>
        <w:rPr>
          <w:noProof/>
        </w:rPr>
        <w:instrText xml:space="preserve"> PAGEREF _Toc201661712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Trade waste: services in relation to discharge</w:t>
      </w:r>
      <w:r>
        <w:rPr>
          <w:noProof/>
        </w:rPr>
        <w:tab/>
      </w:r>
      <w:r>
        <w:rPr>
          <w:noProof/>
        </w:rPr>
        <w:fldChar w:fldCharType="begin"/>
      </w:r>
      <w:r>
        <w:rPr>
          <w:noProof/>
        </w:rPr>
        <w:instrText xml:space="preserve"> PAGEREF _Toc201661713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12.</w:t>
      </w:r>
      <w:r>
        <w:rPr>
          <w:noProof/>
        </w:rPr>
        <w:tab/>
        <w:t>Trade waste: product evaluation services</w:t>
      </w:r>
      <w:r>
        <w:rPr>
          <w:noProof/>
        </w:rPr>
        <w:tab/>
      </w:r>
      <w:r>
        <w:rPr>
          <w:noProof/>
        </w:rPr>
        <w:fldChar w:fldCharType="begin"/>
      </w:r>
      <w:r>
        <w:rPr>
          <w:noProof/>
        </w:rPr>
        <w:instrText xml:space="preserve"> PAGEREF _Toc201661714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Trade waste: one</w:t>
      </w:r>
      <w:r>
        <w:rPr>
          <w:noProof/>
        </w:rPr>
        <w:noBreakHyphen/>
        <w:t>off discharge services</w:t>
      </w:r>
      <w:r>
        <w:rPr>
          <w:noProof/>
        </w:rPr>
        <w:tab/>
      </w:r>
      <w:r>
        <w:rPr>
          <w:noProof/>
        </w:rPr>
        <w:fldChar w:fldCharType="begin"/>
      </w:r>
      <w:r>
        <w:rPr>
          <w:noProof/>
        </w:rPr>
        <w:instrText xml:space="preserve"> PAGEREF _Toc201661715 \h </w:instrText>
      </w:r>
      <w:r>
        <w:rPr>
          <w:noProof/>
        </w:rPr>
      </w:r>
      <w:r>
        <w:rPr>
          <w:noProof/>
        </w:rPr>
        <w:fldChar w:fldCharType="separate"/>
      </w:r>
      <w:r>
        <w:rPr>
          <w:noProof/>
        </w:rPr>
        <w:t>57</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Meter reading and other information</w:t>
      </w:r>
      <w:r>
        <w:rPr>
          <w:noProof/>
        </w:rPr>
        <w:tab/>
      </w:r>
      <w:r>
        <w:rPr>
          <w:noProof/>
        </w:rPr>
        <w:fldChar w:fldCharType="begin"/>
      </w:r>
      <w:r>
        <w:rPr>
          <w:noProof/>
        </w:rPr>
        <w:instrText xml:space="preserve"> PAGEREF _Toc201661716 \h </w:instrText>
      </w:r>
      <w:r>
        <w:rPr>
          <w:noProof/>
        </w:rPr>
      </w:r>
      <w:r>
        <w:rPr>
          <w:noProof/>
        </w:rPr>
        <w:fldChar w:fldCharType="separate"/>
      </w:r>
      <w:r>
        <w:rPr>
          <w:noProof/>
        </w:rPr>
        <w:t>57</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Copies of records</w:t>
      </w:r>
      <w:r>
        <w:rPr>
          <w:noProof/>
        </w:rPr>
        <w:tab/>
      </w:r>
      <w:r>
        <w:rPr>
          <w:noProof/>
        </w:rPr>
        <w:fldChar w:fldCharType="begin"/>
      </w:r>
      <w:r>
        <w:rPr>
          <w:noProof/>
        </w:rPr>
        <w:instrText xml:space="preserve"> PAGEREF _Toc201661717 \h </w:instrText>
      </w:r>
      <w:r>
        <w:rPr>
          <w:noProof/>
        </w:rPr>
      </w:r>
      <w:r>
        <w:rPr>
          <w:noProof/>
        </w:rPr>
        <w:fldChar w:fldCharType="separate"/>
      </w:r>
      <w:r>
        <w:rPr>
          <w:noProof/>
        </w:rPr>
        <w:t>57</w:t>
      </w:r>
      <w:r>
        <w:rPr>
          <w:noProof/>
        </w:rPr>
        <w:fldChar w:fldCharType="end"/>
      </w:r>
    </w:p>
    <w:p>
      <w:pPr>
        <w:pStyle w:val="TOC8"/>
        <w:rPr>
          <w:rFonts w:asciiTheme="minorHAnsi" w:eastAsiaTheme="minorEastAsia" w:hAnsiTheme="minorHAnsi" w:cstheme="minorBidi"/>
          <w:szCs w:val="22"/>
        </w:rPr>
      </w:pPr>
      <w:r>
        <w:t>11.</w:t>
      </w:r>
      <w:r>
        <w:tab/>
        <w:t>Schedule 11 amended</w:t>
      </w:r>
      <w:r>
        <w:tab/>
      </w:r>
      <w:r>
        <w:fldChar w:fldCharType="begin"/>
      </w:r>
      <w:r>
        <w:instrText xml:space="preserve"> PAGEREF _Toc201661718 \h </w:instrText>
      </w:r>
      <w:r>
        <w:fldChar w:fldCharType="separate"/>
      </w:r>
      <w:r>
        <w:t>58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Water Services Act 2012</w:t>
      </w:r>
    </w:p>
    <w:p>
      <w:pPr>
        <w:pStyle w:val="NameofActReg"/>
      </w:pPr>
      <w:r>
        <w:t>Water Services Regulations Amendment (Fees and Charges) Regulations 2025</w:t>
      </w:r>
    </w:p>
    <w:p>
      <w:pPr>
        <w:pStyle w:val="MadeBy"/>
      </w:pPr>
      <w:r>
        <w:t>Made by the Governor in Executive Council.</w:t>
      </w:r>
    </w:p>
    <w:p>
      <w:pPr>
        <w:pStyle w:val="Heading2"/>
        <w:pageBreakBefore w:val="0"/>
        <w:spacing w:before="220"/>
      </w:pPr>
      <w:bookmarkStart w:id="2" w:name="_Toc201235652"/>
      <w:bookmarkStart w:id="3" w:name="_Toc201235903"/>
      <w:bookmarkStart w:id="4" w:name="_Toc201236059"/>
      <w:bookmarkStart w:id="5" w:name="_Toc20166156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01235653"/>
      <w:bookmarkStart w:id="7" w:name="_Toc201661564"/>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Water Services Regulations Amendment (Fees and Charges) Regulations 2025</w:t>
      </w:r>
      <w:r>
        <w:t>.</w:t>
      </w:r>
    </w:p>
    <w:p>
      <w:pPr>
        <w:pStyle w:val="Heading5"/>
        <w:rPr>
          <w:spacing w:val="-2"/>
        </w:rPr>
      </w:pPr>
      <w:bookmarkStart w:id="9" w:name="_Toc201235654"/>
      <w:bookmarkStart w:id="10" w:name="_Toc201661565"/>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July 2025.</w:t>
      </w:r>
    </w:p>
    <w:p>
      <w:pPr>
        <w:pStyle w:val="Heading2"/>
      </w:pPr>
      <w:bookmarkStart w:id="11" w:name="_Toc201235655"/>
      <w:bookmarkStart w:id="12" w:name="_Toc201235906"/>
      <w:bookmarkStart w:id="13" w:name="_Toc201236062"/>
      <w:bookmarkStart w:id="14" w:name="_Toc201661566"/>
      <w:r>
        <w:rPr>
          <w:rStyle w:val="CharPartNo"/>
        </w:rPr>
        <w:lastRenderedPageBreak/>
        <w:t>Part 2</w:t>
      </w:r>
      <w:r>
        <w:rPr>
          <w:rStyle w:val="CharDivNo"/>
        </w:rPr>
        <w:t> </w:t>
      </w:r>
      <w:r>
        <w:t>—</w:t>
      </w:r>
      <w:r>
        <w:rPr>
          <w:rStyle w:val="CharDivText"/>
        </w:rPr>
        <w:t> </w:t>
      </w:r>
      <w:r>
        <w:rPr>
          <w:rStyle w:val="CharPartText"/>
          <w:i/>
          <w:iCs/>
        </w:rPr>
        <w:t>Water Services Regulations 2013</w:t>
      </w:r>
      <w:r>
        <w:rPr>
          <w:rStyle w:val="CharPartText"/>
        </w:rPr>
        <w:t xml:space="preserve"> amended</w:t>
      </w:r>
      <w:bookmarkEnd w:id="11"/>
      <w:bookmarkEnd w:id="12"/>
      <w:bookmarkEnd w:id="13"/>
      <w:bookmarkEnd w:id="14"/>
    </w:p>
    <w:p>
      <w:pPr>
        <w:pStyle w:val="Heading5"/>
      </w:pPr>
      <w:bookmarkStart w:id="15" w:name="_Toc201235656"/>
      <w:bookmarkStart w:id="16" w:name="_Toc201661567"/>
      <w:r>
        <w:rPr>
          <w:rStyle w:val="CharSectno"/>
        </w:rPr>
        <w:t>3</w:t>
      </w:r>
      <w:r>
        <w:t>.</w:t>
      </w:r>
      <w:r>
        <w:tab/>
        <w:t>Regulations amended</w:t>
      </w:r>
      <w:bookmarkEnd w:id="15"/>
      <w:bookmarkEnd w:id="16"/>
    </w:p>
    <w:p>
      <w:pPr>
        <w:pStyle w:val="Subsection"/>
      </w:pPr>
      <w:r>
        <w:tab/>
      </w:r>
      <w:r>
        <w:tab/>
        <w:t xml:space="preserve">This Part amends the </w:t>
      </w:r>
      <w:r>
        <w:rPr>
          <w:i/>
        </w:rPr>
        <w:t>Water Services Regulations 2013</w:t>
      </w:r>
      <w:r>
        <w:t>.</w:t>
      </w:r>
    </w:p>
    <w:p>
      <w:pPr>
        <w:pStyle w:val="Heading5"/>
      </w:pPr>
      <w:bookmarkStart w:id="17" w:name="_Toc201235657"/>
      <w:bookmarkStart w:id="18" w:name="_Toc201661568"/>
      <w:r>
        <w:rPr>
          <w:rStyle w:val="CharSectno"/>
        </w:rPr>
        <w:t>4</w:t>
      </w:r>
      <w:r>
        <w:t>.</w:t>
      </w:r>
      <w:r>
        <w:tab/>
        <w:t>Regulation 82 amended</w:t>
      </w:r>
      <w:bookmarkEnd w:id="17"/>
      <w:bookmarkEnd w:id="18"/>
    </w:p>
    <w:p>
      <w:pPr>
        <w:pStyle w:val="Subsection"/>
      </w:pPr>
      <w:r>
        <w:tab/>
      </w:r>
      <w:r>
        <w:tab/>
        <w:t>In regulation 82 delete “11.08%” and insert:</w:t>
      </w:r>
    </w:p>
    <w:p>
      <w:pPr>
        <w:pStyle w:val="BlankOpen"/>
      </w:pPr>
    </w:p>
    <w:p>
      <w:pPr>
        <w:pStyle w:val="Subsection"/>
      </w:pPr>
      <w:r>
        <w:tab/>
      </w:r>
      <w:r>
        <w:tab/>
        <w:t>11.33%</w:t>
      </w:r>
    </w:p>
    <w:p>
      <w:pPr>
        <w:pStyle w:val="BlankClose"/>
      </w:pPr>
    </w:p>
    <w:p>
      <w:pPr>
        <w:pStyle w:val="Heading5"/>
      </w:pPr>
      <w:bookmarkStart w:id="19" w:name="_Toc201235658"/>
      <w:bookmarkStart w:id="20" w:name="_Toc201661569"/>
      <w:r>
        <w:rPr>
          <w:rStyle w:val="CharSectno"/>
        </w:rPr>
        <w:t>5</w:t>
      </w:r>
      <w:r>
        <w:t>.</w:t>
      </w:r>
      <w:r>
        <w:tab/>
        <w:t>Schedule 4 replaced</w:t>
      </w:r>
      <w:bookmarkEnd w:id="19"/>
      <w:bookmarkEnd w:id="20"/>
    </w:p>
    <w:p>
      <w:pPr>
        <w:pStyle w:val="Subsection"/>
      </w:pPr>
      <w:r>
        <w:tab/>
      </w:r>
      <w:r>
        <w:tab/>
        <w:t>Delete Schedule 4 and insert:</w:t>
      </w:r>
    </w:p>
    <w:p>
      <w:pPr>
        <w:pStyle w:val="BlankOpen"/>
      </w:pPr>
    </w:p>
    <w:p>
      <w:pPr>
        <w:pStyle w:val="zyHeading2"/>
      </w:pPr>
      <w:bookmarkStart w:id="21" w:name="_Toc201235659"/>
      <w:bookmarkStart w:id="22" w:name="_Toc201235910"/>
      <w:bookmarkStart w:id="23" w:name="_Toc201236066"/>
      <w:bookmarkStart w:id="24" w:name="_Toc201661570"/>
      <w:r>
        <w:t>Schedule 4 — Fees</w:t>
      </w:r>
      <w:bookmarkEnd w:id="21"/>
      <w:bookmarkEnd w:id="22"/>
      <w:bookmarkEnd w:id="23"/>
      <w:bookmarkEnd w:id="24"/>
    </w:p>
    <w:p>
      <w:pPr>
        <w:pStyle w:val="yShoulderClause"/>
      </w:pPr>
      <w:r>
        <w:t>[r. 84]</w:t>
      </w:r>
    </w:p>
    <w:p>
      <w:pPr>
        <w:pStyle w:val="zyHeading5"/>
      </w:pPr>
      <w:bookmarkStart w:id="25" w:name="_Toc201235660"/>
      <w:bookmarkStart w:id="26" w:name="_Toc201661571"/>
      <w:r>
        <w:t>1.</w:t>
      </w:r>
      <w:r>
        <w:tab/>
        <w:t>General fees applicable to all licensees</w:t>
      </w:r>
      <w:bookmarkEnd w:id="25"/>
      <w:bookmarkEnd w:id="26"/>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jc w:val="center"/>
            </w:pPr>
            <w:r>
              <w:rPr>
                <w:b/>
              </w:rPr>
              <w:t>Item</w:t>
            </w:r>
          </w:p>
        </w:tc>
        <w:tc>
          <w:tcPr>
            <w:tcW w:w="4536" w:type="dxa"/>
            <w:noWrap/>
          </w:tcPr>
          <w:p>
            <w:pPr>
              <w:pStyle w:val="yTableNAm"/>
              <w:jc w:val="center"/>
            </w:pPr>
            <w:r>
              <w:rPr>
                <w:b/>
              </w:rPr>
              <w:t>Description</w:t>
            </w:r>
          </w:p>
        </w:tc>
        <w:tc>
          <w:tcPr>
            <w:tcW w:w="1559" w:type="dxa"/>
            <w:noWrap/>
          </w:tcPr>
          <w:p>
            <w:pPr>
              <w:pStyle w:val="yTableNAm"/>
              <w:jc w:val="center"/>
            </w:pPr>
            <w:r>
              <w:rPr>
                <w:b/>
              </w:rPr>
              <w:t>Fee</w:t>
            </w:r>
          </w:p>
        </w:tc>
      </w:tr>
      <w:tr>
        <w:trPr>
          <w:cantSplit/>
        </w:trPr>
        <w:tc>
          <w:tcPr>
            <w:tcW w:w="709" w:type="dxa"/>
            <w:tcBorders>
              <w:bottom w:val="nil"/>
            </w:tcBorders>
            <w:noWrap/>
          </w:tcPr>
          <w:p>
            <w:pPr>
              <w:pStyle w:val="yTableNAm"/>
            </w:pPr>
            <w:r>
              <w:t>1.</w:t>
            </w:r>
          </w:p>
        </w:tc>
        <w:tc>
          <w:tcPr>
            <w:tcW w:w="4536" w:type="dxa"/>
            <w:tcBorders>
              <w:bottom w:val="nil"/>
            </w:tcBorders>
            <w:noWrap/>
          </w:tcPr>
          <w:p>
            <w:pPr>
              <w:pStyle w:val="yTableNAm"/>
            </w:pPr>
            <w:r>
              <w:t xml:space="preserve">Dealing with a notice of proposed construction or alteration under section 82 of the Act, in relation to land — </w:t>
            </w:r>
          </w:p>
        </w:tc>
        <w:tc>
          <w:tcPr>
            <w:tcW w:w="1559" w:type="dxa"/>
            <w:tcBorders>
              <w:bottom w:val="nil"/>
            </w:tcBorders>
            <w:noWrap/>
            <w:vAlign w:val="bottom"/>
          </w:tcPr>
          <w:p>
            <w:pPr>
              <w:pStyle w:val="yTableNAm"/>
            </w:pPr>
          </w:p>
        </w:tc>
      </w:tr>
      <w:tr>
        <w:trPr>
          <w:cantSplit/>
        </w:trPr>
        <w:tc>
          <w:tcPr>
            <w:tcW w:w="709" w:type="dxa"/>
            <w:tcBorders>
              <w:top w:val="nil"/>
              <w:bottom w:val="nil"/>
            </w:tcBorders>
            <w:noWrap/>
          </w:tcPr>
          <w:p>
            <w:pPr>
              <w:pStyle w:val="zyTableNAm"/>
            </w:pPr>
          </w:p>
        </w:tc>
        <w:tc>
          <w:tcPr>
            <w:tcW w:w="4536" w:type="dxa"/>
            <w:tcBorders>
              <w:top w:val="nil"/>
              <w:bottom w:val="nil"/>
            </w:tcBorders>
            <w:noWrap/>
          </w:tcPr>
          <w:p>
            <w:pPr>
              <w:pStyle w:val="yTableNAm"/>
              <w:tabs>
                <w:tab w:val="clear" w:pos="567"/>
                <w:tab w:val="right" w:leader="dot" w:pos="4310"/>
              </w:tabs>
              <w:ind w:left="483" w:hanging="483"/>
            </w:pPr>
            <w:r>
              <w:t>(a)</w:t>
            </w:r>
            <w:r>
              <w:tab/>
              <w:t>to construct or alter a dwelling</w:t>
            </w:r>
            <w:r>
              <w:tab/>
            </w:r>
          </w:p>
        </w:tc>
        <w:tc>
          <w:tcPr>
            <w:tcW w:w="1559" w:type="dxa"/>
            <w:tcBorders>
              <w:top w:val="nil"/>
              <w:bottom w:val="nil"/>
            </w:tcBorders>
            <w:noWrap/>
            <w:vAlign w:val="bottom"/>
          </w:tcPr>
          <w:p>
            <w:pPr>
              <w:pStyle w:val="yTableNAm"/>
            </w:pPr>
            <w:r>
              <w:rPr>
                <w:szCs w:val="22"/>
              </w:rPr>
              <w:t>$116.59</w:t>
            </w:r>
          </w:p>
        </w:tc>
      </w:tr>
      <w:tr>
        <w:trPr>
          <w:cantSplit/>
        </w:trPr>
        <w:tc>
          <w:tcPr>
            <w:tcW w:w="709" w:type="dxa"/>
            <w:tcBorders>
              <w:top w:val="nil"/>
              <w:bottom w:val="nil"/>
            </w:tcBorders>
            <w:noWrap/>
          </w:tcPr>
          <w:p>
            <w:pPr>
              <w:pStyle w:val="zyTableNAm"/>
            </w:pPr>
          </w:p>
        </w:tc>
        <w:tc>
          <w:tcPr>
            <w:tcW w:w="4536" w:type="dxa"/>
            <w:tcBorders>
              <w:top w:val="nil"/>
              <w:bottom w:val="nil"/>
            </w:tcBorders>
            <w:noWrap/>
          </w:tcPr>
          <w:p>
            <w:pPr>
              <w:pStyle w:val="yTableNAm"/>
              <w:tabs>
                <w:tab w:val="clear" w:pos="567"/>
                <w:tab w:val="right" w:leader="dot" w:pos="4310"/>
              </w:tabs>
              <w:ind w:left="483" w:hanging="483"/>
            </w:pPr>
            <w:r>
              <w:t>(b)</w:t>
            </w:r>
            <w:r>
              <w:tab/>
              <w:t xml:space="preserve">to construct or alter a building in the area associated with a single dwelling (including a </w:t>
            </w:r>
            <w:r>
              <w:rPr>
                <w:szCs w:val="22"/>
              </w:rPr>
              <w:t>pool or garage),</w:t>
            </w:r>
            <w:r>
              <w:t xml:space="preserve"> if the land is sewered</w:t>
            </w:r>
            <w:r>
              <w:tab/>
            </w:r>
          </w:p>
        </w:tc>
        <w:tc>
          <w:tcPr>
            <w:tcW w:w="1559" w:type="dxa"/>
            <w:tcBorders>
              <w:top w:val="nil"/>
              <w:bottom w:val="nil"/>
            </w:tcBorders>
            <w:noWrap/>
            <w:vAlign w:val="bottom"/>
          </w:tcPr>
          <w:p>
            <w:pPr>
              <w:pStyle w:val="yTableNAm"/>
            </w:pPr>
            <w:r>
              <w:rPr>
                <w:szCs w:val="22"/>
              </w:rPr>
              <w:t>$116.59</w:t>
            </w:r>
          </w:p>
        </w:tc>
      </w:tr>
      <w:tr>
        <w:trPr>
          <w:cantSplit/>
        </w:trPr>
        <w:tc>
          <w:tcPr>
            <w:tcW w:w="709" w:type="dxa"/>
            <w:tcBorders>
              <w:top w:val="nil"/>
              <w:bottom w:val="nil"/>
            </w:tcBorders>
            <w:noWrap/>
          </w:tcPr>
          <w:p>
            <w:pPr>
              <w:pStyle w:val="zyTableNAm"/>
            </w:pPr>
          </w:p>
        </w:tc>
        <w:tc>
          <w:tcPr>
            <w:tcW w:w="4536" w:type="dxa"/>
            <w:tcBorders>
              <w:top w:val="nil"/>
              <w:bottom w:val="nil"/>
            </w:tcBorders>
            <w:noWrap/>
          </w:tcPr>
          <w:p>
            <w:pPr>
              <w:pStyle w:val="yTableNAm"/>
              <w:tabs>
                <w:tab w:val="clear" w:pos="567"/>
                <w:tab w:val="right" w:leader="dot" w:pos="4310"/>
              </w:tabs>
              <w:ind w:left="483" w:hanging="483"/>
            </w:pPr>
            <w:r>
              <w:t>(c)</w:t>
            </w:r>
            <w:r>
              <w:tab/>
              <w:t>to construct or alter a multi</w:t>
            </w:r>
            <w:r>
              <w:noBreakHyphen/>
              <w:t>residential dwelling</w:t>
            </w:r>
            <w:r>
              <w:tab/>
            </w:r>
          </w:p>
        </w:tc>
        <w:tc>
          <w:tcPr>
            <w:tcW w:w="1559" w:type="dxa"/>
            <w:tcBorders>
              <w:top w:val="nil"/>
              <w:bottom w:val="nil"/>
            </w:tcBorders>
            <w:noWrap/>
            <w:vAlign w:val="bottom"/>
          </w:tcPr>
          <w:p>
            <w:pPr>
              <w:pStyle w:val="yTableNAm"/>
            </w:pPr>
            <w:r>
              <w:rPr>
                <w:szCs w:val="22"/>
              </w:rPr>
              <w:t>$213.24</w:t>
            </w:r>
          </w:p>
        </w:tc>
      </w:tr>
      <w:tr>
        <w:trPr>
          <w:cantSplit/>
        </w:trPr>
        <w:tc>
          <w:tcPr>
            <w:tcW w:w="709" w:type="dxa"/>
            <w:tcBorders>
              <w:top w:val="nil"/>
              <w:bottom w:val="single" w:sz="4" w:space="0" w:color="auto"/>
            </w:tcBorders>
            <w:noWrap/>
          </w:tcPr>
          <w:p>
            <w:pPr>
              <w:pStyle w:val="zyTableNAm"/>
            </w:pPr>
          </w:p>
        </w:tc>
        <w:tc>
          <w:tcPr>
            <w:tcW w:w="4536" w:type="dxa"/>
            <w:tcBorders>
              <w:top w:val="nil"/>
              <w:bottom w:val="single" w:sz="4" w:space="0" w:color="auto"/>
            </w:tcBorders>
            <w:noWrap/>
          </w:tcPr>
          <w:p>
            <w:pPr>
              <w:pStyle w:val="yTableNAm"/>
              <w:tabs>
                <w:tab w:val="clear" w:pos="567"/>
                <w:tab w:val="right" w:leader="dot" w:pos="4310"/>
              </w:tabs>
              <w:ind w:left="483" w:hanging="483"/>
            </w:pPr>
            <w:r>
              <w:t>(d)</w:t>
            </w:r>
            <w:r>
              <w:tab/>
              <w:t>to construct or alter a building other than a dwelling or building covered by paragraph (a), (b) or (c)</w:t>
            </w:r>
            <w:r>
              <w:tab/>
            </w:r>
          </w:p>
        </w:tc>
        <w:tc>
          <w:tcPr>
            <w:tcW w:w="1559" w:type="dxa"/>
            <w:tcBorders>
              <w:top w:val="nil"/>
              <w:bottom w:val="single" w:sz="4" w:space="0" w:color="auto"/>
            </w:tcBorders>
            <w:noWrap/>
            <w:vAlign w:val="bottom"/>
          </w:tcPr>
          <w:p>
            <w:pPr>
              <w:pStyle w:val="yTableNAm"/>
            </w:pPr>
            <w:r>
              <w:t>$273.67</w:t>
            </w:r>
          </w:p>
        </w:tc>
      </w:tr>
    </w:tbl>
    <w:p>
      <w:pPr>
        <w:pStyle w:val="ySubsection"/>
      </w:pPr>
      <w:r>
        <w:tab/>
        <w:t>(2)</w:t>
      </w:r>
      <w:r>
        <w:tab/>
        <w:t>For the purposes of the Table to subclause (1), land is sewered if a wastewater inlet on the land is connected to a sewer of a licensee, or could be connected if the owner or occupier of the land chose to.</w:t>
      </w:r>
    </w:p>
    <w:p>
      <w:pPr>
        <w:pStyle w:val="zyHeading5"/>
      </w:pPr>
      <w:bookmarkStart w:id="27" w:name="_Toc201235661"/>
      <w:bookmarkStart w:id="28" w:name="_Toc201661572"/>
      <w:r>
        <w:t>2.</w:t>
      </w:r>
      <w:r>
        <w:tab/>
        <w:t>Fees applicable to water corporations (Act s. 95)</w:t>
      </w:r>
      <w:bookmarkEnd w:id="27"/>
      <w:bookmarkEnd w:id="28"/>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jc w:val="center"/>
            </w:pPr>
            <w:r>
              <w:rPr>
                <w:b/>
              </w:rPr>
              <w:t>Item</w:t>
            </w:r>
          </w:p>
        </w:tc>
        <w:tc>
          <w:tcPr>
            <w:tcW w:w="4536" w:type="dxa"/>
            <w:noWrap/>
          </w:tcPr>
          <w:p>
            <w:pPr>
              <w:pStyle w:val="yTableNAm"/>
              <w:jc w:val="center"/>
            </w:pPr>
            <w:r>
              <w:rPr>
                <w:b/>
              </w:rPr>
              <w:t>Description</w:t>
            </w:r>
          </w:p>
        </w:tc>
        <w:tc>
          <w:tcPr>
            <w:tcW w:w="1559" w:type="dxa"/>
            <w:noWrap/>
          </w:tcPr>
          <w:p>
            <w:pPr>
              <w:pStyle w:val="yTableNAm"/>
              <w:jc w:val="center"/>
            </w:pPr>
            <w:r>
              <w:rPr>
                <w:b/>
              </w:rPr>
              <w:t>Fee</w:t>
            </w:r>
          </w:p>
        </w:tc>
      </w:tr>
      <w:tr>
        <w:trPr>
          <w:cantSplit/>
        </w:trPr>
        <w:tc>
          <w:tcPr>
            <w:tcW w:w="6804" w:type="dxa"/>
            <w:gridSpan w:val="3"/>
            <w:noWrap/>
          </w:tcPr>
          <w:p>
            <w:pPr>
              <w:pStyle w:val="yTableNAm"/>
            </w:pPr>
            <w:r>
              <w:rPr>
                <w:b/>
              </w:rPr>
              <w:t>In relation to the Water Corporation</w:t>
            </w:r>
          </w:p>
        </w:tc>
      </w:tr>
      <w:tr>
        <w:trPr>
          <w:cantSplit/>
        </w:trPr>
        <w:tc>
          <w:tcPr>
            <w:tcW w:w="709" w:type="dxa"/>
            <w:noWrap/>
          </w:tcPr>
          <w:p>
            <w:pPr>
              <w:pStyle w:val="yTableNAm"/>
            </w:pPr>
            <w:r>
              <w:t>1.</w:t>
            </w:r>
          </w:p>
        </w:tc>
        <w:tc>
          <w:tcPr>
            <w:tcW w:w="4536" w:type="dxa"/>
            <w:noWrap/>
          </w:tcPr>
          <w:p>
            <w:pPr>
              <w:pStyle w:val="yTableNAm"/>
              <w:tabs>
                <w:tab w:val="right" w:leader="dot" w:pos="4310"/>
              </w:tabs>
            </w:pPr>
            <w:r>
              <w:t>Restoring a supply of water to land after it has been cut off</w:t>
            </w:r>
            <w:r>
              <w:tab/>
            </w:r>
          </w:p>
        </w:tc>
        <w:tc>
          <w:tcPr>
            <w:tcW w:w="1559" w:type="dxa"/>
            <w:noWrap/>
            <w:vAlign w:val="bottom"/>
          </w:tcPr>
          <w:p>
            <w:pPr>
              <w:pStyle w:val="yTableNAm"/>
            </w:pPr>
            <w:r>
              <w:rPr>
                <w:szCs w:val="22"/>
              </w:rPr>
              <w:t>$241.90</w:t>
            </w:r>
          </w:p>
        </w:tc>
      </w:tr>
      <w:tr>
        <w:trPr>
          <w:cantSplit/>
        </w:trPr>
        <w:tc>
          <w:tcPr>
            <w:tcW w:w="709" w:type="dxa"/>
            <w:tcBorders>
              <w:bottom w:val="nil"/>
            </w:tcBorders>
            <w:noWrap/>
          </w:tcPr>
          <w:p>
            <w:pPr>
              <w:pStyle w:val="yTableNAm"/>
            </w:pPr>
            <w:r>
              <w:t>2.</w:t>
            </w:r>
          </w:p>
        </w:tc>
        <w:tc>
          <w:tcPr>
            <w:tcW w:w="4536" w:type="dxa"/>
            <w:tcBorders>
              <w:bottom w:val="nil"/>
            </w:tcBorders>
            <w:noWrap/>
          </w:tcPr>
          <w:p>
            <w:pPr>
              <w:pStyle w:val="yTableNAm"/>
            </w:pPr>
            <w:r>
              <w:t xml:space="preserve">Restoring a supply of water to land after the rate of flow has been reduced — </w:t>
            </w:r>
          </w:p>
          <w:p>
            <w:pPr>
              <w:pStyle w:val="yTableNAm"/>
              <w:tabs>
                <w:tab w:val="clear" w:pos="567"/>
                <w:tab w:val="right" w:leader="dot" w:pos="4310"/>
              </w:tabs>
              <w:ind w:left="483" w:hanging="483"/>
            </w:pPr>
            <w:r>
              <w:t>(a)</w:t>
            </w:r>
            <w:r>
              <w:tab/>
              <w:t>between 7 am and 4 pm any day except a Saturday, Sunday or public holiday</w:t>
            </w:r>
            <w:r>
              <w:tab/>
            </w:r>
          </w:p>
        </w:tc>
        <w:tc>
          <w:tcPr>
            <w:tcW w:w="1559" w:type="dxa"/>
            <w:tcBorders>
              <w:bottom w:val="nil"/>
            </w:tcBorders>
            <w:noWrap/>
            <w:vAlign w:val="bottom"/>
          </w:tcPr>
          <w:p>
            <w:pPr>
              <w:pStyle w:val="yTableNAm"/>
            </w:pPr>
            <w:r>
              <w:rPr>
                <w:szCs w:val="22"/>
              </w:rPr>
              <w:t>$241.90</w:t>
            </w:r>
          </w:p>
        </w:tc>
      </w:tr>
      <w:tr>
        <w:trPr>
          <w:cantSplit/>
        </w:trPr>
        <w:tc>
          <w:tcPr>
            <w:tcW w:w="709" w:type="dxa"/>
            <w:tcBorders>
              <w:top w:val="nil"/>
            </w:tcBorders>
            <w:noWrap/>
          </w:tcPr>
          <w:p>
            <w:pPr>
              <w:pStyle w:val="zyTableNAm"/>
            </w:pPr>
          </w:p>
        </w:tc>
        <w:tc>
          <w:tcPr>
            <w:tcW w:w="4536" w:type="dxa"/>
            <w:tcBorders>
              <w:top w:val="nil"/>
            </w:tcBorders>
            <w:noWrap/>
          </w:tcPr>
          <w:p>
            <w:pPr>
              <w:pStyle w:val="yTableNAm"/>
              <w:tabs>
                <w:tab w:val="clear" w:pos="567"/>
                <w:tab w:val="right" w:leader="dot" w:pos="4310"/>
              </w:tabs>
              <w:ind w:left="483" w:hanging="483"/>
            </w:pPr>
            <w:r>
              <w:t>(b)</w:t>
            </w:r>
            <w:r>
              <w:tab/>
              <w:t>at any other time</w:t>
            </w:r>
            <w:r>
              <w:tab/>
            </w:r>
          </w:p>
        </w:tc>
        <w:tc>
          <w:tcPr>
            <w:tcW w:w="1559" w:type="dxa"/>
            <w:tcBorders>
              <w:top w:val="nil"/>
            </w:tcBorders>
            <w:noWrap/>
            <w:vAlign w:val="bottom"/>
          </w:tcPr>
          <w:p>
            <w:pPr>
              <w:pStyle w:val="yTableNAm"/>
            </w:pPr>
            <w:r>
              <w:rPr>
                <w:szCs w:val="22"/>
              </w:rPr>
              <w:t>$384.39</w:t>
            </w:r>
          </w:p>
        </w:tc>
      </w:tr>
      <w:tr>
        <w:trPr>
          <w:cantSplit/>
        </w:trPr>
        <w:tc>
          <w:tcPr>
            <w:tcW w:w="6804" w:type="dxa"/>
            <w:gridSpan w:val="3"/>
            <w:noWrap/>
          </w:tcPr>
          <w:p>
            <w:pPr>
              <w:pStyle w:val="yTableNAm"/>
            </w:pPr>
            <w:r>
              <w:rPr>
                <w:b/>
              </w:rPr>
              <w:t>In relation to the Bunbury Water Corporation</w:t>
            </w:r>
          </w:p>
        </w:tc>
      </w:tr>
      <w:tr>
        <w:trPr>
          <w:cantSplit/>
        </w:trPr>
        <w:tc>
          <w:tcPr>
            <w:tcW w:w="709" w:type="dxa"/>
            <w:tcBorders>
              <w:bottom w:val="single" w:sz="4" w:space="0" w:color="auto"/>
            </w:tcBorders>
            <w:noWrap/>
          </w:tcPr>
          <w:p>
            <w:pPr>
              <w:pStyle w:val="yTableNAm"/>
            </w:pPr>
            <w:r>
              <w:t>3.</w:t>
            </w:r>
          </w:p>
        </w:tc>
        <w:tc>
          <w:tcPr>
            <w:tcW w:w="4536" w:type="dxa"/>
            <w:tcBorders>
              <w:bottom w:val="single" w:sz="4" w:space="0" w:color="auto"/>
            </w:tcBorders>
            <w:noWrap/>
          </w:tcPr>
          <w:p>
            <w:pPr>
              <w:pStyle w:val="yTableNAm"/>
              <w:tabs>
                <w:tab w:val="right" w:leader="dot" w:pos="4310"/>
              </w:tabs>
            </w:pPr>
            <w:r>
              <w:t>Restoring a supply of water to land after it has been cut off</w:t>
            </w:r>
            <w:r>
              <w:tab/>
            </w:r>
          </w:p>
        </w:tc>
        <w:tc>
          <w:tcPr>
            <w:tcW w:w="1559" w:type="dxa"/>
            <w:tcBorders>
              <w:bottom w:val="single" w:sz="4" w:space="0" w:color="auto"/>
            </w:tcBorders>
            <w:shd w:val="clear" w:color="auto" w:fill="auto"/>
            <w:noWrap/>
            <w:vAlign w:val="bottom"/>
          </w:tcPr>
          <w:p>
            <w:pPr>
              <w:pStyle w:val="yTableNAm"/>
            </w:pPr>
            <w:r>
              <w:t>$196.00</w:t>
            </w:r>
          </w:p>
        </w:tc>
      </w:tr>
      <w:tr>
        <w:trPr>
          <w:cantSplit/>
        </w:trPr>
        <w:tc>
          <w:tcPr>
            <w:tcW w:w="709" w:type="dxa"/>
            <w:tcBorders>
              <w:bottom w:val="single" w:sz="4" w:space="0" w:color="auto"/>
            </w:tcBorders>
            <w:noWrap/>
          </w:tcPr>
          <w:p>
            <w:pPr>
              <w:pStyle w:val="yTableNAm"/>
            </w:pPr>
            <w:r>
              <w:lastRenderedPageBreak/>
              <w:t>4.</w:t>
            </w:r>
          </w:p>
        </w:tc>
        <w:tc>
          <w:tcPr>
            <w:tcW w:w="4536" w:type="dxa"/>
            <w:tcBorders>
              <w:bottom w:val="single" w:sz="4" w:space="0" w:color="auto"/>
            </w:tcBorders>
            <w:noWrap/>
          </w:tcPr>
          <w:p>
            <w:pPr>
              <w:pStyle w:val="yTableNAm"/>
              <w:tabs>
                <w:tab w:val="right" w:leader="dot" w:pos="4310"/>
              </w:tabs>
            </w:pPr>
            <w:r>
              <w:t>Restoring a supply of water to land after the rate of flow has been reduced</w:t>
            </w:r>
            <w:r>
              <w:tab/>
            </w:r>
          </w:p>
        </w:tc>
        <w:tc>
          <w:tcPr>
            <w:tcW w:w="1559" w:type="dxa"/>
            <w:tcBorders>
              <w:bottom w:val="single" w:sz="4" w:space="0" w:color="auto"/>
            </w:tcBorders>
            <w:shd w:val="clear" w:color="auto" w:fill="auto"/>
            <w:noWrap/>
            <w:vAlign w:val="bottom"/>
          </w:tcPr>
          <w:p>
            <w:pPr>
              <w:pStyle w:val="yTableNAm"/>
            </w:pPr>
            <w:r>
              <w:t>$196.00</w:t>
            </w:r>
          </w:p>
        </w:tc>
      </w:tr>
      <w:tr>
        <w:trPr>
          <w:cantSplit/>
        </w:trPr>
        <w:tc>
          <w:tcPr>
            <w:tcW w:w="6804" w:type="dxa"/>
            <w:gridSpan w:val="3"/>
            <w:shd w:val="clear" w:color="auto" w:fill="auto"/>
            <w:noWrap/>
          </w:tcPr>
          <w:p>
            <w:pPr>
              <w:pStyle w:val="yTableNAm"/>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right" w:leader="dot" w:pos="4310"/>
              </w:tabs>
            </w:pPr>
            <w:r>
              <w:t>Restoring a supply of water to land after it has been cut off</w:t>
            </w:r>
            <w:r>
              <w:tab/>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pPr>
              <w:pStyle w:val="yTableNAm"/>
            </w:pPr>
            <w:r>
              <w:t>$311.25</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right" w:leader="dot" w:pos="4310"/>
              </w:tabs>
            </w:pPr>
            <w:r>
              <w:t>Restoring a supply of water to land after the rate of flow has been reduced</w:t>
            </w:r>
            <w:r>
              <w:tab/>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pPr>
              <w:pStyle w:val="yTableNAm"/>
            </w:pPr>
            <w:r>
              <w:t>$40.88</w:t>
            </w:r>
          </w:p>
        </w:tc>
      </w:tr>
    </w:tbl>
    <w:p>
      <w:pPr>
        <w:pStyle w:val="BlankClose"/>
      </w:pPr>
    </w:p>
    <w:p>
      <w:pPr>
        <w:pStyle w:val="Heading2"/>
      </w:pPr>
      <w:bookmarkStart w:id="29" w:name="_Toc201235662"/>
      <w:bookmarkStart w:id="30" w:name="_Toc201235913"/>
      <w:bookmarkStart w:id="31" w:name="_Toc201236069"/>
      <w:bookmarkStart w:id="32" w:name="_Toc201661573"/>
      <w:r>
        <w:rPr>
          <w:rStyle w:val="CharPartNo"/>
        </w:rPr>
        <w:lastRenderedPageBreak/>
        <w:t>Part 3</w:t>
      </w:r>
      <w:r>
        <w:rPr>
          <w:rStyle w:val="CharDivNo"/>
        </w:rPr>
        <w:t> </w:t>
      </w:r>
      <w:r>
        <w:t>—</w:t>
      </w:r>
      <w:r>
        <w:rPr>
          <w:rStyle w:val="CharDivText"/>
        </w:rPr>
        <w:t> </w:t>
      </w:r>
      <w:r>
        <w:rPr>
          <w:rStyle w:val="CharPartText"/>
          <w:i/>
          <w:iCs/>
        </w:rPr>
        <w:t>Water Services (Water Corporations Charges) Regulations 2014</w:t>
      </w:r>
      <w:r>
        <w:rPr>
          <w:rStyle w:val="CharPartText"/>
        </w:rPr>
        <w:t xml:space="preserve"> amended</w:t>
      </w:r>
      <w:bookmarkEnd w:id="29"/>
      <w:bookmarkEnd w:id="30"/>
      <w:bookmarkEnd w:id="31"/>
      <w:bookmarkEnd w:id="32"/>
      <w:r>
        <w:rPr>
          <w:rStyle w:val="CharPartText"/>
        </w:rPr>
        <w:t xml:space="preserve"> </w:t>
      </w:r>
    </w:p>
    <w:p>
      <w:pPr>
        <w:pStyle w:val="Heading5"/>
        <w:rPr>
          <w:snapToGrid w:val="0"/>
        </w:rPr>
      </w:pPr>
      <w:bookmarkStart w:id="33" w:name="_Toc201235663"/>
      <w:bookmarkStart w:id="34" w:name="_Toc201661574"/>
      <w:r>
        <w:rPr>
          <w:rStyle w:val="CharSectno"/>
        </w:rPr>
        <w:t>6</w:t>
      </w:r>
      <w:r>
        <w:rPr>
          <w:snapToGrid w:val="0"/>
        </w:rPr>
        <w:t>.</w:t>
      </w:r>
      <w:r>
        <w:rPr>
          <w:snapToGrid w:val="0"/>
        </w:rPr>
        <w:tab/>
        <w:t>Regulations amended</w:t>
      </w:r>
      <w:bookmarkEnd w:id="33"/>
      <w:bookmarkEnd w:id="34"/>
    </w:p>
    <w:p>
      <w:pPr>
        <w:pStyle w:val="Subsection"/>
      </w:pPr>
      <w:r>
        <w:tab/>
      </w:r>
      <w:r>
        <w:tab/>
        <w:t>This Part</w:t>
      </w:r>
      <w:r>
        <w:rPr>
          <w:spacing w:val="-2"/>
        </w:rPr>
        <w:t xml:space="preserve"> amends</w:t>
      </w:r>
      <w:r>
        <w:t xml:space="preserve"> the </w:t>
      </w:r>
      <w:r>
        <w:rPr>
          <w:i/>
        </w:rPr>
        <w:t>Water Services (Water Corporations Charges) Regulations 2014</w:t>
      </w:r>
      <w:r>
        <w:t>.</w:t>
      </w:r>
    </w:p>
    <w:p>
      <w:pPr>
        <w:pStyle w:val="Heading5"/>
      </w:pPr>
      <w:bookmarkStart w:id="35" w:name="_Toc201235664"/>
      <w:bookmarkStart w:id="36" w:name="_Toc201661575"/>
      <w:r>
        <w:rPr>
          <w:rStyle w:val="CharSectno"/>
        </w:rPr>
        <w:t>7</w:t>
      </w:r>
      <w:r>
        <w:t>.</w:t>
      </w:r>
      <w:r>
        <w:tab/>
        <w:t>Regulation 6 amended</w:t>
      </w:r>
      <w:bookmarkEnd w:id="35"/>
      <w:bookmarkEnd w:id="36"/>
    </w:p>
    <w:p>
      <w:pPr>
        <w:pStyle w:val="Subsection"/>
      </w:pPr>
      <w:r>
        <w:tab/>
      </w:r>
      <w:r>
        <w:tab/>
        <w:t xml:space="preserve">In regulation 6 delete the definition of </w:t>
      </w:r>
      <w:r>
        <w:rPr>
          <w:b/>
          <w:bCs/>
          <w:i/>
          <w:iCs/>
        </w:rPr>
        <w:t>non</w:t>
      </w:r>
      <w:r>
        <w:rPr>
          <w:b/>
          <w:bCs/>
          <w:i/>
          <w:iCs/>
        </w:rPr>
        <w:noBreakHyphen/>
        <w:t>residential lot</w:t>
      </w:r>
      <w:r>
        <w:t xml:space="preserve"> and insert:</w:t>
      </w:r>
    </w:p>
    <w:p>
      <w:pPr>
        <w:pStyle w:val="BlankOpen"/>
      </w:pPr>
    </w:p>
    <w:p>
      <w:pPr>
        <w:pStyle w:val="zDefstart"/>
      </w:pPr>
      <w:r>
        <w:tab/>
      </w:r>
      <w:r>
        <w:rPr>
          <w:rStyle w:val="CharDefText"/>
        </w:rPr>
        <w:t>non-residential lot</w:t>
      </w:r>
      <w:r>
        <w:t xml:space="preserve"> means a lot that is neither a residential lot nor vacant land;</w:t>
      </w:r>
    </w:p>
    <w:p>
      <w:pPr>
        <w:pStyle w:val="BlankClose"/>
      </w:pPr>
    </w:p>
    <w:p>
      <w:pPr>
        <w:pStyle w:val="Heading5"/>
      </w:pPr>
      <w:bookmarkStart w:id="37" w:name="_Toc201235665"/>
      <w:bookmarkStart w:id="38" w:name="_Toc201661576"/>
      <w:r>
        <w:rPr>
          <w:rStyle w:val="CharSectno"/>
        </w:rPr>
        <w:t>8</w:t>
      </w:r>
      <w:r>
        <w:t>.</w:t>
      </w:r>
      <w:r>
        <w:tab/>
        <w:t>Regulation 7 amended</w:t>
      </w:r>
      <w:bookmarkEnd w:id="37"/>
      <w:bookmarkEnd w:id="38"/>
    </w:p>
    <w:p>
      <w:pPr>
        <w:pStyle w:val="Subsection"/>
      </w:pPr>
      <w:r>
        <w:tab/>
        <w:t>(1)</w:t>
      </w:r>
      <w:r>
        <w:tab/>
        <w:t>In regulation 7 delete “The” and insert:</w:t>
      </w:r>
    </w:p>
    <w:p>
      <w:pPr>
        <w:pStyle w:val="BlankOpen"/>
      </w:pPr>
    </w:p>
    <w:p>
      <w:pPr>
        <w:pStyle w:val="zSubsection"/>
      </w:pPr>
      <w:r>
        <w:tab/>
        <w:t>(1)</w:t>
      </w:r>
      <w:r>
        <w:tab/>
        <w:t>The</w:t>
      </w:r>
    </w:p>
    <w:p>
      <w:pPr>
        <w:pStyle w:val="BlankClose"/>
      </w:pPr>
    </w:p>
    <w:p>
      <w:pPr>
        <w:pStyle w:val="Subsection"/>
      </w:pPr>
      <w:r>
        <w:tab/>
        <w:t>(2)</w:t>
      </w:r>
      <w:r>
        <w:tab/>
        <w:t>At the end of regulation 7 insert:</w:t>
      </w:r>
    </w:p>
    <w:p>
      <w:pPr>
        <w:pStyle w:val="BlankOpen"/>
      </w:pPr>
    </w:p>
    <w:p>
      <w:pPr>
        <w:pStyle w:val="zSubsection"/>
      </w:pPr>
      <w:r>
        <w:tab/>
        <w:t>(2)</w:t>
      </w:r>
      <w:r>
        <w:tab/>
        <w:t>If the Bunbury Water Corporation is satisfied that it is practicable for water supply works of the Bunbury Water Corporation to be connected to a water supply outlet on land then, for the purposes of subregulation (1), a water supply service is to be taken to be provided in respect of the land by the Bunbury Water Corporation, despite those works not being connected to a water supply outlet on the land.</w:t>
      </w:r>
    </w:p>
    <w:p>
      <w:pPr>
        <w:pStyle w:val="BlankClose"/>
      </w:pPr>
    </w:p>
    <w:p>
      <w:pPr>
        <w:pStyle w:val="Heading5"/>
      </w:pPr>
      <w:bookmarkStart w:id="39" w:name="_Toc201235666"/>
      <w:bookmarkStart w:id="40" w:name="_Toc201661577"/>
      <w:r>
        <w:rPr>
          <w:rStyle w:val="CharSectno"/>
        </w:rPr>
        <w:lastRenderedPageBreak/>
        <w:t>9</w:t>
      </w:r>
      <w:r>
        <w:t>.</w:t>
      </w:r>
      <w:r>
        <w:tab/>
        <w:t>Regulation 10 amended</w:t>
      </w:r>
      <w:bookmarkEnd w:id="39"/>
      <w:bookmarkEnd w:id="40"/>
    </w:p>
    <w:p>
      <w:pPr>
        <w:pStyle w:val="Subsection"/>
      </w:pPr>
      <w:r>
        <w:tab/>
      </w:r>
      <w:r>
        <w:tab/>
        <w:t>In regulation 10 delete “11.08%” and insert:</w:t>
      </w:r>
    </w:p>
    <w:p>
      <w:pPr>
        <w:pStyle w:val="BlankOpen"/>
      </w:pPr>
    </w:p>
    <w:p>
      <w:pPr>
        <w:pStyle w:val="Subsection"/>
      </w:pPr>
      <w:r>
        <w:tab/>
      </w:r>
      <w:r>
        <w:tab/>
        <w:t>11.33%</w:t>
      </w:r>
    </w:p>
    <w:p>
      <w:pPr>
        <w:pStyle w:val="BlankClose"/>
      </w:pPr>
    </w:p>
    <w:p>
      <w:pPr>
        <w:pStyle w:val="Heading5"/>
      </w:pPr>
      <w:bookmarkStart w:id="41" w:name="_Toc201235667"/>
      <w:bookmarkStart w:id="42" w:name="_Toc201661578"/>
      <w:r>
        <w:rPr>
          <w:rStyle w:val="CharSectno"/>
        </w:rPr>
        <w:t>10</w:t>
      </w:r>
      <w:r>
        <w:t>.</w:t>
      </w:r>
      <w:r>
        <w:tab/>
        <w:t>Schedules 1 to 7 replaced</w:t>
      </w:r>
      <w:bookmarkEnd w:id="41"/>
      <w:bookmarkEnd w:id="42"/>
    </w:p>
    <w:p>
      <w:pPr>
        <w:pStyle w:val="Subsection"/>
        <w:keepNext/>
      </w:pPr>
      <w:r>
        <w:tab/>
      </w:r>
      <w:r>
        <w:tab/>
        <w:t>Delete Schedules 1 to 7 and insert:</w:t>
      </w:r>
    </w:p>
    <w:p>
      <w:pPr>
        <w:pStyle w:val="BlankOpen"/>
      </w:pPr>
    </w:p>
    <w:p>
      <w:pPr>
        <w:pStyle w:val="zyHeading2"/>
      </w:pPr>
      <w:bookmarkStart w:id="43" w:name="_Toc201235668"/>
      <w:bookmarkStart w:id="44" w:name="_Toc201235919"/>
      <w:bookmarkStart w:id="45" w:name="_Toc201236075"/>
      <w:bookmarkStart w:id="46" w:name="_Toc201661579"/>
      <w:r>
        <w:t>Schedule 1 — Charges for Bunbury Water Corporation</w:t>
      </w:r>
      <w:bookmarkEnd w:id="43"/>
      <w:bookmarkEnd w:id="44"/>
      <w:bookmarkEnd w:id="45"/>
      <w:bookmarkEnd w:id="46"/>
    </w:p>
    <w:p>
      <w:pPr>
        <w:pStyle w:val="yShoulderClause"/>
      </w:pPr>
      <w:r>
        <w:t>[r. 7]</w:t>
      </w:r>
    </w:p>
    <w:p>
      <w:pPr>
        <w:pStyle w:val="zyHeading3"/>
      </w:pPr>
      <w:bookmarkStart w:id="47" w:name="_Toc201235669"/>
      <w:bookmarkStart w:id="48" w:name="_Toc201235920"/>
      <w:bookmarkStart w:id="49" w:name="_Toc201236076"/>
      <w:bookmarkStart w:id="50" w:name="_Toc201661580"/>
      <w:r>
        <w:t>Division 1 — Service charges</w:t>
      </w:r>
      <w:bookmarkEnd w:id="47"/>
      <w:bookmarkEnd w:id="48"/>
      <w:bookmarkEnd w:id="49"/>
      <w:bookmarkEnd w:id="50"/>
    </w:p>
    <w:p>
      <w:pPr>
        <w:pStyle w:val="zyHeading5"/>
      </w:pPr>
      <w:bookmarkStart w:id="51" w:name="_Toc201235670"/>
      <w:bookmarkStart w:id="52" w:name="_Toc201661581"/>
      <w:r>
        <w:t>1.</w:t>
      </w:r>
      <w:r>
        <w:tab/>
        <w:t>Service charges for 2025/26 and subsequent years</w:t>
      </w:r>
      <w:bookmarkEnd w:id="51"/>
      <w:bookmarkEnd w:id="52"/>
    </w:p>
    <w:p>
      <w:pPr>
        <w:pStyle w:val="ySubsection"/>
      </w:pPr>
      <w:r>
        <w:tab/>
      </w:r>
      <w:r>
        <w:tab/>
        <w:t>The charges set out in this Division apply for water supply services provided in the 2025/26 financial year and each subsequent year.</w:t>
      </w:r>
    </w:p>
    <w:p>
      <w:pPr>
        <w:pStyle w:val="zyHeading5"/>
      </w:pPr>
      <w:bookmarkStart w:id="53" w:name="_Toc201235671"/>
      <w:bookmarkStart w:id="54" w:name="_Toc201661582"/>
      <w:r>
        <w:t>2.</w:t>
      </w:r>
      <w:r>
        <w:tab/>
        <w:t>Residential lots</w:t>
      </w:r>
      <w:bookmarkEnd w:id="53"/>
      <w:bookmarkEnd w:id="54"/>
    </w:p>
    <w:p>
      <w:pPr>
        <w:pStyle w:val="ySubsection"/>
        <w:tabs>
          <w:tab w:val="right" w:leader="dot" w:pos="6804"/>
        </w:tabs>
      </w:pPr>
      <w:r>
        <w:tab/>
      </w:r>
      <w:r>
        <w:tab/>
        <w:t>For a residential lot, the charge is,</w:t>
      </w:r>
      <w:r>
        <w:br/>
        <w:t xml:space="preserve">for each dwelling on the lot </w:t>
      </w:r>
      <w:r>
        <w:tab/>
        <w:t>$282.90</w:t>
      </w:r>
    </w:p>
    <w:p>
      <w:pPr>
        <w:pStyle w:val="zyHeading5"/>
      </w:pPr>
      <w:bookmarkStart w:id="55" w:name="_Toc201235672"/>
      <w:bookmarkStart w:id="56" w:name="_Toc201661583"/>
      <w:r>
        <w:t>3.</w:t>
      </w:r>
      <w:r>
        <w:tab/>
        <w:t>Non</w:t>
      </w:r>
      <w:r>
        <w:noBreakHyphen/>
        <w:t>residential lots</w:t>
      </w:r>
      <w:bookmarkEnd w:id="55"/>
      <w:bookmarkEnd w:id="56"/>
    </w:p>
    <w:p>
      <w:pPr>
        <w:pStyle w:val="ySubsection"/>
      </w:pPr>
      <w:r>
        <w:tab/>
      </w:r>
      <w:r>
        <w:tab/>
        <w:t>For a non</w:t>
      </w:r>
      <w:r>
        <w:noBreakHyphen/>
        <w:t>residential lot, the charge, according to the size of the meter, is —</w:t>
      </w:r>
    </w:p>
    <w:p>
      <w:pPr>
        <w:pStyle w:val="yMiscellaneousBody"/>
        <w:tabs>
          <w:tab w:val="right" w:leader="dot" w:pos="6804"/>
        </w:tabs>
        <w:ind w:left="1701" w:right="284" w:hanging="1134"/>
      </w:pPr>
      <w:r>
        <w:tab/>
        <w:t xml:space="preserve">20 mm </w:t>
      </w:r>
      <w:r>
        <w:tab/>
        <w:t>$322.60</w:t>
      </w:r>
    </w:p>
    <w:p>
      <w:pPr>
        <w:pStyle w:val="yMiscellaneousBody"/>
        <w:tabs>
          <w:tab w:val="right" w:leader="dot" w:pos="6804"/>
        </w:tabs>
        <w:ind w:left="1701" w:right="284" w:hanging="1134"/>
      </w:pPr>
      <w:r>
        <w:tab/>
        <w:t xml:space="preserve">25 mm </w:t>
      </w:r>
      <w:r>
        <w:tab/>
        <w:t>$503.30</w:t>
      </w:r>
    </w:p>
    <w:p>
      <w:pPr>
        <w:pStyle w:val="yMiscellaneousBody"/>
        <w:tabs>
          <w:tab w:val="right" w:leader="dot" w:pos="6804"/>
        </w:tabs>
        <w:ind w:left="1701" w:right="284" w:hanging="1134"/>
      </w:pPr>
      <w:r>
        <w:tab/>
        <w:t xml:space="preserve">40 mm </w:t>
      </w:r>
      <w:r>
        <w:tab/>
        <w:t>$1 290.70</w:t>
      </w:r>
    </w:p>
    <w:p>
      <w:pPr>
        <w:pStyle w:val="yMiscellaneousBody"/>
        <w:tabs>
          <w:tab w:val="right" w:leader="dot" w:pos="6804"/>
        </w:tabs>
        <w:ind w:left="1701" w:right="284" w:hanging="1134"/>
      </w:pPr>
      <w:r>
        <w:tab/>
        <w:t xml:space="preserve">50 mm </w:t>
      </w:r>
      <w:r>
        <w:tab/>
        <w:t>$2 016.70</w:t>
      </w:r>
    </w:p>
    <w:p>
      <w:pPr>
        <w:pStyle w:val="yMiscellaneousBody"/>
        <w:tabs>
          <w:tab w:val="right" w:leader="dot" w:pos="6804"/>
        </w:tabs>
        <w:ind w:left="1701" w:right="284" w:hanging="1134"/>
      </w:pPr>
      <w:r>
        <w:lastRenderedPageBreak/>
        <w:tab/>
        <w:t xml:space="preserve">80 mm </w:t>
      </w:r>
      <w:r>
        <w:tab/>
        <w:t>$5 162.70</w:t>
      </w:r>
    </w:p>
    <w:p>
      <w:pPr>
        <w:pStyle w:val="yMiscellaneousBody"/>
        <w:tabs>
          <w:tab w:val="right" w:leader="dot" w:pos="6804"/>
        </w:tabs>
        <w:ind w:left="1701" w:right="284" w:hanging="1134"/>
      </w:pPr>
      <w:r>
        <w:tab/>
        <w:t xml:space="preserve">100 mm </w:t>
      </w:r>
      <w:r>
        <w:tab/>
        <w:t>$8 066.70</w:t>
      </w:r>
    </w:p>
    <w:p>
      <w:pPr>
        <w:pStyle w:val="yMiscellaneousBody"/>
        <w:tabs>
          <w:tab w:val="right" w:leader="dot" w:pos="6804"/>
        </w:tabs>
        <w:ind w:left="1701" w:right="284" w:hanging="1134"/>
      </w:pPr>
      <w:r>
        <w:tab/>
        <w:t xml:space="preserve">150 mm </w:t>
      </w:r>
      <w:r>
        <w:tab/>
        <w:t>$18 150.10</w:t>
      </w:r>
    </w:p>
    <w:p>
      <w:pPr>
        <w:pStyle w:val="zyHeading5"/>
      </w:pPr>
      <w:bookmarkStart w:id="57" w:name="_Toc201235673"/>
      <w:bookmarkStart w:id="58" w:name="_Toc201661584"/>
      <w:r>
        <w:t>3A.</w:t>
      </w:r>
      <w:r>
        <w:tab/>
        <w:t>Vacant land</w:t>
      </w:r>
      <w:bookmarkEnd w:id="57"/>
      <w:bookmarkEnd w:id="58"/>
    </w:p>
    <w:p>
      <w:pPr>
        <w:pStyle w:val="ySubsection"/>
        <w:tabs>
          <w:tab w:val="right" w:leader="dot" w:pos="6804"/>
        </w:tabs>
      </w:pPr>
      <w:r>
        <w:tab/>
      </w:r>
      <w:r>
        <w:tab/>
        <w:t xml:space="preserve">For vacant land, the charge is </w:t>
      </w:r>
      <w:r>
        <w:tab/>
        <w:t>$301.60</w:t>
      </w:r>
    </w:p>
    <w:p>
      <w:pPr>
        <w:pStyle w:val="zyHeading5"/>
      </w:pPr>
      <w:bookmarkStart w:id="59" w:name="_Toc201235674"/>
      <w:bookmarkStart w:id="60" w:name="_Toc201661585"/>
      <w:r>
        <w:t>4.</w:t>
      </w:r>
      <w:r>
        <w:tab/>
        <w:t>Fire service connections</w:t>
      </w:r>
      <w:bookmarkEnd w:id="59"/>
      <w:bookmarkEnd w:id="60"/>
    </w:p>
    <w:p>
      <w:pPr>
        <w:pStyle w:val="ySubsection"/>
      </w:pPr>
      <w:r>
        <w:tab/>
      </w:r>
      <w:r>
        <w:tab/>
        <w:t>For a fire service connection, the charge, according to the size of the meter, is —</w:t>
      </w:r>
    </w:p>
    <w:p>
      <w:pPr>
        <w:pStyle w:val="yMiscellaneousBody"/>
        <w:tabs>
          <w:tab w:val="right" w:leader="dot" w:pos="6804"/>
        </w:tabs>
        <w:ind w:left="1701" w:right="284" w:hanging="1134"/>
      </w:pPr>
      <w:r>
        <w:tab/>
        <w:t xml:space="preserve">25 mm </w:t>
      </w:r>
      <w:r>
        <w:tab/>
        <w:t>$183.49</w:t>
      </w:r>
    </w:p>
    <w:p>
      <w:pPr>
        <w:pStyle w:val="yMiscellaneousBody"/>
        <w:tabs>
          <w:tab w:val="right" w:leader="dot" w:pos="6804"/>
        </w:tabs>
        <w:ind w:left="1701" w:right="284" w:hanging="1134"/>
      </w:pPr>
      <w:r>
        <w:tab/>
        <w:t xml:space="preserve">40 mm </w:t>
      </w:r>
      <w:r>
        <w:tab/>
        <w:t>$293.58</w:t>
      </w:r>
    </w:p>
    <w:p>
      <w:pPr>
        <w:pStyle w:val="yMiscellaneousBody"/>
        <w:tabs>
          <w:tab w:val="right" w:leader="dot" w:pos="6804"/>
        </w:tabs>
        <w:ind w:left="1701" w:right="284" w:hanging="1134"/>
      </w:pPr>
      <w:r>
        <w:tab/>
        <w:t xml:space="preserve">50 mm </w:t>
      </w:r>
      <w:r>
        <w:tab/>
        <w:t>$366.95</w:t>
      </w:r>
    </w:p>
    <w:p>
      <w:pPr>
        <w:pStyle w:val="yMiscellaneousBody"/>
        <w:tabs>
          <w:tab w:val="right" w:leader="dot" w:pos="6804"/>
        </w:tabs>
        <w:ind w:left="1701" w:right="284" w:hanging="1134"/>
      </w:pPr>
      <w:r>
        <w:tab/>
        <w:t xml:space="preserve">100 mm </w:t>
      </w:r>
      <w:r>
        <w:tab/>
        <w:t>$734.09</w:t>
      </w:r>
    </w:p>
    <w:p>
      <w:pPr>
        <w:pStyle w:val="yMiscellaneousBody"/>
        <w:tabs>
          <w:tab w:val="right" w:leader="dot" w:pos="6804"/>
        </w:tabs>
        <w:ind w:left="1701" w:right="284" w:hanging="1134"/>
      </w:pPr>
      <w:r>
        <w:tab/>
        <w:t xml:space="preserve">150 mm </w:t>
      </w:r>
      <w:r>
        <w:tab/>
        <w:t>$1 101.08</w:t>
      </w:r>
    </w:p>
    <w:p>
      <w:pPr>
        <w:pStyle w:val="yMiscellaneousBody"/>
        <w:tabs>
          <w:tab w:val="right" w:leader="dot" w:pos="6804"/>
        </w:tabs>
        <w:ind w:left="1701" w:right="284" w:hanging="1134"/>
      </w:pPr>
      <w:r>
        <w:tab/>
        <w:t xml:space="preserve">200 mm </w:t>
      </w:r>
      <w:r>
        <w:tab/>
        <w:t>$1 468.18</w:t>
      </w:r>
    </w:p>
    <w:p>
      <w:pPr>
        <w:pStyle w:val="zyHeading3"/>
      </w:pPr>
      <w:bookmarkStart w:id="61" w:name="_Toc201235675"/>
      <w:bookmarkStart w:id="62" w:name="_Toc201235926"/>
      <w:bookmarkStart w:id="63" w:name="_Toc201236082"/>
      <w:bookmarkStart w:id="64" w:name="_Toc201661586"/>
      <w:r>
        <w:t>Division 2 — Consumption charges</w:t>
      </w:r>
      <w:bookmarkEnd w:id="61"/>
      <w:bookmarkEnd w:id="62"/>
      <w:bookmarkEnd w:id="63"/>
      <w:bookmarkEnd w:id="64"/>
    </w:p>
    <w:p>
      <w:pPr>
        <w:pStyle w:val="zyHeading5"/>
      </w:pPr>
      <w:bookmarkStart w:id="65" w:name="_Toc201235676"/>
      <w:bookmarkStart w:id="66" w:name="_Toc201661587"/>
      <w:r>
        <w:t>5.</w:t>
      </w:r>
      <w:r>
        <w:tab/>
        <w:t>Consumption charges for 2025/26 and subsequent years</w:t>
      </w:r>
      <w:bookmarkEnd w:id="65"/>
      <w:bookmarkEnd w:id="66"/>
    </w:p>
    <w:p>
      <w:pPr>
        <w:pStyle w:val="ySubsection"/>
      </w:pPr>
      <w:r>
        <w:tab/>
      </w:r>
      <w:r>
        <w:tab/>
        <w:t>The charges set out in this Division apply for water supplied in the 2025/26 financial year and each subsequent year.</w:t>
      </w:r>
    </w:p>
    <w:p>
      <w:pPr>
        <w:pStyle w:val="zyHeading5"/>
      </w:pPr>
      <w:bookmarkStart w:id="67" w:name="_Toc201235677"/>
      <w:bookmarkStart w:id="68" w:name="_Toc201661588"/>
      <w:r>
        <w:t>6.</w:t>
      </w:r>
      <w:r>
        <w:tab/>
        <w:t>Residential lots</w:t>
      </w:r>
      <w:bookmarkEnd w:id="67"/>
      <w:bookmarkEnd w:id="68"/>
    </w:p>
    <w:p>
      <w:pPr>
        <w:pStyle w:val="ySubsection"/>
      </w:pPr>
      <w:r>
        <w:tab/>
        <w:t>(1)</w:t>
      </w:r>
      <w:r>
        <w:tab/>
        <w:t>For each kilolitre of water supplied to a residential lot, the charge is —</w:t>
      </w:r>
    </w:p>
    <w:p>
      <w:pPr>
        <w:pStyle w:val="yMiscellaneousBody"/>
        <w:tabs>
          <w:tab w:val="right" w:leader="dot" w:pos="6804"/>
        </w:tabs>
        <w:ind w:left="1701" w:right="284" w:hanging="1134"/>
      </w:pPr>
      <w:r>
        <w:tab/>
        <w:t xml:space="preserve">up to 150 kL </w:t>
      </w:r>
      <w:r>
        <w:tab/>
        <w:t>$1.17</w:t>
      </w:r>
    </w:p>
    <w:p>
      <w:pPr>
        <w:pStyle w:val="yMiscellaneousBody"/>
        <w:tabs>
          <w:tab w:val="right" w:leader="dot" w:pos="6804"/>
        </w:tabs>
        <w:ind w:left="1701" w:right="284" w:hanging="1134"/>
      </w:pPr>
      <w:r>
        <w:tab/>
        <w:t xml:space="preserve">over 150 but not over 350 kL </w:t>
      </w:r>
      <w:r>
        <w:tab/>
        <w:t>$2.17</w:t>
      </w:r>
    </w:p>
    <w:p>
      <w:pPr>
        <w:pStyle w:val="yMiscellaneousBody"/>
        <w:tabs>
          <w:tab w:val="right" w:leader="dot" w:pos="6804"/>
        </w:tabs>
        <w:ind w:left="1701" w:right="284" w:hanging="1134"/>
      </w:pPr>
      <w:r>
        <w:tab/>
        <w:t xml:space="preserve">over 350 but not over 500 kL </w:t>
      </w:r>
      <w:r>
        <w:tab/>
        <w:t>$3.10</w:t>
      </w:r>
    </w:p>
    <w:p>
      <w:pPr>
        <w:pStyle w:val="yMiscellaneousBody"/>
        <w:tabs>
          <w:tab w:val="right" w:leader="dot" w:pos="6804"/>
        </w:tabs>
        <w:ind w:left="1701" w:right="284" w:hanging="1134"/>
      </w:pPr>
      <w:r>
        <w:tab/>
        <w:t xml:space="preserve">over 500 kL </w:t>
      </w:r>
      <w:r>
        <w:tab/>
        <w:t>$3.85</w:t>
      </w:r>
    </w:p>
    <w:p>
      <w:pPr>
        <w:pStyle w:val="ySubsection"/>
      </w:pPr>
      <w:r>
        <w:lastRenderedPageBreak/>
        <w:tab/>
        <w:t>(2)</w:t>
      </w:r>
      <w:r>
        <w:tab/>
        <w:t>The volumetric ranges in this item have effect by reference to the volume of water supplied in the current consumption year.</w:t>
      </w:r>
    </w:p>
    <w:p>
      <w:pPr>
        <w:pStyle w:val="zyHeading5"/>
      </w:pPr>
      <w:bookmarkStart w:id="69" w:name="_Toc201235678"/>
      <w:bookmarkStart w:id="70" w:name="_Toc201661589"/>
      <w:r>
        <w:t>7.</w:t>
      </w:r>
      <w:r>
        <w:tab/>
        <w:t>Non</w:t>
      </w:r>
      <w:r>
        <w:noBreakHyphen/>
        <w:t>residential lots</w:t>
      </w:r>
      <w:bookmarkEnd w:id="69"/>
      <w:bookmarkEnd w:id="70"/>
    </w:p>
    <w:p>
      <w:pPr>
        <w:pStyle w:val="ySubsection"/>
        <w:tabs>
          <w:tab w:val="right" w:leader="dot" w:pos="6804"/>
        </w:tabs>
      </w:pPr>
      <w:r>
        <w:tab/>
      </w:r>
      <w:r>
        <w:tab/>
        <w:t xml:space="preserve">For each kilolitre of water supplied to a </w:t>
      </w:r>
      <w:r>
        <w:br/>
        <w:t>non</w:t>
      </w:r>
      <w:r>
        <w:noBreakHyphen/>
        <w:t>residential lot, the charge is</w:t>
      </w:r>
      <w:r>
        <w:tab/>
        <w:t>$3.53</w:t>
      </w:r>
    </w:p>
    <w:p>
      <w:pPr>
        <w:pStyle w:val="zyHeading2"/>
      </w:pPr>
      <w:bookmarkStart w:id="71" w:name="_Toc201235679"/>
      <w:bookmarkStart w:id="72" w:name="_Toc201235930"/>
      <w:bookmarkStart w:id="73" w:name="_Toc201236086"/>
      <w:bookmarkStart w:id="74" w:name="_Toc201661590"/>
      <w:r>
        <w:t>Schedule 2 — Charges for Busselton Water Corporation</w:t>
      </w:r>
      <w:bookmarkEnd w:id="71"/>
      <w:bookmarkEnd w:id="72"/>
      <w:bookmarkEnd w:id="73"/>
      <w:bookmarkEnd w:id="74"/>
    </w:p>
    <w:p>
      <w:pPr>
        <w:pStyle w:val="yShoulderClause"/>
      </w:pPr>
      <w:r>
        <w:t>[r. 12]</w:t>
      </w:r>
    </w:p>
    <w:p>
      <w:pPr>
        <w:pStyle w:val="zyHeading3"/>
      </w:pPr>
      <w:bookmarkStart w:id="75" w:name="_Toc201235680"/>
      <w:bookmarkStart w:id="76" w:name="_Toc201235931"/>
      <w:bookmarkStart w:id="77" w:name="_Toc201236087"/>
      <w:bookmarkStart w:id="78" w:name="_Toc201661591"/>
      <w:r>
        <w:t>Division 1 — Service charges</w:t>
      </w:r>
      <w:bookmarkEnd w:id="75"/>
      <w:bookmarkEnd w:id="76"/>
      <w:bookmarkEnd w:id="77"/>
      <w:bookmarkEnd w:id="78"/>
    </w:p>
    <w:p>
      <w:pPr>
        <w:pStyle w:val="zyHeading5"/>
      </w:pPr>
      <w:bookmarkStart w:id="79" w:name="_Toc201235681"/>
      <w:bookmarkStart w:id="80" w:name="_Toc201661592"/>
      <w:r>
        <w:t>1.</w:t>
      </w:r>
      <w:r>
        <w:tab/>
        <w:t>Service charges for 2025/26 and subsequent years</w:t>
      </w:r>
      <w:bookmarkEnd w:id="79"/>
      <w:bookmarkEnd w:id="80"/>
    </w:p>
    <w:p>
      <w:pPr>
        <w:pStyle w:val="ySubsection"/>
      </w:pPr>
      <w:r>
        <w:tab/>
      </w:r>
      <w:r>
        <w:tab/>
        <w:t>The charges set out in this Division apply for water supply services provided in the 2025/26 financial year and each subsequent year.</w:t>
      </w:r>
    </w:p>
    <w:p>
      <w:pPr>
        <w:pStyle w:val="zyHeading5"/>
      </w:pPr>
      <w:bookmarkStart w:id="81" w:name="_Toc201235682"/>
      <w:bookmarkStart w:id="82" w:name="_Toc201661593"/>
      <w:r>
        <w:t>2.</w:t>
      </w:r>
      <w:r>
        <w:tab/>
        <w:t>Residential lots</w:t>
      </w:r>
      <w:bookmarkEnd w:id="81"/>
      <w:bookmarkEnd w:id="82"/>
    </w:p>
    <w:p>
      <w:pPr>
        <w:pStyle w:val="ySubsection"/>
        <w:tabs>
          <w:tab w:val="right" w:leader="dot" w:pos="6804"/>
        </w:tabs>
      </w:pPr>
      <w:r>
        <w:tab/>
      </w:r>
      <w:r>
        <w:tab/>
        <w:t>For a residential lot, the charge is</w:t>
      </w:r>
      <w:r>
        <w:tab/>
        <w:t>$246.36</w:t>
      </w:r>
    </w:p>
    <w:p>
      <w:pPr>
        <w:pStyle w:val="zyHeading5"/>
      </w:pPr>
      <w:bookmarkStart w:id="83" w:name="_Toc201235683"/>
      <w:bookmarkStart w:id="84" w:name="_Toc201661594"/>
      <w:r>
        <w:t>3.</w:t>
      </w:r>
      <w:r>
        <w:tab/>
        <w:t>Non</w:t>
      </w:r>
      <w:r>
        <w:noBreakHyphen/>
        <w:t>residential lots</w:t>
      </w:r>
      <w:bookmarkEnd w:id="83"/>
      <w:bookmarkEnd w:id="84"/>
    </w:p>
    <w:p>
      <w:pPr>
        <w:pStyle w:val="ySubsection"/>
      </w:pPr>
      <w:r>
        <w:tab/>
      </w:r>
      <w:r>
        <w:tab/>
        <w:t>For a non</w:t>
      </w:r>
      <w:r>
        <w:noBreakHyphen/>
        <w:t>residential lot, the charge, according to the size of the meter, is —</w:t>
      </w:r>
    </w:p>
    <w:p>
      <w:pPr>
        <w:pStyle w:val="yMiscellaneousBody"/>
        <w:tabs>
          <w:tab w:val="right" w:leader="dot" w:pos="6804"/>
        </w:tabs>
        <w:ind w:left="1701" w:right="284" w:hanging="1134"/>
      </w:pPr>
      <w:r>
        <w:tab/>
        <w:t xml:space="preserve">20 mm </w:t>
      </w:r>
      <w:r>
        <w:tab/>
        <w:t>$267.03</w:t>
      </w:r>
    </w:p>
    <w:p>
      <w:pPr>
        <w:pStyle w:val="yMiscellaneousBody"/>
        <w:tabs>
          <w:tab w:val="right" w:leader="dot" w:pos="6804"/>
        </w:tabs>
        <w:ind w:left="1701" w:right="284" w:hanging="1134"/>
      </w:pPr>
      <w:r>
        <w:tab/>
        <w:t xml:space="preserve">25 mm </w:t>
      </w:r>
      <w:r>
        <w:tab/>
        <w:t>$417.20</w:t>
      </w:r>
    </w:p>
    <w:p>
      <w:pPr>
        <w:pStyle w:val="yMiscellaneousBody"/>
        <w:tabs>
          <w:tab w:val="right" w:leader="dot" w:pos="6804"/>
        </w:tabs>
        <w:ind w:left="1701" w:right="284" w:hanging="1134"/>
      </w:pPr>
      <w:r>
        <w:tab/>
        <w:t xml:space="preserve">40 mm </w:t>
      </w:r>
      <w:r>
        <w:tab/>
        <w:t>$1 068.06</w:t>
      </w:r>
    </w:p>
    <w:p>
      <w:pPr>
        <w:pStyle w:val="yMiscellaneousBody"/>
        <w:tabs>
          <w:tab w:val="right" w:leader="dot" w:pos="6804"/>
        </w:tabs>
        <w:ind w:left="1701" w:right="284" w:hanging="1134"/>
      </w:pPr>
      <w:r>
        <w:tab/>
        <w:t xml:space="preserve">50 mm </w:t>
      </w:r>
      <w:r>
        <w:tab/>
        <w:t>$1 668.84</w:t>
      </w:r>
    </w:p>
    <w:p>
      <w:pPr>
        <w:pStyle w:val="yMiscellaneousBody"/>
        <w:tabs>
          <w:tab w:val="right" w:leader="dot" w:pos="6804"/>
        </w:tabs>
        <w:ind w:left="1701" w:right="284" w:hanging="1134"/>
      </w:pPr>
      <w:r>
        <w:tab/>
        <w:t xml:space="preserve">80 mm </w:t>
      </w:r>
      <w:r>
        <w:tab/>
        <w:t>$4 272.26</w:t>
      </w:r>
    </w:p>
    <w:p>
      <w:pPr>
        <w:pStyle w:val="yMiscellaneousBody"/>
        <w:tabs>
          <w:tab w:val="right" w:leader="dot" w:pos="6804"/>
        </w:tabs>
        <w:ind w:left="1701" w:right="284" w:hanging="1134"/>
      </w:pPr>
      <w:r>
        <w:tab/>
        <w:t xml:space="preserve">100 mm </w:t>
      </w:r>
      <w:r>
        <w:tab/>
        <w:t>$6 675.38</w:t>
      </w:r>
    </w:p>
    <w:p>
      <w:pPr>
        <w:pStyle w:val="yMiscellaneousBody"/>
        <w:tabs>
          <w:tab w:val="right" w:leader="dot" w:pos="6804"/>
        </w:tabs>
        <w:ind w:left="1701" w:right="284" w:hanging="1134"/>
      </w:pPr>
      <w:r>
        <w:tab/>
        <w:t xml:space="preserve">150 mm </w:t>
      </w:r>
      <w:r>
        <w:tab/>
        <w:t>$15 019.57</w:t>
      </w:r>
    </w:p>
    <w:p>
      <w:pPr>
        <w:pStyle w:val="zyHeading5"/>
      </w:pPr>
      <w:bookmarkStart w:id="85" w:name="_Toc201235684"/>
      <w:bookmarkStart w:id="86" w:name="_Toc201661595"/>
      <w:r>
        <w:lastRenderedPageBreak/>
        <w:t>4.</w:t>
      </w:r>
      <w:r>
        <w:tab/>
        <w:t>Vacant land</w:t>
      </w:r>
      <w:bookmarkEnd w:id="85"/>
      <w:bookmarkEnd w:id="86"/>
    </w:p>
    <w:p>
      <w:pPr>
        <w:pStyle w:val="ySubsection"/>
        <w:tabs>
          <w:tab w:val="right" w:leader="dot" w:pos="6804"/>
        </w:tabs>
      </w:pPr>
      <w:r>
        <w:tab/>
      </w:r>
      <w:r>
        <w:tab/>
        <w:t xml:space="preserve">For vacant land, the charge is </w:t>
      </w:r>
      <w:r>
        <w:tab/>
        <w:t>$254.39</w:t>
      </w:r>
    </w:p>
    <w:p>
      <w:pPr>
        <w:pStyle w:val="zyHeading5"/>
      </w:pPr>
      <w:bookmarkStart w:id="87" w:name="_Toc201235685"/>
      <w:bookmarkStart w:id="88" w:name="_Toc201661596"/>
      <w:r>
        <w:t>5.</w:t>
      </w:r>
      <w:r>
        <w:tab/>
        <w:t>Fire service connections</w:t>
      </w:r>
      <w:bookmarkEnd w:id="87"/>
      <w:bookmarkEnd w:id="88"/>
    </w:p>
    <w:p>
      <w:pPr>
        <w:pStyle w:val="ySubsection"/>
        <w:tabs>
          <w:tab w:val="right" w:leader="dot" w:pos="6804"/>
        </w:tabs>
      </w:pPr>
      <w:r>
        <w:tab/>
      </w:r>
      <w:r>
        <w:tab/>
        <w:t xml:space="preserve">For a fire service connection, the charge is </w:t>
      </w:r>
      <w:r>
        <w:tab/>
        <w:t>$267.03</w:t>
      </w:r>
    </w:p>
    <w:p>
      <w:pPr>
        <w:pStyle w:val="zyHeading3"/>
      </w:pPr>
      <w:bookmarkStart w:id="89" w:name="_Toc201235686"/>
      <w:bookmarkStart w:id="90" w:name="_Toc201235937"/>
      <w:bookmarkStart w:id="91" w:name="_Toc201236093"/>
      <w:bookmarkStart w:id="92" w:name="_Toc201661597"/>
      <w:r>
        <w:t>Division 2 — Consumption charges</w:t>
      </w:r>
      <w:bookmarkEnd w:id="89"/>
      <w:bookmarkEnd w:id="90"/>
      <w:bookmarkEnd w:id="91"/>
      <w:bookmarkEnd w:id="92"/>
    </w:p>
    <w:p>
      <w:pPr>
        <w:pStyle w:val="zyHeading5"/>
      </w:pPr>
      <w:bookmarkStart w:id="93" w:name="_Toc201235687"/>
      <w:bookmarkStart w:id="94" w:name="_Toc201661598"/>
      <w:r>
        <w:t>6.</w:t>
      </w:r>
      <w:r>
        <w:tab/>
        <w:t>Consumption charges for 2025/26 and subsequent years</w:t>
      </w:r>
      <w:bookmarkEnd w:id="93"/>
      <w:bookmarkEnd w:id="94"/>
    </w:p>
    <w:p>
      <w:pPr>
        <w:pStyle w:val="ySubsection"/>
      </w:pPr>
      <w:r>
        <w:tab/>
      </w:r>
      <w:r>
        <w:tab/>
        <w:t>The charges set out in this Division apply for water supplied in the 2025/26 financial year and each subsequent year.</w:t>
      </w:r>
    </w:p>
    <w:p>
      <w:pPr>
        <w:pStyle w:val="zyHeading5"/>
      </w:pPr>
      <w:bookmarkStart w:id="95" w:name="_Toc201235688"/>
      <w:bookmarkStart w:id="96" w:name="_Toc201661599"/>
      <w:r>
        <w:t>7.</w:t>
      </w:r>
      <w:r>
        <w:tab/>
        <w:t>Residential lots</w:t>
      </w:r>
      <w:bookmarkEnd w:id="95"/>
      <w:bookmarkEnd w:id="96"/>
    </w:p>
    <w:p>
      <w:pPr>
        <w:pStyle w:val="ySubsection"/>
      </w:pPr>
      <w:r>
        <w:tab/>
        <w:t>(1)</w:t>
      </w:r>
      <w:r>
        <w:tab/>
        <w:t>For each kilolitre of water supplied to a residential lot, the charge is —</w:t>
      </w:r>
    </w:p>
    <w:p>
      <w:pPr>
        <w:pStyle w:val="yMiscellaneousBody"/>
        <w:tabs>
          <w:tab w:val="right" w:leader="dot" w:pos="6804"/>
        </w:tabs>
        <w:ind w:left="1701" w:right="284" w:hanging="1134"/>
      </w:pPr>
      <w:r>
        <w:tab/>
        <w:t xml:space="preserve">up to 150 kL </w:t>
      </w:r>
      <w:r>
        <w:tab/>
        <w:t>$1.23</w:t>
      </w:r>
    </w:p>
    <w:p>
      <w:pPr>
        <w:pStyle w:val="yMiscellaneousBody"/>
        <w:tabs>
          <w:tab w:val="right" w:leader="dot" w:pos="6804"/>
        </w:tabs>
        <w:ind w:left="1701" w:right="284" w:hanging="1134"/>
      </w:pPr>
      <w:r>
        <w:tab/>
        <w:t xml:space="preserve">over 150 but not over 350 kL </w:t>
      </w:r>
      <w:r>
        <w:tab/>
        <w:t>$1.71</w:t>
      </w:r>
    </w:p>
    <w:p>
      <w:pPr>
        <w:pStyle w:val="yMiscellaneousBody"/>
        <w:tabs>
          <w:tab w:val="right" w:leader="dot" w:pos="6804"/>
        </w:tabs>
        <w:ind w:left="1701" w:right="284" w:hanging="1134"/>
      </w:pPr>
      <w:r>
        <w:tab/>
        <w:t xml:space="preserve">over 350 but not over 500 kL </w:t>
      </w:r>
      <w:r>
        <w:tab/>
        <w:t>$1.96</w:t>
      </w:r>
    </w:p>
    <w:p>
      <w:pPr>
        <w:pStyle w:val="yMiscellaneousBody"/>
        <w:tabs>
          <w:tab w:val="right" w:leader="dot" w:pos="6804"/>
        </w:tabs>
        <w:ind w:left="1701" w:right="284" w:hanging="1134"/>
      </w:pPr>
      <w:r>
        <w:tab/>
        <w:t xml:space="preserve">over 500 but not over 700 kL </w:t>
      </w:r>
      <w:r>
        <w:tab/>
        <w:t>$2.58</w:t>
      </w:r>
    </w:p>
    <w:p>
      <w:pPr>
        <w:pStyle w:val="yMiscellaneousBody"/>
        <w:tabs>
          <w:tab w:val="right" w:leader="dot" w:pos="6804"/>
        </w:tabs>
        <w:ind w:left="1701" w:right="284" w:hanging="1134"/>
      </w:pPr>
      <w:r>
        <w:tab/>
        <w:t xml:space="preserve">over 700 but not over 1 000 kL </w:t>
      </w:r>
      <w:r>
        <w:tab/>
        <w:t>$3.62</w:t>
      </w:r>
    </w:p>
    <w:p>
      <w:pPr>
        <w:pStyle w:val="yMiscellaneousBody"/>
        <w:tabs>
          <w:tab w:val="right" w:leader="dot" w:pos="6804"/>
        </w:tabs>
        <w:ind w:left="1701" w:right="284" w:hanging="1134"/>
      </w:pPr>
      <w:r>
        <w:tab/>
        <w:t xml:space="preserve">over 1 000 kL </w:t>
      </w:r>
      <w:r>
        <w:tab/>
        <w:t>$3.71</w:t>
      </w:r>
    </w:p>
    <w:p>
      <w:pPr>
        <w:pStyle w:val="ySubsection"/>
      </w:pPr>
      <w:r>
        <w:tab/>
        <w:t>(2)</w:t>
      </w:r>
      <w:r>
        <w:tab/>
        <w:t>The volumetric ranges in this item have effect by reference to the volume of water supplied in the current consumption year.</w:t>
      </w:r>
    </w:p>
    <w:p>
      <w:pPr>
        <w:pStyle w:val="zyHeading5"/>
      </w:pPr>
      <w:bookmarkStart w:id="97" w:name="_Toc201235689"/>
      <w:bookmarkStart w:id="98" w:name="_Toc201661600"/>
      <w:r>
        <w:t>8.</w:t>
      </w:r>
      <w:r>
        <w:tab/>
        <w:t>Non</w:t>
      </w:r>
      <w:r>
        <w:noBreakHyphen/>
        <w:t>residential lots</w:t>
      </w:r>
      <w:bookmarkEnd w:id="97"/>
      <w:bookmarkEnd w:id="98"/>
    </w:p>
    <w:p>
      <w:pPr>
        <w:pStyle w:val="ySubsection"/>
        <w:tabs>
          <w:tab w:val="right" w:leader="dot" w:pos="6804"/>
        </w:tabs>
      </w:pPr>
      <w:r>
        <w:tab/>
      </w:r>
      <w:r>
        <w:tab/>
        <w:t xml:space="preserve">For each kilolitre of water supplied to a </w:t>
      </w:r>
      <w:r>
        <w:br/>
        <w:t>non</w:t>
      </w:r>
      <w:r>
        <w:noBreakHyphen/>
        <w:t xml:space="preserve">residential lot, the charge is </w:t>
      </w:r>
      <w:r>
        <w:tab/>
        <w:t>$2.11</w:t>
      </w:r>
    </w:p>
    <w:p>
      <w:pPr>
        <w:pStyle w:val="zyHeading5"/>
      </w:pPr>
      <w:bookmarkStart w:id="99" w:name="_Toc201235690"/>
      <w:bookmarkStart w:id="100" w:name="_Toc201661601"/>
      <w:r>
        <w:t>9.</w:t>
      </w:r>
      <w:r>
        <w:tab/>
        <w:t>Water supply service (fire)</w:t>
      </w:r>
      <w:bookmarkEnd w:id="99"/>
      <w:bookmarkEnd w:id="100"/>
    </w:p>
    <w:p>
      <w:pPr>
        <w:pStyle w:val="ySubsection"/>
        <w:tabs>
          <w:tab w:val="right" w:leader="dot" w:pos="6804"/>
        </w:tabs>
      </w:pPr>
      <w:r>
        <w:tab/>
      </w:r>
      <w:r>
        <w:tab/>
        <w:t xml:space="preserve">For each kilolitre of water supplied through a </w:t>
      </w:r>
      <w:r>
        <w:br/>
        <w:t xml:space="preserve">fire service connection, the charge is </w:t>
      </w:r>
      <w:r>
        <w:tab/>
        <w:t>$2.58</w:t>
      </w:r>
    </w:p>
    <w:p>
      <w:pPr>
        <w:pStyle w:val="zyHeading2"/>
      </w:pPr>
      <w:bookmarkStart w:id="101" w:name="_Toc201235691"/>
      <w:bookmarkStart w:id="102" w:name="_Toc201235942"/>
      <w:bookmarkStart w:id="103" w:name="_Toc201236098"/>
      <w:bookmarkStart w:id="104" w:name="_Toc201661602"/>
      <w:r>
        <w:lastRenderedPageBreak/>
        <w:t>Schedule 3 — Water supply charges for Water Corporation</w:t>
      </w:r>
      <w:bookmarkEnd w:id="101"/>
      <w:bookmarkEnd w:id="102"/>
      <w:bookmarkEnd w:id="103"/>
      <w:bookmarkEnd w:id="104"/>
    </w:p>
    <w:p>
      <w:pPr>
        <w:pStyle w:val="yShoulderClause"/>
      </w:pPr>
      <w:r>
        <w:t>[r. 24, 27 and 31]</w:t>
      </w:r>
    </w:p>
    <w:p>
      <w:pPr>
        <w:pStyle w:val="zyHeading3"/>
      </w:pPr>
      <w:bookmarkStart w:id="105" w:name="_Toc201235692"/>
      <w:bookmarkStart w:id="106" w:name="_Toc201235943"/>
      <w:bookmarkStart w:id="107" w:name="_Toc201236099"/>
      <w:bookmarkStart w:id="108" w:name="_Toc201661603"/>
      <w:r>
        <w:t>Division 1 — Service charges</w:t>
      </w:r>
      <w:bookmarkEnd w:id="105"/>
      <w:bookmarkEnd w:id="106"/>
      <w:bookmarkEnd w:id="107"/>
      <w:bookmarkEnd w:id="108"/>
    </w:p>
    <w:p>
      <w:pPr>
        <w:pStyle w:val="zyHeading4"/>
      </w:pPr>
      <w:bookmarkStart w:id="109" w:name="_Toc201235693"/>
      <w:bookmarkStart w:id="110" w:name="_Toc201235944"/>
      <w:bookmarkStart w:id="111" w:name="_Toc201236100"/>
      <w:bookmarkStart w:id="112" w:name="_Toc201661604"/>
      <w:r>
        <w:t>Subdivision 1 — Preliminary</w:t>
      </w:r>
      <w:bookmarkEnd w:id="109"/>
      <w:bookmarkEnd w:id="110"/>
      <w:bookmarkEnd w:id="111"/>
      <w:bookmarkEnd w:id="112"/>
    </w:p>
    <w:p>
      <w:pPr>
        <w:pStyle w:val="zyHeading5"/>
      </w:pPr>
      <w:bookmarkStart w:id="113" w:name="_Toc201235694"/>
      <w:bookmarkStart w:id="114" w:name="_Toc201661605"/>
      <w:r>
        <w:t>1.</w:t>
      </w:r>
      <w:r>
        <w:tab/>
        <w:t>Service charges for 2025/26 and subsequent years</w:t>
      </w:r>
      <w:bookmarkEnd w:id="113"/>
      <w:bookmarkEnd w:id="114"/>
    </w:p>
    <w:p>
      <w:pPr>
        <w:pStyle w:val="ySubsection"/>
      </w:pPr>
      <w:r>
        <w:tab/>
      </w:r>
      <w:r>
        <w:tab/>
        <w:t>The charges set out in this Division apply for water supply services provided in the 2025/26 financial year and each subsequent year.</w:t>
      </w:r>
    </w:p>
    <w:p>
      <w:pPr>
        <w:pStyle w:val="zyHeading5"/>
      </w:pPr>
      <w:bookmarkStart w:id="115" w:name="_Toc201235695"/>
      <w:bookmarkStart w:id="116" w:name="_Toc201661606"/>
      <w:r>
        <w:t>2.</w:t>
      </w:r>
      <w:r>
        <w:tab/>
        <w:t>Table of meter</w:t>
      </w:r>
      <w:r>
        <w:noBreakHyphen/>
        <w:t>based charges</w:t>
      </w:r>
      <w:bookmarkEnd w:id="115"/>
      <w:bookmarkEnd w:id="116"/>
    </w:p>
    <w:p>
      <w:pPr>
        <w:pStyle w:val="ySubsection"/>
      </w:pPr>
      <w:r>
        <w:tab/>
      </w:r>
      <w:r>
        <w:tab/>
        <w:t>For the purposes of this Division, meter</w:t>
      </w:r>
      <w:r>
        <w:noBreakHyphen/>
        <w:t>based charges are set out in the Table.</w:t>
      </w:r>
    </w:p>
    <w:p>
      <w:pPr>
        <w:pStyle w:val="yTHeadingNAm"/>
      </w:pPr>
      <w:r>
        <w:t>Table of meter</w:t>
      </w:r>
      <w:r>
        <w:noBreakHyphen/>
        <w:t>based charges</w:t>
      </w:r>
    </w:p>
    <w:tbl>
      <w:tblPr>
        <w:tblW w:w="0" w:type="auto"/>
        <w:tblInd w:w="1418" w:type="dxa"/>
        <w:tblLayout w:type="fixed"/>
        <w:tblLook w:val="0000" w:firstRow="0" w:lastRow="0" w:firstColumn="0" w:lastColumn="0" w:noHBand="0" w:noVBand="0"/>
      </w:tblPr>
      <w:tblGrid>
        <w:gridCol w:w="2292"/>
        <w:gridCol w:w="2292"/>
      </w:tblGrid>
      <w:tr>
        <w:trPr>
          <w:cantSplit/>
          <w:tblHeader/>
        </w:trPr>
        <w:tc>
          <w:tcPr>
            <w:tcW w:w="2292" w:type="dxa"/>
            <w:tcBorders>
              <w:top w:val="single" w:sz="4" w:space="0" w:color="auto"/>
              <w:bottom w:val="single" w:sz="4" w:space="0" w:color="auto"/>
            </w:tcBorders>
            <w:noWrap/>
          </w:tcPr>
          <w:p>
            <w:pPr>
              <w:pStyle w:val="yTableNAm"/>
              <w:jc w:val="center"/>
            </w:pPr>
            <w:r>
              <w:rPr>
                <w:b/>
              </w:rPr>
              <w:t>Meter size</w:t>
            </w:r>
            <w:r>
              <w:rPr>
                <w:b/>
              </w:rPr>
              <w:br/>
              <w:t>mm</w:t>
            </w:r>
          </w:p>
        </w:tc>
        <w:tc>
          <w:tcPr>
            <w:tcW w:w="2292" w:type="dxa"/>
            <w:tcBorders>
              <w:top w:val="single" w:sz="4" w:space="0" w:color="auto"/>
              <w:bottom w:val="single" w:sz="4" w:space="0" w:color="auto"/>
            </w:tcBorders>
            <w:noWrap/>
          </w:tcPr>
          <w:p>
            <w:pPr>
              <w:pStyle w:val="yTableNAm"/>
              <w:jc w:val="center"/>
            </w:pPr>
            <w:r>
              <w:rPr>
                <w:b/>
              </w:rPr>
              <w:t>Charge</w:t>
            </w:r>
            <w:r>
              <w:rPr>
                <w:b/>
              </w:rPr>
              <w:br/>
              <w:t>$</w:t>
            </w:r>
          </w:p>
        </w:tc>
      </w:tr>
      <w:tr>
        <w:trPr>
          <w:cantSplit/>
        </w:trPr>
        <w:tc>
          <w:tcPr>
            <w:tcW w:w="2292" w:type="dxa"/>
            <w:noWrap/>
          </w:tcPr>
          <w:p>
            <w:pPr>
              <w:pStyle w:val="yTableNAm"/>
              <w:jc w:val="center"/>
            </w:pPr>
            <w:r>
              <w:t>15, 20</w:t>
            </w:r>
          </w:p>
        </w:tc>
        <w:tc>
          <w:tcPr>
            <w:tcW w:w="2292" w:type="dxa"/>
            <w:noWrap/>
          </w:tcPr>
          <w:p>
            <w:pPr>
              <w:pStyle w:val="yTableNAm"/>
              <w:jc w:val="center"/>
            </w:pPr>
            <w:r>
              <w:t>315.50</w:t>
            </w:r>
          </w:p>
        </w:tc>
      </w:tr>
      <w:tr>
        <w:trPr>
          <w:cantSplit/>
        </w:trPr>
        <w:tc>
          <w:tcPr>
            <w:tcW w:w="2292" w:type="dxa"/>
            <w:noWrap/>
          </w:tcPr>
          <w:p>
            <w:pPr>
              <w:pStyle w:val="yTableNAm"/>
              <w:jc w:val="center"/>
            </w:pPr>
            <w:r>
              <w:t>25</w:t>
            </w:r>
          </w:p>
        </w:tc>
        <w:tc>
          <w:tcPr>
            <w:tcW w:w="2292" w:type="dxa"/>
            <w:noWrap/>
          </w:tcPr>
          <w:p>
            <w:pPr>
              <w:pStyle w:val="yTableNAm"/>
              <w:jc w:val="center"/>
            </w:pPr>
            <w:r>
              <w:t>493.00</w:t>
            </w:r>
          </w:p>
        </w:tc>
      </w:tr>
      <w:tr>
        <w:trPr>
          <w:cantSplit/>
        </w:trPr>
        <w:tc>
          <w:tcPr>
            <w:tcW w:w="2292" w:type="dxa"/>
            <w:noWrap/>
          </w:tcPr>
          <w:p>
            <w:pPr>
              <w:pStyle w:val="yTableNAm"/>
              <w:jc w:val="center"/>
            </w:pPr>
            <w:r>
              <w:t>30</w:t>
            </w:r>
          </w:p>
        </w:tc>
        <w:tc>
          <w:tcPr>
            <w:tcW w:w="2292" w:type="dxa"/>
            <w:noWrap/>
          </w:tcPr>
          <w:p>
            <w:pPr>
              <w:pStyle w:val="yTableNAm"/>
              <w:jc w:val="center"/>
            </w:pPr>
            <w:r>
              <w:t>709.86</w:t>
            </w:r>
          </w:p>
        </w:tc>
      </w:tr>
      <w:tr>
        <w:trPr>
          <w:cantSplit/>
        </w:trPr>
        <w:tc>
          <w:tcPr>
            <w:tcW w:w="2292" w:type="dxa"/>
            <w:noWrap/>
          </w:tcPr>
          <w:p>
            <w:pPr>
              <w:pStyle w:val="yTableNAm"/>
              <w:jc w:val="center"/>
            </w:pPr>
            <w:r>
              <w:t>35, 38, 40</w:t>
            </w:r>
          </w:p>
        </w:tc>
        <w:tc>
          <w:tcPr>
            <w:tcW w:w="2292" w:type="dxa"/>
            <w:noWrap/>
          </w:tcPr>
          <w:p>
            <w:pPr>
              <w:pStyle w:val="yTableNAm"/>
              <w:jc w:val="center"/>
            </w:pPr>
            <w:r>
              <w:t>1 262.06</w:t>
            </w:r>
          </w:p>
        </w:tc>
      </w:tr>
      <w:tr>
        <w:trPr>
          <w:cantSplit/>
        </w:trPr>
        <w:tc>
          <w:tcPr>
            <w:tcW w:w="2292" w:type="dxa"/>
            <w:noWrap/>
          </w:tcPr>
          <w:p>
            <w:pPr>
              <w:pStyle w:val="yTableNAm"/>
              <w:jc w:val="center"/>
            </w:pPr>
            <w:r>
              <w:t>50</w:t>
            </w:r>
          </w:p>
        </w:tc>
        <w:tc>
          <w:tcPr>
            <w:tcW w:w="2292" w:type="dxa"/>
            <w:noWrap/>
          </w:tcPr>
          <w:p>
            <w:pPr>
              <w:pStyle w:val="yTableNAm"/>
              <w:jc w:val="center"/>
            </w:pPr>
            <w:r>
              <w:t>1 971.94</w:t>
            </w:r>
          </w:p>
        </w:tc>
      </w:tr>
      <w:tr>
        <w:trPr>
          <w:cantSplit/>
        </w:trPr>
        <w:tc>
          <w:tcPr>
            <w:tcW w:w="2292" w:type="dxa"/>
            <w:noWrap/>
          </w:tcPr>
          <w:p>
            <w:pPr>
              <w:pStyle w:val="yTableNAm"/>
              <w:jc w:val="center"/>
            </w:pPr>
            <w:r>
              <w:t>70, 75, 80</w:t>
            </w:r>
          </w:p>
        </w:tc>
        <w:tc>
          <w:tcPr>
            <w:tcW w:w="2292" w:type="dxa"/>
            <w:noWrap/>
          </w:tcPr>
          <w:p>
            <w:pPr>
              <w:pStyle w:val="yTableNAm"/>
              <w:jc w:val="center"/>
            </w:pPr>
            <w:r>
              <w:t>5 048.18</w:t>
            </w:r>
          </w:p>
        </w:tc>
      </w:tr>
      <w:tr>
        <w:trPr>
          <w:cantSplit/>
        </w:trPr>
        <w:tc>
          <w:tcPr>
            <w:tcW w:w="2292" w:type="dxa"/>
            <w:noWrap/>
          </w:tcPr>
          <w:p>
            <w:pPr>
              <w:pStyle w:val="yTableNAm"/>
              <w:jc w:val="center"/>
            </w:pPr>
            <w:r>
              <w:t>100</w:t>
            </w:r>
          </w:p>
        </w:tc>
        <w:tc>
          <w:tcPr>
            <w:tcW w:w="2292" w:type="dxa"/>
            <w:noWrap/>
          </w:tcPr>
          <w:p>
            <w:pPr>
              <w:pStyle w:val="yTableNAm"/>
              <w:jc w:val="center"/>
            </w:pPr>
            <w:r>
              <w:t>7 887.76</w:t>
            </w:r>
          </w:p>
        </w:tc>
      </w:tr>
      <w:tr>
        <w:trPr>
          <w:cantSplit/>
        </w:trPr>
        <w:tc>
          <w:tcPr>
            <w:tcW w:w="2292" w:type="dxa"/>
            <w:noWrap/>
          </w:tcPr>
          <w:p>
            <w:pPr>
              <w:pStyle w:val="yTableNAm"/>
              <w:jc w:val="center"/>
            </w:pPr>
            <w:r>
              <w:t>140, 150</w:t>
            </w:r>
          </w:p>
        </w:tc>
        <w:tc>
          <w:tcPr>
            <w:tcW w:w="2292" w:type="dxa"/>
            <w:noWrap/>
          </w:tcPr>
          <w:p>
            <w:pPr>
              <w:pStyle w:val="yTableNAm"/>
              <w:jc w:val="center"/>
            </w:pPr>
            <w:r>
              <w:t>17 747.49</w:t>
            </w:r>
          </w:p>
        </w:tc>
      </w:tr>
      <w:tr>
        <w:trPr>
          <w:cantSplit/>
        </w:trPr>
        <w:tc>
          <w:tcPr>
            <w:tcW w:w="2292" w:type="dxa"/>
            <w:noWrap/>
          </w:tcPr>
          <w:p>
            <w:pPr>
              <w:pStyle w:val="yTableNAm"/>
              <w:jc w:val="center"/>
            </w:pPr>
            <w:r>
              <w:t>200</w:t>
            </w:r>
          </w:p>
        </w:tc>
        <w:tc>
          <w:tcPr>
            <w:tcW w:w="2292" w:type="dxa"/>
            <w:noWrap/>
          </w:tcPr>
          <w:p>
            <w:pPr>
              <w:pStyle w:val="yTableNAm"/>
              <w:jc w:val="center"/>
            </w:pPr>
            <w:r>
              <w:t>31 551.07</w:t>
            </w:r>
          </w:p>
        </w:tc>
      </w:tr>
      <w:tr>
        <w:trPr>
          <w:cantSplit/>
        </w:trPr>
        <w:tc>
          <w:tcPr>
            <w:tcW w:w="2292" w:type="dxa"/>
            <w:noWrap/>
          </w:tcPr>
          <w:p>
            <w:pPr>
              <w:pStyle w:val="yTableNAm"/>
              <w:jc w:val="center"/>
            </w:pPr>
            <w:r>
              <w:t>250</w:t>
            </w:r>
          </w:p>
        </w:tc>
        <w:tc>
          <w:tcPr>
            <w:tcW w:w="2292" w:type="dxa"/>
            <w:noWrap/>
          </w:tcPr>
          <w:p>
            <w:pPr>
              <w:pStyle w:val="yTableNAm"/>
              <w:jc w:val="center"/>
            </w:pPr>
            <w:r>
              <w:t>49 298.55</w:t>
            </w:r>
          </w:p>
        </w:tc>
      </w:tr>
      <w:tr>
        <w:trPr>
          <w:cantSplit/>
        </w:trPr>
        <w:tc>
          <w:tcPr>
            <w:tcW w:w="2292" w:type="dxa"/>
            <w:noWrap/>
          </w:tcPr>
          <w:p>
            <w:pPr>
              <w:pStyle w:val="yTableNAm"/>
              <w:jc w:val="center"/>
            </w:pPr>
            <w:r>
              <w:t>300</w:t>
            </w:r>
          </w:p>
        </w:tc>
        <w:tc>
          <w:tcPr>
            <w:tcW w:w="2292" w:type="dxa"/>
            <w:noWrap/>
          </w:tcPr>
          <w:p>
            <w:pPr>
              <w:pStyle w:val="yTableNAm"/>
              <w:jc w:val="center"/>
            </w:pPr>
            <w:r>
              <w:t>70 989.92</w:t>
            </w:r>
          </w:p>
        </w:tc>
      </w:tr>
      <w:tr>
        <w:trPr>
          <w:cantSplit/>
        </w:trPr>
        <w:tc>
          <w:tcPr>
            <w:tcW w:w="2292" w:type="dxa"/>
            <w:tcBorders>
              <w:bottom w:val="single" w:sz="4" w:space="0" w:color="auto"/>
            </w:tcBorders>
            <w:noWrap/>
          </w:tcPr>
          <w:p>
            <w:pPr>
              <w:pStyle w:val="yTableNAm"/>
              <w:jc w:val="center"/>
            </w:pPr>
            <w:r>
              <w:t>350</w:t>
            </w:r>
          </w:p>
        </w:tc>
        <w:tc>
          <w:tcPr>
            <w:tcW w:w="2292" w:type="dxa"/>
            <w:tcBorders>
              <w:bottom w:val="single" w:sz="4" w:space="0" w:color="auto"/>
            </w:tcBorders>
            <w:noWrap/>
          </w:tcPr>
          <w:p>
            <w:pPr>
              <w:pStyle w:val="yTableNAm"/>
              <w:jc w:val="center"/>
            </w:pPr>
            <w:r>
              <w:t>96 625.21</w:t>
            </w:r>
          </w:p>
        </w:tc>
      </w:tr>
    </w:tbl>
    <w:p>
      <w:pPr>
        <w:pStyle w:val="zyHeading4"/>
      </w:pPr>
      <w:bookmarkStart w:id="117" w:name="_Toc201235696"/>
      <w:bookmarkStart w:id="118" w:name="_Toc201235947"/>
      <w:bookmarkStart w:id="119" w:name="_Toc201236103"/>
      <w:bookmarkStart w:id="120" w:name="_Toc201661607"/>
      <w:r>
        <w:lastRenderedPageBreak/>
        <w:t>Subdivision 2 — Service charges that apply for land</w:t>
      </w:r>
      <w:bookmarkEnd w:id="117"/>
      <w:bookmarkEnd w:id="118"/>
      <w:bookmarkEnd w:id="119"/>
      <w:bookmarkEnd w:id="120"/>
    </w:p>
    <w:p>
      <w:pPr>
        <w:pStyle w:val="zyHeading5"/>
      </w:pPr>
      <w:bookmarkStart w:id="121" w:name="_Toc201235697"/>
      <w:bookmarkStart w:id="122" w:name="_Toc201661608"/>
      <w:r>
        <w:t>3.</w:t>
      </w:r>
      <w:r>
        <w:tab/>
        <w:t>Residential</w:t>
      </w:r>
      <w:bookmarkEnd w:id="121"/>
      <w:bookmarkEnd w:id="122"/>
    </w:p>
    <w:p>
      <w:pPr>
        <w:pStyle w:val="ySubsection"/>
        <w:tabs>
          <w:tab w:val="right" w:leader="dot" w:pos="6804"/>
        </w:tabs>
      </w:pPr>
      <w:r>
        <w:tab/>
      </w:r>
      <w:r>
        <w:tab/>
        <w:t xml:space="preserve">For a residential property not covered by </w:t>
      </w:r>
      <w:r>
        <w:br/>
        <w:t xml:space="preserve">item 4, 5, 8, 9 or 10, the charge, per </w:t>
      </w:r>
      <w:r>
        <w:br/>
        <w:t xml:space="preserve">dwelling on the land, is </w:t>
      </w:r>
      <w:r>
        <w:tab/>
        <w:t>$296.89</w:t>
      </w:r>
    </w:p>
    <w:p>
      <w:pPr>
        <w:pStyle w:val="zyHeading5"/>
      </w:pPr>
      <w:bookmarkStart w:id="123" w:name="_Toc201235698"/>
      <w:bookmarkStart w:id="124" w:name="_Toc201661609"/>
      <w:r>
        <w:t>4.</w:t>
      </w:r>
      <w:r>
        <w:tab/>
        <w:t>Metropolitan concessional</w:t>
      </w:r>
      <w:bookmarkEnd w:id="123"/>
      <w:bookmarkEnd w:id="124"/>
    </w:p>
    <w:p>
      <w:pPr>
        <w:pStyle w:val="ySubsection"/>
      </w:pPr>
      <w:r>
        <w:tab/>
        <w:t>(1)</w:t>
      </w:r>
      <w:r>
        <w:tab/>
        <w:t>For land in the metropolitan area that is classified as aged home, community purpose or charitable purposes, the charge, per water supply connection, is the discounted charge set out in the Table to this sub</w:t>
      </w:r>
      <w:r>
        <w:noBreakHyphen/>
        <w:t>item, according to the relevant meter size.</w:t>
      </w:r>
    </w:p>
    <w:p>
      <w:pPr>
        <w:pStyle w:val="yTHeadingNAm"/>
      </w:pPr>
      <w:r>
        <w:t>Table of charges and discounts</w:t>
      </w:r>
    </w:p>
    <w:tbl>
      <w:tblPr>
        <w:tblW w:w="5529" w:type="dxa"/>
        <w:tblInd w:w="1418" w:type="dxa"/>
        <w:tblLayout w:type="fixed"/>
        <w:tblLook w:val="0000" w:firstRow="0" w:lastRow="0" w:firstColumn="0" w:lastColumn="0" w:noHBand="0" w:noVBand="0"/>
      </w:tblPr>
      <w:tblGrid>
        <w:gridCol w:w="1560"/>
        <w:gridCol w:w="1275"/>
        <w:gridCol w:w="1276"/>
        <w:gridCol w:w="1418"/>
      </w:tblGrid>
      <w:tr>
        <w:trPr>
          <w:cantSplit/>
          <w:tblHeader/>
        </w:trPr>
        <w:tc>
          <w:tcPr>
            <w:tcW w:w="1560" w:type="dxa"/>
            <w:tcBorders>
              <w:top w:val="single" w:sz="4" w:space="0" w:color="auto"/>
              <w:bottom w:val="single" w:sz="4" w:space="0" w:color="auto"/>
            </w:tcBorders>
            <w:noWrap/>
            <w:vAlign w:val="center"/>
          </w:tcPr>
          <w:p>
            <w:pPr>
              <w:pStyle w:val="yTableNAm"/>
              <w:jc w:val="center"/>
            </w:pPr>
            <w:r>
              <w:rPr>
                <w:b/>
              </w:rPr>
              <w:t>Meter size</w:t>
            </w:r>
            <w:r>
              <w:rPr>
                <w:b/>
              </w:rPr>
              <w:br/>
            </w:r>
            <w:r>
              <w:rPr>
                <w:b/>
              </w:rPr>
              <w:br/>
              <w:t>mm</w:t>
            </w:r>
          </w:p>
        </w:tc>
        <w:tc>
          <w:tcPr>
            <w:tcW w:w="1275" w:type="dxa"/>
            <w:tcBorders>
              <w:top w:val="single" w:sz="4" w:space="0" w:color="auto"/>
              <w:bottom w:val="single" w:sz="4" w:space="0" w:color="auto"/>
            </w:tcBorders>
            <w:noWrap/>
            <w:vAlign w:val="center"/>
          </w:tcPr>
          <w:p>
            <w:pPr>
              <w:pStyle w:val="yTableNAm"/>
              <w:jc w:val="center"/>
            </w:pPr>
            <w:r>
              <w:rPr>
                <w:b/>
              </w:rPr>
              <w:t>Charge</w:t>
            </w:r>
            <w:r>
              <w:rPr>
                <w:b/>
              </w:rPr>
              <w:br/>
            </w:r>
            <w:r>
              <w:rPr>
                <w:b/>
              </w:rPr>
              <w:br/>
              <w:t>$</w:t>
            </w:r>
          </w:p>
        </w:tc>
        <w:tc>
          <w:tcPr>
            <w:tcW w:w="1276" w:type="dxa"/>
            <w:tcBorders>
              <w:top w:val="single" w:sz="4" w:space="0" w:color="auto"/>
              <w:bottom w:val="single" w:sz="4" w:space="0" w:color="auto"/>
            </w:tcBorders>
            <w:noWrap/>
            <w:vAlign w:val="center"/>
          </w:tcPr>
          <w:p>
            <w:pPr>
              <w:pStyle w:val="yTableNAm"/>
              <w:jc w:val="center"/>
            </w:pPr>
            <w:r>
              <w:rPr>
                <w:b/>
                <w:szCs w:val="22"/>
              </w:rPr>
              <w:t>Discount</w:t>
            </w:r>
            <w:r>
              <w:rPr>
                <w:b/>
                <w:szCs w:val="22"/>
              </w:rPr>
              <w:br/>
            </w:r>
            <w:r>
              <w:rPr>
                <w:b/>
                <w:szCs w:val="22"/>
              </w:rPr>
              <w:br/>
              <w:t>$</w:t>
            </w:r>
          </w:p>
        </w:tc>
        <w:tc>
          <w:tcPr>
            <w:tcW w:w="1418" w:type="dxa"/>
            <w:tcBorders>
              <w:top w:val="single" w:sz="4" w:space="0" w:color="auto"/>
              <w:bottom w:val="single" w:sz="4" w:space="0" w:color="auto"/>
            </w:tcBorders>
            <w:noWrap/>
            <w:vAlign w:val="center"/>
          </w:tcPr>
          <w:p>
            <w:pPr>
              <w:pStyle w:val="yTableNAm"/>
              <w:jc w:val="center"/>
            </w:pPr>
            <w:r>
              <w:rPr>
                <w:b/>
                <w:szCs w:val="22"/>
              </w:rPr>
              <w:t>Discounted charge</w:t>
            </w:r>
            <w:r>
              <w:rPr>
                <w:b/>
                <w:szCs w:val="22"/>
              </w:rPr>
              <w:br/>
              <w:t>$</w:t>
            </w:r>
          </w:p>
        </w:tc>
      </w:tr>
      <w:tr>
        <w:trPr>
          <w:cantSplit/>
        </w:trPr>
        <w:tc>
          <w:tcPr>
            <w:tcW w:w="1560" w:type="dxa"/>
            <w:tcBorders>
              <w:top w:val="single" w:sz="4" w:space="0" w:color="auto"/>
            </w:tcBorders>
            <w:noWrap/>
            <w:tcMar>
              <w:left w:w="28" w:type="dxa"/>
              <w:right w:w="28" w:type="dxa"/>
            </w:tcMar>
          </w:tcPr>
          <w:p>
            <w:pPr>
              <w:pStyle w:val="yTableNAm"/>
              <w:jc w:val="center"/>
            </w:pPr>
            <w:r>
              <w:t>15, 20</w:t>
            </w:r>
          </w:p>
        </w:tc>
        <w:tc>
          <w:tcPr>
            <w:tcW w:w="1275" w:type="dxa"/>
            <w:tcBorders>
              <w:top w:val="single" w:sz="4" w:space="0" w:color="auto"/>
            </w:tcBorders>
            <w:noWrap/>
          </w:tcPr>
          <w:p>
            <w:pPr>
              <w:pStyle w:val="yTableNAm"/>
              <w:jc w:val="center"/>
            </w:pPr>
            <w:r>
              <w:t>315.50</w:t>
            </w:r>
          </w:p>
        </w:tc>
        <w:tc>
          <w:tcPr>
            <w:tcW w:w="1276" w:type="dxa"/>
            <w:tcBorders>
              <w:top w:val="single" w:sz="4" w:space="0" w:color="auto"/>
            </w:tcBorders>
            <w:noWrap/>
          </w:tcPr>
          <w:p>
            <w:pPr>
              <w:pStyle w:val="yTableNAm"/>
              <w:jc w:val="center"/>
            </w:pPr>
            <w:r>
              <w:t>315.50</w:t>
            </w:r>
          </w:p>
        </w:tc>
        <w:tc>
          <w:tcPr>
            <w:tcW w:w="1418" w:type="dxa"/>
            <w:tcBorders>
              <w:top w:val="single" w:sz="4" w:space="0" w:color="auto"/>
            </w:tcBorders>
            <w:noWrap/>
            <w:vAlign w:val="bottom"/>
          </w:tcPr>
          <w:p>
            <w:pPr>
              <w:pStyle w:val="yTableNAm"/>
              <w:jc w:val="center"/>
            </w:pPr>
            <w:r>
              <w:t>0.00</w:t>
            </w:r>
          </w:p>
        </w:tc>
      </w:tr>
      <w:tr>
        <w:trPr>
          <w:cantSplit/>
        </w:trPr>
        <w:tc>
          <w:tcPr>
            <w:tcW w:w="1560" w:type="dxa"/>
            <w:noWrap/>
            <w:tcMar>
              <w:left w:w="62" w:type="dxa"/>
              <w:right w:w="62" w:type="dxa"/>
            </w:tcMar>
          </w:tcPr>
          <w:p>
            <w:pPr>
              <w:pStyle w:val="yTableNAm"/>
              <w:jc w:val="center"/>
            </w:pPr>
            <w:r>
              <w:t>25</w:t>
            </w:r>
          </w:p>
        </w:tc>
        <w:tc>
          <w:tcPr>
            <w:tcW w:w="1275" w:type="dxa"/>
            <w:noWrap/>
          </w:tcPr>
          <w:p>
            <w:pPr>
              <w:pStyle w:val="yTableNAm"/>
              <w:jc w:val="center"/>
            </w:pPr>
            <w:r>
              <w:t>493.00</w:t>
            </w:r>
          </w:p>
        </w:tc>
        <w:tc>
          <w:tcPr>
            <w:tcW w:w="1276" w:type="dxa"/>
            <w:noWrap/>
          </w:tcPr>
          <w:p>
            <w:pPr>
              <w:pStyle w:val="yTableNAm"/>
              <w:jc w:val="center"/>
            </w:pPr>
            <w:r>
              <w:t>493.00</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30</w:t>
            </w:r>
          </w:p>
        </w:tc>
        <w:tc>
          <w:tcPr>
            <w:tcW w:w="1275" w:type="dxa"/>
            <w:noWrap/>
          </w:tcPr>
          <w:p>
            <w:pPr>
              <w:pStyle w:val="yTableNAm"/>
              <w:jc w:val="center"/>
            </w:pPr>
            <w:r>
              <w:t>709.86</w:t>
            </w:r>
          </w:p>
        </w:tc>
        <w:tc>
          <w:tcPr>
            <w:tcW w:w="1276" w:type="dxa"/>
            <w:noWrap/>
          </w:tcPr>
          <w:p>
            <w:pPr>
              <w:pStyle w:val="yTableNAm"/>
              <w:jc w:val="center"/>
            </w:pPr>
            <w:r>
              <w:t>709.86</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35, 38, 40</w:t>
            </w:r>
          </w:p>
        </w:tc>
        <w:tc>
          <w:tcPr>
            <w:tcW w:w="1275" w:type="dxa"/>
            <w:noWrap/>
          </w:tcPr>
          <w:p>
            <w:pPr>
              <w:pStyle w:val="yTableNAm"/>
              <w:jc w:val="center"/>
            </w:pPr>
            <w:r>
              <w:t>1 262.06</w:t>
            </w:r>
          </w:p>
        </w:tc>
        <w:tc>
          <w:tcPr>
            <w:tcW w:w="1276" w:type="dxa"/>
            <w:noWrap/>
          </w:tcPr>
          <w:p>
            <w:pPr>
              <w:pStyle w:val="yTableNAm"/>
              <w:jc w:val="center"/>
            </w:pPr>
            <w:r>
              <w:t>1 262.06</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50</w:t>
            </w:r>
          </w:p>
        </w:tc>
        <w:tc>
          <w:tcPr>
            <w:tcW w:w="1275" w:type="dxa"/>
            <w:noWrap/>
          </w:tcPr>
          <w:p>
            <w:pPr>
              <w:pStyle w:val="yTableNAm"/>
              <w:jc w:val="center"/>
            </w:pPr>
            <w:r>
              <w:t>1 971.94</w:t>
            </w:r>
          </w:p>
        </w:tc>
        <w:tc>
          <w:tcPr>
            <w:tcW w:w="1276" w:type="dxa"/>
            <w:noWrap/>
          </w:tcPr>
          <w:p>
            <w:pPr>
              <w:pStyle w:val="yTableNAm"/>
              <w:jc w:val="center"/>
            </w:pPr>
            <w:r>
              <w:t>1 971.94</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70, 75, 80</w:t>
            </w:r>
          </w:p>
        </w:tc>
        <w:tc>
          <w:tcPr>
            <w:tcW w:w="1275" w:type="dxa"/>
            <w:noWrap/>
          </w:tcPr>
          <w:p>
            <w:pPr>
              <w:pStyle w:val="yTableNAm"/>
              <w:jc w:val="center"/>
            </w:pPr>
            <w:r>
              <w:t>5 048.18</w:t>
            </w:r>
          </w:p>
        </w:tc>
        <w:tc>
          <w:tcPr>
            <w:tcW w:w="1276" w:type="dxa"/>
            <w:noWrap/>
          </w:tcPr>
          <w:p>
            <w:pPr>
              <w:pStyle w:val="yTableNAm"/>
              <w:jc w:val="center"/>
            </w:pPr>
            <w:r>
              <w:t>5 048.18</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100</w:t>
            </w:r>
          </w:p>
        </w:tc>
        <w:tc>
          <w:tcPr>
            <w:tcW w:w="1275" w:type="dxa"/>
            <w:noWrap/>
          </w:tcPr>
          <w:p>
            <w:pPr>
              <w:pStyle w:val="yTableNAm"/>
              <w:jc w:val="center"/>
            </w:pPr>
            <w:r>
              <w:t>7 887.76</w:t>
            </w:r>
          </w:p>
        </w:tc>
        <w:tc>
          <w:tcPr>
            <w:tcW w:w="1276" w:type="dxa"/>
            <w:noWrap/>
          </w:tcPr>
          <w:p>
            <w:pPr>
              <w:pStyle w:val="yTableNAm"/>
              <w:jc w:val="center"/>
            </w:pPr>
            <w:r>
              <w:t>7 887.76</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140, 150</w:t>
            </w:r>
          </w:p>
        </w:tc>
        <w:tc>
          <w:tcPr>
            <w:tcW w:w="1275" w:type="dxa"/>
            <w:noWrap/>
          </w:tcPr>
          <w:p>
            <w:pPr>
              <w:pStyle w:val="yTableNAm"/>
              <w:jc w:val="center"/>
            </w:pPr>
            <w:r>
              <w:t>17 747.49</w:t>
            </w:r>
          </w:p>
        </w:tc>
        <w:tc>
          <w:tcPr>
            <w:tcW w:w="1276" w:type="dxa"/>
            <w:noWrap/>
          </w:tcPr>
          <w:p>
            <w:pPr>
              <w:pStyle w:val="yTableNAm"/>
              <w:jc w:val="center"/>
            </w:pPr>
            <w:r>
              <w:t>17 747.49</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200</w:t>
            </w:r>
          </w:p>
        </w:tc>
        <w:tc>
          <w:tcPr>
            <w:tcW w:w="1275" w:type="dxa"/>
            <w:noWrap/>
          </w:tcPr>
          <w:p>
            <w:pPr>
              <w:pStyle w:val="yTableNAm"/>
              <w:jc w:val="center"/>
            </w:pPr>
            <w:r>
              <w:t>31 551.07</w:t>
            </w:r>
          </w:p>
        </w:tc>
        <w:tc>
          <w:tcPr>
            <w:tcW w:w="1276" w:type="dxa"/>
            <w:noWrap/>
          </w:tcPr>
          <w:p>
            <w:pPr>
              <w:pStyle w:val="yTableNAm"/>
              <w:jc w:val="center"/>
            </w:pPr>
            <w:r>
              <w:t>31 551.07</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250</w:t>
            </w:r>
          </w:p>
        </w:tc>
        <w:tc>
          <w:tcPr>
            <w:tcW w:w="1275" w:type="dxa"/>
            <w:noWrap/>
          </w:tcPr>
          <w:p>
            <w:pPr>
              <w:pStyle w:val="yTableNAm"/>
              <w:jc w:val="center"/>
            </w:pPr>
            <w:r>
              <w:t>49 298.55</w:t>
            </w:r>
          </w:p>
        </w:tc>
        <w:tc>
          <w:tcPr>
            <w:tcW w:w="1276" w:type="dxa"/>
            <w:noWrap/>
          </w:tcPr>
          <w:p>
            <w:pPr>
              <w:pStyle w:val="yTableNAm"/>
              <w:jc w:val="center"/>
            </w:pPr>
            <w:r>
              <w:t>49 298.55</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300</w:t>
            </w:r>
          </w:p>
        </w:tc>
        <w:tc>
          <w:tcPr>
            <w:tcW w:w="1275" w:type="dxa"/>
            <w:noWrap/>
          </w:tcPr>
          <w:p>
            <w:pPr>
              <w:pStyle w:val="yTableNAm"/>
              <w:jc w:val="center"/>
            </w:pPr>
            <w:r>
              <w:t>70 989.92</w:t>
            </w:r>
          </w:p>
        </w:tc>
        <w:tc>
          <w:tcPr>
            <w:tcW w:w="1276" w:type="dxa"/>
            <w:noWrap/>
          </w:tcPr>
          <w:p>
            <w:pPr>
              <w:pStyle w:val="yTableNAm"/>
              <w:jc w:val="center"/>
            </w:pPr>
            <w:r>
              <w:t>70 989.92</w:t>
            </w:r>
          </w:p>
        </w:tc>
        <w:tc>
          <w:tcPr>
            <w:tcW w:w="1418" w:type="dxa"/>
            <w:noWrap/>
            <w:vAlign w:val="bottom"/>
          </w:tcPr>
          <w:p>
            <w:pPr>
              <w:pStyle w:val="yTableNAm"/>
              <w:jc w:val="center"/>
            </w:pPr>
            <w:r>
              <w:t>0.00</w:t>
            </w:r>
          </w:p>
        </w:tc>
      </w:tr>
      <w:tr>
        <w:trPr>
          <w:cantSplit/>
        </w:trPr>
        <w:tc>
          <w:tcPr>
            <w:tcW w:w="1560" w:type="dxa"/>
            <w:tcBorders>
              <w:bottom w:val="single" w:sz="4" w:space="0" w:color="auto"/>
            </w:tcBorders>
            <w:noWrap/>
            <w:tcMar>
              <w:left w:w="28" w:type="dxa"/>
              <w:right w:w="57" w:type="dxa"/>
            </w:tcMar>
          </w:tcPr>
          <w:p>
            <w:pPr>
              <w:pStyle w:val="yTableNAm"/>
              <w:jc w:val="center"/>
            </w:pPr>
            <w:r>
              <w:t>350</w:t>
            </w:r>
          </w:p>
        </w:tc>
        <w:tc>
          <w:tcPr>
            <w:tcW w:w="1275" w:type="dxa"/>
            <w:tcBorders>
              <w:bottom w:val="single" w:sz="4" w:space="0" w:color="auto"/>
            </w:tcBorders>
            <w:noWrap/>
          </w:tcPr>
          <w:p>
            <w:pPr>
              <w:pStyle w:val="yTableNAm"/>
              <w:jc w:val="center"/>
            </w:pPr>
            <w:r>
              <w:t>96 625.21</w:t>
            </w:r>
          </w:p>
        </w:tc>
        <w:tc>
          <w:tcPr>
            <w:tcW w:w="1276" w:type="dxa"/>
            <w:tcBorders>
              <w:bottom w:val="single" w:sz="4" w:space="0" w:color="auto"/>
            </w:tcBorders>
            <w:noWrap/>
          </w:tcPr>
          <w:p>
            <w:pPr>
              <w:pStyle w:val="yTableNAm"/>
              <w:jc w:val="center"/>
            </w:pPr>
            <w:r>
              <w:t>96 625.21</w:t>
            </w:r>
          </w:p>
        </w:tc>
        <w:tc>
          <w:tcPr>
            <w:tcW w:w="1418" w:type="dxa"/>
            <w:tcBorders>
              <w:bottom w:val="single" w:sz="4" w:space="0" w:color="auto"/>
            </w:tcBorders>
            <w:noWrap/>
            <w:vAlign w:val="bottom"/>
          </w:tcPr>
          <w:p>
            <w:pPr>
              <w:pStyle w:val="yTableNAm"/>
              <w:jc w:val="center"/>
            </w:pPr>
            <w:r>
              <w:t>0.00</w:t>
            </w:r>
          </w:p>
        </w:tc>
      </w:tr>
    </w:tbl>
    <w:p>
      <w:pPr>
        <w:pStyle w:val="ySubsection"/>
      </w:pPr>
      <w:r>
        <w:tab/>
        <w:t>(2)</w:t>
      </w:r>
      <w:r>
        <w:tab/>
        <w:t>Sub</w:t>
      </w:r>
      <w:r>
        <w:noBreakHyphen/>
        <w:t>item (1) does not apply to a connection covered by item 21.</w:t>
      </w:r>
    </w:p>
    <w:p>
      <w:pPr>
        <w:pStyle w:val="ySubsection"/>
      </w:pPr>
      <w:r>
        <w:lastRenderedPageBreak/>
        <w:tab/>
        <w:t>(3)</w:t>
      </w:r>
      <w:r>
        <w:tab/>
        <w:t>For concessional land in the metropolitan area that, although a water service is provided, is not connected to water supply works of the Water Corporation, the charge is the discounted charge set out in the Table to this sub</w:t>
      </w:r>
      <w:r>
        <w:noBreakHyphen/>
        <w:t>item.</w:t>
      </w:r>
    </w:p>
    <w:p>
      <w:pPr>
        <w:pStyle w:val="yTHeadingNAm"/>
      </w:pPr>
      <w:r>
        <w:t>Table of charge and discount</w:t>
      </w:r>
    </w:p>
    <w:tbl>
      <w:tblPr>
        <w:tblW w:w="3687" w:type="dxa"/>
        <w:jc w:val="center"/>
        <w:tblLayout w:type="fixed"/>
        <w:tblLook w:val="0000" w:firstRow="0" w:lastRow="0" w:firstColumn="0" w:lastColumn="0" w:noHBand="0" w:noVBand="0"/>
      </w:tblPr>
      <w:tblGrid>
        <w:gridCol w:w="1134"/>
        <w:gridCol w:w="1135"/>
        <w:gridCol w:w="1418"/>
      </w:tblGrid>
      <w:tr>
        <w:trPr>
          <w:cantSplit/>
          <w:tblHeader/>
          <w:jc w:val="center"/>
        </w:trPr>
        <w:tc>
          <w:tcPr>
            <w:tcW w:w="1134" w:type="dxa"/>
            <w:tcBorders>
              <w:top w:val="single" w:sz="4" w:space="0" w:color="auto"/>
              <w:bottom w:val="single" w:sz="4" w:space="0" w:color="auto"/>
            </w:tcBorders>
            <w:noWrap/>
            <w:vAlign w:val="center"/>
          </w:tcPr>
          <w:p>
            <w:pPr>
              <w:pStyle w:val="yTableNAm"/>
              <w:jc w:val="center"/>
            </w:pPr>
            <w:r>
              <w:rPr>
                <w:b/>
              </w:rPr>
              <w:t>Charge</w:t>
            </w:r>
            <w:r>
              <w:rPr>
                <w:b/>
              </w:rPr>
              <w:br/>
            </w:r>
            <w:r>
              <w:rPr>
                <w:b/>
              </w:rPr>
              <w:br/>
              <w:t>$</w:t>
            </w:r>
          </w:p>
        </w:tc>
        <w:tc>
          <w:tcPr>
            <w:tcW w:w="1135" w:type="dxa"/>
            <w:tcBorders>
              <w:top w:val="single" w:sz="4" w:space="0" w:color="auto"/>
              <w:bottom w:val="single" w:sz="4" w:space="0" w:color="auto"/>
            </w:tcBorders>
            <w:noWrap/>
            <w:vAlign w:val="center"/>
          </w:tcPr>
          <w:p>
            <w:pPr>
              <w:pStyle w:val="yTableNAm"/>
              <w:jc w:val="center"/>
            </w:pPr>
            <w:r>
              <w:rPr>
                <w:b/>
                <w:szCs w:val="22"/>
              </w:rPr>
              <w:t>Discount</w:t>
            </w:r>
            <w:r>
              <w:rPr>
                <w:b/>
                <w:szCs w:val="22"/>
              </w:rPr>
              <w:br/>
            </w:r>
            <w:r>
              <w:rPr>
                <w:b/>
                <w:szCs w:val="22"/>
              </w:rPr>
              <w:br/>
              <w:t>$</w:t>
            </w:r>
          </w:p>
        </w:tc>
        <w:tc>
          <w:tcPr>
            <w:tcW w:w="1418" w:type="dxa"/>
            <w:tcBorders>
              <w:top w:val="single" w:sz="4" w:space="0" w:color="auto"/>
              <w:bottom w:val="single" w:sz="4" w:space="0" w:color="auto"/>
            </w:tcBorders>
            <w:noWrap/>
            <w:vAlign w:val="center"/>
          </w:tcPr>
          <w:p>
            <w:pPr>
              <w:pStyle w:val="yTableNAm"/>
              <w:jc w:val="center"/>
            </w:pPr>
            <w:r>
              <w:rPr>
                <w:b/>
                <w:szCs w:val="22"/>
              </w:rPr>
              <w:t>Discounted charge</w:t>
            </w:r>
            <w:r>
              <w:rPr>
                <w:b/>
                <w:szCs w:val="22"/>
              </w:rPr>
              <w:br/>
              <w:t>$</w:t>
            </w:r>
          </w:p>
        </w:tc>
      </w:tr>
      <w:tr>
        <w:trPr>
          <w:cantSplit/>
          <w:jc w:val="center"/>
        </w:trPr>
        <w:tc>
          <w:tcPr>
            <w:tcW w:w="1134" w:type="dxa"/>
            <w:tcBorders>
              <w:bottom w:val="single" w:sz="4" w:space="0" w:color="auto"/>
            </w:tcBorders>
            <w:noWrap/>
          </w:tcPr>
          <w:p>
            <w:pPr>
              <w:pStyle w:val="yTableNAm"/>
              <w:jc w:val="center"/>
            </w:pPr>
            <w:r>
              <w:t>315.50</w:t>
            </w:r>
          </w:p>
        </w:tc>
        <w:tc>
          <w:tcPr>
            <w:tcW w:w="1135" w:type="dxa"/>
            <w:tcBorders>
              <w:bottom w:val="single" w:sz="4" w:space="0" w:color="auto"/>
            </w:tcBorders>
            <w:noWrap/>
          </w:tcPr>
          <w:p>
            <w:pPr>
              <w:pStyle w:val="yTableNAm"/>
              <w:jc w:val="center"/>
            </w:pPr>
            <w:r>
              <w:t>315.50</w:t>
            </w:r>
          </w:p>
        </w:tc>
        <w:tc>
          <w:tcPr>
            <w:tcW w:w="1418" w:type="dxa"/>
            <w:tcBorders>
              <w:bottom w:val="single" w:sz="4" w:space="0" w:color="auto"/>
            </w:tcBorders>
            <w:noWrap/>
            <w:vAlign w:val="bottom"/>
          </w:tcPr>
          <w:p>
            <w:pPr>
              <w:pStyle w:val="yTableNAm"/>
              <w:jc w:val="center"/>
            </w:pPr>
            <w:r>
              <w:t>0.00</w:t>
            </w:r>
          </w:p>
        </w:tc>
      </w:tr>
    </w:tbl>
    <w:p>
      <w:pPr>
        <w:pStyle w:val="zyHeading5"/>
      </w:pPr>
      <w:bookmarkStart w:id="125" w:name="_Toc201235699"/>
      <w:bookmarkStart w:id="126" w:name="_Toc201661610"/>
      <w:r>
        <w:t>5.</w:t>
      </w:r>
      <w:r>
        <w:tab/>
        <w:t>Strata</w:t>
      </w:r>
      <w:r>
        <w:noBreakHyphen/>
        <w:t>titled or long</w:t>
      </w:r>
      <w:r>
        <w:noBreakHyphen/>
        <w:t>term residential caravan bays and park homes</w:t>
      </w:r>
      <w:bookmarkEnd w:id="125"/>
      <w:bookmarkEnd w:id="126"/>
    </w:p>
    <w:p>
      <w:pPr>
        <w:pStyle w:val="ySubsection"/>
        <w:tabs>
          <w:tab w:val="right" w:leader="dot" w:pos="6804"/>
        </w:tabs>
      </w:pPr>
      <w:r>
        <w:tab/>
      </w:r>
      <w:r>
        <w:tab/>
        <w:t>For a strata</w:t>
      </w:r>
      <w:r>
        <w:noBreakHyphen/>
        <w:t>titled caravan bay, a long</w:t>
      </w:r>
      <w:r>
        <w:noBreakHyphen/>
        <w:t xml:space="preserve">term </w:t>
      </w:r>
      <w:r>
        <w:br/>
        <w:t xml:space="preserve">residential caravan bay or a park home, </w:t>
      </w:r>
      <w:r>
        <w:br/>
        <w:t xml:space="preserve">the charge is </w:t>
      </w:r>
      <w:r>
        <w:tab/>
        <w:t>$214.75</w:t>
      </w:r>
    </w:p>
    <w:p>
      <w:pPr>
        <w:pStyle w:val="zyHeading5"/>
      </w:pPr>
      <w:bookmarkStart w:id="127" w:name="_Toc201235700"/>
      <w:bookmarkStart w:id="128" w:name="_Toc201661611"/>
      <w:r>
        <w:t>6.</w:t>
      </w:r>
      <w:r>
        <w:tab/>
        <w:t>Storage units or parking bays in strata titles scheme or community titles scheme</w:t>
      </w:r>
      <w:bookmarkEnd w:id="127"/>
      <w:bookmarkEnd w:id="128"/>
      <w:r>
        <w:t xml:space="preserve"> </w:t>
      </w:r>
    </w:p>
    <w:p>
      <w:pPr>
        <w:pStyle w:val="ySubsection"/>
        <w:tabs>
          <w:tab w:val="right" w:leader="dot" w:pos="6804"/>
        </w:tabs>
      </w:pPr>
      <w:r>
        <w:tab/>
      </w:r>
      <w:r>
        <w:tab/>
        <w:t xml:space="preserve">For a lot that is used for storage purposes or </w:t>
      </w:r>
      <w:r>
        <w:br/>
        <w:t>as a parking bay, in a strata titles scheme or a</w:t>
      </w:r>
      <w:r>
        <w:br/>
        <w:t xml:space="preserve">community titles scheme, the charge is </w:t>
      </w:r>
      <w:r>
        <w:tab/>
        <w:t>$111.05</w:t>
      </w:r>
    </w:p>
    <w:p>
      <w:pPr>
        <w:pStyle w:val="zyHeading5"/>
      </w:pPr>
      <w:bookmarkStart w:id="129" w:name="_Toc201235701"/>
      <w:bookmarkStart w:id="130" w:name="_Toc201661612"/>
      <w:r>
        <w:t>7.</w:t>
      </w:r>
      <w:r>
        <w:tab/>
        <w:t>Non</w:t>
      </w:r>
      <w:r>
        <w:noBreakHyphen/>
        <w:t>residential lots in strata titles scheme or community titles scheme that share a service</w:t>
      </w:r>
      <w:bookmarkEnd w:id="129"/>
      <w:bookmarkEnd w:id="130"/>
      <w:r>
        <w:t xml:space="preserve"> </w:t>
      </w:r>
    </w:p>
    <w:p>
      <w:pPr>
        <w:pStyle w:val="ySubsection"/>
      </w:pPr>
      <w:r>
        <w:tab/>
      </w:r>
      <w:r>
        <w:tab/>
        <w:t>For land that —</w:t>
      </w:r>
    </w:p>
    <w:p>
      <w:pPr>
        <w:pStyle w:val="yIndenta"/>
      </w:pPr>
      <w:r>
        <w:tab/>
        <w:t>(a)</w:t>
      </w:r>
      <w:r>
        <w:tab/>
        <w:t>is contained in a lot in a strata titles scheme or a lot in a community titles scheme; and</w:t>
      </w:r>
    </w:p>
    <w:p>
      <w:pPr>
        <w:pStyle w:val="yIndenta"/>
      </w:pPr>
      <w:r>
        <w:tab/>
        <w:t>(b)</w:t>
      </w:r>
      <w:r>
        <w:tab/>
        <w:t>is classified as non</w:t>
      </w:r>
      <w:r>
        <w:noBreakHyphen/>
        <w:t>residential; and</w:t>
      </w:r>
    </w:p>
    <w:p>
      <w:pPr>
        <w:pStyle w:val="yIndenta"/>
      </w:pPr>
      <w:r>
        <w:tab/>
        <w:t>(c)</w:t>
      </w:r>
      <w:r>
        <w:tab/>
        <w:t>is not covered by item 5 or 6; and</w:t>
      </w:r>
    </w:p>
    <w:p>
      <w:pPr>
        <w:pStyle w:val="yIndenta"/>
      </w:pPr>
      <w:r>
        <w:tab/>
        <w:t>(d)</w:t>
      </w:r>
      <w:r>
        <w:tab/>
        <w:t xml:space="preserve">shares a water supply connection with </w:t>
      </w:r>
      <w:r>
        <w:br/>
        <w:t>other such land,</w:t>
      </w:r>
    </w:p>
    <w:p>
      <w:pPr>
        <w:pStyle w:val="ySubsection"/>
        <w:tabs>
          <w:tab w:val="right" w:leader="dot" w:pos="6804"/>
        </w:tabs>
      </w:pPr>
      <w:r>
        <w:tab/>
      </w:r>
      <w:r>
        <w:tab/>
        <w:t xml:space="preserve">the charge is </w:t>
      </w:r>
      <w:r>
        <w:tab/>
        <w:t>$315.50</w:t>
      </w:r>
    </w:p>
    <w:p>
      <w:pPr>
        <w:pStyle w:val="zyHeading5"/>
      </w:pPr>
      <w:bookmarkStart w:id="131" w:name="_Toc201235702"/>
      <w:bookmarkStart w:id="132" w:name="_Toc201661613"/>
      <w:r>
        <w:lastRenderedPageBreak/>
        <w:t>8.</w:t>
      </w:r>
      <w:r>
        <w:tab/>
        <w:t>Community residential</w:t>
      </w:r>
      <w:bookmarkEnd w:id="131"/>
      <w:bookmarkEnd w:id="132"/>
    </w:p>
    <w:p>
      <w:pPr>
        <w:pStyle w:val="ySubsection"/>
      </w:pPr>
      <w:r>
        <w:tab/>
        <w:t>(1)</w:t>
      </w:r>
      <w:r>
        <w:tab/>
        <w:t>For land that is classified as community residential, the Water Corporation must determine the number of dwellings on the land.</w:t>
      </w:r>
    </w:p>
    <w:p>
      <w:pPr>
        <w:pStyle w:val="ySubsection"/>
      </w:pPr>
      <w:r>
        <w:tab/>
        <w:t>(2)</w:t>
      </w:r>
      <w:r>
        <w:tab/>
        <w:t xml:space="preserve">For land that is classified as community residential, the charge, according to the number of dwellings on the land, is the sum of the discounted charges for each dwelling, as set out in the Table, according to whether the Housing Authority agrees to be responsible for payment of the charge. </w:t>
      </w:r>
    </w:p>
    <w:p>
      <w:pPr>
        <w:pStyle w:val="yTHeadingNAm"/>
      </w:pPr>
      <w:r>
        <w:t>Table of charges and discounts</w:t>
      </w:r>
    </w:p>
    <w:tbl>
      <w:tblPr>
        <w:tblW w:w="5954" w:type="dxa"/>
        <w:tblInd w:w="1134" w:type="dxa"/>
        <w:tblLayout w:type="fixed"/>
        <w:tblLook w:val="0000" w:firstRow="0" w:lastRow="0" w:firstColumn="0" w:lastColumn="0" w:noHBand="0" w:noVBand="0"/>
      </w:tblPr>
      <w:tblGrid>
        <w:gridCol w:w="2126"/>
        <w:gridCol w:w="1170"/>
        <w:gridCol w:w="1170"/>
        <w:gridCol w:w="1488"/>
      </w:tblGrid>
      <w:tr>
        <w:trPr>
          <w:cantSplit/>
          <w:tblHeader/>
        </w:trPr>
        <w:tc>
          <w:tcPr>
            <w:tcW w:w="2126" w:type="dxa"/>
            <w:tcBorders>
              <w:top w:val="single" w:sz="4" w:space="0" w:color="auto"/>
              <w:bottom w:val="single" w:sz="4" w:space="0" w:color="auto"/>
            </w:tcBorders>
            <w:noWrap/>
          </w:tcPr>
          <w:p>
            <w:pPr>
              <w:pStyle w:val="zyTableNAm"/>
            </w:pPr>
          </w:p>
        </w:tc>
        <w:tc>
          <w:tcPr>
            <w:tcW w:w="1170" w:type="dxa"/>
            <w:tcBorders>
              <w:top w:val="single" w:sz="4" w:space="0" w:color="auto"/>
              <w:bottom w:val="single" w:sz="4" w:space="0" w:color="auto"/>
            </w:tcBorders>
            <w:noWrap/>
            <w:vAlign w:val="center"/>
          </w:tcPr>
          <w:p>
            <w:pPr>
              <w:pStyle w:val="yTableNAm"/>
              <w:jc w:val="center"/>
            </w:pPr>
            <w:r>
              <w:rPr>
                <w:b/>
              </w:rPr>
              <w:t>Charge</w:t>
            </w:r>
            <w:r>
              <w:rPr>
                <w:b/>
              </w:rPr>
              <w:br/>
            </w:r>
            <w:r>
              <w:rPr>
                <w:b/>
              </w:rPr>
              <w:br/>
              <w:t>$</w:t>
            </w:r>
          </w:p>
        </w:tc>
        <w:tc>
          <w:tcPr>
            <w:tcW w:w="1170" w:type="dxa"/>
            <w:tcBorders>
              <w:top w:val="single" w:sz="4" w:space="0" w:color="auto"/>
              <w:bottom w:val="single" w:sz="4" w:space="0" w:color="auto"/>
            </w:tcBorders>
            <w:noWrap/>
            <w:vAlign w:val="center"/>
          </w:tcPr>
          <w:p>
            <w:pPr>
              <w:pStyle w:val="yTableNAm"/>
              <w:jc w:val="center"/>
            </w:pPr>
            <w:r>
              <w:rPr>
                <w:b/>
                <w:szCs w:val="22"/>
              </w:rPr>
              <w:t>Discount</w:t>
            </w:r>
            <w:r>
              <w:rPr>
                <w:b/>
                <w:szCs w:val="22"/>
              </w:rPr>
              <w:br/>
            </w:r>
            <w:r>
              <w:rPr>
                <w:b/>
                <w:szCs w:val="22"/>
              </w:rPr>
              <w:br/>
              <w:t>$</w:t>
            </w:r>
          </w:p>
        </w:tc>
        <w:tc>
          <w:tcPr>
            <w:tcW w:w="1488" w:type="dxa"/>
            <w:tcBorders>
              <w:top w:val="single" w:sz="4" w:space="0" w:color="auto"/>
              <w:bottom w:val="single" w:sz="4" w:space="0" w:color="auto"/>
            </w:tcBorders>
            <w:noWrap/>
            <w:vAlign w:val="center"/>
          </w:tcPr>
          <w:p>
            <w:pPr>
              <w:pStyle w:val="yTableNAm"/>
              <w:jc w:val="center"/>
            </w:pPr>
            <w:r>
              <w:rPr>
                <w:b/>
                <w:szCs w:val="22"/>
              </w:rPr>
              <w:t>Discounted charge</w:t>
            </w:r>
            <w:r>
              <w:rPr>
                <w:b/>
                <w:szCs w:val="22"/>
              </w:rPr>
              <w:br/>
              <w:t>$</w:t>
            </w:r>
          </w:p>
        </w:tc>
      </w:tr>
      <w:tr>
        <w:trPr>
          <w:cantSplit/>
        </w:trPr>
        <w:tc>
          <w:tcPr>
            <w:tcW w:w="2126" w:type="dxa"/>
            <w:tcBorders>
              <w:bottom w:val="single" w:sz="4" w:space="0" w:color="auto"/>
            </w:tcBorders>
            <w:noWrap/>
          </w:tcPr>
          <w:p>
            <w:pPr>
              <w:pStyle w:val="yTableNAm"/>
            </w:pPr>
            <w:r>
              <w:t>If Housing Authority responsible for payment of charge</w:t>
            </w:r>
          </w:p>
        </w:tc>
        <w:tc>
          <w:tcPr>
            <w:tcW w:w="1170" w:type="dxa"/>
            <w:tcBorders>
              <w:bottom w:val="single" w:sz="4" w:space="0" w:color="auto"/>
            </w:tcBorders>
            <w:noWrap/>
          </w:tcPr>
          <w:p>
            <w:pPr>
              <w:pStyle w:val="yTableNAm"/>
              <w:jc w:val="center"/>
            </w:pPr>
            <w:r>
              <w:t>296.89</w:t>
            </w:r>
          </w:p>
        </w:tc>
        <w:tc>
          <w:tcPr>
            <w:tcW w:w="1170" w:type="dxa"/>
            <w:tcBorders>
              <w:bottom w:val="single" w:sz="4" w:space="0" w:color="auto"/>
            </w:tcBorders>
            <w:noWrap/>
          </w:tcPr>
          <w:p>
            <w:pPr>
              <w:pStyle w:val="yTableNAm"/>
              <w:jc w:val="center"/>
            </w:pPr>
            <w:r>
              <w:t>108.86</w:t>
            </w:r>
          </w:p>
        </w:tc>
        <w:tc>
          <w:tcPr>
            <w:tcW w:w="1488" w:type="dxa"/>
            <w:tcBorders>
              <w:bottom w:val="single" w:sz="4" w:space="0" w:color="auto"/>
            </w:tcBorders>
            <w:noWrap/>
          </w:tcPr>
          <w:p>
            <w:pPr>
              <w:pStyle w:val="yTableNAm"/>
              <w:jc w:val="center"/>
            </w:pPr>
            <w:r>
              <w:t>188.03</w:t>
            </w:r>
          </w:p>
        </w:tc>
      </w:tr>
      <w:tr>
        <w:trPr>
          <w:cantSplit/>
        </w:trPr>
        <w:tc>
          <w:tcPr>
            <w:tcW w:w="2126" w:type="dxa"/>
            <w:tcBorders>
              <w:bottom w:val="single" w:sz="4" w:space="0" w:color="auto"/>
            </w:tcBorders>
            <w:noWrap/>
          </w:tcPr>
          <w:p>
            <w:pPr>
              <w:pStyle w:val="yTableNAm"/>
            </w:pPr>
            <w:r>
              <w:t>In any other case</w:t>
            </w:r>
          </w:p>
        </w:tc>
        <w:tc>
          <w:tcPr>
            <w:tcW w:w="1170" w:type="dxa"/>
            <w:tcBorders>
              <w:bottom w:val="single" w:sz="4" w:space="0" w:color="auto"/>
            </w:tcBorders>
            <w:noWrap/>
            <w:vAlign w:val="bottom"/>
          </w:tcPr>
          <w:p>
            <w:pPr>
              <w:pStyle w:val="yTableNAm"/>
              <w:jc w:val="center"/>
            </w:pPr>
            <w:r>
              <w:t>296.89</w:t>
            </w:r>
          </w:p>
        </w:tc>
        <w:tc>
          <w:tcPr>
            <w:tcW w:w="1170" w:type="dxa"/>
            <w:tcBorders>
              <w:bottom w:val="single" w:sz="4" w:space="0" w:color="auto"/>
            </w:tcBorders>
            <w:noWrap/>
            <w:vAlign w:val="bottom"/>
          </w:tcPr>
          <w:p>
            <w:pPr>
              <w:pStyle w:val="yTableNAm"/>
              <w:jc w:val="center"/>
            </w:pPr>
            <w:r>
              <w:t>296.89</w:t>
            </w:r>
          </w:p>
        </w:tc>
        <w:tc>
          <w:tcPr>
            <w:tcW w:w="1488" w:type="dxa"/>
            <w:tcBorders>
              <w:bottom w:val="single" w:sz="4" w:space="0" w:color="auto"/>
            </w:tcBorders>
            <w:noWrap/>
            <w:vAlign w:val="bottom"/>
          </w:tcPr>
          <w:p>
            <w:pPr>
              <w:pStyle w:val="yTableNAm"/>
              <w:jc w:val="center"/>
            </w:pPr>
            <w:r>
              <w:t>0.00</w:t>
            </w:r>
          </w:p>
        </w:tc>
      </w:tr>
    </w:tbl>
    <w:p>
      <w:pPr>
        <w:pStyle w:val="zyHeading5"/>
      </w:pPr>
      <w:bookmarkStart w:id="133" w:name="_Toc201235703"/>
      <w:bookmarkStart w:id="134" w:name="_Toc201661614"/>
      <w:r>
        <w:t>9.</w:t>
      </w:r>
      <w:r>
        <w:tab/>
        <w:t>Semi</w:t>
      </w:r>
      <w:r>
        <w:noBreakHyphen/>
        <w:t>rural residential</w:t>
      </w:r>
      <w:bookmarkEnd w:id="133"/>
      <w:bookmarkEnd w:id="134"/>
    </w:p>
    <w:p>
      <w:pPr>
        <w:pStyle w:val="ySubsection"/>
        <w:tabs>
          <w:tab w:val="right" w:leader="dot" w:pos="6804"/>
        </w:tabs>
      </w:pPr>
      <w:r>
        <w:tab/>
      </w:r>
      <w:r>
        <w:tab/>
        <w:t>For a semi</w:t>
      </w:r>
      <w:r>
        <w:noBreakHyphen/>
        <w:t xml:space="preserve">rural residential property not </w:t>
      </w:r>
      <w:r>
        <w:br/>
        <w:t xml:space="preserve">covered by item 4, the charge, per </w:t>
      </w:r>
      <w:r>
        <w:br/>
        <w:t xml:space="preserve">dwelling on the land, is </w:t>
      </w:r>
      <w:r>
        <w:tab/>
        <w:t>$296.89</w:t>
      </w:r>
    </w:p>
    <w:p>
      <w:pPr>
        <w:pStyle w:val="zyHeading5"/>
      </w:pPr>
      <w:bookmarkStart w:id="135" w:name="_Toc201235704"/>
      <w:bookmarkStart w:id="136" w:name="_Toc201661615"/>
      <w:r>
        <w:t>10.</w:t>
      </w:r>
      <w:r>
        <w:tab/>
        <w:t>Non</w:t>
      </w:r>
      <w:r>
        <w:noBreakHyphen/>
        <w:t>metropolitan concessional</w:t>
      </w:r>
      <w:bookmarkEnd w:id="135"/>
      <w:bookmarkEnd w:id="136"/>
    </w:p>
    <w:p>
      <w:pPr>
        <w:pStyle w:val="ySubsection"/>
      </w:pPr>
      <w:r>
        <w:tab/>
        <w:t>(1)</w:t>
      </w:r>
      <w:r>
        <w:tab/>
        <w:t>For land in the non</w:t>
      </w:r>
      <w:r>
        <w:noBreakHyphen/>
        <w:t>metropolitan area that is classified as aged home, charitable purposes or institutional public, the charge per water supply connection is the discounted charge set out in the Table to this sub</w:t>
      </w:r>
      <w:r>
        <w:noBreakHyphen/>
        <w:t>item, according to the relevant meter size.</w:t>
      </w:r>
    </w:p>
    <w:p>
      <w:pPr>
        <w:pStyle w:val="yTHeadingNAm"/>
      </w:pPr>
      <w:r>
        <w:t>Table of charges and discounts</w:t>
      </w:r>
    </w:p>
    <w:tbl>
      <w:tblPr>
        <w:tblW w:w="5529" w:type="dxa"/>
        <w:tblInd w:w="1418" w:type="dxa"/>
        <w:tblLayout w:type="fixed"/>
        <w:tblLook w:val="0000" w:firstRow="0" w:lastRow="0" w:firstColumn="0" w:lastColumn="0" w:noHBand="0" w:noVBand="0"/>
      </w:tblPr>
      <w:tblGrid>
        <w:gridCol w:w="1560"/>
        <w:gridCol w:w="1275"/>
        <w:gridCol w:w="1276"/>
        <w:gridCol w:w="1418"/>
      </w:tblGrid>
      <w:tr>
        <w:trPr>
          <w:cantSplit/>
          <w:tblHeader/>
        </w:trPr>
        <w:tc>
          <w:tcPr>
            <w:tcW w:w="1560" w:type="dxa"/>
            <w:tcBorders>
              <w:top w:val="single" w:sz="4" w:space="0" w:color="auto"/>
              <w:bottom w:val="single" w:sz="4" w:space="0" w:color="auto"/>
            </w:tcBorders>
            <w:noWrap/>
            <w:vAlign w:val="center"/>
          </w:tcPr>
          <w:p>
            <w:pPr>
              <w:pStyle w:val="yTableNAm"/>
              <w:jc w:val="center"/>
            </w:pPr>
            <w:r>
              <w:rPr>
                <w:b/>
              </w:rPr>
              <w:t>Meter size</w:t>
            </w:r>
            <w:r>
              <w:rPr>
                <w:b/>
              </w:rPr>
              <w:br/>
            </w:r>
            <w:r>
              <w:rPr>
                <w:b/>
              </w:rPr>
              <w:br/>
              <w:t>mm</w:t>
            </w:r>
          </w:p>
        </w:tc>
        <w:tc>
          <w:tcPr>
            <w:tcW w:w="1275" w:type="dxa"/>
            <w:tcBorders>
              <w:top w:val="single" w:sz="4" w:space="0" w:color="auto"/>
              <w:bottom w:val="single" w:sz="4" w:space="0" w:color="auto"/>
            </w:tcBorders>
            <w:noWrap/>
            <w:vAlign w:val="center"/>
          </w:tcPr>
          <w:p>
            <w:pPr>
              <w:pStyle w:val="yTableNAm"/>
              <w:jc w:val="center"/>
            </w:pPr>
            <w:r>
              <w:rPr>
                <w:b/>
              </w:rPr>
              <w:t>Charge</w:t>
            </w:r>
            <w:r>
              <w:rPr>
                <w:b/>
              </w:rPr>
              <w:br/>
            </w:r>
            <w:r>
              <w:rPr>
                <w:b/>
              </w:rPr>
              <w:br/>
              <w:t>$</w:t>
            </w:r>
          </w:p>
        </w:tc>
        <w:tc>
          <w:tcPr>
            <w:tcW w:w="1276" w:type="dxa"/>
            <w:tcBorders>
              <w:top w:val="single" w:sz="4" w:space="0" w:color="auto"/>
              <w:bottom w:val="single" w:sz="4" w:space="0" w:color="auto"/>
            </w:tcBorders>
            <w:noWrap/>
            <w:vAlign w:val="center"/>
          </w:tcPr>
          <w:p>
            <w:pPr>
              <w:pStyle w:val="yTableNAm"/>
              <w:jc w:val="center"/>
            </w:pPr>
            <w:r>
              <w:rPr>
                <w:b/>
                <w:szCs w:val="22"/>
              </w:rPr>
              <w:t>Discount</w:t>
            </w:r>
            <w:r>
              <w:rPr>
                <w:b/>
                <w:szCs w:val="22"/>
              </w:rPr>
              <w:br/>
            </w:r>
            <w:r>
              <w:rPr>
                <w:b/>
                <w:szCs w:val="22"/>
              </w:rPr>
              <w:br/>
              <w:t>$</w:t>
            </w:r>
          </w:p>
        </w:tc>
        <w:tc>
          <w:tcPr>
            <w:tcW w:w="1418" w:type="dxa"/>
            <w:tcBorders>
              <w:top w:val="single" w:sz="4" w:space="0" w:color="auto"/>
              <w:bottom w:val="single" w:sz="4" w:space="0" w:color="auto"/>
            </w:tcBorders>
            <w:noWrap/>
            <w:vAlign w:val="center"/>
          </w:tcPr>
          <w:p>
            <w:pPr>
              <w:pStyle w:val="yTableNAm"/>
              <w:jc w:val="center"/>
            </w:pPr>
            <w:r>
              <w:rPr>
                <w:b/>
                <w:szCs w:val="22"/>
              </w:rPr>
              <w:t>Discounted charge</w:t>
            </w:r>
            <w:r>
              <w:rPr>
                <w:b/>
                <w:szCs w:val="22"/>
              </w:rPr>
              <w:br/>
              <w:t>$</w:t>
            </w:r>
          </w:p>
        </w:tc>
      </w:tr>
      <w:tr>
        <w:trPr>
          <w:cantSplit/>
        </w:trPr>
        <w:tc>
          <w:tcPr>
            <w:tcW w:w="1560" w:type="dxa"/>
            <w:tcBorders>
              <w:top w:val="single" w:sz="4" w:space="0" w:color="auto"/>
            </w:tcBorders>
            <w:noWrap/>
            <w:tcMar>
              <w:left w:w="28" w:type="dxa"/>
              <w:right w:w="28" w:type="dxa"/>
            </w:tcMar>
          </w:tcPr>
          <w:p>
            <w:pPr>
              <w:pStyle w:val="yTableNAm"/>
              <w:jc w:val="center"/>
            </w:pPr>
            <w:r>
              <w:t>15, 20</w:t>
            </w:r>
          </w:p>
        </w:tc>
        <w:tc>
          <w:tcPr>
            <w:tcW w:w="1275" w:type="dxa"/>
            <w:tcBorders>
              <w:top w:val="single" w:sz="4" w:space="0" w:color="auto"/>
            </w:tcBorders>
            <w:noWrap/>
          </w:tcPr>
          <w:p>
            <w:pPr>
              <w:pStyle w:val="yTableNAm"/>
              <w:jc w:val="center"/>
            </w:pPr>
            <w:r>
              <w:t>315.50</w:t>
            </w:r>
          </w:p>
        </w:tc>
        <w:tc>
          <w:tcPr>
            <w:tcW w:w="1276" w:type="dxa"/>
            <w:tcBorders>
              <w:top w:val="single" w:sz="4" w:space="0" w:color="auto"/>
            </w:tcBorders>
            <w:noWrap/>
          </w:tcPr>
          <w:p>
            <w:pPr>
              <w:pStyle w:val="yTableNAm"/>
              <w:jc w:val="center"/>
            </w:pPr>
            <w:r>
              <w:t>315.50</w:t>
            </w:r>
          </w:p>
        </w:tc>
        <w:tc>
          <w:tcPr>
            <w:tcW w:w="1418" w:type="dxa"/>
            <w:tcBorders>
              <w:top w:val="single" w:sz="4" w:space="0" w:color="auto"/>
            </w:tcBorders>
            <w:noWrap/>
            <w:vAlign w:val="bottom"/>
          </w:tcPr>
          <w:p>
            <w:pPr>
              <w:pStyle w:val="yTableNAm"/>
              <w:jc w:val="center"/>
            </w:pPr>
            <w:r>
              <w:t>0.00</w:t>
            </w:r>
          </w:p>
        </w:tc>
      </w:tr>
      <w:tr>
        <w:trPr>
          <w:cantSplit/>
        </w:trPr>
        <w:tc>
          <w:tcPr>
            <w:tcW w:w="1560" w:type="dxa"/>
            <w:noWrap/>
            <w:tcMar>
              <w:left w:w="62" w:type="dxa"/>
              <w:right w:w="62" w:type="dxa"/>
            </w:tcMar>
          </w:tcPr>
          <w:p>
            <w:pPr>
              <w:pStyle w:val="yTableNAm"/>
              <w:jc w:val="center"/>
            </w:pPr>
            <w:r>
              <w:lastRenderedPageBreak/>
              <w:t>25</w:t>
            </w:r>
          </w:p>
        </w:tc>
        <w:tc>
          <w:tcPr>
            <w:tcW w:w="1275" w:type="dxa"/>
            <w:noWrap/>
          </w:tcPr>
          <w:p>
            <w:pPr>
              <w:pStyle w:val="yTableNAm"/>
              <w:jc w:val="center"/>
            </w:pPr>
            <w:r>
              <w:t>493.00</w:t>
            </w:r>
          </w:p>
        </w:tc>
        <w:tc>
          <w:tcPr>
            <w:tcW w:w="1276" w:type="dxa"/>
            <w:noWrap/>
          </w:tcPr>
          <w:p>
            <w:pPr>
              <w:pStyle w:val="yTableNAm"/>
              <w:jc w:val="center"/>
            </w:pPr>
            <w:r>
              <w:t>493.00</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30</w:t>
            </w:r>
          </w:p>
        </w:tc>
        <w:tc>
          <w:tcPr>
            <w:tcW w:w="1275" w:type="dxa"/>
            <w:noWrap/>
          </w:tcPr>
          <w:p>
            <w:pPr>
              <w:pStyle w:val="yTableNAm"/>
              <w:jc w:val="center"/>
            </w:pPr>
            <w:r>
              <w:t>709.86</w:t>
            </w:r>
          </w:p>
        </w:tc>
        <w:tc>
          <w:tcPr>
            <w:tcW w:w="1276" w:type="dxa"/>
            <w:noWrap/>
          </w:tcPr>
          <w:p>
            <w:pPr>
              <w:pStyle w:val="yTableNAm"/>
              <w:jc w:val="center"/>
            </w:pPr>
            <w:r>
              <w:t>709.86</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35, 38, 40</w:t>
            </w:r>
          </w:p>
        </w:tc>
        <w:tc>
          <w:tcPr>
            <w:tcW w:w="1275" w:type="dxa"/>
            <w:noWrap/>
          </w:tcPr>
          <w:p>
            <w:pPr>
              <w:pStyle w:val="yTableNAm"/>
              <w:jc w:val="center"/>
            </w:pPr>
            <w:r>
              <w:t>1 262.06</w:t>
            </w:r>
          </w:p>
        </w:tc>
        <w:tc>
          <w:tcPr>
            <w:tcW w:w="1276" w:type="dxa"/>
            <w:noWrap/>
          </w:tcPr>
          <w:p>
            <w:pPr>
              <w:pStyle w:val="yTableNAm"/>
              <w:jc w:val="center"/>
            </w:pPr>
            <w:r>
              <w:t>1 262.06</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50</w:t>
            </w:r>
          </w:p>
        </w:tc>
        <w:tc>
          <w:tcPr>
            <w:tcW w:w="1275" w:type="dxa"/>
            <w:noWrap/>
          </w:tcPr>
          <w:p>
            <w:pPr>
              <w:pStyle w:val="yTableNAm"/>
              <w:jc w:val="center"/>
            </w:pPr>
            <w:r>
              <w:t>1 971.94</w:t>
            </w:r>
          </w:p>
        </w:tc>
        <w:tc>
          <w:tcPr>
            <w:tcW w:w="1276" w:type="dxa"/>
            <w:noWrap/>
          </w:tcPr>
          <w:p>
            <w:pPr>
              <w:pStyle w:val="yTableNAm"/>
              <w:jc w:val="center"/>
            </w:pPr>
            <w:r>
              <w:t>1 971.94</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70, 75, 80</w:t>
            </w:r>
          </w:p>
        </w:tc>
        <w:tc>
          <w:tcPr>
            <w:tcW w:w="1275" w:type="dxa"/>
            <w:noWrap/>
          </w:tcPr>
          <w:p>
            <w:pPr>
              <w:pStyle w:val="yTableNAm"/>
              <w:jc w:val="center"/>
            </w:pPr>
            <w:r>
              <w:t>5 048.18</w:t>
            </w:r>
          </w:p>
        </w:tc>
        <w:tc>
          <w:tcPr>
            <w:tcW w:w="1276" w:type="dxa"/>
            <w:noWrap/>
          </w:tcPr>
          <w:p>
            <w:pPr>
              <w:pStyle w:val="yTableNAm"/>
              <w:jc w:val="center"/>
            </w:pPr>
            <w:r>
              <w:t>5 048.18</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100</w:t>
            </w:r>
          </w:p>
        </w:tc>
        <w:tc>
          <w:tcPr>
            <w:tcW w:w="1275" w:type="dxa"/>
            <w:noWrap/>
          </w:tcPr>
          <w:p>
            <w:pPr>
              <w:pStyle w:val="yTableNAm"/>
              <w:jc w:val="center"/>
            </w:pPr>
            <w:r>
              <w:t>7 887.76</w:t>
            </w:r>
          </w:p>
        </w:tc>
        <w:tc>
          <w:tcPr>
            <w:tcW w:w="1276" w:type="dxa"/>
            <w:noWrap/>
          </w:tcPr>
          <w:p>
            <w:pPr>
              <w:pStyle w:val="yTableNAm"/>
              <w:jc w:val="center"/>
            </w:pPr>
            <w:r>
              <w:t>7 887.76</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140, 150</w:t>
            </w:r>
          </w:p>
        </w:tc>
        <w:tc>
          <w:tcPr>
            <w:tcW w:w="1275" w:type="dxa"/>
            <w:noWrap/>
          </w:tcPr>
          <w:p>
            <w:pPr>
              <w:pStyle w:val="yTableNAm"/>
              <w:jc w:val="center"/>
            </w:pPr>
            <w:r>
              <w:t>17 747.49</w:t>
            </w:r>
          </w:p>
        </w:tc>
        <w:tc>
          <w:tcPr>
            <w:tcW w:w="1276" w:type="dxa"/>
            <w:noWrap/>
          </w:tcPr>
          <w:p>
            <w:pPr>
              <w:pStyle w:val="yTableNAm"/>
              <w:jc w:val="center"/>
            </w:pPr>
            <w:r>
              <w:t>17 747.49</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200</w:t>
            </w:r>
          </w:p>
        </w:tc>
        <w:tc>
          <w:tcPr>
            <w:tcW w:w="1275" w:type="dxa"/>
            <w:noWrap/>
          </w:tcPr>
          <w:p>
            <w:pPr>
              <w:pStyle w:val="yTableNAm"/>
              <w:jc w:val="center"/>
            </w:pPr>
            <w:r>
              <w:t>31 551.07</w:t>
            </w:r>
          </w:p>
        </w:tc>
        <w:tc>
          <w:tcPr>
            <w:tcW w:w="1276" w:type="dxa"/>
            <w:noWrap/>
          </w:tcPr>
          <w:p>
            <w:pPr>
              <w:pStyle w:val="yTableNAm"/>
              <w:jc w:val="center"/>
            </w:pPr>
            <w:r>
              <w:t>31 551.07</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250</w:t>
            </w:r>
          </w:p>
        </w:tc>
        <w:tc>
          <w:tcPr>
            <w:tcW w:w="1275" w:type="dxa"/>
            <w:noWrap/>
          </w:tcPr>
          <w:p>
            <w:pPr>
              <w:pStyle w:val="yTableNAm"/>
              <w:jc w:val="center"/>
            </w:pPr>
            <w:r>
              <w:t>49 298.55</w:t>
            </w:r>
          </w:p>
        </w:tc>
        <w:tc>
          <w:tcPr>
            <w:tcW w:w="1276" w:type="dxa"/>
            <w:noWrap/>
          </w:tcPr>
          <w:p>
            <w:pPr>
              <w:pStyle w:val="yTableNAm"/>
              <w:jc w:val="center"/>
            </w:pPr>
            <w:r>
              <w:t>49 298.55</w:t>
            </w:r>
          </w:p>
        </w:tc>
        <w:tc>
          <w:tcPr>
            <w:tcW w:w="1418" w:type="dxa"/>
            <w:noWrap/>
            <w:vAlign w:val="bottom"/>
          </w:tcPr>
          <w:p>
            <w:pPr>
              <w:pStyle w:val="yTableNAm"/>
              <w:jc w:val="center"/>
            </w:pPr>
            <w:r>
              <w:t>0.00</w:t>
            </w:r>
          </w:p>
        </w:tc>
      </w:tr>
      <w:tr>
        <w:trPr>
          <w:cantSplit/>
        </w:trPr>
        <w:tc>
          <w:tcPr>
            <w:tcW w:w="1560" w:type="dxa"/>
            <w:noWrap/>
            <w:tcMar>
              <w:left w:w="57" w:type="dxa"/>
              <w:right w:w="57" w:type="dxa"/>
            </w:tcMar>
          </w:tcPr>
          <w:p>
            <w:pPr>
              <w:pStyle w:val="yTableNAm"/>
              <w:jc w:val="center"/>
            </w:pPr>
            <w:r>
              <w:t>300</w:t>
            </w:r>
          </w:p>
        </w:tc>
        <w:tc>
          <w:tcPr>
            <w:tcW w:w="1275" w:type="dxa"/>
            <w:noWrap/>
          </w:tcPr>
          <w:p>
            <w:pPr>
              <w:pStyle w:val="yTableNAm"/>
              <w:jc w:val="center"/>
            </w:pPr>
            <w:r>
              <w:t>70 989.92</w:t>
            </w:r>
          </w:p>
        </w:tc>
        <w:tc>
          <w:tcPr>
            <w:tcW w:w="1276" w:type="dxa"/>
            <w:noWrap/>
          </w:tcPr>
          <w:p>
            <w:pPr>
              <w:pStyle w:val="yTableNAm"/>
              <w:jc w:val="center"/>
            </w:pPr>
            <w:r>
              <w:t>70 989.92</w:t>
            </w:r>
          </w:p>
        </w:tc>
        <w:tc>
          <w:tcPr>
            <w:tcW w:w="1418" w:type="dxa"/>
            <w:noWrap/>
            <w:vAlign w:val="bottom"/>
          </w:tcPr>
          <w:p>
            <w:pPr>
              <w:pStyle w:val="yTableNAm"/>
              <w:jc w:val="center"/>
            </w:pPr>
            <w:r>
              <w:t>0.00</w:t>
            </w:r>
          </w:p>
        </w:tc>
      </w:tr>
      <w:tr>
        <w:trPr>
          <w:cantSplit/>
        </w:trPr>
        <w:tc>
          <w:tcPr>
            <w:tcW w:w="1560" w:type="dxa"/>
            <w:tcBorders>
              <w:bottom w:val="single" w:sz="4" w:space="0" w:color="auto"/>
            </w:tcBorders>
            <w:noWrap/>
            <w:tcMar>
              <w:left w:w="28" w:type="dxa"/>
              <w:right w:w="57" w:type="dxa"/>
            </w:tcMar>
          </w:tcPr>
          <w:p>
            <w:pPr>
              <w:pStyle w:val="yTableNAm"/>
              <w:jc w:val="center"/>
            </w:pPr>
            <w:r>
              <w:t>350</w:t>
            </w:r>
          </w:p>
        </w:tc>
        <w:tc>
          <w:tcPr>
            <w:tcW w:w="1275" w:type="dxa"/>
            <w:tcBorders>
              <w:bottom w:val="single" w:sz="4" w:space="0" w:color="auto"/>
            </w:tcBorders>
            <w:noWrap/>
          </w:tcPr>
          <w:p>
            <w:pPr>
              <w:pStyle w:val="yTableNAm"/>
              <w:jc w:val="center"/>
            </w:pPr>
            <w:r>
              <w:t>96 625.21</w:t>
            </w:r>
          </w:p>
        </w:tc>
        <w:tc>
          <w:tcPr>
            <w:tcW w:w="1276" w:type="dxa"/>
            <w:tcBorders>
              <w:bottom w:val="single" w:sz="4" w:space="0" w:color="auto"/>
            </w:tcBorders>
            <w:noWrap/>
          </w:tcPr>
          <w:p>
            <w:pPr>
              <w:pStyle w:val="yTableNAm"/>
              <w:jc w:val="center"/>
            </w:pPr>
            <w:r>
              <w:t>96 625.21</w:t>
            </w:r>
          </w:p>
        </w:tc>
        <w:tc>
          <w:tcPr>
            <w:tcW w:w="1418" w:type="dxa"/>
            <w:tcBorders>
              <w:bottom w:val="single" w:sz="4" w:space="0" w:color="auto"/>
            </w:tcBorders>
            <w:noWrap/>
            <w:vAlign w:val="bottom"/>
          </w:tcPr>
          <w:p>
            <w:pPr>
              <w:pStyle w:val="yTableNAm"/>
              <w:jc w:val="center"/>
            </w:pPr>
            <w:r>
              <w:t>0.00</w:t>
            </w:r>
          </w:p>
        </w:tc>
      </w:tr>
    </w:tbl>
    <w:p>
      <w:pPr>
        <w:pStyle w:val="ySubsection"/>
      </w:pPr>
      <w:r>
        <w:tab/>
        <w:t>(2)</w:t>
      </w:r>
      <w:r>
        <w:tab/>
        <w:t>Sub</w:t>
      </w:r>
      <w:r>
        <w:noBreakHyphen/>
        <w:t>item (1) does not apply to a connection covered by item 21.</w:t>
      </w:r>
    </w:p>
    <w:p>
      <w:pPr>
        <w:pStyle w:val="ySubsection"/>
      </w:pPr>
      <w:r>
        <w:tab/>
        <w:t>(3)</w:t>
      </w:r>
      <w:r>
        <w:tab/>
        <w:t>For concessional land in the non</w:t>
      </w:r>
      <w:r>
        <w:noBreakHyphen/>
        <w:t>metropolitan area that, although a water service is provided, is not connected to water supply works of the Water Corporation, the charge is the discounted charge set out in the Table to this sub</w:t>
      </w:r>
      <w:r>
        <w:noBreakHyphen/>
        <w:t xml:space="preserve">item. </w:t>
      </w:r>
    </w:p>
    <w:p>
      <w:pPr>
        <w:pStyle w:val="yTHeadingNAm"/>
      </w:pPr>
      <w:r>
        <w:t>Table of charge and discount</w:t>
      </w:r>
    </w:p>
    <w:tbl>
      <w:tblPr>
        <w:tblW w:w="3687" w:type="dxa"/>
        <w:jc w:val="center"/>
        <w:tblLayout w:type="fixed"/>
        <w:tblLook w:val="0000" w:firstRow="0" w:lastRow="0" w:firstColumn="0" w:lastColumn="0" w:noHBand="0" w:noVBand="0"/>
      </w:tblPr>
      <w:tblGrid>
        <w:gridCol w:w="1135"/>
        <w:gridCol w:w="1135"/>
        <w:gridCol w:w="1417"/>
      </w:tblGrid>
      <w:tr>
        <w:trPr>
          <w:cantSplit/>
          <w:tblHeader/>
          <w:jc w:val="center"/>
        </w:trPr>
        <w:tc>
          <w:tcPr>
            <w:tcW w:w="1135" w:type="dxa"/>
            <w:tcBorders>
              <w:top w:val="single" w:sz="4" w:space="0" w:color="auto"/>
              <w:bottom w:val="single" w:sz="4" w:space="0" w:color="auto"/>
            </w:tcBorders>
            <w:noWrap/>
            <w:vAlign w:val="center"/>
          </w:tcPr>
          <w:p>
            <w:pPr>
              <w:pStyle w:val="yTableNAm"/>
              <w:jc w:val="center"/>
            </w:pPr>
            <w:r>
              <w:rPr>
                <w:b/>
              </w:rPr>
              <w:t>Charge</w:t>
            </w:r>
            <w:r>
              <w:rPr>
                <w:b/>
              </w:rPr>
              <w:br/>
            </w:r>
            <w:r>
              <w:rPr>
                <w:b/>
              </w:rPr>
              <w:br/>
              <w:t>$</w:t>
            </w:r>
          </w:p>
        </w:tc>
        <w:tc>
          <w:tcPr>
            <w:tcW w:w="1135" w:type="dxa"/>
            <w:tcBorders>
              <w:top w:val="single" w:sz="4" w:space="0" w:color="auto"/>
              <w:bottom w:val="single" w:sz="4" w:space="0" w:color="auto"/>
            </w:tcBorders>
            <w:noWrap/>
            <w:vAlign w:val="center"/>
          </w:tcPr>
          <w:p>
            <w:pPr>
              <w:pStyle w:val="yTableNAm"/>
              <w:jc w:val="center"/>
            </w:pPr>
            <w:r>
              <w:rPr>
                <w:b/>
                <w:szCs w:val="22"/>
              </w:rPr>
              <w:t>Discount</w:t>
            </w:r>
            <w:r>
              <w:rPr>
                <w:b/>
                <w:szCs w:val="22"/>
              </w:rPr>
              <w:br/>
            </w:r>
            <w:r>
              <w:rPr>
                <w:b/>
                <w:szCs w:val="22"/>
              </w:rPr>
              <w:br/>
              <w:t>$</w:t>
            </w:r>
          </w:p>
        </w:tc>
        <w:tc>
          <w:tcPr>
            <w:tcW w:w="1417" w:type="dxa"/>
            <w:tcBorders>
              <w:top w:val="single" w:sz="4" w:space="0" w:color="auto"/>
              <w:bottom w:val="single" w:sz="4" w:space="0" w:color="auto"/>
            </w:tcBorders>
            <w:noWrap/>
            <w:vAlign w:val="center"/>
          </w:tcPr>
          <w:p>
            <w:pPr>
              <w:pStyle w:val="yTableNAm"/>
              <w:jc w:val="center"/>
            </w:pPr>
            <w:r>
              <w:rPr>
                <w:b/>
                <w:szCs w:val="22"/>
              </w:rPr>
              <w:t>Discounted charge</w:t>
            </w:r>
            <w:r>
              <w:rPr>
                <w:b/>
                <w:szCs w:val="22"/>
              </w:rPr>
              <w:br/>
              <w:t>$</w:t>
            </w:r>
          </w:p>
        </w:tc>
      </w:tr>
      <w:tr>
        <w:trPr>
          <w:cantSplit/>
          <w:jc w:val="center"/>
        </w:trPr>
        <w:tc>
          <w:tcPr>
            <w:tcW w:w="1135" w:type="dxa"/>
            <w:tcBorders>
              <w:bottom w:val="single" w:sz="4" w:space="0" w:color="auto"/>
            </w:tcBorders>
            <w:noWrap/>
          </w:tcPr>
          <w:p>
            <w:pPr>
              <w:pStyle w:val="yTableNAm"/>
              <w:jc w:val="center"/>
            </w:pPr>
            <w:r>
              <w:t>315.50</w:t>
            </w:r>
          </w:p>
        </w:tc>
        <w:tc>
          <w:tcPr>
            <w:tcW w:w="1135" w:type="dxa"/>
            <w:tcBorders>
              <w:bottom w:val="single" w:sz="4" w:space="0" w:color="auto"/>
            </w:tcBorders>
            <w:noWrap/>
          </w:tcPr>
          <w:p>
            <w:pPr>
              <w:pStyle w:val="yTableNAm"/>
              <w:jc w:val="center"/>
            </w:pPr>
            <w:r>
              <w:t>315.50</w:t>
            </w:r>
          </w:p>
        </w:tc>
        <w:tc>
          <w:tcPr>
            <w:tcW w:w="1417" w:type="dxa"/>
            <w:tcBorders>
              <w:bottom w:val="single" w:sz="4" w:space="0" w:color="auto"/>
            </w:tcBorders>
            <w:noWrap/>
            <w:vAlign w:val="bottom"/>
          </w:tcPr>
          <w:p>
            <w:pPr>
              <w:pStyle w:val="yTableNAm"/>
              <w:jc w:val="center"/>
            </w:pPr>
            <w:r>
              <w:t>0.00</w:t>
            </w:r>
          </w:p>
        </w:tc>
      </w:tr>
    </w:tbl>
    <w:p>
      <w:pPr>
        <w:pStyle w:val="zyHeading5"/>
      </w:pPr>
      <w:bookmarkStart w:id="137" w:name="_Toc201235705"/>
      <w:bookmarkStart w:id="138" w:name="_Toc201661616"/>
      <w:r>
        <w:t>11.</w:t>
      </w:r>
      <w:r>
        <w:tab/>
        <w:t>Non</w:t>
      </w:r>
      <w:r>
        <w:noBreakHyphen/>
        <w:t>residential or commercial residential (except storage units, parking bays and certain lots in strata titles scheme or community titles scheme)</w:t>
      </w:r>
      <w:bookmarkEnd w:id="137"/>
      <w:bookmarkEnd w:id="138"/>
    </w:p>
    <w:p>
      <w:pPr>
        <w:pStyle w:val="ySubsection"/>
      </w:pPr>
      <w:r>
        <w:tab/>
        <w:t>(1)</w:t>
      </w:r>
      <w:r>
        <w:tab/>
        <w:t>For land that —</w:t>
      </w:r>
    </w:p>
    <w:p>
      <w:pPr>
        <w:pStyle w:val="yIndenta"/>
      </w:pPr>
      <w:r>
        <w:tab/>
        <w:t>(a)</w:t>
      </w:r>
      <w:r>
        <w:tab/>
        <w:t>is classified as non</w:t>
      </w:r>
      <w:r>
        <w:noBreakHyphen/>
        <w:t>residential or commercial residential; and</w:t>
      </w:r>
    </w:p>
    <w:p>
      <w:pPr>
        <w:pStyle w:val="yIndenta"/>
      </w:pPr>
      <w:r>
        <w:lastRenderedPageBreak/>
        <w:tab/>
        <w:t>(b)</w:t>
      </w:r>
      <w:r>
        <w:tab/>
        <w:t>is not contained in a residential property; and</w:t>
      </w:r>
    </w:p>
    <w:p>
      <w:pPr>
        <w:pStyle w:val="yIndenta"/>
      </w:pPr>
      <w:r>
        <w:tab/>
        <w:t>(c)</w:t>
      </w:r>
      <w:r>
        <w:tab/>
        <w:t>is not covered by item 5, 6 or 7,</w:t>
      </w:r>
    </w:p>
    <w:p>
      <w:pPr>
        <w:pStyle w:val="ySubsection"/>
      </w:pPr>
      <w:r>
        <w:tab/>
      </w:r>
      <w:r>
        <w:tab/>
        <w:t>the charge is the charge set out in the Table in item 2, according to the relevant meter size.</w:t>
      </w:r>
    </w:p>
    <w:p>
      <w:pPr>
        <w:pStyle w:val="ySubsection"/>
      </w:pPr>
      <w:r>
        <w:tab/>
        <w:t>(2)</w:t>
      </w:r>
      <w:r>
        <w:tab/>
        <w:t>Sub</w:t>
      </w:r>
      <w:r>
        <w:noBreakHyphen/>
        <w:t>item (1) does not apply to a connection covered by item 21.</w:t>
      </w:r>
    </w:p>
    <w:p>
      <w:pPr>
        <w:pStyle w:val="ySubsection"/>
      </w:pPr>
      <w:r>
        <w:tab/>
        <w:t>(3)</w:t>
      </w:r>
      <w:r>
        <w:tab/>
        <w:t>If land covered by sub</w:t>
      </w:r>
      <w:r>
        <w:noBreakHyphen/>
        <w:t>item (1) is connected to the water supply works of the Water Corporation but not metered, the charge must be calculated as if the connection were metered through a meter of the same diameter as the pipe with which the connection is made.</w:t>
      </w:r>
    </w:p>
    <w:p>
      <w:pPr>
        <w:pStyle w:val="ySubsection"/>
      </w:pPr>
      <w:r>
        <w:tab/>
        <w:t>(4)</w:t>
      </w:r>
      <w:r>
        <w:tab/>
        <w:t>If land covered by sub</w:t>
      </w:r>
      <w:r>
        <w:noBreakHyphen/>
        <w:t>item (1) is not connected to the water supply works of the Water Corporation, the charge must be calculated as if the land were connected and the connection metered through a 20 mm meter.</w:t>
      </w:r>
    </w:p>
    <w:p>
      <w:pPr>
        <w:pStyle w:val="zyHeading5"/>
      </w:pPr>
      <w:bookmarkStart w:id="139" w:name="_Toc201235706"/>
      <w:bookmarkStart w:id="140" w:name="_Toc201661617"/>
      <w:r>
        <w:t>12.</w:t>
      </w:r>
      <w:r>
        <w:tab/>
        <w:t>Additional connections</w:t>
      </w:r>
      <w:bookmarkEnd w:id="139"/>
      <w:bookmarkEnd w:id="140"/>
    </w:p>
    <w:p>
      <w:pPr>
        <w:pStyle w:val="ySubsection"/>
      </w:pPr>
      <w:r>
        <w:tab/>
        <w:t>(1)</w:t>
      </w:r>
      <w:r>
        <w:tab/>
        <w:t>For land supplied water through more than 1 water supply connection, the charge, for each additional connection, is —</w:t>
      </w:r>
    </w:p>
    <w:p>
      <w:pPr>
        <w:pStyle w:val="yIndenta"/>
      </w:pPr>
      <w:r>
        <w:tab/>
        <w:t>(a)</w:t>
      </w:r>
      <w:r>
        <w:tab/>
        <w:t>for land that is classified as non</w:t>
      </w:r>
      <w:r>
        <w:noBreakHyphen/>
        <w:t>residential or commercial residential, the charge set out in the Table in item 2, according to the relevant meter size; and</w:t>
      </w:r>
    </w:p>
    <w:p>
      <w:pPr>
        <w:pStyle w:val="yIndenta"/>
        <w:tabs>
          <w:tab w:val="right" w:leader="dot" w:pos="6804"/>
        </w:tabs>
      </w:pPr>
      <w:r>
        <w:tab/>
        <w:t>(b)</w:t>
      </w:r>
      <w:r>
        <w:tab/>
        <w:t xml:space="preserve">for land to which paragraph (a) </w:t>
      </w:r>
      <w:r>
        <w:br/>
        <w:t xml:space="preserve">does not apply </w:t>
      </w:r>
      <w:r>
        <w:tab/>
        <w:t>$296.89</w:t>
      </w:r>
    </w:p>
    <w:p>
      <w:pPr>
        <w:pStyle w:val="ySubsection"/>
      </w:pPr>
      <w:r>
        <w:tab/>
        <w:t>(2)</w:t>
      </w:r>
      <w:r>
        <w:tab/>
        <w:t>Sub</w:t>
      </w:r>
      <w:r>
        <w:noBreakHyphen/>
        <w:t>item (1) does not apply to —</w:t>
      </w:r>
    </w:p>
    <w:p>
      <w:pPr>
        <w:pStyle w:val="yIndenta"/>
      </w:pPr>
      <w:r>
        <w:tab/>
        <w:t>(a)</w:t>
      </w:r>
      <w:r>
        <w:tab/>
        <w:t>a garden service connection; or</w:t>
      </w:r>
    </w:p>
    <w:p>
      <w:pPr>
        <w:pStyle w:val="yIndenta"/>
      </w:pPr>
      <w:r>
        <w:tab/>
        <w:t>(b)</w:t>
      </w:r>
      <w:r>
        <w:tab/>
        <w:t>a connection covered by item 17 or 21.</w:t>
      </w:r>
    </w:p>
    <w:p>
      <w:pPr>
        <w:pStyle w:val="ySubsection"/>
      </w:pPr>
      <w:r>
        <w:tab/>
        <w:t>(3)</w:t>
      </w:r>
      <w:r>
        <w:tab/>
        <w:t>The charge under sub</w:t>
      </w:r>
      <w:r>
        <w:noBreakHyphen/>
        <w:t>item (1) is in addition to any other charge applicable to the land under this Schedule.</w:t>
      </w:r>
    </w:p>
    <w:p>
      <w:pPr>
        <w:pStyle w:val="ySubsection"/>
      </w:pPr>
      <w:r>
        <w:tab/>
        <w:t>(4)</w:t>
      </w:r>
      <w:r>
        <w:tab/>
        <w:t>If a connection to which sub</w:t>
      </w:r>
      <w:r>
        <w:noBreakHyphen/>
        <w:t>item (1)(a) applies is not metered, the charge must be calculated as if the connection were metered through a meter of a size equal to the diameter of the pipe making the connection.</w:t>
      </w:r>
    </w:p>
    <w:p>
      <w:pPr>
        <w:pStyle w:val="zyHeading5"/>
      </w:pPr>
      <w:bookmarkStart w:id="141" w:name="_Toc201235707"/>
      <w:bookmarkStart w:id="142" w:name="_Toc201661618"/>
      <w:r>
        <w:lastRenderedPageBreak/>
        <w:t>13.</w:t>
      </w:r>
      <w:r>
        <w:tab/>
        <w:t>Vacant land</w:t>
      </w:r>
      <w:bookmarkEnd w:id="141"/>
      <w:bookmarkEnd w:id="142"/>
    </w:p>
    <w:p>
      <w:pPr>
        <w:pStyle w:val="ySubsection"/>
        <w:tabs>
          <w:tab w:val="right" w:leader="dot" w:pos="6804"/>
        </w:tabs>
      </w:pPr>
      <w:r>
        <w:tab/>
      </w:r>
      <w:r>
        <w:tab/>
        <w:t xml:space="preserve">For land that is classified as vacant land, </w:t>
      </w:r>
      <w:r>
        <w:br/>
        <w:t xml:space="preserve">the charge is </w:t>
      </w:r>
      <w:r>
        <w:tab/>
        <w:t>$296.89</w:t>
      </w:r>
    </w:p>
    <w:p>
      <w:pPr>
        <w:pStyle w:val="zyHeading5"/>
      </w:pPr>
      <w:bookmarkStart w:id="143" w:name="_Toc201235708"/>
      <w:bookmarkStart w:id="144" w:name="_Toc201661619"/>
      <w:r>
        <w:t>14.</w:t>
      </w:r>
      <w:r>
        <w:tab/>
        <w:t>Garden service connections</w:t>
      </w:r>
      <w:bookmarkEnd w:id="143"/>
      <w:bookmarkEnd w:id="144"/>
    </w:p>
    <w:p>
      <w:pPr>
        <w:pStyle w:val="ySubsection"/>
      </w:pPr>
      <w:r>
        <w:tab/>
        <w:t>(1)</w:t>
      </w:r>
      <w:r>
        <w:tab/>
        <w:t xml:space="preserve">For a garden service connection for water supplied to land in the suburb of Butler in the metropolitan area — </w:t>
      </w:r>
    </w:p>
    <w:p>
      <w:pPr>
        <w:pStyle w:val="yIndenta"/>
        <w:tabs>
          <w:tab w:val="right" w:leader="dot" w:pos="6804"/>
        </w:tabs>
      </w:pPr>
      <w:r>
        <w:tab/>
        <w:t>(a)</w:t>
      </w:r>
      <w:r>
        <w:tab/>
        <w:t xml:space="preserve">for land with an area of less </w:t>
      </w:r>
      <w:r>
        <w:br/>
        <w:t>than 400 m</w:t>
      </w:r>
      <w:r>
        <w:rPr>
          <w:vertAlign w:val="superscript"/>
        </w:rPr>
        <w:t>2</w:t>
      </w:r>
      <w:r>
        <w:t xml:space="preserve">, the charge is </w:t>
      </w:r>
      <w:r>
        <w:tab/>
        <w:t>$92.48</w:t>
      </w:r>
    </w:p>
    <w:p>
      <w:pPr>
        <w:pStyle w:val="yIndenta"/>
        <w:tabs>
          <w:tab w:val="right" w:leader="dot" w:pos="6804"/>
        </w:tabs>
      </w:pPr>
      <w:r>
        <w:tab/>
        <w:t>(b)</w:t>
      </w:r>
      <w:r>
        <w:tab/>
        <w:t xml:space="preserve">for land with an area equal to </w:t>
      </w:r>
      <w:r>
        <w:br/>
        <w:t>or greater than 400 m</w:t>
      </w:r>
      <w:r>
        <w:rPr>
          <w:vertAlign w:val="superscript"/>
        </w:rPr>
        <w:t>2</w:t>
      </w:r>
      <w:r>
        <w:t xml:space="preserve">, </w:t>
      </w:r>
      <w:r>
        <w:br/>
        <w:t xml:space="preserve">the charge is </w:t>
      </w:r>
      <w:r>
        <w:tab/>
        <w:t>$184.96</w:t>
      </w:r>
    </w:p>
    <w:p>
      <w:pPr>
        <w:pStyle w:val="ySubsection"/>
      </w:pPr>
      <w:r>
        <w:tab/>
        <w:t>(2)</w:t>
      </w:r>
      <w:r>
        <w:tab/>
        <w:t>The charge under sub</w:t>
      </w:r>
      <w:r>
        <w:noBreakHyphen/>
        <w:t>item (1) is in addition to any other charge applicable to the land under this Schedule.</w:t>
      </w:r>
    </w:p>
    <w:p>
      <w:pPr>
        <w:pStyle w:val="zyHeading5"/>
      </w:pPr>
      <w:bookmarkStart w:id="145" w:name="_Toc201235709"/>
      <w:bookmarkStart w:id="146" w:name="_Toc201661620"/>
      <w:r>
        <w:t>15.</w:t>
      </w:r>
      <w:r>
        <w:tab/>
        <w:t>Government trading organisations and non</w:t>
      </w:r>
      <w:r>
        <w:noBreakHyphen/>
        <w:t>commercial government property</w:t>
      </w:r>
      <w:bookmarkEnd w:id="145"/>
      <w:bookmarkEnd w:id="146"/>
    </w:p>
    <w:p>
      <w:pPr>
        <w:pStyle w:val="ySubsection"/>
      </w:pPr>
      <w:r>
        <w:tab/>
        <w:t>(1)</w:t>
      </w:r>
      <w:r>
        <w:tab/>
        <w:t>This item applies to land held by a government trading organisation, or a public authority that holds non</w:t>
      </w:r>
      <w:r>
        <w:noBreakHyphen/>
        <w:t>commercial government property, in respect of which a water service charge set out in item 4 or 10 would, but for this item, apply.</w:t>
      </w:r>
    </w:p>
    <w:p>
      <w:pPr>
        <w:pStyle w:val="ySubsection"/>
      </w:pPr>
      <w:r>
        <w:tab/>
        <w:t>(2)</w:t>
      </w:r>
      <w:r>
        <w:tab/>
        <w:t>This item does not apply to public land.</w:t>
      </w:r>
    </w:p>
    <w:p>
      <w:pPr>
        <w:pStyle w:val="ySubsection"/>
      </w:pPr>
      <w:r>
        <w:tab/>
        <w:t>(3)</w:t>
      </w:r>
      <w:r>
        <w:tab/>
        <w:t xml:space="preserve">For land to which this item applies — </w:t>
      </w:r>
    </w:p>
    <w:p>
      <w:pPr>
        <w:pStyle w:val="yIndenta"/>
      </w:pPr>
      <w:r>
        <w:tab/>
        <w:t>(a)</w:t>
      </w:r>
      <w:r>
        <w:tab/>
        <w:t>the charge referred to in sub</w:t>
      </w:r>
      <w:r>
        <w:noBreakHyphen/>
        <w:t>item (1) that would otherwise apply, does not; and</w:t>
      </w:r>
    </w:p>
    <w:p>
      <w:pPr>
        <w:pStyle w:val="yIndenta"/>
      </w:pPr>
      <w:r>
        <w:tab/>
        <w:t>(b)</w:t>
      </w:r>
      <w:r>
        <w:tab/>
        <w:t>the charge, per water supply connection, is the charge set out in the Table in item 2 according to the relevant meter size.</w:t>
      </w:r>
    </w:p>
    <w:p>
      <w:pPr>
        <w:pStyle w:val="ySubsection"/>
      </w:pPr>
      <w:r>
        <w:tab/>
        <w:t>(4)</w:t>
      </w:r>
      <w:r>
        <w:tab/>
        <w:t>If a connection to which sub</w:t>
      </w:r>
      <w:r>
        <w:noBreakHyphen/>
        <w:t>item (3)(b) applies is not metered, the charge must be calculated as if the connection were metered through a 20 mm meter.</w:t>
      </w:r>
    </w:p>
    <w:p>
      <w:pPr>
        <w:pStyle w:val="zyHeading5"/>
      </w:pPr>
      <w:bookmarkStart w:id="147" w:name="_Toc201235710"/>
      <w:bookmarkStart w:id="148" w:name="_Toc201661621"/>
      <w:r>
        <w:lastRenderedPageBreak/>
        <w:t>16.</w:t>
      </w:r>
      <w:r>
        <w:tab/>
        <w:t>Government trading organisations and non</w:t>
      </w:r>
      <w:r>
        <w:noBreakHyphen/>
        <w:t>commercial government property: on</w:t>
      </w:r>
      <w:r>
        <w:noBreakHyphen/>
        <w:t>supply to lessees or ships</w:t>
      </w:r>
      <w:bookmarkEnd w:id="147"/>
      <w:bookmarkEnd w:id="148"/>
    </w:p>
    <w:p>
      <w:pPr>
        <w:pStyle w:val="ySubsection"/>
      </w:pPr>
      <w:r>
        <w:tab/>
        <w:t>(1)</w:t>
      </w:r>
      <w:r>
        <w:tab/>
        <w:t>This item applies to land held by a government trading organisation, or a public authority that holds non</w:t>
      </w:r>
      <w:r>
        <w:noBreakHyphen/>
        <w:t>commercial government property, if —</w:t>
      </w:r>
    </w:p>
    <w:p>
      <w:pPr>
        <w:pStyle w:val="yIndenta"/>
      </w:pPr>
      <w:r>
        <w:tab/>
        <w:t>(a)</w:t>
      </w:r>
      <w:r>
        <w:tab/>
        <w:t>the land is connected to the water supply works of the Water Corporation; and</w:t>
      </w:r>
    </w:p>
    <w:p>
      <w:pPr>
        <w:pStyle w:val="yIndenta"/>
      </w:pPr>
      <w:r>
        <w:tab/>
        <w:t>(b)</w:t>
      </w:r>
      <w:r>
        <w:tab/>
        <w:t>a meter is connected to the property water supply connection with which the Water Corporation supplies water to the land; and</w:t>
      </w:r>
    </w:p>
    <w:p>
      <w:pPr>
        <w:pStyle w:val="yIndenta"/>
      </w:pPr>
      <w:r>
        <w:tab/>
        <w:t>(c)</w:t>
      </w:r>
      <w:r>
        <w:tab/>
        <w:t>at least some of the water supplied through the meter referred to in paragraph (b) is supplied, through a meter, to 1 or more lessees of any of the land or to ships in port.</w:t>
      </w:r>
    </w:p>
    <w:p>
      <w:pPr>
        <w:pStyle w:val="ySubsection"/>
      </w:pPr>
      <w:r>
        <w:tab/>
        <w:t>(2)</w:t>
      </w:r>
      <w:r>
        <w:tab/>
        <w:t>For land to which this item applies, the charge for the supply of water referred to in sub</w:t>
      </w:r>
      <w:r>
        <w:noBreakHyphen/>
        <w:t>item (1)(b) is reduced by the charge set out in the Table in item 2 for a meter of the size that would be required to supply, in aggregate, water as described in sub</w:t>
      </w:r>
      <w:r>
        <w:noBreakHyphen/>
        <w:t>item (1)(c).</w:t>
      </w:r>
    </w:p>
    <w:p>
      <w:pPr>
        <w:pStyle w:val="ySubsection"/>
      </w:pPr>
      <w:r>
        <w:tab/>
        <w:t>(3)</w:t>
      </w:r>
      <w:r>
        <w:tab/>
        <w:t>This item does not apply if the meter referred to in sub</w:t>
      </w:r>
      <w:r>
        <w:noBreakHyphen/>
        <w:t>item (1)(b) would be the same size whether or not the organisation or authority supplied water as described in sub</w:t>
      </w:r>
      <w:r>
        <w:noBreakHyphen/>
        <w:t>item (1)(c).</w:t>
      </w:r>
    </w:p>
    <w:p>
      <w:pPr>
        <w:pStyle w:val="zyHeading4"/>
      </w:pPr>
      <w:bookmarkStart w:id="149" w:name="_Toc201235711"/>
      <w:bookmarkStart w:id="150" w:name="_Toc201235962"/>
      <w:bookmarkStart w:id="151" w:name="_Toc201236118"/>
      <w:bookmarkStart w:id="152" w:name="_Toc201661622"/>
      <w:r>
        <w:t>Subdivision 3 — Other service charges</w:t>
      </w:r>
      <w:bookmarkEnd w:id="149"/>
      <w:bookmarkEnd w:id="150"/>
      <w:bookmarkEnd w:id="151"/>
      <w:bookmarkEnd w:id="152"/>
    </w:p>
    <w:p>
      <w:pPr>
        <w:pStyle w:val="zyHeading5"/>
      </w:pPr>
      <w:bookmarkStart w:id="153" w:name="_Toc201235712"/>
      <w:bookmarkStart w:id="154" w:name="_Toc201661623"/>
      <w:r>
        <w:t>17.</w:t>
      </w:r>
      <w:r>
        <w:tab/>
        <w:t>Farmland</w:t>
      </w:r>
      <w:bookmarkEnd w:id="153"/>
      <w:bookmarkEnd w:id="154"/>
    </w:p>
    <w:p>
      <w:pPr>
        <w:pStyle w:val="ySubsection"/>
        <w:tabs>
          <w:tab w:val="right" w:leader="dot" w:pos="6804"/>
        </w:tabs>
      </w:pPr>
      <w:r>
        <w:tab/>
      </w:r>
      <w:r>
        <w:tab/>
        <w:t>For each water supply connection provided</w:t>
      </w:r>
      <w:r>
        <w:br/>
        <w:t xml:space="preserve">on land that is classified as farmland, </w:t>
      </w:r>
      <w:r>
        <w:br/>
        <w:t xml:space="preserve">the charge is </w:t>
      </w:r>
      <w:r>
        <w:tab/>
        <w:t>$315.50</w:t>
      </w:r>
    </w:p>
    <w:p>
      <w:pPr>
        <w:pStyle w:val="zyHeading5"/>
      </w:pPr>
      <w:bookmarkStart w:id="155" w:name="_Toc201235713"/>
      <w:bookmarkStart w:id="156" w:name="_Toc201661624"/>
      <w:r>
        <w:t>18.</w:t>
      </w:r>
      <w:r>
        <w:tab/>
        <w:t>Stock</w:t>
      </w:r>
      <w:bookmarkEnd w:id="155"/>
      <w:bookmarkEnd w:id="156"/>
    </w:p>
    <w:p>
      <w:pPr>
        <w:pStyle w:val="ySubsection"/>
        <w:tabs>
          <w:tab w:val="right" w:leader="dot" w:pos="6804"/>
        </w:tabs>
      </w:pPr>
      <w:r>
        <w:tab/>
      </w:r>
      <w:r>
        <w:tab/>
        <w:t xml:space="preserve">For each water supply connection provided </w:t>
      </w:r>
      <w:r>
        <w:br/>
        <w:t xml:space="preserve">for the purpose of watering stock on land that </w:t>
      </w:r>
      <w:r>
        <w:br/>
        <w:t xml:space="preserve">is not classified as farmland, the charge is </w:t>
      </w:r>
      <w:r>
        <w:tab/>
        <w:t>$315.50</w:t>
      </w:r>
    </w:p>
    <w:p>
      <w:pPr>
        <w:pStyle w:val="zyHeading5"/>
      </w:pPr>
      <w:bookmarkStart w:id="157" w:name="_Toc201235714"/>
      <w:bookmarkStart w:id="158" w:name="_Toc201661625"/>
      <w:r>
        <w:lastRenderedPageBreak/>
        <w:t>19.</w:t>
      </w:r>
      <w:r>
        <w:tab/>
        <w:t>Shipping</w:t>
      </w:r>
      <w:bookmarkEnd w:id="157"/>
      <w:bookmarkEnd w:id="158"/>
    </w:p>
    <w:p>
      <w:pPr>
        <w:pStyle w:val="ySubsection"/>
      </w:pPr>
      <w:r>
        <w:tab/>
      </w:r>
      <w:r>
        <w:tab/>
        <w:t>For each water supply connection provided for the purpose of water being taken on board any ship in a port, the charge is the charge set out in the Table in item 2 according to the relevant meter size.</w:t>
      </w:r>
    </w:p>
    <w:p>
      <w:pPr>
        <w:pStyle w:val="zyHeading5"/>
      </w:pPr>
      <w:bookmarkStart w:id="159" w:name="_Toc201235715"/>
      <w:bookmarkStart w:id="160" w:name="_Toc201661626"/>
      <w:r>
        <w:t>20.</w:t>
      </w:r>
      <w:r>
        <w:tab/>
        <w:t>Local government standpipes</w:t>
      </w:r>
      <w:bookmarkEnd w:id="159"/>
      <w:bookmarkEnd w:id="160"/>
    </w:p>
    <w:p>
      <w:pPr>
        <w:pStyle w:val="ySubsection"/>
      </w:pPr>
      <w:r>
        <w:tab/>
      </w:r>
      <w:r>
        <w:tab/>
        <w:t xml:space="preserve">For each local government standpipe, the charge is — </w:t>
      </w:r>
    </w:p>
    <w:p>
      <w:pPr>
        <w:pStyle w:val="yIndenta"/>
      </w:pPr>
      <w:r>
        <w:tab/>
        <w:t>(a)</w:t>
      </w:r>
      <w:r>
        <w:tab/>
        <w:t>if the standpipe is used solely for local government works and purposes, the discounted charge set out in the Table; and</w:t>
      </w:r>
    </w:p>
    <w:p>
      <w:pPr>
        <w:pStyle w:val="yIndenta"/>
        <w:tabs>
          <w:tab w:val="right" w:leader="dot" w:pos="6804"/>
        </w:tabs>
      </w:pPr>
      <w:r>
        <w:tab/>
        <w:t>(b)</w:t>
      </w:r>
      <w:r>
        <w:tab/>
        <w:t xml:space="preserve">in any other case </w:t>
      </w:r>
      <w:r>
        <w:tab/>
        <w:t>$315.50</w:t>
      </w:r>
    </w:p>
    <w:p>
      <w:pPr>
        <w:pStyle w:val="yTHeadingNAm"/>
      </w:pPr>
      <w:r>
        <w:t>Table of charge and discount</w:t>
      </w:r>
    </w:p>
    <w:tbl>
      <w:tblPr>
        <w:tblW w:w="3687" w:type="dxa"/>
        <w:tblInd w:w="1701" w:type="dxa"/>
        <w:tblLayout w:type="fixed"/>
        <w:tblLook w:val="0000" w:firstRow="0" w:lastRow="0" w:firstColumn="0" w:lastColumn="0" w:noHBand="0" w:noVBand="0"/>
      </w:tblPr>
      <w:tblGrid>
        <w:gridCol w:w="1134"/>
        <w:gridCol w:w="1136"/>
        <w:gridCol w:w="1417"/>
      </w:tblGrid>
      <w:tr>
        <w:trPr>
          <w:cantSplit/>
          <w:tblHeader/>
        </w:trPr>
        <w:tc>
          <w:tcPr>
            <w:tcW w:w="1134" w:type="dxa"/>
            <w:tcBorders>
              <w:top w:val="single" w:sz="4" w:space="0" w:color="auto"/>
              <w:bottom w:val="single" w:sz="4" w:space="0" w:color="auto"/>
            </w:tcBorders>
            <w:noWrap/>
            <w:vAlign w:val="center"/>
          </w:tcPr>
          <w:p>
            <w:pPr>
              <w:pStyle w:val="yTableNAm"/>
              <w:jc w:val="center"/>
            </w:pPr>
            <w:r>
              <w:rPr>
                <w:b/>
              </w:rPr>
              <w:t>Charge</w:t>
            </w:r>
            <w:r>
              <w:rPr>
                <w:b/>
              </w:rPr>
              <w:br/>
            </w:r>
            <w:r>
              <w:rPr>
                <w:b/>
              </w:rPr>
              <w:br/>
              <w:t>$</w:t>
            </w:r>
          </w:p>
        </w:tc>
        <w:tc>
          <w:tcPr>
            <w:tcW w:w="1136" w:type="dxa"/>
            <w:tcBorders>
              <w:top w:val="single" w:sz="4" w:space="0" w:color="auto"/>
              <w:bottom w:val="single" w:sz="4" w:space="0" w:color="auto"/>
            </w:tcBorders>
            <w:noWrap/>
            <w:vAlign w:val="center"/>
          </w:tcPr>
          <w:p>
            <w:pPr>
              <w:pStyle w:val="yTableNAm"/>
              <w:jc w:val="center"/>
            </w:pPr>
            <w:r>
              <w:rPr>
                <w:b/>
                <w:szCs w:val="22"/>
              </w:rPr>
              <w:t>Discount</w:t>
            </w:r>
            <w:r>
              <w:rPr>
                <w:b/>
                <w:szCs w:val="22"/>
              </w:rPr>
              <w:br/>
            </w:r>
            <w:r>
              <w:rPr>
                <w:b/>
                <w:szCs w:val="22"/>
              </w:rPr>
              <w:br/>
              <w:t>$</w:t>
            </w:r>
          </w:p>
        </w:tc>
        <w:tc>
          <w:tcPr>
            <w:tcW w:w="1417" w:type="dxa"/>
            <w:tcBorders>
              <w:top w:val="single" w:sz="4" w:space="0" w:color="auto"/>
              <w:bottom w:val="single" w:sz="4" w:space="0" w:color="auto"/>
            </w:tcBorders>
            <w:noWrap/>
            <w:vAlign w:val="center"/>
          </w:tcPr>
          <w:p>
            <w:pPr>
              <w:pStyle w:val="yTableNAm"/>
              <w:jc w:val="center"/>
            </w:pPr>
            <w:r>
              <w:rPr>
                <w:b/>
                <w:szCs w:val="22"/>
              </w:rPr>
              <w:t>Discounted charge</w:t>
            </w:r>
            <w:r>
              <w:rPr>
                <w:b/>
                <w:szCs w:val="22"/>
              </w:rPr>
              <w:br/>
              <w:t>$</w:t>
            </w:r>
          </w:p>
        </w:tc>
      </w:tr>
      <w:tr>
        <w:trPr>
          <w:cantSplit/>
        </w:trPr>
        <w:tc>
          <w:tcPr>
            <w:tcW w:w="1134" w:type="dxa"/>
            <w:tcBorders>
              <w:bottom w:val="single" w:sz="4" w:space="0" w:color="auto"/>
            </w:tcBorders>
            <w:noWrap/>
          </w:tcPr>
          <w:p>
            <w:pPr>
              <w:pStyle w:val="yTableNAm"/>
              <w:jc w:val="center"/>
            </w:pPr>
            <w:r>
              <w:t>315.50</w:t>
            </w:r>
          </w:p>
        </w:tc>
        <w:tc>
          <w:tcPr>
            <w:tcW w:w="1136" w:type="dxa"/>
            <w:tcBorders>
              <w:bottom w:val="single" w:sz="4" w:space="0" w:color="auto"/>
            </w:tcBorders>
            <w:noWrap/>
          </w:tcPr>
          <w:p>
            <w:pPr>
              <w:pStyle w:val="yTableNAm"/>
              <w:jc w:val="center"/>
            </w:pPr>
            <w:r>
              <w:t>315.50</w:t>
            </w:r>
          </w:p>
        </w:tc>
        <w:tc>
          <w:tcPr>
            <w:tcW w:w="1417" w:type="dxa"/>
            <w:tcBorders>
              <w:bottom w:val="single" w:sz="4" w:space="0" w:color="auto"/>
            </w:tcBorders>
            <w:noWrap/>
            <w:vAlign w:val="bottom"/>
          </w:tcPr>
          <w:p>
            <w:pPr>
              <w:pStyle w:val="yTableNAm"/>
              <w:jc w:val="center"/>
            </w:pPr>
            <w:r>
              <w:t>0.00</w:t>
            </w:r>
          </w:p>
        </w:tc>
      </w:tr>
    </w:tbl>
    <w:p>
      <w:pPr>
        <w:pStyle w:val="zyHeading5"/>
      </w:pPr>
      <w:bookmarkStart w:id="161" w:name="_Toc201235716"/>
      <w:bookmarkStart w:id="162" w:name="_Toc201661627"/>
      <w:r>
        <w:t>21.</w:t>
      </w:r>
      <w:r>
        <w:tab/>
        <w:t>Fire service connections</w:t>
      </w:r>
      <w:bookmarkEnd w:id="161"/>
      <w:bookmarkEnd w:id="162"/>
    </w:p>
    <w:p>
      <w:pPr>
        <w:pStyle w:val="ySubsection"/>
        <w:tabs>
          <w:tab w:val="right" w:leader="dot" w:pos="6804"/>
        </w:tabs>
      </w:pPr>
      <w:r>
        <w:tab/>
      </w:r>
      <w:r>
        <w:tab/>
        <w:t xml:space="preserve">For a fire service connection, the charge is </w:t>
      </w:r>
      <w:r>
        <w:tab/>
        <w:t>$315.50</w:t>
      </w:r>
    </w:p>
    <w:p>
      <w:pPr>
        <w:pStyle w:val="zyHeading3"/>
      </w:pPr>
      <w:bookmarkStart w:id="163" w:name="_Toc201235717"/>
      <w:bookmarkStart w:id="164" w:name="_Toc201235968"/>
      <w:bookmarkStart w:id="165" w:name="_Toc201236124"/>
      <w:bookmarkStart w:id="166" w:name="_Toc201661628"/>
      <w:r>
        <w:t>Division 2 — Consumption charges</w:t>
      </w:r>
      <w:bookmarkEnd w:id="163"/>
      <w:bookmarkEnd w:id="164"/>
      <w:bookmarkEnd w:id="165"/>
      <w:bookmarkEnd w:id="166"/>
    </w:p>
    <w:p>
      <w:pPr>
        <w:pStyle w:val="zyHeading4"/>
      </w:pPr>
      <w:bookmarkStart w:id="167" w:name="_Toc201235718"/>
      <w:bookmarkStart w:id="168" w:name="_Toc201235969"/>
      <w:bookmarkStart w:id="169" w:name="_Toc201236125"/>
      <w:bookmarkStart w:id="170" w:name="_Toc201661629"/>
      <w:r>
        <w:t>Subdivision 1 — Preliminary</w:t>
      </w:r>
      <w:bookmarkEnd w:id="167"/>
      <w:bookmarkEnd w:id="168"/>
      <w:bookmarkEnd w:id="169"/>
      <w:bookmarkEnd w:id="170"/>
    </w:p>
    <w:p>
      <w:pPr>
        <w:pStyle w:val="zyHeading5"/>
      </w:pPr>
      <w:bookmarkStart w:id="171" w:name="_Toc201235719"/>
      <w:bookmarkStart w:id="172" w:name="_Toc201661630"/>
      <w:r>
        <w:t>22.</w:t>
      </w:r>
      <w:r>
        <w:tab/>
        <w:t>Consumption charges for 2025/26 and subsequent years</w:t>
      </w:r>
      <w:bookmarkEnd w:id="171"/>
      <w:bookmarkEnd w:id="172"/>
    </w:p>
    <w:p>
      <w:pPr>
        <w:pStyle w:val="ySubsection"/>
      </w:pPr>
      <w:r>
        <w:tab/>
        <w:t>(1)</w:t>
      </w:r>
      <w:r>
        <w:tab/>
        <w:t>The charges set out in this Division apply for water supplied in the 2025/26 financial year and each subsequent year.</w:t>
      </w:r>
    </w:p>
    <w:p>
      <w:pPr>
        <w:pStyle w:val="ySubsection"/>
      </w:pPr>
      <w:r>
        <w:tab/>
        <w:t>(2)</w:t>
      </w:r>
      <w:r>
        <w:tab/>
        <w:t>Volumetric ranges in an item of this Division have effect by reference to the volume of water supplied in the current consumption year.</w:t>
      </w:r>
    </w:p>
    <w:p>
      <w:pPr>
        <w:pStyle w:val="zyHeading5"/>
      </w:pPr>
      <w:bookmarkStart w:id="173" w:name="_Toc201235720"/>
      <w:bookmarkStart w:id="174" w:name="_Toc201661631"/>
      <w:r>
        <w:t>23.</w:t>
      </w:r>
      <w:r>
        <w:tab/>
        <w:t>Residential or non</w:t>
      </w:r>
      <w:r>
        <w:noBreakHyphen/>
        <w:t>residential class of town or area</w:t>
      </w:r>
      <w:bookmarkEnd w:id="173"/>
      <w:bookmarkEnd w:id="174"/>
    </w:p>
    <w:p>
      <w:pPr>
        <w:pStyle w:val="ySubsection"/>
      </w:pPr>
      <w:r>
        <w:tab/>
      </w:r>
      <w:r>
        <w:tab/>
        <w:t>In this Schedule a reference to the residential or non</w:t>
      </w:r>
      <w:r>
        <w:noBreakHyphen/>
        <w:t>residential class of a town or area is a reference to the residential or non</w:t>
      </w:r>
      <w:r>
        <w:noBreakHyphen/>
        <w:t>residential class of the town or area as set out in Schedule 10 for the current consumption year and Schedule 11 for the previous consumption year.</w:t>
      </w:r>
    </w:p>
    <w:p>
      <w:pPr>
        <w:pStyle w:val="zyHeading5"/>
      </w:pPr>
      <w:bookmarkStart w:id="175" w:name="_Toc201235721"/>
      <w:bookmarkStart w:id="176" w:name="_Toc201661632"/>
      <w:r>
        <w:lastRenderedPageBreak/>
        <w:t>24.</w:t>
      </w:r>
      <w:r>
        <w:tab/>
        <w:t>Table of class</w:t>
      </w:r>
      <w:r>
        <w:noBreakHyphen/>
        <w:t>based charges</w:t>
      </w:r>
      <w:bookmarkEnd w:id="175"/>
      <w:bookmarkEnd w:id="176"/>
    </w:p>
    <w:p>
      <w:pPr>
        <w:pStyle w:val="ySubsection"/>
      </w:pPr>
      <w:r>
        <w:tab/>
      </w:r>
      <w:r>
        <w:tab/>
        <w:t>For the purposes of this Division, class</w:t>
      </w:r>
      <w:r>
        <w:noBreakHyphen/>
        <w:t>based charges are set out in the Table.</w:t>
      </w:r>
    </w:p>
    <w:p>
      <w:pPr>
        <w:pStyle w:val="yTHeadingNAm"/>
      </w:pPr>
      <w:r>
        <w:t>Table of class</w:t>
      </w:r>
      <w:r>
        <w:noBreakHyphen/>
        <w:t>based charges</w:t>
      </w:r>
    </w:p>
    <w:tbl>
      <w:tblPr>
        <w:tblW w:w="4395" w:type="dxa"/>
        <w:tblInd w:w="1418" w:type="dxa"/>
        <w:tblLayout w:type="fixed"/>
        <w:tblCellMar>
          <w:left w:w="28" w:type="dxa"/>
          <w:right w:w="28" w:type="dxa"/>
        </w:tblCellMar>
        <w:tblLook w:val="0000" w:firstRow="0" w:lastRow="0" w:firstColumn="0" w:lastColumn="0" w:noHBand="0" w:noVBand="0"/>
      </w:tblPr>
      <w:tblGrid>
        <w:gridCol w:w="2197"/>
        <w:gridCol w:w="2198"/>
      </w:tblGrid>
      <w:tr>
        <w:trPr>
          <w:cantSplit/>
          <w:trHeight w:val="217"/>
          <w:tblHeader/>
        </w:trPr>
        <w:tc>
          <w:tcPr>
            <w:tcW w:w="2197" w:type="dxa"/>
            <w:tcBorders>
              <w:top w:val="single" w:sz="4" w:space="0" w:color="auto"/>
              <w:bottom w:val="single" w:sz="4" w:space="0" w:color="auto"/>
            </w:tcBorders>
            <w:noWrap/>
            <w:vAlign w:val="center"/>
          </w:tcPr>
          <w:p>
            <w:pPr>
              <w:pStyle w:val="yTableNAm"/>
              <w:jc w:val="center"/>
            </w:pPr>
            <w:r>
              <w:rPr>
                <w:b/>
              </w:rPr>
              <w:t>Class</w:t>
            </w:r>
          </w:p>
        </w:tc>
        <w:tc>
          <w:tcPr>
            <w:tcW w:w="2198" w:type="dxa"/>
            <w:tcBorders>
              <w:top w:val="single" w:sz="4" w:space="0" w:color="auto"/>
              <w:bottom w:val="single" w:sz="4" w:space="0" w:color="auto"/>
            </w:tcBorders>
            <w:noWrap/>
          </w:tcPr>
          <w:p>
            <w:pPr>
              <w:pStyle w:val="yTableNAm"/>
              <w:jc w:val="center"/>
            </w:pPr>
            <w:r>
              <w:rPr>
                <w:b/>
              </w:rPr>
              <w:t>Charge (cents)</w:t>
            </w:r>
          </w:p>
        </w:tc>
      </w:tr>
      <w:tr>
        <w:trPr>
          <w:cantSplit/>
        </w:trPr>
        <w:tc>
          <w:tcPr>
            <w:tcW w:w="2197" w:type="dxa"/>
            <w:tcBorders>
              <w:top w:val="single" w:sz="4" w:space="0" w:color="auto"/>
            </w:tcBorders>
            <w:noWrap/>
            <w:vAlign w:val="center"/>
          </w:tcPr>
          <w:p>
            <w:pPr>
              <w:pStyle w:val="yTableNAm"/>
              <w:jc w:val="center"/>
            </w:pPr>
            <w:r>
              <w:t>1</w:t>
            </w:r>
          </w:p>
        </w:tc>
        <w:tc>
          <w:tcPr>
            <w:tcW w:w="2198" w:type="dxa"/>
            <w:tcBorders>
              <w:top w:val="single" w:sz="4" w:space="0" w:color="auto"/>
            </w:tcBorders>
            <w:noWrap/>
          </w:tcPr>
          <w:p>
            <w:pPr>
              <w:pStyle w:val="yTableNAm"/>
              <w:jc w:val="center"/>
            </w:pPr>
            <w:r>
              <w:t>301.2</w:t>
            </w:r>
          </w:p>
        </w:tc>
      </w:tr>
      <w:tr>
        <w:trPr>
          <w:cantSplit/>
        </w:trPr>
        <w:tc>
          <w:tcPr>
            <w:tcW w:w="2197" w:type="dxa"/>
            <w:noWrap/>
            <w:vAlign w:val="center"/>
          </w:tcPr>
          <w:p>
            <w:pPr>
              <w:pStyle w:val="yTableNAm"/>
              <w:jc w:val="center"/>
            </w:pPr>
            <w:r>
              <w:t>2</w:t>
            </w:r>
          </w:p>
        </w:tc>
        <w:tc>
          <w:tcPr>
            <w:tcW w:w="2198" w:type="dxa"/>
            <w:noWrap/>
          </w:tcPr>
          <w:p>
            <w:pPr>
              <w:pStyle w:val="yTableNAm"/>
              <w:jc w:val="center"/>
            </w:pPr>
            <w:r>
              <w:t>328.2</w:t>
            </w:r>
          </w:p>
        </w:tc>
      </w:tr>
      <w:tr>
        <w:trPr>
          <w:cantSplit/>
        </w:trPr>
        <w:tc>
          <w:tcPr>
            <w:tcW w:w="2197" w:type="dxa"/>
            <w:noWrap/>
            <w:vAlign w:val="center"/>
          </w:tcPr>
          <w:p>
            <w:pPr>
              <w:pStyle w:val="yTableNAm"/>
              <w:jc w:val="center"/>
            </w:pPr>
            <w:r>
              <w:t>3</w:t>
            </w:r>
          </w:p>
        </w:tc>
        <w:tc>
          <w:tcPr>
            <w:tcW w:w="2198" w:type="dxa"/>
            <w:noWrap/>
          </w:tcPr>
          <w:p>
            <w:pPr>
              <w:pStyle w:val="yTableNAm"/>
              <w:jc w:val="center"/>
            </w:pPr>
            <w:r>
              <w:t>357.0</w:t>
            </w:r>
          </w:p>
        </w:tc>
      </w:tr>
      <w:tr>
        <w:trPr>
          <w:cantSplit/>
        </w:trPr>
        <w:tc>
          <w:tcPr>
            <w:tcW w:w="2197" w:type="dxa"/>
            <w:noWrap/>
            <w:vAlign w:val="center"/>
          </w:tcPr>
          <w:p>
            <w:pPr>
              <w:pStyle w:val="yTableNAm"/>
              <w:jc w:val="center"/>
            </w:pPr>
            <w:r>
              <w:t>4</w:t>
            </w:r>
          </w:p>
        </w:tc>
        <w:tc>
          <w:tcPr>
            <w:tcW w:w="2198" w:type="dxa"/>
            <w:noWrap/>
          </w:tcPr>
          <w:p>
            <w:pPr>
              <w:pStyle w:val="yTableNAm"/>
              <w:jc w:val="center"/>
            </w:pPr>
            <w:r>
              <w:t>389.0</w:t>
            </w:r>
          </w:p>
        </w:tc>
      </w:tr>
      <w:tr>
        <w:trPr>
          <w:cantSplit/>
        </w:trPr>
        <w:tc>
          <w:tcPr>
            <w:tcW w:w="2197" w:type="dxa"/>
            <w:noWrap/>
            <w:vAlign w:val="center"/>
          </w:tcPr>
          <w:p>
            <w:pPr>
              <w:pStyle w:val="yTableNAm"/>
              <w:jc w:val="center"/>
            </w:pPr>
            <w:r>
              <w:t>5</w:t>
            </w:r>
          </w:p>
        </w:tc>
        <w:tc>
          <w:tcPr>
            <w:tcW w:w="2198" w:type="dxa"/>
            <w:noWrap/>
          </w:tcPr>
          <w:p>
            <w:pPr>
              <w:pStyle w:val="yTableNAm"/>
              <w:jc w:val="center"/>
            </w:pPr>
            <w:r>
              <w:t>423.6</w:t>
            </w:r>
          </w:p>
        </w:tc>
      </w:tr>
      <w:tr>
        <w:trPr>
          <w:cantSplit/>
        </w:trPr>
        <w:tc>
          <w:tcPr>
            <w:tcW w:w="2197" w:type="dxa"/>
            <w:noWrap/>
            <w:vAlign w:val="center"/>
          </w:tcPr>
          <w:p>
            <w:pPr>
              <w:pStyle w:val="yTableNAm"/>
              <w:jc w:val="center"/>
            </w:pPr>
            <w:r>
              <w:t>6</w:t>
            </w:r>
          </w:p>
        </w:tc>
        <w:tc>
          <w:tcPr>
            <w:tcW w:w="2198" w:type="dxa"/>
            <w:noWrap/>
          </w:tcPr>
          <w:p>
            <w:pPr>
              <w:pStyle w:val="yTableNAm"/>
              <w:jc w:val="center"/>
            </w:pPr>
            <w:r>
              <w:t>461.1</w:t>
            </w:r>
          </w:p>
        </w:tc>
      </w:tr>
      <w:tr>
        <w:trPr>
          <w:cantSplit/>
        </w:trPr>
        <w:tc>
          <w:tcPr>
            <w:tcW w:w="2197" w:type="dxa"/>
            <w:noWrap/>
            <w:vAlign w:val="center"/>
          </w:tcPr>
          <w:p>
            <w:pPr>
              <w:pStyle w:val="yTableNAm"/>
              <w:jc w:val="center"/>
            </w:pPr>
            <w:r>
              <w:t>7</w:t>
            </w:r>
          </w:p>
        </w:tc>
        <w:tc>
          <w:tcPr>
            <w:tcW w:w="2198" w:type="dxa"/>
            <w:noWrap/>
          </w:tcPr>
          <w:p>
            <w:pPr>
              <w:pStyle w:val="yTableNAm"/>
              <w:jc w:val="center"/>
            </w:pPr>
            <w:r>
              <w:t>502.5</w:t>
            </w:r>
          </w:p>
        </w:tc>
      </w:tr>
      <w:tr>
        <w:trPr>
          <w:cantSplit/>
        </w:trPr>
        <w:tc>
          <w:tcPr>
            <w:tcW w:w="2197" w:type="dxa"/>
            <w:noWrap/>
            <w:vAlign w:val="center"/>
          </w:tcPr>
          <w:p>
            <w:pPr>
              <w:pStyle w:val="yTableNAm"/>
              <w:jc w:val="center"/>
            </w:pPr>
            <w:r>
              <w:t>8</w:t>
            </w:r>
          </w:p>
        </w:tc>
        <w:tc>
          <w:tcPr>
            <w:tcW w:w="2198" w:type="dxa"/>
            <w:noWrap/>
          </w:tcPr>
          <w:p>
            <w:pPr>
              <w:pStyle w:val="yTableNAm"/>
              <w:jc w:val="center"/>
            </w:pPr>
            <w:r>
              <w:t>546.9</w:t>
            </w:r>
          </w:p>
        </w:tc>
      </w:tr>
      <w:tr>
        <w:trPr>
          <w:cantSplit/>
        </w:trPr>
        <w:tc>
          <w:tcPr>
            <w:tcW w:w="2197" w:type="dxa"/>
            <w:noWrap/>
            <w:vAlign w:val="center"/>
          </w:tcPr>
          <w:p>
            <w:pPr>
              <w:pStyle w:val="yTableNAm"/>
              <w:jc w:val="center"/>
            </w:pPr>
            <w:r>
              <w:t>9</w:t>
            </w:r>
          </w:p>
        </w:tc>
        <w:tc>
          <w:tcPr>
            <w:tcW w:w="2198" w:type="dxa"/>
            <w:noWrap/>
          </w:tcPr>
          <w:p>
            <w:pPr>
              <w:pStyle w:val="yTableNAm"/>
              <w:jc w:val="center"/>
            </w:pPr>
            <w:r>
              <w:t>595.6</w:t>
            </w:r>
          </w:p>
        </w:tc>
      </w:tr>
      <w:tr>
        <w:trPr>
          <w:cantSplit/>
        </w:trPr>
        <w:tc>
          <w:tcPr>
            <w:tcW w:w="2197" w:type="dxa"/>
            <w:noWrap/>
            <w:vAlign w:val="center"/>
          </w:tcPr>
          <w:p>
            <w:pPr>
              <w:pStyle w:val="yTableNAm"/>
              <w:jc w:val="center"/>
            </w:pPr>
            <w:r>
              <w:t>10</w:t>
            </w:r>
          </w:p>
        </w:tc>
        <w:tc>
          <w:tcPr>
            <w:tcW w:w="2198" w:type="dxa"/>
            <w:noWrap/>
          </w:tcPr>
          <w:p>
            <w:pPr>
              <w:pStyle w:val="yTableNAm"/>
              <w:jc w:val="center"/>
            </w:pPr>
            <w:r>
              <w:t>648.6</w:t>
            </w:r>
          </w:p>
        </w:tc>
      </w:tr>
      <w:tr>
        <w:trPr>
          <w:cantSplit/>
        </w:trPr>
        <w:tc>
          <w:tcPr>
            <w:tcW w:w="2197" w:type="dxa"/>
            <w:noWrap/>
            <w:vAlign w:val="center"/>
          </w:tcPr>
          <w:p>
            <w:pPr>
              <w:pStyle w:val="yTableNAm"/>
              <w:jc w:val="center"/>
            </w:pPr>
            <w:r>
              <w:t>11</w:t>
            </w:r>
          </w:p>
        </w:tc>
        <w:tc>
          <w:tcPr>
            <w:tcW w:w="2198" w:type="dxa"/>
            <w:noWrap/>
          </w:tcPr>
          <w:p>
            <w:pPr>
              <w:pStyle w:val="yTableNAm"/>
              <w:jc w:val="center"/>
            </w:pPr>
            <w:r>
              <w:t>706.1</w:t>
            </w:r>
          </w:p>
        </w:tc>
      </w:tr>
      <w:tr>
        <w:trPr>
          <w:cantSplit/>
        </w:trPr>
        <w:tc>
          <w:tcPr>
            <w:tcW w:w="2197" w:type="dxa"/>
            <w:noWrap/>
            <w:vAlign w:val="center"/>
          </w:tcPr>
          <w:p>
            <w:pPr>
              <w:pStyle w:val="yTableNAm"/>
              <w:jc w:val="center"/>
            </w:pPr>
            <w:r>
              <w:t>12</w:t>
            </w:r>
          </w:p>
        </w:tc>
        <w:tc>
          <w:tcPr>
            <w:tcW w:w="2198" w:type="dxa"/>
            <w:noWrap/>
          </w:tcPr>
          <w:p>
            <w:pPr>
              <w:pStyle w:val="yTableNAm"/>
              <w:jc w:val="center"/>
            </w:pPr>
            <w:r>
              <w:t>769.1</w:t>
            </w:r>
          </w:p>
        </w:tc>
      </w:tr>
      <w:tr>
        <w:trPr>
          <w:cantSplit/>
        </w:trPr>
        <w:tc>
          <w:tcPr>
            <w:tcW w:w="2197" w:type="dxa"/>
            <w:noWrap/>
            <w:vAlign w:val="center"/>
          </w:tcPr>
          <w:p>
            <w:pPr>
              <w:pStyle w:val="yTableNAm"/>
              <w:jc w:val="center"/>
            </w:pPr>
            <w:r>
              <w:t>13</w:t>
            </w:r>
          </w:p>
        </w:tc>
        <w:tc>
          <w:tcPr>
            <w:tcW w:w="2198" w:type="dxa"/>
            <w:noWrap/>
          </w:tcPr>
          <w:p>
            <w:pPr>
              <w:pStyle w:val="yTableNAm"/>
              <w:jc w:val="center"/>
            </w:pPr>
            <w:r>
              <w:t>837.4</w:t>
            </w:r>
          </w:p>
        </w:tc>
      </w:tr>
      <w:tr>
        <w:trPr>
          <w:cantSplit/>
        </w:trPr>
        <w:tc>
          <w:tcPr>
            <w:tcW w:w="2197" w:type="dxa"/>
            <w:noWrap/>
            <w:vAlign w:val="center"/>
          </w:tcPr>
          <w:p>
            <w:pPr>
              <w:pStyle w:val="yTableNAm"/>
              <w:jc w:val="center"/>
            </w:pPr>
            <w:r>
              <w:t>14</w:t>
            </w:r>
          </w:p>
        </w:tc>
        <w:tc>
          <w:tcPr>
            <w:tcW w:w="2198" w:type="dxa"/>
            <w:noWrap/>
          </w:tcPr>
          <w:p>
            <w:pPr>
              <w:pStyle w:val="yTableNAm"/>
              <w:jc w:val="center"/>
            </w:pPr>
            <w:r>
              <w:t>912.1</w:t>
            </w:r>
          </w:p>
        </w:tc>
      </w:tr>
      <w:tr>
        <w:trPr>
          <w:cantSplit/>
        </w:trPr>
        <w:tc>
          <w:tcPr>
            <w:tcW w:w="2197" w:type="dxa"/>
            <w:tcBorders>
              <w:bottom w:val="single" w:sz="4" w:space="0" w:color="auto"/>
            </w:tcBorders>
            <w:noWrap/>
            <w:vAlign w:val="center"/>
          </w:tcPr>
          <w:p>
            <w:pPr>
              <w:pStyle w:val="yTableNAm"/>
              <w:jc w:val="center"/>
            </w:pPr>
            <w:r>
              <w:t>15</w:t>
            </w:r>
          </w:p>
        </w:tc>
        <w:tc>
          <w:tcPr>
            <w:tcW w:w="2198" w:type="dxa"/>
            <w:tcBorders>
              <w:bottom w:val="single" w:sz="4" w:space="0" w:color="auto"/>
            </w:tcBorders>
            <w:noWrap/>
          </w:tcPr>
          <w:p>
            <w:pPr>
              <w:pStyle w:val="yTableNAm"/>
              <w:jc w:val="center"/>
            </w:pPr>
            <w:r>
              <w:t>992.9</w:t>
            </w:r>
          </w:p>
        </w:tc>
      </w:tr>
    </w:tbl>
    <w:p>
      <w:pPr>
        <w:pStyle w:val="zyHeading4"/>
      </w:pPr>
      <w:bookmarkStart w:id="177" w:name="_Toc201235722"/>
      <w:bookmarkStart w:id="178" w:name="_Toc201235973"/>
      <w:bookmarkStart w:id="179" w:name="_Toc201236129"/>
      <w:bookmarkStart w:id="180" w:name="_Toc201661633"/>
      <w:r>
        <w:t>Subdivision 2 — Consumption charges that apply to land</w:t>
      </w:r>
      <w:bookmarkEnd w:id="177"/>
      <w:bookmarkEnd w:id="178"/>
      <w:bookmarkEnd w:id="179"/>
      <w:bookmarkEnd w:id="180"/>
    </w:p>
    <w:p>
      <w:pPr>
        <w:pStyle w:val="zyHeading5"/>
      </w:pPr>
      <w:bookmarkStart w:id="181" w:name="_Toc201235723"/>
      <w:bookmarkStart w:id="182" w:name="_Toc201661634"/>
      <w:r>
        <w:t>25.</w:t>
      </w:r>
      <w:r>
        <w:tab/>
        <w:t>Metropolitan residential and semi</w:t>
      </w:r>
      <w:r>
        <w:noBreakHyphen/>
        <w:t>rural residential</w:t>
      </w:r>
      <w:bookmarkEnd w:id="181"/>
      <w:bookmarkEnd w:id="182"/>
    </w:p>
    <w:p>
      <w:pPr>
        <w:pStyle w:val="ySubsection"/>
      </w:pPr>
      <w:r>
        <w:tab/>
        <w:t>(1)</w:t>
      </w:r>
      <w:r>
        <w:tab/>
        <w:t xml:space="preserve">For each kilolitre of water supplied to land in the metropolitan area that is — </w:t>
      </w:r>
    </w:p>
    <w:p>
      <w:pPr>
        <w:pStyle w:val="yIndenta"/>
      </w:pPr>
      <w:r>
        <w:tab/>
        <w:t>(a)</w:t>
      </w:r>
      <w:r>
        <w:tab/>
        <w:t>a residential property; or</w:t>
      </w:r>
    </w:p>
    <w:p>
      <w:pPr>
        <w:pStyle w:val="yIndenta"/>
      </w:pPr>
      <w:r>
        <w:tab/>
        <w:t>(b)</w:t>
      </w:r>
      <w:r>
        <w:tab/>
        <w:t>classified as vacant land but held for residential purposes; or</w:t>
      </w:r>
    </w:p>
    <w:p>
      <w:pPr>
        <w:pStyle w:val="yIndenta"/>
        <w:keepNext/>
      </w:pPr>
      <w:r>
        <w:lastRenderedPageBreak/>
        <w:tab/>
        <w:t>(c)</w:t>
      </w:r>
      <w:r>
        <w:tab/>
        <w:t>a semi</w:t>
      </w:r>
      <w:r>
        <w:noBreakHyphen/>
        <w:t>rural residential property,</w:t>
      </w:r>
    </w:p>
    <w:p>
      <w:pPr>
        <w:pStyle w:val="ySubsection"/>
      </w:pPr>
      <w:r>
        <w:tab/>
      </w:r>
      <w:r>
        <w:tab/>
        <w:t xml:space="preserve">the charge is — </w:t>
      </w:r>
    </w:p>
    <w:p>
      <w:pPr>
        <w:pStyle w:val="yMiscellaneousBody"/>
        <w:tabs>
          <w:tab w:val="right" w:leader="dot" w:pos="6804"/>
        </w:tabs>
        <w:ind w:left="1701" w:right="284" w:hanging="1134"/>
      </w:pPr>
      <w:r>
        <w:tab/>
        <w:t xml:space="preserve">up to 150 kL </w:t>
      </w:r>
      <w:r>
        <w:tab/>
        <w:t>205.2 cents</w:t>
      </w:r>
    </w:p>
    <w:p>
      <w:pPr>
        <w:pStyle w:val="yMiscellaneousBody"/>
        <w:tabs>
          <w:tab w:val="right" w:leader="dot" w:pos="6804"/>
        </w:tabs>
        <w:ind w:left="1701" w:right="284" w:hanging="1134"/>
      </w:pPr>
      <w:r>
        <w:tab/>
        <w:t xml:space="preserve">over 150 but not over 500 kL </w:t>
      </w:r>
      <w:r>
        <w:tab/>
        <w:t>273.4 cents</w:t>
      </w:r>
    </w:p>
    <w:p>
      <w:pPr>
        <w:pStyle w:val="yMiscellaneousBody"/>
        <w:tabs>
          <w:tab w:val="right" w:leader="dot" w:pos="6804"/>
        </w:tabs>
        <w:ind w:left="1701" w:right="284" w:hanging="1134"/>
      </w:pPr>
      <w:r>
        <w:tab/>
        <w:t xml:space="preserve">over 500 kL </w:t>
      </w:r>
      <w:r>
        <w:tab/>
        <w:t>511.5 cents</w:t>
      </w:r>
    </w:p>
    <w:p>
      <w:pPr>
        <w:pStyle w:val="ySubsection"/>
      </w:pPr>
      <w:r>
        <w:tab/>
        <w:t>(2)</w:t>
      </w:r>
      <w:r>
        <w:tab/>
        <w:t>The charge under sub</w:t>
      </w:r>
      <w:r>
        <w:noBreakHyphen/>
        <w:t>item (1) does not apply to the supply of water for which a more specific charge is provided in this Subdivision or the supply of water through a garden service connection.</w:t>
      </w:r>
    </w:p>
    <w:p>
      <w:pPr>
        <w:pStyle w:val="zyHeading5"/>
      </w:pPr>
      <w:bookmarkStart w:id="183" w:name="_Toc201235724"/>
      <w:bookmarkStart w:id="184" w:name="_Toc201661635"/>
      <w:r>
        <w:t>26.</w:t>
      </w:r>
      <w:r>
        <w:tab/>
        <w:t>Metropolitan non</w:t>
      </w:r>
      <w:r>
        <w:noBreakHyphen/>
        <w:t>residential</w:t>
      </w:r>
      <w:bookmarkEnd w:id="183"/>
      <w:bookmarkEnd w:id="184"/>
    </w:p>
    <w:p>
      <w:pPr>
        <w:pStyle w:val="ySubsection"/>
      </w:pPr>
      <w:r>
        <w:tab/>
        <w:t>(1)</w:t>
      </w:r>
      <w:r>
        <w:tab/>
        <w:t>For each kilolitre of water supplied to land in the metropolitan area that is neither classified as residential nor classified as vacant land but held for residential purposes, the charge is —</w:t>
      </w:r>
    </w:p>
    <w:p>
      <w:pPr>
        <w:pStyle w:val="yIndenta"/>
      </w:pPr>
      <w:r>
        <w:tab/>
        <w:t>(a)</w:t>
      </w:r>
      <w:r>
        <w:tab/>
        <w:t>if the land is classified as commercial residential —</w:t>
      </w:r>
    </w:p>
    <w:p>
      <w:pPr>
        <w:pStyle w:val="yMiscellaneousBody"/>
        <w:tabs>
          <w:tab w:val="right" w:leader="dot" w:pos="6804"/>
        </w:tabs>
        <w:ind w:left="1984" w:right="284" w:hanging="289"/>
      </w:pPr>
      <w:r>
        <w:t xml:space="preserve">up to 150 kL </w:t>
      </w:r>
      <w:r>
        <w:tab/>
        <w:t>205.2 cents</w:t>
      </w:r>
    </w:p>
    <w:p>
      <w:pPr>
        <w:pStyle w:val="yMiscellaneousBody"/>
        <w:tabs>
          <w:tab w:val="right" w:leader="dot" w:pos="6804"/>
        </w:tabs>
        <w:ind w:left="1984" w:right="284" w:hanging="289"/>
      </w:pPr>
      <w:r>
        <w:t xml:space="preserve">over 150 kL </w:t>
      </w:r>
      <w:r>
        <w:tab/>
        <w:t>292.1 cents</w:t>
      </w:r>
    </w:p>
    <w:p>
      <w:pPr>
        <w:pStyle w:val="yIndenta"/>
        <w:tabs>
          <w:tab w:val="right" w:leader="dot" w:pos="6804"/>
        </w:tabs>
      </w:pPr>
      <w:r>
        <w:tab/>
        <w:t>(b)</w:t>
      </w:r>
      <w:r>
        <w:tab/>
        <w:t xml:space="preserve">if paragraph (a) does not apply </w:t>
      </w:r>
      <w:r>
        <w:tab/>
        <w:t>292.1 </w:t>
      </w:r>
      <w:r>
        <w:rPr>
          <w:spacing w:val="-4"/>
        </w:rPr>
        <w:t>cents</w:t>
      </w:r>
    </w:p>
    <w:p>
      <w:pPr>
        <w:pStyle w:val="ySubsection"/>
      </w:pPr>
      <w:r>
        <w:tab/>
        <w:t>(2)</w:t>
      </w:r>
      <w:r>
        <w:tab/>
        <w:t>A charge under sub</w:t>
      </w:r>
      <w:r>
        <w:noBreakHyphen/>
        <w:t>item (1) does not apply to the supply of water for which a more specific charge is provided in this Subdivision.</w:t>
      </w:r>
    </w:p>
    <w:p>
      <w:pPr>
        <w:pStyle w:val="zyHeading5"/>
      </w:pPr>
      <w:bookmarkStart w:id="185" w:name="_Toc201235725"/>
      <w:bookmarkStart w:id="186" w:name="_Toc201661636"/>
      <w:r>
        <w:t>27.</w:t>
      </w:r>
      <w:r>
        <w:tab/>
        <w:t>Metropolitan non</w:t>
      </w:r>
      <w:r>
        <w:noBreakHyphen/>
        <w:t>residential concessional</w:t>
      </w:r>
      <w:bookmarkEnd w:id="185"/>
      <w:bookmarkEnd w:id="186"/>
    </w:p>
    <w:p>
      <w:pPr>
        <w:pStyle w:val="ySubsection"/>
        <w:tabs>
          <w:tab w:val="right" w:leader="dot" w:pos="6804"/>
        </w:tabs>
      </w:pPr>
      <w:r>
        <w:tab/>
        <w:t>(1)</w:t>
      </w:r>
      <w:r>
        <w:tab/>
        <w:t xml:space="preserve">For each kilolitre of water supplied to </w:t>
      </w:r>
      <w:r>
        <w:br/>
        <w:t xml:space="preserve">concessional land that is in the metropolitan </w:t>
      </w:r>
      <w:r>
        <w:br/>
        <w:t xml:space="preserve">area and is not classified as residential, </w:t>
      </w:r>
      <w:r>
        <w:br/>
        <w:t xml:space="preserve">the charge is </w:t>
      </w:r>
      <w:r>
        <w:tab/>
        <w:t>292.1 cents</w:t>
      </w:r>
    </w:p>
    <w:p>
      <w:pPr>
        <w:pStyle w:val="ySubsection"/>
      </w:pPr>
      <w:r>
        <w:tab/>
        <w:t>(2)</w:t>
      </w:r>
      <w:r>
        <w:tab/>
        <w:t>Sub</w:t>
      </w:r>
      <w:r>
        <w:noBreakHyphen/>
        <w:t>item (1) does not apply if the supply of water is covered by item 37.</w:t>
      </w:r>
    </w:p>
    <w:p>
      <w:pPr>
        <w:pStyle w:val="zyHeading5"/>
      </w:pPr>
      <w:bookmarkStart w:id="187" w:name="_Toc201235726"/>
      <w:bookmarkStart w:id="188" w:name="_Toc201661637"/>
      <w:r>
        <w:t>28.</w:t>
      </w:r>
      <w:r>
        <w:tab/>
        <w:t>Community residential</w:t>
      </w:r>
      <w:bookmarkEnd w:id="187"/>
      <w:bookmarkEnd w:id="188"/>
    </w:p>
    <w:p>
      <w:pPr>
        <w:pStyle w:val="ySubsection"/>
        <w:tabs>
          <w:tab w:val="right" w:leader="dot" w:pos="6804"/>
        </w:tabs>
      </w:pPr>
      <w:r>
        <w:tab/>
      </w:r>
      <w:r>
        <w:tab/>
        <w:t xml:space="preserve">For each kilolitre of water supplied to </w:t>
      </w:r>
      <w:r>
        <w:br/>
        <w:t xml:space="preserve">land that is classified as community </w:t>
      </w:r>
      <w:r>
        <w:br/>
        <w:t xml:space="preserve">residential, the charge is </w:t>
      </w:r>
      <w:r>
        <w:tab/>
        <w:t>102.6 cents</w:t>
      </w:r>
    </w:p>
    <w:p>
      <w:pPr>
        <w:pStyle w:val="zyHeading5"/>
      </w:pPr>
      <w:bookmarkStart w:id="189" w:name="_Toc201235727"/>
      <w:bookmarkStart w:id="190" w:name="_Toc201661638"/>
      <w:r>
        <w:lastRenderedPageBreak/>
        <w:t>29.</w:t>
      </w:r>
      <w:r>
        <w:tab/>
        <w:t>Non</w:t>
      </w:r>
      <w:r>
        <w:noBreakHyphen/>
        <w:t>metropolitan residential</w:t>
      </w:r>
      <w:bookmarkEnd w:id="189"/>
      <w:bookmarkEnd w:id="190"/>
    </w:p>
    <w:p>
      <w:pPr>
        <w:pStyle w:val="ySubsection"/>
      </w:pPr>
      <w:r>
        <w:tab/>
        <w:t>(1)</w:t>
      </w:r>
      <w:r>
        <w:tab/>
        <w:t>For each kilolitre of water supplied to land in the non</w:t>
      </w:r>
      <w:r>
        <w:noBreakHyphen/>
        <w:t xml:space="preserve">metropolitan area that is — </w:t>
      </w:r>
    </w:p>
    <w:p>
      <w:pPr>
        <w:pStyle w:val="yIndenta"/>
      </w:pPr>
      <w:r>
        <w:tab/>
        <w:t>(a)</w:t>
      </w:r>
      <w:r>
        <w:tab/>
        <w:t>a residential property; or</w:t>
      </w:r>
    </w:p>
    <w:p>
      <w:pPr>
        <w:pStyle w:val="yIndenta"/>
      </w:pPr>
      <w:r>
        <w:tab/>
        <w:t>(b)</w:t>
      </w:r>
      <w:r>
        <w:tab/>
        <w:t>classified as vacant land but held for residential purposes,</w:t>
      </w:r>
    </w:p>
    <w:p>
      <w:pPr>
        <w:pStyle w:val="ySubsection"/>
      </w:pPr>
      <w:r>
        <w:tab/>
      </w:r>
      <w:r>
        <w:tab/>
        <w:t xml:space="preserve">the charge, according to the residential class of the town or area in which the land is located, is — </w:t>
      </w:r>
    </w:p>
    <w:tbl>
      <w:tblPr>
        <w:tblW w:w="0" w:type="auto"/>
        <w:tblInd w:w="879" w:type="dxa"/>
        <w:tblCellMar>
          <w:left w:w="28" w:type="dxa"/>
          <w:right w:w="28" w:type="dxa"/>
        </w:tblCellMar>
        <w:tblLook w:val="0000" w:firstRow="0" w:lastRow="0" w:firstColumn="0" w:lastColumn="0" w:noHBand="0" w:noVBand="0"/>
      </w:tblPr>
      <w:tblGrid>
        <w:gridCol w:w="1567"/>
        <w:gridCol w:w="929"/>
        <w:gridCol w:w="928"/>
        <w:gridCol w:w="928"/>
        <w:gridCol w:w="928"/>
        <w:gridCol w:w="928"/>
      </w:tblGrid>
      <w:tr>
        <w:trPr>
          <w:cantSplit/>
          <w:tblHeader/>
        </w:trPr>
        <w:tc>
          <w:tcPr>
            <w:tcW w:w="0" w:type="auto"/>
            <w:tcBorders>
              <w:top w:val="single" w:sz="4" w:space="0" w:color="auto"/>
              <w:bottom w:val="single" w:sz="4" w:space="0" w:color="auto"/>
            </w:tcBorders>
            <w:noWrap/>
          </w:tcPr>
          <w:p>
            <w:pPr>
              <w:pStyle w:val="yTableNAm"/>
              <w:jc w:val="center"/>
            </w:pPr>
            <w:r>
              <w:rPr>
                <w:b/>
              </w:rPr>
              <w:br w:type="page"/>
              <w:t>Consumption (kL)</w:t>
            </w:r>
          </w:p>
        </w:tc>
        <w:tc>
          <w:tcPr>
            <w:tcW w:w="0" w:type="auto"/>
            <w:tcBorders>
              <w:top w:val="single" w:sz="4" w:space="0" w:color="auto"/>
              <w:bottom w:val="single" w:sz="4" w:space="0" w:color="auto"/>
            </w:tcBorders>
            <w:noWrap/>
          </w:tcPr>
          <w:p>
            <w:pPr>
              <w:pStyle w:val="yTableNAm"/>
              <w:jc w:val="center"/>
            </w:pPr>
            <w:r>
              <w:rPr>
                <w:b/>
              </w:rPr>
              <w:t>Class 1 (cents)</w:t>
            </w:r>
          </w:p>
        </w:tc>
        <w:tc>
          <w:tcPr>
            <w:tcW w:w="0" w:type="auto"/>
            <w:tcBorders>
              <w:top w:val="single" w:sz="4" w:space="0" w:color="auto"/>
              <w:bottom w:val="single" w:sz="4" w:space="0" w:color="auto"/>
            </w:tcBorders>
            <w:noWrap/>
          </w:tcPr>
          <w:p>
            <w:pPr>
              <w:pStyle w:val="yTableNAm"/>
              <w:jc w:val="center"/>
            </w:pPr>
            <w:r>
              <w:rPr>
                <w:b/>
              </w:rPr>
              <w:t>Class 2 (cents)</w:t>
            </w:r>
          </w:p>
        </w:tc>
        <w:tc>
          <w:tcPr>
            <w:tcW w:w="0" w:type="auto"/>
            <w:tcBorders>
              <w:top w:val="single" w:sz="4" w:space="0" w:color="auto"/>
              <w:bottom w:val="single" w:sz="4" w:space="0" w:color="auto"/>
            </w:tcBorders>
            <w:noWrap/>
          </w:tcPr>
          <w:p>
            <w:pPr>
              <w:pStyle w:val="yTableNAm"/>
              <w:jc w:val="center"/>
            </w:pPr>
            <w:r>
              <w:rPr>
                <w:b/>
              </w:rPr>
              <w:t>Class 3 (cents)</w:t>
            </w:r>
          </w:p>
        </w:tc>
        <w:tc>
          <w:tcPr>
            <w:tcW w:w="0" w:type="auto"/>
            <w:tcBorders>
              <w:top w:val="single" w:sz="4" w:space="0" w:color="auto"/>
              <w:bottom w:val="single" w:sz="4" w:space="0" w:color="auto"/>
            </w:tcBorders>
            <w:noWrap/>
          </w:tcPr>
          <w:p>
            <w:pPr>
              <w:pStyle w:val="yTableNAm"/>
              <w:jc w:val="center"/>
            </w:pPr>
            <w:r>
              <w:rPr>
                <w:b/>
              </w:rPr>
              <w:t>Class 4 (cents)</w:t>
            </w:r>
          </w:p>
        </w:tc>
        <w:tc>
          <w:tcPr>
            <w:tcW w:w="0" w:type="auto"/>
            <w:tcBorders>
              <w:top w:val="single" w:sz="4" w:space="0" w:color="auto"/>
              <w:bottom w:val="single" w:sz="4" w:space="0" w:color="auto"/>
            </w:tcBorders>
            <w:noWrap/>
          </w:tcPr>
          <w:p>
            <w:pPr>
              <w:pStyle w:val="yTableNAm"/>
              <w:jc w:val="center"/>
            </w:pPr>
            <w:r>
              <w:rPr>
                <w:b/>
              </w:rPr>
              <w:t>Class 5 (cents)</w:t>
            </w:r>
          </w:p>
        </w:tc>
      </w:tr>
      <w:tr>
        <w:trPr>
          <w:cantSplit/>
        </w:trPr>
        <w:tc>
          <w:tcPr>
            <w:tcW w:w="0" w:type="auto"/>
            <w:noWrap/>
          </w:tcPr>
          <w:p>
            <w:pPr>
              <w:pStyle w:val="yTableNAm"/>
            </w:pPr>
            <w:r>
              <w:t>Up to 150</w:t>
            </w:r>
          </w:p>
        </w:tc>
        <w:tc>
          <w:tcPr>
            <w:tcW w:w="0" w:type="auto"/>
            <w:noWrap/>
          </w:tcPr>
          <w:p>
            <w:pPr>
              <w:pStyle w:val="yTableNAm"/>
              <w:jc w:val="center"/>
            </w:pPr>
            <w:r>
              <w:t>156.5</w:t>
            </w:r>
          </w:p>
        </w:tc>
        <w:tc>
          <w:tcPr>
            <w:tcW w:w="0" w:type="auto"/>
            <w:noWrap/>
            <w:vAlign w:val="bottom"/>
          </w:tcPr>
          <w:p>
            <w:pPr>
              <w:pStyle w:val="yTableNAm"/>
              <w:jc w:val="center"/>
            </w:pPr>
            <w:r>
              <w:t>205.2</w:t>
            </w:r>
          </w:p>
        </w:tc>
        <w:tc>
          <w:tcPr>
            <w:tcW w:w="0" w:type="auto"/>
            <w:noWrap/>
            <w:vAlign w:val="bottom"/>
          </w:tcPr>
          <w:p>
            <w:pPr>
              <w:pStyle w:val="yTableNAm"/>
              <w:jc w:val="center"/>
            </w:pPr>
            <w:r>
              <w:t>205.2</w:t>
            </w:r>
          </w:p>
        </w:tc>
        <w:tc>
          <w:tcPr>
            <w:tcW w:w="0" w:type="auto"/>
            <w:shd w:val="clear" w:color="auto" w:fill="auto"/>
            <w:noWrap/>
            <w:vAlign w:val="bottom"/>
          </w:tcPr>
          <w:p>
            <w:pPr>
              <w:pStyle w:val="yTableNAm"/>
              <w:jc w:val="center"/>
            </w:pPr>
            <w:r>
              <w:t>205.2</w:t>
            </w:r>
          </w:p>
        </w:tc>
        <w:tc>
          <w:tcPr>
            <w:tcW w:w="0" w:type="auto"/>
            <w:shd w:val="clear" w:color="auto" w:fill="auto"/>
            <w:noWrap/>
            <w:vAlign w:val="bottom"/>
          </w:tcPr>
          <w:p>
            <w:pPr>
              <w:pStyle w:val="yTableNAm"/>
              <w:jc w:val="center"/>
            </w:pPr>
            <w:r>
              <w:t>205.2</w:t>
            </w:r>
          </w:p>
        </w:tc>
      </w:tr>
      <w:tr>
        <w:trPr>
          <w:cantSplit/>
        </w:trPr>
        <w:tc>
          <w:tcPr>
            <w:tcW w:w="0" w:type="auto"/>
            <w:noWrap/>
          </w:tcPr>
          <w:p>
            <w:pPr>
              <w:pStyle w:val="yTableNAm"/>
            </w:pPr>
            <w:r>
              <w:t>Over 150 but not over 300</w:t>
            </w:r>
          </w:p>
        </w:tc>
        <w:tc>
          <w:tcPr>
            <w:tcW w:w="0" w:type="auto"/>
            <w:noWrap/>
            <w:vAlign w:val="bottom"/>
          </w:tcPr>
          <w:p>
            <w:pPr>
              <w:pStyle w:val="yTableNAm"/>
              <w:jc w:val="center"/>
            </w:pPr>
            <w:r>
              <w:t>208.5</w:t>
            </w:r>
          </w:p>
        </w:tc>
        <w:tc>
          <w:tcPr>
            <w:tcW w:w="0" w:type="auto"/>
            <w:noWrap/>
            <w:vAlign w:val="bottom"/>
          </w:tcPr>
          <w:p>
            <w:pPr>
              <w:pStyle w:val="yTableNAm"/>
              <w:jc w:val="center"/>
            </w:pPr>
            <w:r>
              <w:t>273.4</w:t>
            </w:r>
          </w:p>
        </w:tc>
        <w:tc>
          <w:tcPr>
            <w:tcW w:w="0" w:type="auto"/>
            <w:noWrap/>
            <w:vAlign w:val="bottom"/>
          </w:tcPr>
          <w:p>
            <w:pPr>
              <w:pStyle w:val="yTableNAm"/>
              <w:jc w:val="center"/>
            </w:pPr>
            <w:r>
              <w:t>273.4</w:t>
            </w:r>
          </w:p>
        </w:tc>
        <w:tc>
          <w:tcPr>
            <w:tcW w:w="0" w:type="auto"/>
            <w:noWrap/>
            <w:vAlign w:val="bottom"/>
          </w:tcPr>
          <w:p>
            <w:pPr>
              <w:pStyle w:val="yTableNAm"/>
              <w:jc w:val="center"/>
            </w:pPr>
            <w:r>
              <w:t>273.4 </w:t>
            </w:r>
          </w:p>
        </w:tc>
        <w:tc>
          <w:tcPr>
            <w:tcW w:w="0" w:type="auto"/>
            <w:noWrap/>
            <w:vAlign w:val="bottom"/>
          </w:tcPr>
          <w:p>
            <w:pPr>
              <w:pStyle w:val="yTableNAm"/>
              <w:jc w:val="center"/>
            </w:pPr>
            <w:r>
              <w:t>273.4</w:t>
            </w:r>
          </w:p>
        </w:tc>
      </w:tr>
      <w:tr>
        <w:trPr>
          <w:cantSplit/>
        </w:trPr>
        <w:tc>
          <w:tcPr>
            <w:tcW w:w="0" w:type="auto"/>
            <w:noWrap/>
          </w:tcPr>
          <w:p>
            <w:pPr>
              <w:pStyle w:val="yTableNAm"/>
            </w:pPr>
            <w:r>
              <w:t>Over 300 but not over 550</w:t>
            </w:r>
          </w:p>
        </w:tc>
        <w:tc>
          <w:tcPr>
            <w:tcW w:w="0" w:type="auto"/>
            <w:noWrap/>
            <w:vAlign w:val="bottom"/>
          </w:tcPr>
          <w:p>
            <w:pPr>
              <w:pStyle w:val="yTableNAm"/>
              <w:jc w:val="center"/>
            </w:pPr>
            <w:r>
              <w:t>239.3</w:t>
            </w:r>
          </w:p>
        </w:tc>
        <w:tc>
          <w:tcPr>
            <w:tcW w:w="0" w:type="auto"/>
            <w:noWrap/>
            <w:vAlign w:val="bottom"/>
          </w:tcPr>
          <w:p>
            <w:pPr>
              <w:pStyle w:val="yTableNAm"/>
              <w:jc w:val="center"/>
            </w:pPr>
            <w:r>
              <w:t>329.2</w:t>
            </w:r>
          </w:p>
        </w:tc>
        <w:tc>
          <w:tcPr>
            <w:tcW w:w="0" w:type="auto"/>
            <w:noWrap/>
            <w:vAlign w:val="bottom"/>
          </w:tcPr>
          <w:p>
            <w:pPr>
              <w:pStyle w:val="yTableNAm"/>
              <w:jc w:val="center"/>
            </w:pPr>
            <w:r>
              <w:t>438.6</w:t>
            </w:r>
          </w:p>
        </w:tc>
        <w:tc>
          <w:tcPr>
            <w:tcW w:w="0" w:type="auto"/>
            <w:noWrap/>
            <w:vAlign w:val="bottom"/>
          </w:tcPr>
          <w:p>
            <w:pPr>
              <w:pStyle w:val="yTableNAm"/>
              <w:jc w:val="center"/>
            </w:pPr>
            <w:r>
              <w:t>515.8</w:t>
            </w:r>
          </w:p>
        </w:tc>
        <w:tc>
          <w:tcPr>
            <w:tcW w:w="0" w:type="auto"/>
            <w:noWrap/>
            <w:vAlign w:val="bottom"/>
          </w:tcPr>
          <w:p>
            <w:pPr>
              <w:pStyle w:val="yTableNAm"/>
              <w:jc w:val="center"/>
            </w:pPr>
            <w:r>
              <w:t>606.7</w:t>
            </w:r>
          </w:p>
        </w:tc>
      </w:tr>
      <w:tr>
        <w:trPr>
          <w:cantSplit/>
        </w:trPr>
        <w:tc>
          <w:tcPr>
            <w:tcW w:w="0" w:type="auto"/>
            <w:tcBorders>
              <w:bottom w:val="single" w:sz="4" w:space="0" w:color="auto"/>
            </w:tcBorders>
            <w:noWrap/>
          </w:tcPr>
          <w:p>
            <w:pPr>
              <w:pStyle w:val="yTableNAm"/>
            </w:pPr>
            <w:r>
              <w:t>Over 550</w:t>
            </w:r>
          </w:p>
        </w:tc>
        <w:tc>
          <w:tcPr>
            <w:tcW w:w="0" w:type="auto"/>
            <w:tcBorders>
              <w:bottom w:val="single" w:sz="4" w:space="0" w:color="auto"/>
            </w:tcBorders>
            <w:noWrap/>
            <w:vAlign w:val="bottom"/>
          </w:tcPr>
          <w:p>
            <w:pPr>
              <w:pStyle w:val="yTableNAm"/>
              <w:jc w:val="center"/>
            </w:pPr>
            <w:r>
              <w:t>279.5</w:t>
            </w:r>
          </w:p>
        </w:tc>
        <w:tc>
          <w:tcPr>
            <w:tcW w:w="0" w:type="auto"/>
            <w:tcBorders>
              <w:bottom w:val="single" w:sz="4" w:space="0" w:color="auto"/>
            </w:tcBorders>
            <w:noWrap/>
            <w:vAlign w:val="bottom"/>
          </w:tcPr>
          <w:p>
            <w:pPr>
              <w:pStyle w:val="yTableNAm"/>
              <w:jc w:val="center"/>
            </w:pPr>
            <w:r>
              <w:t>420.0</w:t>
            </w:r>
          </w:p>
        </w:tc>
        <w:tc>
          <w:tcPr>
            <w:tcW w:w="0" w:type="auto"/>
            <w:tcBorders>
              <w:bottom w:val="single" w:sz="4" w:space="0" w:color="auto"/>
            </w:tcBorders>
            <w:noWrap/>
            <w:vAlign w:val="bottom"/>
          </w:tcPr>
          <w:p>
            <w:pPr>
              <w:pStyle w:val="yTableNAm"/>
              <w:jc w:val="center"/>
            </w:pPr>
            <w:r>
              <w:t>559.2</w:t>
            </w:r>
          </w:p>
        </w:tc>
        <w:tc>
          <w:tcPr>
            <w:tcW w:w="0" w:type="auto"/>
            <w:tcBorders>
              <w:bottom w:val="single" w:sz="4" w:space="0" w:color="auto"/>
            </w:tcBorders>
            <w:noWrap/>
            <w:vAlign w:val="bottom"/>
          </w:tcPr>
          <w:p>
            <w:pPr>
              <w:pStyle w:val="yTableNAm"/>
              <w:jc w:val="center"/>
            </w:pPr>
            <w:r>
              <w:t>773.6</w:t>
            </w:r>
          </w:p>
        </w:tc>
        <w:tc>
          <w:tcPr>
            <w:tcW w:w="0" w:type="auto"/>
            <w:tcBorders>
              <w:bottom w:val="single" w:sz="4" w:space="0" w:color="auto"/>
            </w:tcBorders>
            <w:noWrap/>
            <w:vAlign w:val="bottom"/>
          </w:tcPr>
          <w:p>
            <w:pPr>
              <w:pStyle w:val="yTableNAm"/>
              <w:jc w:val="center"/>
            </w:pPr>
            <w:r>
              <w:t>1 043.2</w:t>
            </w:r>
          </w:p>
        </w:tc>
      </w:tr>
    </w:tbl>
    <w:p>
      <w:pPr>
        <w:pStyle w:val="ySubsection"/>
      </w:pPr>
      <w:r>
        <w:tab/>
        <w:t>(2)</w:t>
      </w:r>
      <w:r>
        <w:tab/>
        <w:t>Sub</w:t>
      </w:r>
      <w:r>
        <w:noBreakHyphen/>
        <w:t xml:space="preserve">item (1) applies unless the land is located — </w:t>
      </w:r>
    </w:p>
    <w:p>
      <w:pPr>
        <w:pStyle w:val="yIndenta"/>
      </w:pPr>
      <w:r>
        <w:tab/>
        <w:t>(a)</w:t>
      </w:r>
      <w:r>
        <w:tab/>
        <w:t>in the town of Cue, Laverton, Leonora, Meekatharra, Menzies, Mount Magnet, Mullewa, Sandstone, Wiluna or Yalgoo; or</w:t>
      </w:r>
    </w:p>
    <w:p>
      <w:pPr>
        <w:pStyle w:val="yIndenta"/>
      </w:pPr>
      <w:r>
        <w:tab/>
        <w:t>(b)</w:t>
      </w:r>
      <w:r>
        <w:tab/>
        <w:t>north of 26°S latitude,</w:t>
      </w:r>
    </w:p>
    <w:p>
      <w:pPr>
        <w:pStyle w:val="ySubsection"/>
      </w:pPr>
      <w:r>
        <w:tab/>
      </w:r>
      <w:r>
        <w:tab/>
        <w:t>in which case the charge, according to the residential class of the town or area in which the land is located, is —</w:t>
      </w:r>
    </w:p>
    <w:tbl>
      <w:tblPr>
        <w:tblW w:w="0" w:type="auto"/>
        <w:tblInd w:w="879" w:type="dxa"/>
        <w:tblCellMar>
          <w:left w:w="28" w:type="dxa"/>
          <w:right w:w="28" w:type="dxa"/>
        </w:tblCellMar>
        <w:tblLook w:val="0000" w:firstRow="0" w:lastRow="0" w:firstColumn="0" w:lastColumn="0" w:noHBand="0" w:noVBand="0"/>
      </w:tblPr>
      <w:tblGrid>
        <w:gridCol w:w="1567"/>
        <w:gridCol w:w="929"/>
        <w:gridCol w:w="928"/>
        <w:gridCol w:w="928"/>
        <w:gridCol w:w="928"/>
        <w:gridCol w:w="928"/>
      </w:tblGrid>
      <w:tr>
        <w:trPr>
          <w:cantSplit/>
          <w:tblHeader/>
        </w:trPr>
        <w:tc>
          <w:tcPr>
            <w:tcW w:w="0" w:type="auto"/>
            <w:tcBorders>
              <w:top w:val="single" w:sz="4" w:space="0" w:color="auto"/>
              <w:bottom w:val="single" w:sz="4" w:space="0" w:color="auto"/>
            </w:tcBorders>
            <w:noWrap/>
          </w:tcPr>
          <w:p>
            <w:pPr>
              <w:pStyle w:val="yTableNAm"/>
              <w:jc w:val="center"/>
            </w:pPr>
            <w:r>
              <w:rPr>
                <w:b/>
              </w:rPr>
              <w:br w:type="page"/>
              <w:t>Consumption (kL)</w:t>
            </w:r>
          </w:p>
        </w:tc>
        <w:tc>
          <w:tcPr>
            <w:tcW w:w="0" w:type="auto"/>
            <w:tcBorders>
              <w:top w:val="single" w:sz="4" w:space="0" w:color="auto"/>
              <w:bottom w:val="single" w:sz="4" w:space="0" w:color="auto"/>
            </w:tcBorders>
            <w:noWrap/>
          </w:tcPr>
          <w:p>
            <w:pPr>
              <w:pStyle w:val="yTableNAm"/>
              <w:jc w:val="center"/>
            </w:pPr>
            <w:r>
              <w:rPr>
                <w:b/>
              </w:rPr>
              <w:t>Class 1 (cents)</w:t>
            </w:r>
          </w:p>
        </w:tc>
        <w:tc>
          <w:tcPr>
            <w:tcW w:w="0" w:type="auto"/>
            <w:tcBorders>
              <w:top w:val="single" w:sz="4" w:space="0" w:color="auto"/>
              <w:bottom w:val="single" w:sz="4" w:space="0" w:color="auto"/>
            </w:tcBorders>
            <w:noWrap/>
          </w:tcPr>
          <w:p>
            <w:pPr>
              <w:pStyle w:val="yTableNAm"/>
              <w:jc w:val="center"/>
            </w:pPr>
            <w:r>
              <w:rPr>
                <w:b/>
              </w:rPr>
              <w:t>Class 2 (cents)</w:t>
            </w:r>
          </w:p>
        </w:tc>
        <w:tc>
          <w:tcPr>
            <w:tcW w:w="0" w:type="auto"/>
            <w:tcBorders>
              <w:top w:val="single" w:sz="4" w:space="0" w:color="auto"/>
              <w:bottom w:val="single" w:sz="4" w:space="0" w:color="auto"/>
            </w:tcBorders>
            <w:noWrap/>
          </w:tcPr>
          <w:p>
            <w:pPr>
              <w:pStyle w:val="yTableNAm"/>
              <w:jc w:val="center"/>
            </w:pPr>
            <w:r>
              <w:rPr>
                <w:b/>
              </w:rPr>
              <w:t>Class 3 (cents)</w:t>
            </w:r>
          </w:p>
        </w:tc>
        <w:tc>
          <w:tcPr>
            <w:tcW w:w="0" w:type="auto"/>
            <w:tcBorders>
              <w:top w:val="single" w:sz="4" w:space="0" w:color="auto"/>
              <w:bottom w:val="single" w:sz="4" w:space="0" w:color="auto"/>
            </w:tcBorders>
            <w:noWrap/>
          </w:tcPr>
          <w:p>
            <w:pPr>
              <w:pStyle w:val="yTableNAm"/>
              <w:jc w:val="center"/>
            </w:pPr>
            <w:r>
              <w:rPr>
                <w:b/>
              </w:rPr>
              <w:t>Class 4 (cents)</w:t>
            </w:r>
          </w:p>
        </w:tc>
        <w:tc>
          <w:tcPr>
            <w:tcW w:w="0" w:type="auto"/>
            <w:tcBorders>
              <w:top w:val="single" w:sz="4" w:space="0" w:color="auto"/>
              <w:bottom w:val="single" w:sz="4" w:space="0" w:color="auto"/>
            </w:tcBorders>
            <w:noWrap/>
          </w:tcPr>
          <w:p>
            <w:pPr>
              <w:pStyle w:val="yTableNAm"/>
              <w:jc w:val="center"/>
            </w:pPr>
            <w:r>
              <w:rPr>
                <w:b/>
              </w:rPr>
              <w:t>Class 5 (cents)</w:t>
            </w:r>
          </w:p>
        </w:tc>
      </w:tr>
      <w:tr>
        <w:trPr>
          <w:cantSplit/>
        </w:trPr>
        <w:tc>
          <w:tcPr>
            <w:tcW w:w="0" w:type="auto"/>
            <w:noWrap/>
          </w:tcPr>
          <w:p>
            <w:pPr>
              <w:pStyle w:val="yTableNAm"/>
              <w:rPr>
                <w:szCs w:val="22"/>
              </w:rPr>
            </w:pPr>
            <w:r>
              <w:rPr>
                <w:szCs w:val="22"/>
              </w:rPr>
              <w:t>Up to 350</w:t>
            </w:r>
          </w:p>
        </w:tc>
        <w:tc>
          <w:tcPr>
            <w:tcW w:w="0" w:type="auto"/>
            <w:noWrap/>
          </w:tcPr>
          <w:p>
            <w:pPr>
              <w:pStyle w:val="yTableNAm"/>
              <w:jc w:val="center"/>
            </w:pPr>
            <w:r>
              <w:t>156.5</w:t>
            </w:r>
          </w:p>
        </w:tc>
        <w:tc>
          <w:tcPr>
            <w:tcW w:w="0" w:type="auto"/>
            <w:noWrap/>
            <w:vAlign w:val="bottom"/>
          </w:tcPr>
          <w:p>
            <w:pPr>
              <w:pStyle w:val="yTableNAm"/>
              <w:jc w:val="center"/>
            </w:pPr>
            <w:r>
              <w:t>205.2</w:t>
            </w:r>
          </w:p>
        </w:tc>
        <w:tc>
          <w:tcPr>
            <w:tcW w:w="0" w:type="auto"/>
            <w:noWrap/>
            <w:vAlign w:val="bottom"/>
          </w:tcPr>
          <w:p>
            <w:pPr>
              <w:pStyle w:val="yTableNAm"/>
              <w:jc w:val="center"/>
            </w:pPr>
            <w:r>
              <w:t>205.2</w:t>
            </w:r>
          </w:p>
        </w:tc>
        <w:tc>
          <w:tcPr>
            <w:tcW w:w="0" w:type="auto"/>
            <w:noWrap/>
            <w:vAlign w:val="bottom"/>
          </w:tcPr>
          <w:p>
            <w:pPr>
              <w:pStyle w:val="yTableNAm"/>
              <w:jc w:val="center"/>
            </w:pPr>
            <w:r>
              <w:t>205.2</w:t>
            </w:r>
          </w:p>
        </w:tc>
        <w:tc>
          <w:tcPr>
            <w:tcW w:w="0" w:type="auto"/>
            <w:noWrap/>
            <w:vAlign w:val="bottom"/>
          </w:tcPr>
          <w:p>
            <w:pPr>
              <w:pStyle w:val="yTableNAm"/>
              <w:jc w:val="center"/>
            </w:pPr>
            <w:r>
              <w:t>205.2</w:t>
            </w:r>
          </w:p>
        </w:tc>
      </w:tr>
      <w:tr>
        <w:trPr>
          <w:cantSplit/>
        </w:trPr>
        <w:tc>
          <w:tcPr>
            <w:tcW w:w="0" w:type="auto"/>
            <w:noWrap/>
          </w:tcPr>
          <w:p>
            <w:pPr>
              <w:pStyle w:val="yTableNAm"/>
              <w:rPr>
                <w:szCs w:val="22"/>
              </w:rPr>
            </w:pPr>
            <w:r>
              <w:rPr>
                <w:szCs w:val="22"/>
              </w:rPr>
              <w:t>Over 350 but not over 500</w:t>
            </w:r>
          </w:p>
        </w:tc>
        <w:tc>
          <w:tcPr>
            <w:tcW w:w="0" w:type="auto"/>
            <w:noWrap/>
            <w:vAlign w:val="bottom"/>
          </w:tcPr>
          <w:p>
            <w:pPr>
              <w:pStyle w:val="yTableNAm"/>
              <w:jc w:val="center"/>
            </w:pPr>
            <w:r>
              <w:t>208.5</w:t>
            </w:r>
          </w:p>
        </w:tc>
        <w:tc>
          <w:tcPr>
            <w:tcW w:w="0" w:type="auto"/>
            <w:noWrap/>
            <w:vAlign w:val="bottom"/>
          </w:tcPr>
          <w:p>
            <w:pPr>
              <w:pStyle w:val="yTableNAm"/>
              <w:jc w:val="center"/>
            </w:pPr>
            <w:r>
              <w:t>273.4</w:t>
            </w:r>
          </w:p>
        </w:tc>
        <w:tc>
          <w:tcPr>
            <w:tcW w:w="0" w:type="auto"/>
            <w:noWrap/>
            <w:vAlign w:val="bottom"/>
          </w:tcPr>
          <w:p>
            <w:pPr>
              <w:pStyle w:val="yTableNAm"/>
              <w:jc w:val="center"/>
            </w:pPr>
            <w:r>
              <w:t>273.4</w:t>
            </w:r>
          </w:p>
        </w:tc>
        <w:tc>
          <w:tcPr>
            <w:tcW w:w="0" w:type="auto"/>
            <w:noWrap/>
            <w:vAlign w:val="bottom"/>
          </w:tcPr>
          <w:p>
            <w:pPr>
              <w:pStyle w:val="yTableNAm"/>
              <w:jc w:val="center"/>
            </w:pPr>
            <w:r>
              <w:t>273.4 </w:t>
            </w:r>
          </w:p>
        </w:tc>
        <w:tc>
          <w:tcPr>
            <w:tcW w:w="0" w:type="auto"/>
            <w:noWrap/>
            <w:vAlign w:val="bottom"/>
          </w:tcPr>
          <w:p>
            <w:pPr>
              <w:pStyle w:val="yTableNAm"/>
              <w:jc w:val="center"/>
            </w:pPr>
            <w:r>
              <w:t>273.4</w:t>
            </w:r>
          </w:p>
        </w:tc>
      </w:tr>
      <w:tr>
        <w:trPr>
          <w:cantSplit/>
        </w:trPr>
        <w:tc>
          <w:tcPr>
            <w:tcW w:w="0" w:type="auto"/>
            <w:noWrap/>
          </w:tcPr>
          <w:p>
            <w:pPr>
              <w:pStyle w:val="yTableNAm"/>
              <w:rPr>
                <w:szCs w:val="22"/>
              </w:rPr>
            </w:pPr>
            <w:r>
              <w:rPr>
                <w:szCs w:val="22"/>
              </w:rPr>
              <w:t>Over 500 but not over 750</w:t>
            </w:r>
          </w:p>
        </w:tc>
        <w:tc>
          <w:tcPr>
            <w:tcW w:w="0" w:type="auto"/>
            <w:noWrap/>
            <w:vAlign w:val="bottom"/>
          </w:tcPr>
          <w:p>
            <w:pPr>
              <w:pStyle w:val="yTableNAm"/>
              <w:jc w:val="center"/>
            </w:pPr>
            <w:r>
              <w:t>239.3</w:t>
            </w:r>
          </w:p>
        </w:tc>
        <w:tc>
          <w:tcPr>
            <w:tcW w:w="0" w:type="auto"/>
            <w:noWrap/>
            <w:vAlign w:val="bottom"/>
          </w:tcPr>
          <w:p>
            <w:pPr>
              <w:pStyle w:val="yTableNAm"/>
              <w:jc w:val="center"/>
            </w:pPr>
            <w:r>
              <w:t>329.2</w:t>
            </w:r>
          </w:p>
        </w:tc>
        <w:tc>
          <w:tcPr>
            <w:tcW w:w="0" w:type="auto"/>
            <w:noWrap/>
            <w:vAlign w:val="bottom"/>
          </w:tcPr>
          <w:p>
            <w:pPr>
              <w:pStyle w:val="yTableNAm"/>
              <w:jc w:val="center"/>
            </w:pPr>
            <w:r>
              <w:t>438.6</w:t>
            </w:r>
          </w:p>
        </w:tc>
        <w:tc>
          <w:tcPr>
            <w:tcW w:w="0" w:type="auto"/>
            <w:noWrap/>
            <w:vAlign w:val="bottom"/>
          </w:tcPr>
          <w:p>
            <w:pPr>
              <w:pStyle w:val="yTableNAm"/>
              <w:jc w:val="center"/>
            </w:pPr>
            <w:r>
              <w:t>515.8</w:t>
            </w:r>
          </w:p>
        </w:tc>
        <w:tc>
          <w:tcPr>
            <w:tcW w:w="0" w:type="auto"/>
            <w:noWrap/>
            <w:vAlign w:val="bottom"/>
          </w:tcPr>
          <w:p>
            <w:pPr>
              <w:pStyle w:val="yTableNAm"/>
              <w:jc w:val="center"/>
            </w:pPr>
            <w:r>
              <w:t>606.7</w:t>
            </w:r>
          </w:p>
        </w:tc>
      </w:tr>
      <w:tr>
        <w:trPr>
          <w:cantSplit/>
        </w:trPr>
        <w:tc>
          <w:tcPr>
            <w:tcW w:w="0" w:type="auto"/>
            <w:tcBorders>
              <w:bottom w:val="single" w:sz="4" w:space="0" w:color="auto"/>
            </w:tcBorders>
            <w:noWrap/>
          </w:tcPr>
          <w:p>
            <w:pPr>
              <w:pStyle w:val="yTableNAm"/>
              <w:rPr>
                <w:szCs w:val="22"/>
              </w:rPr>
            </w:pPr>
            <w:r>
              <w:rPr>
                <w:szCs w:val="22"/>
              </w:rPr>
              <w:t>Over 750</w:t>
            </w:r>
          </w:p>
        </w:tc>
        <w:tc>
          <w:tcPr>
            <w:tcW w:w="0" w:type="auto"/>
            <w:tcBorders>
              <w:bottom w:val="single" w:sz="4" w:space="0" w:color="auto"/>
            </w:tcBorders>
            <w:noWrap/>
            <w:vAlign w:val="bottom"/>
          </w:tcPr>
          <w:p>
            <w:pPr>
              <w:pStyle w:val="yTableNAm"/>
              <w:jc w:val="center"/>
            </w:pPr>
            <w:r>
              <w:t>279.5</w:t>
            </w:r>
          </w:p>
        </w:tc>
        <w:tc>
          <w:tcPr>
            <w:tcW w:w="0" w:type="auto"/>
            <w:tcBorders>
              <w:bottom w:val="single" w:sz="4" w:space="0" w:color="auto"/>
            </w:tcBorders>
            <w:noWrap/>
            <w:vAlign w:val="bottom"/>
          </w:tcPr>
          <w:p>
            <w:pPr>
              <w:pStyle w:val="yTableNAm"/>
              <w:jc w:val="center"/>
            </w:pPr>
            <w:r>
              <w:t>420.0</w:t>
            </w:r>
          </w:p>
        </w:tc>
        <w:tc>
          <w:tcPr>
            <w:tcW w:w="0" w:type="auto"/>
            <w:tcBorders>
              <w:bottom w:val="single" w:sz="4" w:space="0" w:color="auto"/>
            </w:tcBorders>
            <w:noWrap/>
            <w:vAlign w:val="bottom"/>
          </w:tcPr>
          <w:p>
            <w:pPr>
              <w:pStyle w:val="yTableNAm"/>
              <w:jc w:val="center"/>
            </w:pPr>
            <w:r>
              <w:t>559.2</w:t>
            </w:r>
          </w:p>
        </w:tc>
        <w:tc>
          <w:tcPr>
            <w:tcW w:w="0" w:type="auto"/>
            <w:tcBorders>
              <w:bottom w:val="single" w:sz="4" w:space="0" w:color="auto"/>
            </w:tcBorders>
            <w:noWrap/>
            <w:vAlign w:val="bottom"/>
          </w:tcPr>
          <w:p>
            <w:pPr>
              <w:pStyle w:val="yTableNAm"/>
              <w:jc w:val="center"/>
            </w:pPr>
            <w:r>
              <w:t>773.6</w:t>
            </w:r>
          </w:p>
        </w:tc>
        <w:tc>
          <w:tcPr>
            <w:tcW w:w="0" w:type="auto"/>
            <w:tcBorders>
              <w:bottom w:val="single" w:sz="4" w:space="0" w:color="auto"/>
            </w:tcBorders>
            <w:noWrap/>
            <w:vAlign w:val="bottom"/>
          </w:tcPr>
          <w:p>
            <w:pPr>
              <w:pStyle w:val="yTableNAm"/>
              <w:jc w:val="center"/>
            </w:pPr>
            <w:r>
              <w:t>1 043.2</w:t>
            </w:r>
          </w:p>
        </w:tc>
      </w:tr>
    </w:tbl>
    <w:p>
      <w:pPr>
        <w:pStyle w:val="ySubsection"/>
      </w:pPr>
      <w:r>
        <w:lastRenderedPageBreak/>
        <w:tab/>
        <w:t>(3)</w:t>
      </w:r>
      <w:r>
        <w:tab/>
        <w:t>A charge under sub</w:t>
      </w:r>
      <w:r>
        <w:noBreakHyphen/>
        <w:t>item (1) or (2) does not apply to the supply of water for which a more specific charge is provided in this Subdivision.</w:t>
      </w:r>
    </w:p>
    <w:p>
      <w:pPr>
        <w:pStyle w:val="zyHeading5"/>
      </w:pPr>
      <w:bookmarkStart w:id="191" w:name="_Toc201235728"/>
      <w:bookmarkStart w:id="192" w:name="_Toc201661639"/>
      <w:r>
        <w:t>30.</w:t>
      </w:r>
      <w:r>
        <w:tab/>
        <w:t>Non</w:t>
      </w:r>
      <w:r>
        <w:noBreakHyphen/>
        <w:t>metropolitan non</w:t>
      </w:r>
      <w:r>
        <w:noBreakHyphen/>
        <w:t>residential</w:t>
      </w:r>
      <w:bookmarkEnd w:id="191"/>
      <w:bookmarkEnd w:id="192"/>
    </w:p>
    <w:p>
      <w:pPr>
        <w:pStyle w:val="ySubsection"/>
        <w:keepNext/>
      </w:pPr>
      <w:r>
        <w:tab/>
        <w:t>(1)</w:t>
      </w:r>
      <w:r>
        <w:tab/>
        <w:t>For each kilolitre of water supplied to land in the non</w:t>
      </w:r>
      <w:r>
        <w:noBreakHyphen/>
        <w:t>metropolitan area that is neither classified as residential nor classified as vacant land but held for residential purposes, the charge is —</w:t>
      </w:r>
    </w:p>
    <w:p>
      <w:pPr>
        <w:pStyle w:val="yIndenta"/>
        <w:tabs>
          <w:tab w:val="right" w:leader="dot" w:pos="6804"/>
        </w:tabs>
      </w:pPr>
      <w:r>
        <w:tab/>
        <w:t>(a)</w:t>
      </w:r>
      <w:r>
        <w:tab/>
        <w:t xml:space="preserve">if the land is classified as local </w:t>
      </w:r>
      <w:r>
        <w:br/>
        <w:t xml:space="preserve">government, institutional public </w:t>
      </w:r>
      <w:r>
        <w:br/>
        <w:t xml:space="preserve">or charitable purposes </w:t>
      </w:r>
      <w:r>
        <w:tab/>
        <w:t>301.2 cents</w:t>
      </w:r>
    </w:p>
    <w:p>
      <w:pPr>
        <w:pStyle w:val="yIndenta"/>
        <w:tabs>
          <w:tab w:val="right" w:leader="dot" w:pos="6804"/>
        </w:tabs>
      </w:pPr>
      <w:r>
        <w:tab/>
        <w:t>(b)</w:t>
      </w:r>
      <w:r>
        <w:tab/>
        <w:t xml:space="preserve">if the land is classified as farmland </w:t>
      </w:r>
      <w:r>
        <w:tab/>
        <w:t>301.2 cents</w:t>
      </w:r>
    </w:p>
    <w:p>
      <w:pPr>
        <w:pStyle w:val="yIndenta"/>
      </w:pPr>
      <w:r>
        <w:tab/>
        <w:t>(c)</w:t>
      </w:r>
      <w:r>
        <w:tab/>
        <w:t>if the land is classified as mining — the charge applicable in the Table in item 24 according to the non</w:t>
      </w:r>
      <w:r>
        <w:noBreakHyphen/>
        <w:t>residential class of the town or area in which the land is located, except that the Table is to have effect as if the charge for classes 14 and 15 were 992.9 cents;</w:t>
      </w:r>
    </w:p>
    <w:p>
      <w:pPr>
        <w:pStyle w:val="yIndenta"/>
      </w:pPr>
      <w:r>
        <w:tab/>
        <w:t>(d)</w:t>
      </w:r>
      <w:r>
        <w:tab/>
        <w:t>if the land is classified as non</w:t>
      </w:r>
      <w:r>
        <w:noBreakHyphen/>
        <w:t>residential or vacant land — the charge applicable in the Table in item 24 according to the non</w:t>
      </w:r>
      <w:r>
        <w:noBreakHyphen/>
        <w:t>residential class of the town or area in which the land is located;</w:t>
      </w:r>
    </w:p>
    <w:p>
      <w:pPr>
        <w:pStyle w:val="yIndenta"/>
      </w:pPr>
      <w:r>
        <w:tab/>
        <w:t>(e)</w:t>
      </w:r>
      <w:r>
        <w:tab/>
        <w:t>if the land is classified as commercial residential —</w:t>
      </w:r>
    </w:p>
    <w:p>
      <w:pPr>
        <w:pStyle w:val="yMiscellaneousBody"/>
        <w:tabs>
          <w:tab w:val="right" w:leader="dot" w:pos="6804"/>
        </w:tabs>
        <w:ind w:left="1984" w:right="284" w:hanging="289"/>
      </w:pPr>
      <w:r>
        <w:t xml:space="preserve">up to 150 kL </w:t>
      </w:r>
      <w:r>
        <w:tab/>
        <w:t>205.2 cents</w:t>
      </w:r>
    </w:p>
    <w:p>
      <w:pPr>
        <w:pStyle w:val="yMiscellaneousBody"/>
        <w:tabs>
          <w:tab w:val="right" w:leader="dot" w:pos="6804"/>
        </w:tabs>
        <w:ind w:left="1695" w:right="284"/>
      </w:pPr>
      <w:r>
        <w:t>over 150 kL — the charge applicable in the Table in item 24 according to the non</w:t>
      </w:r>
      <w:r>
        <w:noBreakHyphen/>
        <w:t>residential class of the town or area in which the land is located.</w:t>
      </w:r>
    </w:p>
    <w:p>
      <w:pPr>
        <w:pStyle w:val="ySubsection"/>
      </w:pPr>
      <w:r>
        <w:tab/>
        <w:t>(2)</w:t>
      </w:r>
      <w:r>
        <w:tab/>
        <w:t>A charge under sub</w:t>
      </w:r>
      <w:r>
        <w:noBreakHyphen/>
        <w:t>item (1) does not apply to the supply of water for which a more specific charge is provided in this Subdivision.</w:t>
      </w:r>
    </w:p>
    <w:p>
      <w:pPr>
        <w:pStyle w:val="zyHeading5"/>
      </w:pPr>
      <w:bookmarkStart w:id="193" w:name="_Toc201235729"/>
      <w:bookmarkStart w:id="194" w:name="_Toc201661640"/>
      <w:r>
        <w:t>31.</w:t>
      </w:r>
      <w:r>
        <w:tab/>
        <w:t>Strata</w:t>
      </w:r>
      <w:r>
        <w:noBreakHyphen/>
        <w:t>titled or long</w:t>
      </w:r>
      <w:r>
        <w:noBreakHyphen/>
        <w:t>term residential caravan bays</w:t>
      </w:r>
      <w:bookmarkEnd w:id="193"/>
      <w:bookmarkEnd w:id="194"/>
    </w:p>
    <w:p>
      <w:pPr>
        <w:pStyle w:val="ySubsection"/>
      </w:pPr>
      <w:r>
        <w:tab/>
        <w:t>(1)</w:t>
      </w:r>
      <w:r>
        <w:tab/>
        <w:t>For each kilolitre of water supplied to a strata</w:t>
      </w:r>
      <w:r>
        <w:noBreakHyphen/>
        <w:t>titled caravan bay, or a long</w:t>
      </w:r>
      <w:r>
        <w:noBreakHyphen/>
        <w:t xml:space="preserve">term residential caravan bay, in the metropolitan area, the charge is — </w:t>
      </w:r>
    </w:p>
    <w:p>
      <w:pPr>
        <w:pStyle w:val="yMiscellaneousBody"/>
        <w:tabs>
          <w:tab w:val="right" w:leader="dot" w:pos="6804"/>
        </w:tabs>
        <w:ind w:left="1984" w:right="284" w:hanging="289"/>
      </w:pPr>
      <w:r>
        <w:t xml:space="preserve">up to 150 kL </w:t>
      </w:r>
      <w:r>
        <w:tab/>
        <w:t>205.2 cents</w:t>
      </w:r>
    </w:p>
    <w:p>
      <w:pPr>
        <w:pStyle w:val="yMiscellaneousBody"/>
        <w:tabs>
          <w:tab w:val="right" w:leader="dot" w:pos="6804"/>
        </w:tabs>
        <w:ind w:left="1984" w:right="284" w:hanging="289"/>
      </w:pPr>
      <w:r>
        <w:lastRenderedPageBreak/>
        <w:t xml:space="preserve">over 150 kL </w:t>
      </w:r>
      <w:r>
        <w:tab/>
        <w:t>292.1 cents</w:t>
      </w:r>
    </w:p>
    <w:p>
      <w:pPr>
        <w:pStyle w:val="ySubsection"/>
      </w:pPr>
      <w:r>
        <w:tab/>
        <w:t>(2)</w:t>
      </w:r>
      <w:r>
        <w:tab/>
        <w:t>For each kilolitre of water supplied to a strata</w:t>
      </w:r>
      <w:r>
        <w:noBreakHyphen/>
        <w:t>titled caravan bay, or a long</w:t>
      </w:r>
      <w:r>
        <w:noBreakHyphen/>
        <w:t>term residential caravan bay, in the non</w:t>
      </w:r>
      <w:r>
        <w:noBreakHyphen/>
        <w:t xml:space="preserve">metropolitan area, the charge is — </w:t>
      </w:r>
    </w:p>
    <w:p>
      <w:pPr>
        <w:pStyle w:val="yMiscellaneousBody"/>
        <w:tabs>
          <w:tab w:val="right" w:leader="dot" w:pos="6804"/>
        </w:tabs>
        <w:ind w:left="1984" w:right="284" w:hanging="289"/>
      </w:pPr>
      <w:r>
        <w:t xml:space="preserve">up to 150 kL </w:t>
      </w:r>
      <w:r>
        <w:tab/>
        <w:t>205.2 cents</w:t>
      </w:r>
    </w:p>
    <w:p>
      <w:pPr>
        <w:pStyle w:val="yMiscellaneousBody"/>
        <w:tabs>
          <w:tab w:val="right" w:leader="dot" w:pos="6804"/>
        </w:tabs>
        <w:ind w:left="1695" w:right="284"/>
      </w:pPr>
      <w:r>
        <w:t>over 150 kL — the charge applicable in the Table in item 24 according to the residential class of the town or area in which the bay is located.</w:t>
      </w:r>
    </w:p>
    <w:p>
      <w:pPr>
        <w:pStyle w:val="ySubsection"/>
      </w:pPr>
      <w:r>
        <w:tab/>
        <w:t>(3)</w:t>
      </w:r>
      <w:r>
        <w:tab/>
        <w:t>Sub</w:t>
      </w:r>
      <w:r>
        <w:noBreakHyphen/>
        <w:t>items (1) and (2) do not apply to long</w:t>
      </w:r>
      <w:r>
        <w:noBreakHyphen/>
        <w:t>term residential caravan bays referred to in regulation 27(2)(a).</w:t>
      </w:r>
    </w:p>
    <w:p>
      <w:pPr>
        <w:pStyle w:val="zyHeading5"/>
      </w:pPr>
      <w:bookmarkStart w:id="195" w:name="_Toc201235730"/>
      <w:bookmarkStart w:id="196" w:name="_Toc201661641"/>
      <w:r>
        <w:t>32.</w:t>
      </w:r>
      <w:r>
        <w:tab/>
        <w:t>Government trading organisations and non</w:t>
      </w:r>
      <w:r>
        <w:noBreakHyphen/>
        <w:t>commercial government property</w:t>
      </w:r>
      <w:bookmarkEnd w:id="195"/>
      <w:bookmarkEnd w:id="196"/>
    </w:p>
    <w:p>
      <w:pPr>
        <w:pStyle w:val="ySubsection"/>
      </w:pPr>
      <w:r>
        <w:tab/>
        <w:t>(1)</w:t>
      </w:r>
      <w:r>
        <w:tab/>
        <w:t>This item applies to land held by a government trading organisation, or a public authority that holds non</w:t>
      </w:r>
      <w:r>
        <w:noBreakHyphen/>
        <w:t>commercial government property, in respect of which a water service charge set out in item 27 or 30(1)(a) would, but for this item, apply.</w:t>
      </w:r>
    </w:p>
    <w:p>
      <w:pPr>
        <w:pStyle w:val="ySubsection"/>
      </w:pPr>
      <w:r>
        <w:tab/>
        <w:t>(2)</w:t>
      </w:r>
      <w:r>
        <w:tab/>
        <w:t>This item does not apply to public land or land classified as vacant land.</w:t>
      </w:r>
    </w:p>
    <w:p>
      <w:pPr>
        <w:pStyle w:val="ySubsection"/>
      </w:pPr>
      <w:r>
        <w:tab/>
        <w:t>(3)</w:t>
      </w:r>
      <w:r>
        <w:tab/>
        <w:t>For land to which this item applies, the charge under sub</w:t>
      </w:r>
      <w:r>
        <w:noBreakHyphen/>
        <w:t>item (4) or (5) applies instead of the charge referred to in sub</w:t>
      </w:r>
      <w:r>
        <w:noBreakHyphen/>
        <w:t>item (1).</w:t>
      </w:r>
    </w:p>
    <w:p>
      <w:pPr>
        <w:pStyle w:val="ySubsection"/>
        <w:tabs>
          <w:tab w:val="right" w:leader="dot" w:pos="6804"/>
        </w:tabs>
      </w:pPr>
      <w:r>
        <w:tab/>
        <w:t>(4)</w:t>
      </w:r>
      <w:r>
        <w:tab/>
        <w:t xml:space="preserve">For each kilolitre of water supplied to land </w:t>
      </w:r>
      <w:r>
        <w:br/>
        <w:t xml:space="preserve">in the metropolitan area, the charge is </w:t>
      </w:r>
      <w:r>
        <w:tab/>
        <w:t>292.1 cents</w:t>
      </w:r>
    </w:p>
    <w:p>
      <w:pPr>
        <w:pStyle w:val="ySubsection"/>
        <w:tabs>
          <w:tab w:val="left" w:pos="7087"/>
        </w:tabs>
      </w:pPr>
      <w:r>
        <w:tab/>
        <w:t>(5)</w:t>
      </w:r>
      <w:r>
        <w:tab/>
        <w:t>For each kilolitre of water supplied to land in the non</w:t>
      </w:r>
      <w:r>
        <w:noBreakHyphen/>
        <w:t>metropolitan area, the charge is the charge applicable in the Table in item 24 according to the non</w:t>
      </w:r>
      <w:r>
        <w:noBreakHyphen/>
        <w:t>residential class of the town or area in which the land is located.</w:t>
      </w:r>
    </w:p>
    <w:p>
      <w:pPr>
        <w:pStyle w:val="zyHeading5"/>
      </w:pPr>
      <w:bookmarkStart w:id="197" w:name="_Toc201235731"/>
      <w:bookmarkStart w:id="198" w:name="_Toc201661642"/>
      <w:r>
        <w:t>33.</w:t>
      </w:r>
      <w:r>
        <w:tab/>
        <w:t>Coral Bay desalinated</w:t>
      </w:r>
      <w:bookmarkEnd w:id="197"/>
      <w:bookmarkEnd w:id="198"/>
    </w:p>
    <w:p>
      <w:pPr>
        <w:pStyle w:val="ySubsection"/>
        <w:tabs>
          <w:tab w:val="right" w:leader="dot" w:pos="6804"/>
        </w:tabs>
      </w:pPr>
      <w:r>
        <w:tab/>
      </w:r>
      <w:r>
        <w:tab/>
        <w:t xml:space="preserve">For each kilolitre of desalinated water </w:t>
      </w:r>
      <w:r>
        <w:br/>
        <w:t xml:space="preserve">supplied to land in Coral Bay that is not </w:t>
      </w:r>
      <w:r>
        <w:br/>
        <w:t>classified as residential, the charge is</w:t>
      </w:r>
      <w:r>
        <w:tab/>
        <w:t>843.8 cents</w:t>
      </w:r>
    </w:p>
    <w:p>
      <w:pPr>
        <w:pStyle w:val="zyHeading5"/>
      </w:pPr>
      <w:bookmarkStart w:id="199" w:name="_Toc201235732"/>
      <w:bookmarkStart w:id="200" w:name="_Toc201661643"/>
      <w:r>
        <w:lastRenderedPageBreak/>
        <w:t>34.</w:t>
      </w:r>
      <w:r>
        <w:tab/>
        <w:t>Denham desalinated</w:t>
      </w:r>
      <w:bookmarkEnd w:id="199"/>
      <w:bookmarkEnd w:id="200"/>
    </w:p>
    <w:p>
      <w:pPr>
        <w:pStyle w:val="ySubsection"/>
      </w:pPr>
      <w:r>
        <w:tab/>
        <w:t>(1)</w:t>
      </w:r>
      <w:r>
        <w:tab/>
        <w:t>For each kilolitre of desalinated water supplied, in a charge period, to land in Denham that is classified as residential, the charge is —</w:t>
      </w:r>
    </w:p>
    <w:p>
      <w:pPr>
        <w:pStyle w:val="yMiscellaneousBody"/>
        <w:tabs>
          <w:tab w:val="right" w:leader="dot" w:pos="6804"/>
        </w:tabs>
        <w:ind w:left="1984" w:right="284" w:hanging="289"/>
      </w:pPr>
      <w:r>
        <w:t xml:space="preserve">up to quota </w:t>
      </w:r>
      <w:r>
        <w:tab/>
        <w:t>76.1 cents</w:t>
      </w:r>
    </w:p>
    <w:p>
      <w:pPr>
        <w:pStyle w:val="yMiscellaneousBody"/>
        <w:tabs>
          <w:tab w:val="right" w:leader="dot" w:pos="6804"/>
        </w:tabs>
        <w:ind w:left="1984" w:right="284" w:hanging="289"/>
      </w:pPr>
      <w:r>
        <w:t xml:space="preserve">over quota but by not more than the </w:t>
      </w:r>
      <w:r>
        <w:br/>
        <w:t xml:space="preserve">shoulder amount </w:t>
      </w:r>
      <w:r>
        <w:tab/>
        <w:t>559.5 cents</w:t>
      </w:r>
    </w:p>
    <w:p>
      <w:pPr>
        <w:pStyle w:val="yMiscellaneousBody"/>
        <w:tabs>
          <w:tab w:val="right" w:leader="dot" w:pos="6804"/>
        </w:tabs>
        <w:ind w:left="1984" w:right="284" w:hanging="289"/>
      </w:pPr>
      <w:r>
        <w:t xml:space="preserve">over quota by more than the shoulder </w:t>
      </w:r>
      <w:r>
        <w:br/>
        <w:t xml:space="preserve">amount </w:t>
      </w:r>
      <w:r>
        <w:tab/>
        <w:t>1 743.4 cents</w:t>
      </w:r>
    </w:p>
    <w:p>
      <w:pPr>
        <w:pStyle w:val="ySubsection"/>
      </w:pPr>
      <w:r>
        <w:tab/>
        <w:t>(2)</w:t>
      </w:r>
      <w:r>
        <w:tab/>
        <w:t>In sub</w:t>
      </w:r>
      <w:r>
        <w:noBreakHyphen/>
        <w:t xml:space="preserve">item (1) — </w:t>
      </w:r>
    </w:p>
    <w:p>
      <w:pPr>
        <w:pStyle w:val="yIndenta"/>
      </w:pPr>
      <w:r>
        <w:tab/>
        <w:t>(a)</w:t>
      </w:r>
      <w:r>
        <w:tab/>
        <w:t>the quota for the charge period is 18 kL plus 4 kL for each resident on the land in excess of 4 residents; and</w:t>
      </w:r>
    </w:p>
    <w:p>
      <w:pPr>
        <w:pStyle w:val="yIndenta"/>
      </w:pPr>
      <w:r>
        <w:tab/>
        <w:t>(b)</w:t>
      </w:r>
      <w:r>
        <w:tab/>
        <w:t>the shoulder amount for the charge period is 3 kL plus 1 kL for each resident on the land in excess of 4 residents.</w:t>
      </w:r>
    </w:p>
    <w:p>
      <w:pPr>
        <w:pStyle w:val="ySubsection"/>
      </w:pPr>
      <w:r>
        <w:tab/>
        <w:t>(3)</w:t>
      </w:r>
      <w:r>
        <w:tab/>
        <w:t xml:space="preserve">For each kilolitre of desalinated water </w:t>
      </w:r>
      <w:r>
        <w:br/>
        <w:t xml:space="preserve">supplied to land in Denham that is not </w:t>
      </w:r>
      <w:r>
        <w:br/>
        <w:t>classified as residential, the charge is —</w:t>
      </w:r>
    </w:p>
    <w:p>
      <w:pPr>
        <w:pStyle w:val="yMiscellaneousBody"/>
        <w:tabs>
          <w:tab w:val="right" w:leader="dot" w:pos="6804"/>
        </w:tabs>
        <w:ind w:left="1984" w:right="284" w:hanging="289"/>
      </w:pPr>
      <w:r>
        <w:t xml:space="preserve">up to quota </w:t>
      </w:r>
      <w:r>
        <w:tab/>
        <w:t>77.6 cents</w:t>
      </w:r>
    </w:p>
    <w:p>
      <w:pPr>
        <w:pStyle w:val="yMiscellaneousBody"/>
        <w:tabs>
          <w:tab w:val="right" w:leader="dot" w:pos="6804"/>
        </w:tabs>
        <w:ind w:left="1984" w:right="284" w:hanging="289"/>
      </w:pPr>
      <w:r>
        <w:t xml:space="preserve">over quota </w:t>
      </w:r>
      <w:r>
        <w:tab/>
        <w:t>1 778.2 cents</w:t>
      </w:r>
    </w:p>
    <w:p>
      <w:pPr>
        <w:pStyle w:val="ySubsection"/>
      </w:pPr>
      <w:r>
        <w:tab/>
        <w:t>(4)</w:t>
      </w:r>
      <w:r>
        <w:tab/>
        <w:t>In sub</w:t>
      </w:r>
      <w:r>
        <w:noBreakHyphen/>
        <w:t>item (3), the quota for the land for the current consumption year is 108 kL or a greater amount specified for the land for the year by the Water Corporation.</w:t>
      </w:r>
    </w:p>
    <w:p>
      <w:pPr>
        <w:pStyle w:val="zyHeading4"/>
      </w:pPr>
      <w:bookmarkStart w:id="201" w:name="_Toc201235733"/>
      <w:bookmarkStart w:id="202" w:name="_Toc201235984"/>
      <w:bookmarkStart w:id="203" w:name="_Toc201236140"/>
      <w:bookmarkStart w:id="204" w:name="_Toc201661644"/>
      <w:r>
        <w:t>Subdivision 3 — Other consumption charges</w:t>
      </w:r>
      <w:bookmarkEnd w:id="201"/>
      <w:bookmarkEnd w:id="202"/>
      <w:bookmarkEnd w:id="203"/>
      <w:bookmarkEnd w:id="204"/>
    </w:p>
    <w:p>
      <w:pPr>
        <w:pStyle w:val="zyHeading5"/>
      </w:pPr>
      <w:bookmarkStart w:id="205" w:name="_Toc201235734"/>
      <w:bookmarkStart w:id="206" w:name="_Toc201661645"/>
      <w:r>
        <w:t>35.</w:t>
      </w:r>
      <w:r>
        <w:tab/>
        <w:t>Local government standpipes</w:t>
      </w:r>
      <w:bookmarkEnd w:id="205"/>
      <w:bookmarkEnd w:id="206"/>
    </w:p>
    <w:p>
      <w:pPr>
        <w:pStyle w:val="ySubsection"/>
        <w:tabs>
          <w:tab w:val="right" w:leader="dot" w:pos="6804"/>
        </w:tabs>
      </w:pPr>
      <w:r>
        <w:tab/>
      </w:r>
      <w:r>
        <w:tab/>
        <w:t xml:space="preserve">For each kilolitre of water supplied </w:t>
      </w:r>
      <w:r>
        <w:br/>
        <w:t xml:space="preserve">through a local government standpipe, </w:t>
      </w:r>
      <w:r>
        <w:br/>
        <w:t xml:space="preserve">the charge is </w:t>
      </w:r>
      <w:r>
        <w:tab/>
        <w:t>301.2 cents</w:t>
      </w:r>
    </w:p>
    <w:p>
      <w:pPr>
        <w:pStyle w:val="zyHeading5"/>
      </w:pPr>
      <w:bookmarkStart w:id="207" w:name="_Toc201235735"/>
      <w:bookmarkStart w:id="208" w:name="_Toc201661646"/>
      <w:r>
        <w:lastRenderedPageBreak/>
        <w:t>36.</w:t>
      </w:r>
      <w:r>
        <w:tab/>
        <w:t>Shipping</w:t>
      </w:r>
      <w:bookmarkEnd w:id="207"/>
      <w:bookmarkEnd w:id="208"/>
    </w:p>
    <w:p>
      <w:pPr>
        <w:pStyle w:val="ySubsection"/>
        <w:keepNext/>
      </w:pPr>
      <w:r>
        <w:tab/>
      </w:r>
      <w:r>
        <w:tab/>
        <w:t>For each kilolitre of water supplied for the purpose of being taken on board any ship in port —</w:t>
      </w:r>
    </w:p>
    <w:p>
      <w:pPr>
        <w:pStyle w:val="yIndenta"/>
        <w:tabs>
          <w:tab w:val="right" w:leader="dot" w:pos="6804"/>
        </w:tabs>
      </w:pPr>
      <w:r>
        <w:tab/>
        <w:t>(a)</w:t>
      </w:r>
      <w:r>
        <w:tab/>
        <w:t xml:space="preserve">for a port in </w:t>
      </w:r>
      <w:r>
        <w:rPr>
          <w:szCs w:val="22"/>
        </w:rPr>
        <w:t>the</w:t>
      </w:r>
      <w:r>
        <w:t xml:space="preserve"> metropolitan area, </w:t>
      </w:r>
      <w:r>
        <w:br/>
        <w:t xml:space="preserve">the charge is </w:t>
      </w:r>
      <w:r>
        <w:tab/>
        <w:t>292.1 cents</w:t>
      </w:r>
    </w:p>
    <w:p>
      <w:pPr>
        <w:pStyle w:val="yIndenta"/>
        <w:rPr>
          <w:szCs w:val="22"/>
        </w:rPr>
      </w:pPr>
      <w:r>
        <w:rPr>
          <w:szCs w:val="22"/>
        </w:rPr>
        <w:tab/>
        <w:t>(b)</w:t>
      </w:r>
      <w:r>
        <w:rPr>
          <w:szCs w:val="22"/>
        </w:rPr>
        <w:tab/>
        <w:t>for a port in the non</w:t>
      </w:r>
      <w:r>
        <w:rPr>
          <w:szCs w:val="22"/>
        </w:rPr>
        <w:noBreakHyphen/>
        <w:t xml:space="preserve">metropolitan area, the charge is the charge applicable </w:t>
      </w:r>
      <w:r>
        <w:t>in</w:t>
      </w:r>
      <w:r>
        <w:rPr>
          <w:szCs w:val="22"/>
        </w:rPr>
        <w:t xml:space="preserve"> the Table in item 24 according to the non</w:t>
      </w:r>
      <w:r>
        <w:rPr>
          <w:szCs w:val="22"/>
        </w:rPr>
        <w:noBreakHyphen/>
        <w:t>residential class of the town or area in which the port is located.</w:t>
      </w:r>
    </w:p>
    <w:p>
      <w:pPr>
        <w:pStyle w:val="zyHeading5"/>
      </w:pPr>
      <w:bookmarkStart w:id="209" w:name="_Toc201235736"/>
      <w:bookmarkStart w:id="210" w:name="_Toc201661647"/>
      <w:r>
        <w:t>37.</w:t>
      </w:r>
      <w:r>
        <w:tab/>
        <w:t>Stock</w:t>
      </w:r>
      <w:bookmarkEnd w:id="209"/>
      <w:bookmarkEnd w:id="210"/>
    </w:p>
    <w:p>
      <w:pPr>
        <w:pStyle w:val="ySubsection"/>
        <w:tabs>
          <w:tab w:val="right" w:leader="dot" w:pos="6804"/>
        </w:tabs>
      </w:pPr>
      <w:r>
        <w:tab/>
      </w:r>
      <w:r>
        <w:tab/>
        <w:t xml:space="preserve">For each kilolitre of water supplied through </w:t>
      </w:r>
      <w:r>
        <w:br/>
        <w:t xml:space="preserve">a water supply connection solely for the </w:t>
      </w:r>
      <w:r>
        <w:br/>
        <w:t xml:space="preserve">purpose of watering stock, the charge is </w:t>
      </w:r>
      <w:r>
        <w:tab/>
        <w:t>301.2 cents</w:t>
      </w:r>
    </w:p>
    <w:p>
      <w:pPr>
        <w:pStyle w:val="zyHeading5"/>
      </w:pPr>
      <w:bookmarkStart w:id="211" w:name="_Toc201235737"/>
      <w:bookmarkStart w:id="212" w:name="_Toc201661648"/>
      <w:r>
        <w:t>38.</w:t>
      </w:r>
      <w:r>
        <w:tab/>
        <w:t>Hydrant standpipes</w:t>
      </w:r>
      <w:bookmarkEnd w:id="211"/>
      <w:bookmarkEnd w:id="212"/>
    </w:p>
    <w:p>
      <w:pPr>
        <w:pStyle w:val="ySubsection"/>
        <w:tabs>
          <w:tab w:val="right" w:leader="dot" w:pos="6804"/>
        </w:tabs>
      </w:pPr>
      <w:r>
        <w:tab/>
      </w:r>
      <w:r>
        <w:tab/>
        <w:t xml:space="preserve">For each kilolitre of water supplied </w:t>
      </w:r>
      <w:r>
        <w:br/>
        <w:t xml:space="preserve">through a hydrant standpipe, the charge is </w:t>
      </w:r>
      <w:r>
        <w:tab/>
        <w:t>292.1 cents</w:t>
      </w:r>
    </w:p>
    <w:p>
      <w:pPr>
        <w:pStyle w:val="zyHeading2"/>
      </w:pPr>
      <w:bookmarkStart w:id="213" w:name="_Toc201235738"/>
      <w:bookmarkStart w:id="214" w:name="_Toc201235989"/>
      <w:bookmarkStart w:id="215" w:name="_Toc201236145"/>
      <w:bookmarkStart w:id="216" w:name="_Toc201661649"/>
      <w:r>
        <w:t>Schedule 4 — Sewerage charges for Water Corporation</w:t>
      </w:r>
      <w:bookmarkEnd w:id="213"/>
      <w:bookmarkEnd w:id="214"/>
      <w:bookmarkEnd w:id="215"/>
      <w:bookmarkEnd w:id="216"/>
    </w:p>
    <w:p>
      <w:pPr>
        <w:pStyle w:val="yShoulderClause"/>
      </w:pPr>
      <w:r>
        <w:t>[r. 24, 39 and 41]</w:t>
      </w:r>
    </w:p>
    <w:p>
      <w:pPr>
        <w:pStyle w:val="zyHeading3"/>
      </w:pPr>
      <w:bookmarkStart w:id="217" w:name="_Toc201235739"/>
      <w:bookmarkStart w:id="218" w:name="_Toc201235990"/>
      <w:bookmarkStart w:id="219" w:name="_Toc201236146"/>
      <w:bookmarkStart w:id="220" w:name="_Toc201661650"/>
      <w:r>
        <w:t>Division 1 — Service charges</w:t>
      </w:r>
      <w:bookmarkEnd w:id="217"/>
      <w:bookmarkEnd w:id="218"/>
      <w:bookmarkEnd w:id="219"/>
      <w:bookmarkEnd w:id="220"/>
    </w:p>
    <w:p>
      <w:pPr>
        <w:pStyle w:val="zyHeading5"/>
      </w:pPr>
      <w:bookmarkStart w:id="221" w:name="_Toc201235740"/>
      <w:bookmarkStart w:id="222" w:name="_Toc201661651"/>
      <w:r>
        <w:t>1.</w:t>
      </w:r>
      <w:r>
        <w:tab/>
        <w:t>Service charges for 2025/26 and subsequent years</w:t>
      </w:r>
      <w:bookmarkEnd w:id="221"/>
      <w:bookmarkEnd w:id="222"/>
    </w:p>
    <w:p>
      <w:pPr>
        <w:pStyle w:val="ySubsection"/>
      </w:pPr>
      <w:r>
        <w:tab/>
      </w:r>
      <w:r>
        <w:tab/>
        <w:t>The charges set out in this Division apply for sewerage services provided in the</w:t>
      </w:r>
      <w:r>
        <w:rPr>
          <w:szCs w:val="22"/>
        </w:rPr>
        <w:t xml:space="preserve"> 2025/26</w:t>
      </w:r>
      <w:r>
        <w:t> financial year and each subsequent year.</w:t>
      </w:r>
    </w:p>
    <w:p>
      <w:pPr>
        <w:pStyle w:val="zyHeading5"/>
      </w:pPr>
      <w:bookmarkStart w:id="223" w:name="_Toc201235741"/>
      <w:bookmarkStart w:id="224" w:name="_Toc201661652"/>
      <w:r>
        <w:t>2.</w:t>
      </w:r>
      <w:r>
        <w:tab/>
        <w:t>Metropolitan residential</w:t>
      </w:r>
      <w:bookmarkEnd w:id="223"/>
      <w:bookmarkEnd w:id="224"/>
    </w:p>
    <w:p>
      <w:pPr>
        <w:pStyle w:val="ySubsection"/>
      </w:pPr>
      <w:r>
        <w:tab/>
        <w:t>(1)</w:t>
      </w:r>
      <w:r>
        <w:tab/>
        <w:t>For each residential property in the metropolitan area that —</w:t>
      </w:r>
    </w:p>
    <w:p>
      <w:pPr>
        <w:pStyle w:val="yIndenta"/>
      </w:pPr>
      <w:r>
        <w:tab/>
        <w:t>(a)</w:t>
      </w:r>
      <w:r>
        <w:tab/>
        <w:t>is not covered by item 4 or 5; and</w:t>
      </w:r>
    </w:p>
    <w:p>
      <w:pPr>
        <w:pStyle w:val="yIndenta"/>
        <w:keepNext/>
      </w:pPr>
      <w:r>
        <w:lastRenderedPageBreak/>
        <w:tab/>
        <w:t>(b)</w:t>
      </w:r>
      <w:r>
        <w:tab/>
        <w:t>is not a caravan park or a nursing home,</w:t>
      </w:r>
    </w:p>
    <w:p>
      <w:pPr>
        <w:pStyle w:val="ySubsection"/>
        <w:keepNext/>
      </w:pPr>
      <w:r>
        <w:tab/>
      </w:r>
      <w:r>
        <w:tab/>
        <w:t>the charge, per dwelling on the land, is —</w:t>
      </w:r>
    </w:p>
    <w:p>
      <w:pPr>
        <w:pStyle w:val="yMiscellaneousBody"/>
        <w:tabs>
          <w:tab w:val="right" w:leader="dot" w:pos="6804"/>
        </w:tabs>
        <w:ind w:left="1984" w:right="284" w:hanging="289"/>
      </w:pPr>
      <w:r>
        <w:t xml:space="preserve">up to $20 000 GRV </w:t>
      </w:r>
      <w:r>
        <w:tab/>
        <w:t>4.551 cents/$</w:t>
      </w:r>
    </w:p>
    <w:p>
      <w:pPr>
        <w:pStyle w:val="yMiscellaneousBody"/>
        <w:spacing w:before="0"/>
        <w:ind w:left="2183" w:right="284" w:hanging="851"/>
        <w:jc w:val="right"/>
      </w:pPr>
      <w:r>
        <w:tab/>
        <w:t>of GRV</w:t>
      </w:r>
    </w:p>
    <w:p>
      <w:pPr>
        <w:pStyle w:val="yMiscellaneousBody"/>
        <w:tabs>
          <w:tab w:val="right" w:leader="dot" w:pos="6804"/>
        </w:tabs>
        <w:ind w:left="1984" w:right="284" w:hanging="289"/>
      </w:pPr>
      <w:r>
        <w:t xml:space="preserve">over $20 000 GRV </w:t>
      </w:r>
      <w:r>
        <w:tab/>
        <w:t>3.946 cents/$</w:t>
      </w:r>
    </w:p>
    <w:p>
      <w:pPr>
        <w:pStyle w:val="yMiscellaneousBody"/>
        <w:spacing w:before="0"/>
        <w:ind w:left="2183" w:right="284" w:hanging="851"/>
        <w:jc w:val="right"/>
      </w:pPr>
      <w:r>
        <w:tab/>
        <w:t>of GRV</w:t>
      </w:r>
    </w:p>
    <w:p>
      <w:pPr>
        <w:pStyle w:val="ySubsection"/>
        <w:tabs>
          <w:tab w:val="right" w:leader="dot" w:pos="6804"/>
        </w:tabs>
      </w:pPr>
      <w:r>
        <w:tab/>
        <w:t>(2)</w:t>
      </w:r>
      <w:r>
        <w:tab/>
        <w:t xml:space="preserve">The minimum charge per dwelling </w:t>
      </w:r>
      <w:r>
        <w:br/>
        <w:t xml:space="preserve">under this item is </w:t>
      </w:r>
      <w:r>
        <w:tab/>
      </w:r>
      <w:r>
        <w:rPr>
          <w:szCs w:val="22"/>
        </w:rPr>
        <w:t>$493.17</w:t>
      </w:r>
    </w:p>
    <w:p>
      <w:pPr>
        <w:pStyle w:val="zyHeading5"/>
      </w:pPr>
      <w:bookmarkStart w:id="225" w:name="_Toc201235742"/>
      <w:bookmarkStart w:id="226" w:name="_Toc201661653"/>
      <w:r>
        <w:t>3.</w:t>
      </w:r>
      <w:r>
        <w:tab/>
        <w:t>Metropolitan vacant land</w:t>
      </w:r>
      <w:bookmarkEnd w:id="225"/>
      <w:bookmarkEnd w:id="226"/>
    </w:p>
    <w:p>
      <w:pPr>
        <w:pStyle w:val="ySubsection"/>
        <w:tabs>
          <w:tab w:val="right" w:leader="dot" w:pos="6804"/>
        </w:tabs>
      </w:pPr>
      <w:r>
        <w:tab/>
        <w:t>(1)</w:t>
      </w:r>
      <w:r>
        <w:tab/>
        <w:t xml:space="preserve">For land in the metropolitan area that is </w:t>
      </w:r>
      <w:r>
        <w:br/>
        <w:t xml:space="preserve">classified as vacant land, the charge is </w:t>
      </w:r>
      <w:r>
        <w:tab/>
        <w:t>2.499 cents/$</w:t>
      </w:r>
    </w:p>
    <w:p>
      <w:pPr>
        <w:pStyle w:val="yMiscellaneousBody"/>
        <w:spacing w:before="0"/>
        <w:ind w:left="2183" w:right="284" w:hanging="851"/>
        <w:jc w:val="right"/>
      </w:pPr>
      <w:r>
        <w:tab/>
        <w:t>of GRV</w:t>
      </w:r>
    </w:p>
    <w:p>
      <w:pPr>
        <w:pStyle w:val="ySubsection"/>
        <w:tabs>
          <w:tab w:val="right" w:leader="dot" w:pos="6804"/>
        </w:tabs>
      </w:pPr>
      <w:r>
        <w:tab/>
        <w:t>(2)</w:t>
      </w:r>
      <w:r>
        <w:tab/>
        <w:t xml:space="preserve">The minimum charge under this item is </w:t>
      </w:r>
      <w:r>
        <w:tab/>
      </w:r>
      <w:r>
        <w:rPr>
          <w:szCs w:val="22"/>
        </w:rPr>
        <w:t>$370.80</w:t>
      </w:r>
    </w:p>
    <w:p>
      <w:pPr>
        <w:pStyle w:val="zyHeading5"/>
      </w:pPr>
      <w:bookmarkStart w:id="227" w:name="_Toc201235743"/>
      <w:bookmarkStart w:id="228" w:name="_Toc201661654"/>
      <w:r>
        <w:t>4.</w:t>
      </w:r>
      <w:r>
        <w:tab/>
        <w:t>Metropolitan concessional</w:t>
      </w:r>
      <w:bookmarkEnd w:id="227"/>
      <w:bookmarkEnd w:id="228"/>
    </w:p>
    <w:p>
      <w:pPr>
        <w:pStyle w:val="ySubsection"/>
      </w:pPr>
      <w:r>
        <w:tab/>
        <w:t>(1)</w:t>
      </w:r>
      <w:r>
        <w:tab/>
        <w:t>For land in the metropolitan area that is classified as —</w:t>
      </w:r>
    </w:p>
    <w:p>
      <w:pPr>
        <w:pStyle w:val="yIndenta"/>
      </w:pPr>
      <w:r>
        <w:tab/>
        <w:t>(a)</w:t>
      </w:r>
      <w:r>
        <w:tab/>
        <w:t>aged home; or</w:t>
      </w:r>
    </w:p>
    <w:p>
      <w:pPr>
        <w:pStyle w:val="yIndenta"/>
      </w:pPr>
      <w:r>
        <w:tab/>
        <w:t>(b)</w:t>
      </w:r>
      <w:r>
        <w:tab/>
        <w:t xml:space="preserve">charitable purposes or community </w:t>
      </w:r>
      <w:r>
        <w:br/>
        <w:t>purpose,</w:t>
      </w:r>
    </w:p>
    <w:p>
      <w:pPr>
        <w:pStyle w:val="ySubsection"/>
      </w:pPr>
      <w:r>
        <w:tab/>
      </w:r>
      <w:r>
        <w:tab/>
        <w:t>the charge, according to the classification of the land and the number of major fixtures on the land, is the sum of the discounted charges for each fixture, as set out in the Table to this sub</w:t>
      </w:r>
      <w:r>
        <w:noBreakHyphen/>
        <w:t>item.</w:t>
      </w:r>
    </w:p>
    <w:p>
      <w:pPr>
        <w:pStyle w:val="yTHeadingNAm"/>
      </w:pPr>
      <w:r>
        <w:t>Table of major fixture</w:t>
      </w:r>
      <w:r>
        <w:noBreakHyphen/>
        <w:t>based charges and discounts</w:t>
      </w:r>
    </w:p>
    <w:tbl>
      <w:tblPr>
        <w:tblW w:w="7088" w:type="dxa"/>
        <w:tblLayout w:type="fixed"/>
        <w:tblLook w:val="0000" w:firstRow="0" w:lastRow="0" w:firstColumn="0" w:lastColumn="0" w:noHBand="0" w:noVBand="0"/>
      </w:tblPr>
      <w:tblGrid>
        <w:gridCol w:w="1418"/>
        <w:gridCol w:w="1134"/>
        <w:gridCol w:w="992"/>
        <w:gridCol w:w="1276"/>
        <w:gridCol w:w="992"/>
        <w:gridCol w:w="1276"/>
      </w:tblGrid>
      <w:tr>
        <w:trPr>
          <w:cantSplit/>
          <w:tblHeader/>
        </w:trPr>
        <w:tc>
          <w:tcPr>
            <w:tcW w:w="1418" w:type="dxa"/>
            <w:vMerge w:val="restart"/>
            <w:tcBorders>
              <w:top w:val="single" w:sz="4" w:space="0" w:color="auto"/>
            </w:tcBorders>
            <w:noWrap/>
          </w:tcPr>
          <w:p>
            <w:pPr>
              <w:pStyle w:val="zyTableNAm"/>
              <w:jc w:val="center"/>
              <w:rPr>
                <w:b/>
              </w:rPr>
            </w:pPr>
          </w:p>
        </w:tc>
        <w:tc>
          <w:tcPr>
            <w:tcW w:w="1134" w:type="dxa"/>
            <w:tcBorders>
              <w:top w:val="single" w:sz="4" w:space="0" w:color="auto"/>
              <w:right w:val="single" w:sz="4" w:space="0" w:color="auto"/>
            </w:tcBorders>
            <w:noWrap/>
          </w:tcPr>
          <w:p/>
        </w:tc>
        <w:tc>
          <w:tcPr>
            <w:tcW w:w="2268" w:type="dxa"/>
            <w:gridSpan w:val="2"/>
            <w:tcBorders>
              <w:top w:val="single" w:sz="4" w:space="0" w:color="auto"/>
              <w:left w:val="single" w:sz="4" w:space="0" w:color="auto"/>
              <w:bottom w:val="single" w:sz="4" w:space="0" w:color="auto"/>
              <w:right w:val="single" w:sz="4" w:space="0" w:color="auto"/>
            </w:tcBorders>
            <w:noWrap/>
          </w:tcPr>
          <w:p>
            <w:pPr>
              <w:pStyle w:val="yTableNAm"/>
              <w:jc w:val="center"/>
            </w:pPr>
            <w:r>
              <w:rPr>
                <w:b/>
              </w:rPr>
              <w:t>Aged home</w:t>
            </w:r>
          </w:p>
        </w:tc>
        <w:tc>
          <w:tcPr>
            <w:tcW w:w="2268" w:type="dxa"/>
            <w:gridSpan w:val="2"/>
            <w:tcBorders>
              <w:top w:val="single" w:sz="4" w:space="0" w:color="auto"/>
              <w:left w:val="single" w:sz="4" w:space="0" w:color="auto"/>
              <w:bottom w:val="single" w:sz="4" w:space="0" w:color="auto"/>
            </w:tcBorders>
            <w:noWrap/>
          </w:tcPr>
          <w:p>
            <w:pPr>
              <w:pStyle w:val="yTableNAm"/>
              <w:jc w:val="center"/>
            </w:pPr>
            <w:r>
              <w:rPr>
                <w:b/>
              </w:rPr>
              <w:t>Charitable purposes or community purpose</w:t>
            </w:r>
          </w:p>
        </w:tc>
      </w:tr>
      <w:tr>
        <w:trPr>
          <w:cantSplit/>
          <w:tblHeader/>
        </w:trPr>
        <w:tc>
          <w:tcPr>
            <w:tcW w:w="1418" w:type="dxa"/>
            <w:vMerge/>
            <w:tcBorders>
              <w:bottom w:val="single" w:sz="4" w:space="0" w:color="auto"/>
            </w:tcBorders>
            <w:noWrap/>
            <w:vAlign w:val="center"/>
          </w:tcPr>
          <w:p>
            <w:pPr>
              <w:pStyle w:val="zyTableNAm"/>
              <w:jc w:val="center"/>
              <w:rPr>
                <w:b/>
              </w:rPr>
            </w:pPr>
          </w:p>
        </w:tc>
        <w:tc>
          <w:tcPr>
            <w:tcW w:w="1134" w:type="dxa"/>
            <w:tcBorders>
              <w:bottom w:val="single" w:sz="4" w:space="0" w:color="auto"/>
              <w:right w:val="single" w:sz="4" w:space="0" w:color="auto"/>
            </w:tcBorders>
            <w:noWrap/>
            <w:vAlign w:val="center"/>
          </w:tcPr>
          <w:p>
            <w:pPr>
              <w:pStyle w:val="yTableNAm"/>
              <w:jc w:val="center"/>
            </w:pPr>
            <w:r>
              <w:rPr>
                <w:b/>
                <w:sz w:val="20"/>
              </w:rPr>
              <w:t>Charge</w:t>
            </w:r>
            <w:r>
              <w:rPr>
                <w:b/>
                <w:sz w:val="20"/>
              </w:rPr>
              <w:br/>
            </w:r>
            <w:r>
              <w:rPr>
                <w:b/>
                <w:sz w:val="20"/>
              </w:rPr>
              <w:br/>
              <w:t>$</w:t>
            </w:r>
          </w:p>
        </w:tc>
        <w:tc>
          <w:tcPr>
            <w:tcW w:w="992" w:type="dxa"/>
            <w:tcBorders>
              <w:top w:val="single" w:sz="4" w:space="0" w:color="auto"/>
              <w:left w:val="single" w:sz="4" w:space="0" w:color="auto"/>
              <w:bottom w:val="single" w:sz="4" w:space="0" w:color="auto"/>
            </w:tcBorders>
            <w:noWrap/>
            <w:vAlign w:val="center"/>
          </w:tcPr>
          <w:p>
            <w:pPr>
              <w:pStyle w:val="yTableNAm"/>
              <w:jc w:val="center"/>
            </w:pPr>
            <w:r>
              <w:rPr>
                <w:b/>
                <w:sz w:val="20"/>
              </w:rPr>
              <w:t>Discount</w:t>
            </w:r>
            <w:r>
              <w:rPr>
                <w:b/>
                <w:sz w:val="20"/>
              </w:rPr>
              <w:br/>
            </w:r>
            <w:r>
              <w:rPr>
                <w:b/>
                <w:sz w:val="20"/>
              </w:rPr>
              <w:br/>
              <w:t>$</w:t>
            </w:r>
          </w:p>
        </w:tc>
        <w:tc>
          <w:tcPr>
            <w:tcW w:w="1276" w:type="dxa"/>
            <w:tcBorders>
              <w:top w:val="single" w:sz="4" w:space="0" w:color="auto"/>
              <w:bottom w:val="single" w:sz="4" w:space="0" w:color="auto"/>
              <w:right w:val="single" w:sz="4" w:space="0" w:color="auto"/>
            </w:tcBorders>
            <w:noWrap/>
            <w:vAlign w:val="center"/>
          </w:tcPr>
          <w:p>
            <w:pPr>
              <w:pStyle w:val="yTableNAm"/>
              <w:jc w:val="center"/>
            </w:pPr>
            <w:r>
              <w:rPr>
                <w:b/>
                <w:sz w:val="20"/>
              </w:rPr>
              <w:t>Discounted charge</w:t>
            </w:r>
            <w:r>
              <w:rPr>
                <w:b/>
                <w:sz w:val="20"/>
              </w:rPr>
              <w:br/>
              <w:t>$</w:t>
            </w:r>
          </w:p>
        </w:tc>
        <w:tc>
          <w:tcPr>
            <w:tcW w:w="992" w:type="dxa"/>
            <w:tcBorders>
              <w:top w:val="single" w:sz="4" w:space="0" w:color="auto"/>
              <w:left w:val="single" w:sz="4" w:space="0" w:color="auto"/>
              <w:bottom w:val="single" w:sz="4" w:space="0" w:color="auto"/>
            </w:tcBorders>
            <w:noWrap/>
            <w:vAlign w:val="center"/>
          </w:tcPr>
          <w:p>
            <w:pPr>
              <w:pStyle w:val="yTableNAm"/>
              <w:jc w:val="center"/>
            </w:pPr>
            <w:r>
              <w:rPr>
                <w:b/>
                <w:sz w:val="20"/>
              </w:rPr>
              <w:t>Discount</w:t>
            </w:r>
            <w:r>
              <w:rPr>
                <w:b/>
                <w:sz w:val="20"/>
              </w:rPr>
              <w:br/>
            </w:r>
            <w:r>
              <w:rPr>
                <w:b/>
                <w:sz w:val="20"/>
              </w:rPr>
              <w:br/>
              <w:t>$</w:t>
            </w:r>
          </w:p>
        </w:tc>
        <w:tc>
          <w:tcPr>
            <w:tcW w:w="1276" w:type="dxa"/>
            <w:tcBorders>
              <w:top w:val="single" w:sz="4" w:space="0" w:color="auto"/>
              <w:bottom w:val="single" w:sz="4" w:space="0" w:color="auto"/>
            </w:tcBorders>
            <w:noWrap/>
            <w:vAlign w:val="center"/>
          </w:tcPr>
          <w:p>
            <w:pPr>
              <w:pStyle w:val="yTableNAm"/>
              <w:jc w:val="center"/>
            </w:pPr>
            <w:r>
              <w:rPr>
                <w:b/>
                <w:sz w:val="20"/>
              </w:rPr>
              <w:t>Discounted charge</w:t>
            </w:r>
            <w:r>
              <w:rPr>
                <w:b/>
                <w:sz w:val="20"/>
              </w:rPr>
              <w:br/>
              <w:t>$</w:t>
            </w:r>
          </w:p>
        </w:tc>
      </w:tr>
      <w:tr>
        <w:trPr>
          <w:cantSplit/>
        </w:trPr>
        <w:tc>
          <w:tcPr>
            <w:tcW w:w="1418" w:type="dxa"/>
            <w:noWrap/>
            <w:tcMar>
              <w:left w:w="62" w:type="dxa"/>
              <w:right w:w="62" w:type="dxa"/>
            </w:tcMar>
          </w:tcPr>
          <w:p>
            <w:pPr>
              <w:pStyle w:val="yTableNAm"/>
              <w:tabs>
                <w:tab w:val="clear" w:pos="567"/>
                <w:tab w:val="left" w:pos="679"/>
              </w:tabs>
              <w:ind w:left="334" w:hanging="334"/>
            </w:pPr>
            <w:r>
              <w:t>1</w:t>
            </w:r>
            <w:r>
              <w:rPr>
                <w:vertAlign w:val="superscript"/>
              </w:rPr>
              <w:t>st</w:t>
            </w:r>
            <w:r>
              <w:tab/>
              <w:t>fixture</w:t>
            </w:r>
          </w:p>
        </w:tc>
        <w:tc>
          <w:tcPr>
            <w:tcW w:w="1134" w:type="dxa"/>
            <w:tcBorders>
              <w:right w:val="single" w:sz="4" w:space="0" w:color="auto"/>
            </w:tcBorders>
            <w:noWrap/>
          </w:tcPr>
          <w:p>
            <w:pPr>
              <w:pStyle w:val="yTableNAm"/>
              <w:jc w:val="center"/>
            </w:pPr>
            <w:r>
              <w:t>1 184.25</w:t>
            </w:r>
          </w:p>
        </w:tc>
        <w:tc>
          <w:tcPr>
            <w:tcW w:w="992" w:type="dxa"/>
            <w:tcBorders>
              <w:left w:val="single" w:sz="4" w:space="0" w:color="auto"/>
            </w:tcBorders>
            <w:noWrap/>
          </w:tcPr>
          <w:p>
            <w:pPr>
              <w:pStyle w:val="yTableNAm"/>
              <w:jc w:val="center"/>
            </w:pPr>
            <w:r>
              <w:t>866.07</w:t>
            </w:r>
          </w:p>
        </w:tc>
        <w:tc>
          <w:tcPr>
            <w:tcW w:w="1276" w:type="dxa"/>
            <w:tcBorders>
              <w:right w:val="single" w:sz="4" w:space="0" w:color="auto"/>
            </w:tcBorders>
            <w:noWrap/>
          </w:tcPr>
          <w:p>
            <w:pPr>
              <w:pStyle w:val="yTableNAm"/>
              <w:jc w:val="center"/>
            </w:pPr>
            <w:r>
              <w:t>318.18</w:t>
            </w:r>
          </w:p>
        </w:tc>
        <w:tc>
          <w:tcPr>
            <w:tcW w:w="992" w:type="dxa"/>
            <w:tcBorders>
              <w:left w:val="single" w:sz="4" w:space="0" w:color="auto"/>
            </w:tcBorders>
            <w:noWrap/>
          </w:tcPr>
          <w:p>
            <w:pPr>
              <w:pStyle w:val="yTableNAm"/>
              <w:jc w:val="center"/>
              <w:rPr>
                <w:b/>
                <w:i/>
              </w:rPr>
            </w:pPr>
            <w:r>
              <w:t>866.07</w:t>
            </w:r>
          </w:p>
        </w:tc>
        <w:tc>
          <w:tcPr>
            <w:tcW w:w="1276" w:type="dxa"/>
            <w:noWrap/>
          </w:tcPr>
          <w:p>
            <w:pPr>
              <w:pStyle w:val="yTableNAm"/>
              <w:jc w:val="center"/>
            </w:pPr>
            <w:r>
              <w:t>318.18</w:t>
            </w:r>
          </w:p>
        </w:tc>
      </w:tr>
      <w:tr>
        <w:trPr>
          <w:cantSplit/>
        </w:trPr>
        <w:tc>
          <w:tcPr>
            <w:tcW w:w="1418" w:type="dxa"/>
            <w:noWrap/>
            <w:tcMar>
              <w:left w:w="62" w:type="dxa"/>
              <w:right w:w="62" w:type="dxa"/>
            </w:tcMar>
          </w:tcPr>
          <w:p>
            <w:pPr>
              <w:pStyle w:val="yTableNAm"/>
              <w:tabs>
                <w:tab w:val="clear" w:pos="567"/>
                <w:tab w:val="left" w:pos="679"/>
              </w:tabs>
              <w:ind w:left="334" w:hanging="334"/>
            </w:pPr>
            <w:r>
              <w:t>2</w:t>
            </w:r>
            <w:r>
              <w:rPr>
                <w:vertAlign w:val="superscript"/>
              </w:rPr>
              <w:t>nd</w:t>
            </w:r>
            <w:r>
              <w:tab/>
              <w:t>fixture</w:t>
            </w:r>
          </w:p>
        </w:tc>
        <w:tc>
          <w:tcPr>
            <w:tcW w:w="1134" w:type="dxa"/>
            <w:tcBorders>
              <w:right w:val="single" w:sz="4" w:space="0" w:color="auto"/>
            </w:tcBorders>
            <w:noWrap/>
          </w:tcPr>
          <w:p>
            <w:pPr>
              <w:pStyle w:val="yTableNAm"/>
              <w:jc w:val="center"/>
            </w:pPr>
            <w:r>
              <w:t>506.92</w:t>
            </w:r>
          </w:p>
        </w:tc>
        <w:tc>
          <w:tcPr>
            <w:tcW w:w="992" w:type="dxa"/>
            <w:tcBorders>
              <w:left w:val="single" w:sz="4" w:space="0" w:color="auto"/>
            </w:tcBorders>
            <w:noWrap/>
          </w:tcPr>
          <w:p>
            <w:pPr>
              <w:pStyle w:val="yTableNAm"/>
              <w:jc w:val="center"/>
            </w:pPr>
            <w:r>
              <w:t>366.94</w:t>
            </w:r>
          </w:p>
        </w:tc>
        <w:tc>
          <w:tcPr>
            <w:tcW w:w="1276" w:type="dxa"/>
            <w:tcBorders>
              <w:right w:val="single" w:sz="4" w:space="0" w:color="auto"/>
            </w:tcBorders>
            <w:noWrap/>
          </w:tcPr>
          <w:p>
            <w:pPr>
              <w:pStyle w:val="yTableNAm"/>
              <w:jc w:val="center"/>
            </w:pPr>
            <w:r>
              <w:t>139.98</w:t>
            </w:r>
          </w:p>
        </w:tc>
        <w:tc>
          <w:tcPr>
            <w:tcW w:w="992" w:type="dxa"/>
            <w:tcBorders>
              <w:left w:val="single" w:sz="4" w:space="0" w:color="auto"/>
            </w:tcBorders>
            <w:noWrap/>
          </w:tcPr>
          <w:p>
            <w:pPr>
              <w:pStyle w:val="yTableNAm"/>
              <w:jc w:val="center"/>
            </w:pPr>
            <w:r>
              <w:t>188.74</w:t>
            </w:r>
          </w:p>
        </w:tc>
        <w:tc>
          <w:tcPr>
            <w:tcW w:w="1276" w:type="dxa"/>
            <w:noWrap/>
          </w:tcPr>
          <w:p>
            <w:pPr>
              <w:pStyle w:val="yTableNAm"/>
              <w:jc w:val="center"/>
            </w:pPr>
            <w:r>
              <w:t>318.18</w:t>
            </w:r>
          </w:p>
        </w:tc>
      </w:tr>
      <w:tr>
        <w:trPr>
          <w:cantSplit/>
        </w:trPr>
        <w:tc>
          <w:tcPr>
            <w:tcW w:w="1418" w:type="dxa"/>
            <w:noWrap/>
            <w:tcMar>
              <w:left w:w="57" w:type="dxa"/>
              <w:right w:w="57" w:type="dxa"/>
            </w:tcMar>
          </w:tcPr>
          <w:p>
            <w:pPr>
              <w:pStyle w:val="yTableNAm"/>
              <w:tabs>
                <w:tab w:val="clear" w:pos="567"/>
                <w:tab w:val="left" w:pos="679"/>
              </w:tabs>
              <w:ind w:left="334" w:hanging="334"/>
            </w:pPr>
            <w:r>
              <w:lastRenderedPageBreak/>
              <w:t>3</w:t>
            </w:r>
            <w:r>
              <w:rPr>
                <w:vertAlign w:val="superscript"/>
              </w:rPr>
              <w:t>rd</w:t>
            </w:r>
            <w:r>
              <w:tab/>
              <w:t>fixture</w:t>
            </w:r>
          </w:p>
        </w:tc>
        <w:tc>
          <w:tcPr>
            <w:tcW w:w="1134" w:type="dxa"/>
            <w:tcBorders>
              <w:right w:val="single" w:sz="4" w:space="0" w:color="auto"/>
            </w:tcBorders>
            <w:noWrap/>
          </w:tcPr>
          <w:p>
            <w:pPr>
              <w:pStyle w:val="yTableNAm"/>
              <w:jc w:val="center"/>
            </w:pPr>
            <w:r>
              <w:t>676.99</w:t>
            </w:r>
          </w:p>
        </w:tc>
        <w:tc>
          <w:tcPr>
            <w:tcW w:w="992" w:type="dxa"/>
            <w:tcBorders>
              <w:left w:val="single" w:sz="4" w:space="0" w:color="auto"/>
            </w:tcBorders>
            <w:noWrap/>
          </w:tcPr>
          <w:p>
            <w:pPr>
              <w:pStyle w:val="yTableNAm"/>
              <w:jc w:val="center"/>
            </w:pPr>
            <w:r>
              <w:t>537.01</w:t>
            </w:r>
          </w:p>
        </w:tc>
        <w:tc>
          <w:tcPr>
            <w:tcW w:w="1276" w:type="dxa"/>
            <w:tcBorders>
              <w:right w:val="single" w:sz="4" w:space="0" w:color="auto"/>
            </w:tcBorders>
            <w:noWrap/>
          </w:tcPr>
          <w:p>
            <w:pPr>
              <w:pStyle w:val="yTableNAm"/>
              <w:jc w:val="center"/>
            </w:pPr>
            <w:r>
              <w:t>139.98</w:t>
            </w:r>
          </w:p>
        </w:tc>
        <w:tc>
          <w:tcPr>
            <w:tcW w:w="992" w:type="dxa"/>
            <w:tcBorders>
              <w:left w:val="single" w:sz="4" w:space="0" w:color="auto"/>
            </w:tcBorders>
            <w:noWrap/>
          </w:tcPr>
          <w:p>
            <w:pPr>
              <w:pStyle w:val="yTableNAm"/>
              <w:jc w:val="center"/>
            </w:pPr>
            <w:r>
              <w:t>358.81</w:t>
            </w:r>
          </w:p>
        </w:tc>
        <w:tc>
          <w:tcPr>
            <w:tcW w:w="1276" w:type="dxa"/>
            <w:noWrap/>
          </w:tcPr>
          <w:p>
            <w:pPr>
              <w:pStyle w:val="yTableNAm"/>
              <w:jc w:val="center"/>
            </w:pPr>
            <w:r>
              <w:t>318.18</w:t>
            </w:r>
          </w:p>
        </w:tc>
      </w:tr>
      <w:tr>
        <w:trPr>
          <w:cantSplit/>
        </w:trPr>
        <w:tc>
          <w:tcPr>
            <w:tcW w:w="1418" w:type="dxa"/>
            <w:tcBorders>
              <w:bottom w:val="single" w:sz="4" w:space="0" w:color="auto"/>
            </w:tcBorders>
            <w:noWrap/>
            <w:tcMar>
              <w:left w:w="28" w:type="dxa"/>
              <w:right w:w="57" w:type="dxa"/>
            </w:tcMar>
          </w:tcPr>
          <w:p>
            <w:pPr>
              <w:pStyle w:val="yTableNAm"/>
              <w:tabs>
                <w:tab w:val="clear" w:pos="567"/>
                <w:tab w:val="left" w:pos="679"/>
              </w:tabs>
              <w:ind w:left="334" w:hanging="334"/>
            </w:pPr>
            <w:r>
              <w:t>4</w:t>
            </w:r>
            <w:r>
              <w:rPr>
                <w:vertAlign w:val="superscript"/>
              </w:rPr>
              <w:t>th</w:t>
            </w:r>
            <w:r>
              <w:tab/>
              <w:t>and subsequent fixtures</w:t>
            </w:r>
          </w:p>
        </w:tc>
        <w:tc>
          <w:tcPr>
            <w:tcW w:w="1134" w:type="dxa"/>
            <w:tcBorders>
              <w:bottom w:val="single" w:sz="4" w:space="0" w:color="auto"/>
              <w:right w:val="single" w:sz="4" w:space="0" w:color="auto"/>
            </w:tcBorders>
            <w:noWrap/>
          </w:tcPr>
          <w:p>
            <w:pPr>
              <w:pStyle w:val="yTableNAm"/>
              <w:jc w:val="center"/>
            </w:pPr>
            <w:r>
              <w:t>736.19</w:t>
            </w:r>
          </w:p>
        </w:tc>
        <w:tc>
          <w:tcPr>
            <w:tcW w:w="992" w:type="dxa"/>
            <w:tcBorders>
              <w:left w:val="single" w:sz="4" w:space="0" w:color="auto"/>
              <w:bottom w:val="single" w:sz="4" w:space="0" w:color="auto"/>
            </w:tcBorders>
            <w:noWrap/>
          </w:tcPr>
          <w:p>
            <w:pPr>
              <w:pStyle w:val="yTableNAm"/>
              <w:jc w:val="center"/>
            </w:pPr>
            <w:r>
              <w:t>596.21</w:t>
            </w:r>
          </w:p>
        </w:tc>
        <w:tc>
          <w:tcPr>
            <w:tcW w:w="1276" w:type="dxa"/>
            <w:tcBorders>
              <w:bottom w:val="single" w:sz="4" w:space="0" w:color="auto"/>
              <w:right w:val="single" w:sz="4" w:space="0" w:color="auto"/>
            </w:tcBorders>
            <w:noWrap/>
          </w:tcPr>
          <w:p>
            <w:pPr>
              <w:pStyle w:val="yTableNAm"/>
              <w:jc w:val="center"/>
            </w:pPr>
            <w:r>
              <w:t>139.98</w:t>
            </w:r>
          </w:p>
        </w:tc>
        <w:tc>
          <w:tcPr>
            <w:tcW w:w="992" w:type="dxa"/>
            <w:tcBorders>
              <w:left w:val="single" w:sz="4" w:space="0" w:color="auto"/>
              <w:bottom w:val="single" w:sz="4" w:space="0" w:color="auto"/>
            </w:tcBorders>
            <w:noWrap/>
          </w:tcPr>
          <w:p>
            <w:pPr>
              <w:pStyle w:val="yTableNAm"/>
              <w:jc w:val="center"/>
            </w:pPr>
            <w:r>
              <w:t>418.01</w:t>
            </w:r>
          </w:p>
        </w:tc>
        <w:tc>
          <w:tcPr>
            <w:tcW w:w="1276" w:type="dxa"/>
            <w:tcBorders>
              <w:bottom w:val="single" w:sz="4" w:space="0" w:color="auto"/>
            </w:tcBorders>
            <w:noWrap/>
          </w:tcPr>
          <w:p>
            <w:pPr>
              <w:pStyle w:val="yTableNAm"/>
              <w:jc w:val="center"/>
            </w:pPr>
            <w:r>
              <w:t>318.18</w:t>
            </w:r>
          </w:p>
        </w:tc>
      </w:tr>
    </w:tbl>
    <w:p>
      <w:pPr>
        <w:pStyle w:val="ySubsection"/>
      </w:pPr>
      <w:r>
        <w:tab/>
        <w:t>(2)</w:t>
      </w:r>
      <w:r>
        <w:tab/>
        <w:t>For concessional land in the metropolitan area that, although a sewerage service is provided, is not connected to sewerage works of the Water Corporation, the charge is the discounted charge set out in the Table to this sub</w:t>
      </w:r>
      <w:r>
        <w:noBreakHyphen/>
        <w:t xml:space="preserve">item. </w:t>
      </w:r>
    </w:p>
    <w:p>
      <w:pPr>
        <w:pStyle w:val="yTHeadingNAm"/>
      </w:pPr>
      <w:r>
        <w:t>Table of charge and discount</w:t>
      </w:r>
    </w:p>
    <w:tbl>
      <w:tblPr>
        <w:tblW w:w="3687" w:type="dxa"/>
        <w:tblInd w:w="2127" w:type="dxa"/>
        <w:tblLayout w:type="fixed"/>
        <w:tblLook w:val="0000" w:firstRow="0" w:lastRow="0" w:firstColumn="0" w:lastColumn="0" w:noHBand="0" w:noVBand="0"/>
      </w:tblPr>
      <w:tblGrid>
        <w:gridCol w:w="1135"/>
        <w:gridCol w:w="1135"/>
        <w:gridCol w:w="1417"/>
      </w:tblGrid>
      <w:tr>
        <w:trPr>
          <w:cantSplit/>
          <w:tblHeader/>
        </w:trPr>
        <w:tc>
          <w:tcPr>
            <w:tcW w:w="1135" w:type="dxa"/>
            <w:tcBorders>
              <w:top w:val="single" w:sz="4" w:space="0" w:color="auto"/>
              <w:bottom w:val="single" w:sz="4" w:space="0" w:color="auto"/>
            </w:tcBorders>
            <w:noWrap/>
          </w:tcPr>
          <w:p>
            <w:pPr>
              <w:pStyle w:val="yTableNAm"/>
              <w:jc w:val="center"/>
            </w:pPr>
            <w:r>
              <w:rPr>
                <w:b/>
              </w:rPr>
              <w:t>Charge</w:t>
            </w:r>
            <w:r>
              <w:rPr>
                <w:b/>
              </w:rPr>
              <w:br/>
            </w:r>
            <w:r>
              <w:rPr>
                <w:b/>
              </w:rPr>
              <w:br/>
              <w:t>$</w:t>
            </w:r>
          </w:p>
        </w:tc>
        <w:tc>
          <w:tcPr>
            <w:tcW w:w="1135" w:type="dxa"/>
            <w:tcBorders>
              <w:top w:val="single" w:sz="4" w:space="0" w:color="auto"/>
              <w:bottom w:val="single" w:sz="4" w:space="0" w:color="auto"/>
            </w:tcBorders>
            <w:noWrap/>
          </w:tcPr>
          <w:p>
            <w:pPr>
              <w:pStyle w:val="yTableNAm"/>
              <w:jc w:val="center"/>
            </w:pPr>
            <w:r>
              <w:rPr>
                <w:b/>
                <w:szCs w:val="22"/>
              </w:rPr>
              <w:t>Discount</w:t>
            </w:r>
            <w:r>
              <w:rPr>
                <w:b/>
                <w:szCs w:val="22"/>
              </w:rPr>
              <w:br/>
            </w:r>
            <w:r>
              <w:rPr>
                <w:b/>
                <w:szCs w:val="22"/>
              </w:rPr>
              <w:br/>
              <w:t>$</w:t>
            </w:r>
          </w:p>
        </w:tc>
        <w:tc>
          <w:tcPr>
            <w:tcW w:w="1417" w:type="dxa"/>
            <w:tcBorders>
              <w:top w:val="single" w:sz="4" w:space="0" w:color="auto"/>
              <w:bottom w:val="single" w:sz="4" w:space="0" w:color="auto"/>
            </w:tcBorders>
            <w:noWrap/>
          </w:tcPr>
          <w:p>
            <w:pPr>
              <w:pStyle w:val="yTableNAm"/>
              <w:jc w:val="center"/>
            </w:pPr>
            <w:r>
              <w:rPr>
                <w:b/>
                <w:szCs w:val="22"/>
              </w:rPr>
              <w:t>Discounted charge</w:t>
            </w:r>
            <w:r>
              <w:rPr>
                <w:b/>
                <w:szCs w:val="22"/>
              </w:rPr>
              <w:br/>
              <w:t>$</w:t>
            </w:r>
          </w:p>
        </w:tc>
      </w:tr>
      <w:tr>
        <w:trPr>
          <w:cantSplit/>
        </w:trPr>
        <w:tc>
          <w:tcPr>
            <w:tcW w:w="1135" w:type="dxa"/>
            <w:tcBorders>
              <w:bottom w:val="single" w:sz="4" w:space="0" w:color="auto"/>
            </w:tcBorders>
            <w:noWrap/>
          </w:tcPr>
          <w:p>
            <w:pPr>
              <w:pStyle w:val="yTableNAm"/>
              <w:jc w:val="center"/>
            </w:pPr>
            <w:r>
              <w:t>1 184.25</w:t>
            </w:r>
          </w:p>
        </w:tc>
        <w:tc>
          <w:tcPr>
            <w:tcW w:w="1135" w:type="dxa"/>
            <w:tcBorders>
              <w:bottom w:val="single" w:sz="4" w:space="0" w:color="auto"/>
            </w:tcBorders>
            <w:noWrap/>
          </w:tcPr>
          <w:p>
            <w:pPr>
              <w:pStyle w:val="yTableNAm"/>
              <w:jc w:val="center"/>
            </w:pPr>
            <w:r>
              <w:t>1 184.25</w:t>
            </w:r>
          </w:p>
        </w:tc>
        <w:tc>
          <w:tcPr>
            <w:tcW w:w="1417" w:type="dxa"/>
            <w:tcBorders>
              <w:bottom w:val="single" w:sz="4" w:space="0" w:color="auto"/>
            </w:tcBorders>
            <w:noWrap/>
            <w:vAlign w:val="bottom"/>
          </w:tcPr>
          <w:p>
            <w:pPr>
              <w:pStyle w:val="yTableNAm"/>
              <w:jc w:val="center"/>
            </w:pPr>
            <w:r>
              <w:t>0.00</w:t>
            </w:r>
          </w:p>
        </w:tc>
      </w:tr>
    </w:tbl>
    <w:p>
      <w:pPr>
        <w:pStyle w:val="zyHeading5"/>
      </w:pPr>
      <w:bookmarkStart w:id="229" w:name="_Toc201235744"/>
      <w:bookmarkStart w:id="230" w:name="_Toc201661655"/>
      <w:r>
        <w:t>5.</w:t>
      </w:r>
      <w:r>
        <w:tab/>
        <w:t>Strata</w:t>
      </w:r>
      <w:r>
        <w:noBreakHyphen/>
        <w:t>titled long</w:t>
      </w:r>
      <w:r>
        <w:noBreakHyphen/>
        <w:t>term residential caravan bays and park homes</w:t>
      </w:r>
      <w:bookmarkEnd w:id="229"/>
      <w:bookmarkEnd w:id="230"/>
    </w:p>
    <w:p>
      <w:pPr>
        <w:pStyle w:val="ySubsection"/>
        <w:tabs>
          <w:tab w:val="right" w:leader="dot" w:pos="6804"/>
        </w:tabs>
      </w:pPr>
      <w:r>
        <w:rPr>
          <w:szCs w:val="22"/>
        </w:rPr>
        <w:tab/>
      </w:r>
      <w:r>
        <w:rPr>
          <w:szCs w:val="22"/>
        </w:rPr>
        <w:tab/>
        <w:t xml:space="preserve">For a </w:t>
      </w:r>
      <w:r>
        <w:t>strata</w:t>
      </w:r>
      <w:r>
        <w:rPr>
          <w:szCs w:val="22"/>
        </w:rPr>
        <w:noBreakHyphen/>
        <w:t xml:space="preserve">titled </w:t>
      </w:r>
      <w:r>
        <w:t>caravan</w:t>
      </w:r>
      <w:r>
        <w:rPr>
          <w:szCs w:val="22"/>
        </w:rPr>
        <w:t xml:space="preserve"> bay, a long</w:t>
      </w:r>
      <w:r>
        <w:rPr>
          <w:szCs w:val="22"/>
        </w:rPr>
        <w:noBreakHyphen/>
        <w:t xml:space="preserve">term </w:t>
      </w:r>
      <w:r>
        <w:rPr>
          <w:szCs w:val="22"/>
        </w:rPr>
        <w:br/>
      </w:r>
      <w:r>
        <w:t>residential</w:t>
      </w:r>
      <w:r>
        <w:rPr>
          <w:szCs w:val="22"/>
        </w:rPr>
        <w:t xml:space="preserve"> caravan bay or a park home, </w:t>
      </w:r>
      <w:r>
        <w:rPr>
          <w:szCs w:val="22"/>
        </w:rPr>
        <w:br/>
        <w:t xml:space="preserve">the charge is </w:t>
      </w:r>
      <w:r>
        <w:rPr>
          <w:szCs w:val="22"/>
        </w:rPr>
        <w:tab/>
        <w:t>$378.70</w:t>
      </w:r>
    </w:p>
    <w:p>
      <w:pPr>
        <w:pStyle w:val="zyHeading5"/>
      </w:pPr>
      <w:bookmarkStart w:id="231" w:name="_Toc201235745"/>
      <w:bookmarkStart w:id="232" w:name="_Toc201661656"/>
      <w:r>
        <w:t>6.</w:t>
      </w:r>
      <w:r>
        <w:tab/>
        <w:t>Storage units or parking bays in strata titles scheme or community titles scheme</w:t>
      </w:r>
      <w:bookmarkEnd w:id="231"/>
      <w:bookmarkEnd w:id="232"/>
      <w:r>
        <w:t xml:space="preserve"> </w:t>
      </w:r>
    </w:p>
    <w:p>
      <w:pPr>
        <w:pStyle w:val="ySubsection"/>
        <w:tabs>
          <w:tab w:val="right" w:leader="dot" w:pos="6804"/>
        </w:tabs>
      </w:pPr>
      <w:r>
        <w:rPr>
          <w:szCs w:val="22"/>
        </w:rPr>
        <w:tab/>
      </w:r>
      <w:r>
        <w:rPr>
          <w:szCs w:val="22"/>
        </w:rPr>
        <w:tab/>
        <w:t xml:space="preserve">For a lot that is used for storage purposes or </w:t>
      </w:r>
      <w:r>
        <w:rPr>
          <w:szCs w:val="22"/>
        </w:rPr>
        <w:br/>
        <w:t xml:space="preserve">as a parking </w:t>
      </w:r>
      <w:r>
        <w:t>bay</w:t>
      </w:r>
      <w:r>
        <w:rPr>
          <w:szCs w:val="22"/>
        </w:rPr>
        <w:t>, in a strata titles scheme or a</w:t>
      </w:r>
      <w:r>
        <w:rPr>
          <w:szCs w:val="22"/>
        </w:rPr>
        <w:br/>
        <w:t xml:space="preserve">community titles scheme, the </w:t>
      </w:r>
      <w:r>
        <w:t>charge</w:t>
      </w:r>
      <w:r>
        <w:rPr>
          <w:szCs w:val="22"/>
        </w:rPr>
        <w:t xml:space="preserve"> is </w:t>
      </w:r>
      <w:r>
        <w:rPr>
          <w:szCs w:val="22"/>
        </w:rPr>
        <w:tab/>
        <w:t>$117.36</w:t>
      </w:r>
    </w:p>
    <w:p>
      <w:pPr>
        <w:pStyle w:val="zyHeading5"/>
      </w:pPr>
      <w:bookmarkStart w:id="233" w:name="_Toc201235746"/>
      <w:bookmarkStart w:id="234" w:name="_Toc201661657"/>
      <w:r>
        <w:lastRenderedPageBreak/>
        <w:t>7.</w:t>
      </w:r>
      <w:r>
        <w:tab/>
        <w:t>Land from which trade waste is discharged into sewer</w:t>
      </w:r>
      <w:bookmarkEnd w:id="233"/>
      <w:bookmarkEnd w:id="234"/>
    </w:p>
    <w:p>
      <w:pPr>
        <w:pStyle w:val="ySubsection"/>
        <w:tabs>
          <w:tab w:val="right" w:leader="dot" w:pos="6804"/>
        </w:tabs>
      </w:pPr>
      <w:r>
        <w:tab/>
        <w:t>(1)</w:t>
      </w:r>
      <w:r>
        <w:tab/>
        <w:t xml:space="preserve">For land from which there is a discharge </w:t>
      </w:r>
      <w:r>
        <w:br/>
        <w:t xml:space="preserve">of trade waste into a </w:t>
      </w:r>
      <w:r>
        <w:rPr>
          <w:szCs w:val="22"/>
        </w:rPr>
        <w:t>sewer</w:t>
      </w:r>
      <w:r>
        <w:t xml:space="preserve"> of the Water </w:t>
      </w:r>
      <w:r>
        <w:br/>
        <w:t xml:space="preserve">Corporation under an approval of the Water </w:t>
      </w:r>
      <w:r>
        <w:br/>
        <w:t xml:space="preserve">Corporation, the charge is </w:t>
      </w:r>
      <w:r>
        <w:tab/>
      </w:r>
      <w:r>
        <w:rPr>
          <w:szCs w:val="22"/>
        </w:rPr>
        <w:t>$258.62</w:t>
      </w:r>
    </w:p>
    <w:p>
      <w:pPr>
        <w:pStyle w:val="ySubsection"/>
        <w:tabs>
          <w:tab w:val="right" w:leader="dot" w:pos="6804"/>
        </w:tabs>
      </w:pPr>
      <w:r>
        <w:tab/>
        <w:t>(2)</w:t>
      </w:r>
      <w:r>
        <w:tab/>
        <w:t>The charge under this item is in addition to any other charge applicable to the land under this Schedule.</w:t>
      </w:r>
    </w:p>
    <w:p>
      <w:pPr>
        <w:pStyle w:val="zyHeading5"/>
      </w:pPr>
      <w:bookmarkStart w:id="235" w:name="_Toc201235747"/>
      <w:bookmarkStart w:id="236" w:name="_Toc201661658"/>
      <w:r>
        <w:t>8.</w:t>
      </w:r>
      <w:r>
        <w:tab/>
        <w:t>Land from which trade waste is discharged into sewer through grease arrestor</w:t>
      </w:r>
      <w:bookmarkEnd w:id="235"/>
      <w:bookmarkEnd w:id="236"/>
    </w:p>
    <w:p>
      <w:pPr>
        <w:pStyle w:val="ySubsection"/>
      </w:pPr>
      <w:r>
        <w:tab/>
        <w:t>(1)</w:t>
      </w:r>
      <w:r>
        <w:tab/>
        <w:t xml:space="preserve">For land from which there is a discharge of trade waste into a sewer of the </w:t>
      </w:r>
      <w:r>
        <w:rPr>
          <w:szCs w:val="22"/>
        </w:rPr>
        <w:t>Water</w:t>
      </w:r>
      <w:r>
        <w:t xml:space="preserve"> Corporation through 1 or more grease arrestors under an approval of the Water Corporation, the charge is $103.33 for each grease arrestor.</w:t>
      </w:r>
    </w:p>
    <w:p>
      <w:pPr>
        <w:pStyle w:val="ySubsection"/>
      </w:pPr>
      <w:r>
        <w:tab/>
        <w:t>(2)</w:t>
      </w:r>
      <w:r>
        <w:tab/>
        <w:t>The charge under this item is in addition to any other charge applicable to the land under this Schedule.</w:t>
      </w:r>
    </w:p>
    <w:p>
      <w:pPr>
        <w:pStyle w:val="zyHeading5"/>
      </w:pPr>
      <w:bookmarkStart w:id="237" w:name="_Toc201235748"/>
      <w:bookmarkStart w:id="238" w:name="_Toc201661659"/>
      <w:r>
        <w:t>9.</w:t>
      </w:r>
      <w:r>
        <w:tab/>
        <w:t>Trade waste discharged from open area</w:t>
      </w:r>
      <w:bookmarkEnd w:id="237"/>
      <w:bookmarkEnd w:id="238"/>
    </w:p>
    <w:p>
      <w:pPr>
        <w:pStyle w:val="ySubsection"/>
        <w:tabs>
          <w:tab w:val="right" w:leader="dot" w:pos="6804"/>
        </w:tabs>
      </w:pPr>
      <w:r>
        <w:tab/>
        <w:t>(1)</w:t>
      </w:r>
      <w:r>
        <w:tab/>
        <w:t xml:space="preserve">For land from which there is a discharge </w:t>
      </w:r>
      <w:r>
        <w:br/>
        <w:t xml:space="preserve">of trade waste from an open area under </w:t>
      </w:r>
      <w:r>
        <w:br/>
        <w:t xml:space="preserve">an approval of </w:t>
      </w:r>
      <w:r>
        <w:rPr>
          <w:szCs w:val="22"/>
        </w:rPr>
        <w:t>the</w:t>
      </w:r>
      <w:r>
        <w:t xml:space="preserve"> Water Corporation, </w:t>
      </w:r>
      <w:r>
        <w:br/>
        <w:t xml:space="preserve">the charge is </w:t>
      </w:r>
      <w:r>
        <w:tab/>
      </w:r>
      <w:r>
        <w:rPr>
          <w:szCs w:val="22"/>
        </w:rPr>
        <w:t>$1.80</w:t>
      </w:r>
      <w:r>
        <w:t>/m</w:t>
      </w:r>
      <w:r>
        <w:rPr>
          <w:vertAlign w:val="superscript"/>
        </w:rPr>
        <w:t>2</w:t>
      </w:r>
    </w:p>
    <w:p>
      <w:pPr>
        <w:pStyle w:val="yMiscellaneousBody"/>
        <w:spacing w:before="0"/>
        <w:ind w:left="2183" w:right="284" w:hanging="851"/>
        <w:jc w:val="right"/>
      </w:pPr>
      <w:r>
        <w:t>of open area</w:t>
      </w:r>
    </w:p>
    <w:p>
      <w:pPr>
        <w:pStyle w:val="ySubsection"/>
      </w:pPr>
      <w:r>
        <w:tab/>
        <w:t>(2)</w:t>
      </w:r>
      <w:r>
        <w:tab/>
        <w:t>The charge under this item is in addition to any other charge applicable to the land under this Schedule.</w:t>
      </w:r>
    </w:p>
    <w:p>
      <w:pPr>
        <w:pStyle w:val="zyHeading5"/>
      </w:pPr>
      <w:bookmarkStart w:id="239" w:name="_Toc201235749"/>
      <w:bookmarkStart w:id="240" w:name="_Toc201661660"/>
      <w:r>
        <w:t>10.</w:t>
      </w:r>
      <w:r>
        <w:tab/>
        <w:t>Non</w:t>
      </w:r>
      <w:r>
        <w:noBreakHyphen/>
        <w:t>metropolitan concessional</w:t>
      </w:r>
      <w:bookmarkEnd w:id="239"/>
      <w:bookmarkEnd w:id="240"/>
    </w:p>
    <w:p>
      <w:pPr>
        <w:pStyle w:val="ySubsection"/>
      </w:pPr>
      <w:r>
        <w:tab/>
        <w:t>(1)</w:t>
      </w:r>
      <w:r>
        <w:tab/>
        <w:t>For land in the non</w:t>
      </w:r>
      <w:r>
        <w:noBreakHyphen/>
        <w:t>metropolitan area that is classified as aged home, charitable purposes, community purpose, institutional public or local government, the charge, according to the number of major fixtures on the land, is the sum of the discounted charges for each fixture, as set out in the Table to this sub</w:t>
      </w:r>
      <w:r>
        <w:noBreakHyphen/>
        <w:t>item.</w:t>
      </w:r>
    </w:p>
    <w:p>
      <w:pPr>
        <w:pStyle w:val="yTHeadingNAm"/>
      </w:pPr>
      <w:r>
        <w:lastRenderedPageBreak/>
        <w:t>Table of charges and discounts</w:t>
      </w:r>
    </w:p>
    <w:tbl>
      <w:tblPr>
        <w:tblW w:w="5308" w:type="dxa"/>
        <w:tblInd w:w="1418" w:type="dxa"/>
        <w:tblLayout w:type="fixed"/>
        <w:tblLook w:val="0000" w:firstRow="0" w:lastRow="0" w:firstColumn="0" w:lastColumn="0" w:noHBand="0" w:noVBand="0"/>
      </w:tblPr>
      <w:tblGrid>
        <w:gridCol w:w="1347"/>
        <w:gridCol w:w="63"/>
        <w:gridCol w:w="1142"/>
        <w:gridCol w:w="63"/>
        <w:gridCol w:w="1213"/>
        <w:gridCol w:w="63"/>
        <w:gridCol w:w="1354"/>
        <w:gridCol w:w="63"/>
      </w:tblGrid>
      <w:tr>
        <w:trPr>
          <w:gridAfter w:val="1"/>
          <w:wAfter w:w="63" w:type="dxa"/>
          <w:cantSplit/>
          <w:tblHeader/>
        </w:trPr>
        <w:tc>
          <w:tcPr>
            <w:tcW w:w="1347" w:type="dxa"/>
            <w:tcBorders>
              <w:top w:val="single" w:sz="4" w:space="0" w:color="auto"/>
              <w:bottom w:val="single" w:sz="4" w:space="0" w:color="auto"/>
            </w:tcBorders>
            <w:noWrap/>
          </w:tcPr>
          <w:p>
            <w:pPr>
              <w:pStyle w:val="yTableNAm"/>
            </w:pPr>
          </w:p>
        </w:tc>
        <w:tc>
          <w:tcPr>
            <w:tcW w:w="1205" w:type="dxa"/>
            <w:gridSpan w:val="2"/>
            <w:tcBorders>
              <w:top w:val="single" w:sz="4" w:space="0" w:color="auto"/>
              <w:bottom w:val="single" w:sz="4" w:space="0" w:color="auto"/>
            </w:tcBorders>
            <w:noWrap/>
          </w:tcPr>
          <w:p>
            <w:pPr>
              <w:pStyle w:val="yTableNAm"/>
              <w:jc w:val="center"/>
            </w:pPr>
            <w:r>
              <w:rPr>
                <w:b/>
              </w:rPr>
              <w:t>Charge</w:t>
            </w:r>
            <w:r>
              <w:rPr>
                <w:b/>
              </w:rPr>
              <w:br/>
            </w:r>
            <w:r>
              <w:rPr>
                <w:b/>
              </w:rPr>
              <w:br/>
              <w:t>$</w:t>
            </w:r>
          </w:p>
        </w:tc>
        <w:tc>
          <w:tcPr>
            <w:tcW w:w="1276" w:type="dxa"/>
            <w:gridSpan w:val="2"/>
            <w:tcBorders>
              <w:top w:val="single" w:sz="4" w:space="0" w:color="auto"/>
              <w:bottom w:val="single" w:sz="4" w:space="0" w:color="auto"/>
            </w:tcBorders>
            <w:noWrap/>
          </w:tcPr>
          <w:p>
            <w:pPr>
              <w:pStyle w:val="yTableNAm"/>
              <w:jc w:val="center"/>
            </w:pPr>
            <w:r>
              <w:rPr>
                <w:b/>
                <w:szCs w:val="22"/>
              </w:rPr>
              <w:t>Discount</w:t>
            </w:r>
            <w:r>
              <w:rPr>
                <w:b/>
                <w:szCs w:val="22"/>
              </w:rPr>
              <w:br/>
            </w:r>
            <w:r>
              <w:rPr>
                <w:b/>
                <w:szCs w:val="22"/>
              </w:rPr>
              <w:br/>
              <w:t>$</w:t>
            </w:r>
          </w:p>
        </w:tc>
        <w:tc>
          <w:tcPr>
            <w:tcW w:w="1417" w:type="dxa"/>
            <w:gridSpan w:val="2"/>
            <w:tcBorders>
              <w:top w:val="single" w:sz="4" w:space="0" w:color="auto"/>
              <w:bottom w:val="single" w:sz="4" w:space="0" w:color="auto"/>
            </w:tcBorders>
            <w:noWrap/>
          </w:tcPr>
          <w:p>
            <w:pPr>
              <w:pStyle w:val="yTableNAm"/>
              <w:jc w:val="center"/>
            </w:pPr>
            <w:r>
              <w:rPr>
                <w:b/>
                <w:szCs w:val="22"/>
              </w:rPr>
              <w:t>Discounted charge</w:t>
            </w:r>
            <w:r>
              <w:rPr>
                <w:b/>
                <w:szCs w:val="22"/>
              </w:rPr>
              <w:br/>
              <w:t>$</w:t>
            </w:r>
          </w:p>
        </w:tc>
      </w:tr>
      <w:tr>
        <w:trPr>
          <w:cantSplit/>
        </w:trPr>
        <w:tc>
          <w:tcPr>
            <w:tcW w:w="1410" w:type="dxa"/>
            <w:gridSpan w:val="2"/>
            <w:noWrap/>
            <w:tcMar>
              <w:left w:w="62" w:type="dxa"/>
              <w:right w:w="62" w:type="dxa"/>
            </w:tcMar>
          </w:tcPr>
          <w:p>
            <w:pPr>
              <w:pStyle w:val="yTableNAm"/>
              <w:tabs>
                <w:tab w:val="clear" w:pos="567"/>
                <w:tab w:val="left" w:pos="679"/>
              </w:tabs>
              <w:ind w:left="334" w:hanging="334"/>
            </w:pPr>
            <w:r>
              <w:t>1</w:t>
            </w:r>
            <w:r>
              <w:rPr>
                <w:vertAlign w:val="superscript"/>
              </w:rPr>
              <w:t>st</w:t>
            </w:r>
            <w:r>
              <w:tab/>
              <w:t>fixture</w:t>
            </w:r>
          </w:p>
        </w:tc>
        <w:tc>
          <w:tcPr>
            <w:tcW w:w="1205" w:type="dxa"/>
            <w:gridSpan w:val="2"/>
            <w:noWrap/>
          </w:tcPr>
          <w:p>
            <w:pPr>
              <w:pStyle w:val="yTableNAm"/>
              <w:jc w:val="center"/>
            </w:pPr>
            <w:r>
              <w:t>1 184.25</w:t>
            </w:r>
          </w:p>
        </w:tc>
        <w:tc>
          <w:tcPr>
            <w:tcW w:w="1276" w:type="dxa"/>
            <w:gridSpan w:val="2"/>
            <w:noWrap/>
          </w:tcPr>
          <w:p>
            <w:pPr>
              <w:pStyle w:val="yTableNAm"/>
              <w:jc w:val="center"/>
            </w:pPr>
            <w:r>
              <w:t>866.07</w:t>
            </w:r>
          </w:p>
        </w:tc>
        <w:tc>
          <w:tcPr>
            <w:tcW w:w="1417" w:type="dxa"/>
            <w:gridSpan w:val="2"/>
            <w:noWrap/>
          </w:tcPr>
          <w:p>
            <w:pPr>
              <w:pStyle w:val="yTableNAm"/>
              <w:jc w:val="center"/>
            </w:pPr>
            <w:r>
              <w:t>318.18</w:t>
            </w:r>
          </w:p>
        </w:tc>
      </w:tr>
      <w:tr>
        <w:trPr>
          <w:cantSplit/>
        </w:trPr>
        <w:tc>
          <w:tcPr>
            <w:tcW w:w="1410" w:type="dxa"/>
            <w:gridSpan w:val="2"/>
            <w:noWrap/>
            <w:tcMar>
              <w:left w:w="62" w:type="dxa"/>
              <w:right w:w="62" w:type="dxa"/>
            </w:tcMar>
          </w:tcPr>
          <w:p>
            <w:pPr>
              <w:pStyle w:val="yTableNAm"/>
              <w:tabs>
                <w:tab w:val="clear" w:pos="567"/>
                <w:tab w:val="left" w:pos="679"/>
              </w:tabs>
              <w:ind w:left="334" w:hanging="334"/>
            </w:pPr>
            <w:r>
              <w:t>2</w:t>
            </w:r>
            <w:r>
              <w:rPr>
                <w:vertAlign w:val="superscript"/>
              </w:rPr>
              <w:t>nd</w:t>
            </w:r>
            <w:r>
              <w:t xml:space="preserve"> fixture</w:t>
            </w:r>
          </w:p>
        </w:tc>
        <w:tc>
          <w:tcPr>
            <w:tcW w:w="1205" w:type="dxa"/>
            <w:gridSpan w:val="2"/>
            <w:noWrap/>
          </w:tcPr>
          <w:p>
            <w:pPr>
              <w:pStyle w:val="yTableNAm"/>
              <w:jc w:val="center"/>
            </w:pPr>
            <w:r>
              <w:t>506.92</w:t>
            </w:r>
          </w:p>
        </w:tc>
        <w:tc>
          <w:tcPr>
            <w:tcW w:w="1276" w:type="dxa"/>
            <w:gridSpan w:val="2"/>
            <w:noWrap/>
          </w:tcPr>
          <w:p>
            <w:pPr>
              <w:pStyle w:val="yTableNAm"/>
              <w:jc w:val="center"/>
            </w:pPr>
            <w:r>
              <w:t>366.94</w:t>
            </w:r>
          </w:p>
        </w:tc>
        <w:tc>
          <w:tcPr>
            <w:tcW w:w="1417" w:type="dxa"/>
            <w:gridSpan w:val="2"/>
            <w:noWrap/>
          </w:tcPr>
          <w:p>
            <w:pPr>
              <w:pStyle w:val="yTableNAm"/>
              <w:jc w:val="center"/>
            </w:pPr>
            <w:r>
              <w:t>139.98</w:t>
            </w:r>
          </w:p>
        </w:tc>
      </w:tr>
      <w:tr>
        <w:trPr>
          <w:cantSplit/>
        </w:trPr>
        <w:tc>
          <w:tcPr>
            <w:tcW w:w="1410" w:type="dxa"/>
            <w:gridSpan w:val="2"/>
            <w:noWrap/>
            <w:tcMar>
              <w:left w:w="57" w:type="dxa"/>
              <w:right w:w="57" w:type="dxa"/>
            </w:tcMar>
          </w:tcPr>
          <w:p>
            <w:pPr>
              <w:pStyle w:val="yTableNAm"/>
              <w:tabs>
                <w:tab w:val="clear" w:pos="567"/>
                <w:tab w:val="left" w:pos="679"/>
              </w:tabs>
              <w:ind w:left="334" w:hanging="334"/>
            </w:pPr>
            <w:r>
              <w:t>3</w:t>
            </w:r>
            <w:r>
              <w:rPr>
                <w:vertAlign w:val="superscript"/>
              </w:rPr>
              <w:t>rd</w:t>
            </w:r>
            <w:r>
              <w:t xml:space="preserve"> fixture</w:t>
            </w:r>
          </w:p>
        </w:tc>
        <w:tc>
          <w:tcPr>
            <w:tcW w:w="1205" w:type="dxa"/>
            <w:gridSpan w:val="2"/>
            <w:noWrap/>
          </w:tcPr>
          <w:p>
            <w:pPr>
              <w:pStyle w:val="yTableNAm"/>
              <w:jc w:val="center"/>
            </w:pPr>
            <w:r>
              <w:t>676.99</w:t>
            </w:r>
          </w:p>
        </w:tc>
        <w:tc>
          <w:tcPr>
            <w:tcW w:w="1276" w:type="dxa"/>
            <w:gridSpan w:val="2"/>
            <w:noWrap/>
          </w:tcPr>
          <w:p>
            <w:pPr>
              <w:pStyle w:val="yTableNAm"/>
              <w:jc w:val="center"/>
            </w:pPr>
            <w:r>
              <w:t>537.01</w:t>
            </w:r>
          </w:p>
        </w:tc>
        <w:tc>
          <w:tcPr>
            <w:tcW w:w="1417" w:type="dxa"/>
            <w:gridSpan w:val="2"/>
            <w:noWrap/>
          </w:tcPr>
          <w:p>
            <w:pPr>
              <w:pStyle w:val="yTableNAm"/>
              <w:jc w:val="center"/>
            </w:pPr>
            <w:r>
              <w:t>139.98</w:t>
            </w:r>
          </w:p>
        </w:tc>
      </w:tr>
      <w:tr>
        <w:trPr>
          <w:cantSplit/>
        </w:trPr>
        <w:tc>
          <w:tcPr>
            <w:tcW w:w="1410" w:type="dxa"/>
            <w:gridSpan w:val="2"/>
            <w:tcBorders>
              <w:bottom w:val="single" w:sz="4" w:space="0" w:color="auto"/>
            </w:tcBorders>
            <w:noWrap/>
            <w:tcMar>
              <w:left w:w="57" w:type="dxa"/>
              <w:right w:w="57" w:type="dxa"/>
            </w:tcMar>
          </w:tcPr>
          <w:p>
            <w:pPr>
              <w:pStyle w:val="yTableNAm"/>
              <w:tabs>
                <w:tab w:val="clear" w:pos="567"/>
                <w:tab w:val="left" w:pos="679"/>
              </w:tabs>
              <w:ind w:left="298" w:hanging="334"/>
            </w:pPr>
            <w:r>
              <w:t>4</w:t>
            </w:r>
            <w:r>
              <w:rPr>
                <w:vertAlign w:val="superscript"/>
              </w:rPr>
              <w:t>th</w:t>
            </w:r>
            <w:r>
              <w:tab/>
              <w:t>and subsequent fixtures</w:t>
            </w:r>
          </w:p>
        </w:tc>
        <w:tc>
          <w:tcPr>
            <w:tcW w:w="1205" w:type="dxa"/>
            <w:gridSpan w:val="2"/>
            <w:tcBorders>
              <w:bottom w:val="single" w:sz="4" w:space="0" w:color="auto"/>
            </w:tcBorders>
            <w:noWrap/>
          </w:tcPr>
          <w:p>
            <w:pPr>
              <w:pStyle w:val="yTableNAm"/>
              <w:jc w:val="center"/>
            </w:pPr>
            <w:r>
              <w:t>736.19</w:t>
            </w:r>
          </w:p>
        </w:tc>
        <w:tc>
          <w:tcPr>
            <w:tcW w:w="1276" w:type="dxa"/>
            <w:gridSpan w:val="2"/>
            <w:tcBorders>
              <w:bottom w:val="single" w:sz="4" w:space="0" w:color="auto"/>
            </w:tcBorders>
            <w:noWrap/>
          </w:tcPr>
          <w:p>
            <w:pPr>
              <w:pStyle w:val="yTableNAm"/>
              <w:jc w:val="center"/>
            </w:pPr>
            <w:r>
              <w:t>596.21</w:t>
            </w:r>
          </w:p>
        </w:tc>
        <w:tc>
          <w:tcPr>
            <w:tcW w:w="1417" w:type="dxa"/>
            <w:gridSpan w:val="2"/>
            <w:tcBorders>
              <w:bottom w:val="single" w:sz="4" w:space="0" w:color="auto"/>
            </w:tcBorders>
            <w:noWrap/>
          </w:tcPr>
          <w:p>
            <w:pPr>
              <w:pStyle w:val="yTableNAm"/>
              <w:jc w:val="center"/>
            </w:pPr>
            <w:r>
              <w:t>139.98</w:t>
            </w:r>
          </w:p>
        </w:tc>
      </w:tr>
    </w:tbl>
    <w:p>
      <w:pPr>
        <w:pStyle w:val="ySubsection"/>
      </w:pPr>
      <w:r>
        <w:tab/>
        <w:t>(2)</w:t>
      </w:r>
      <w:r>
        <w:tab/>
        <w:t>For concessional land in the non</w:t>
      </w:r>
      <w:r>
        <w:noBreakHyphen/>
        <w:t>metropolitan area that, although a sewerage service is provided, is not connected to sewerage works of the Water Corporation, the charge is the discounted charge set out in the Table to this sub</w:t>
      </w:r>
      <w:r>
        <w:noBreakHyphen/>
        <w:t xml:space="preserve">item. </w:t>
      </w:r>
    </w:p>
    <w:p>
      <w:pPr>
        <w:pStyle w:val="yTHeadingNAm"/>
      </w:pPr>
      <w:r>
        <w:t>Table of charge and discount</w:t>
      </w:r>
    </w:p>
    <w:tbl>
      <w:tblPr>
        <w:tblW w:w="3947" w:type="dxa"/>
        <w:tblInd w:w="2127" w:type="dxa"/>
        <w:tblLayout w:type="fixed"/>
        <w:tblLook w:val="0000" w:firstRow="0" w:lastRow="0" w:firstColumn="0" w:lastColumn="0" w:noHBand="0" w:noVBand="0"/>
      </w:tblPr>
      <w:tblGrid>
        <w:gridCol w:w="1265"/>
        <w:gridCol w:w="1265"/>
        <w:gridCol w:w="1417"/>
      </w:tblGrid>
      <w:tr>
        <w:trPr>
          <w:cantSplit/>
          <w:tblHeader/>
        </w:trPr>
        <w:tc>
          <w:tcPr>
            <w:tcW w:w="1265" w:type="dxa"/>
            <w:tcBorders>
              <w:top w:val="single" w:sz="4" w:space="0" w:color="auto"/>
              <w:bottom w:val="single" w:sz="4" w:space="0" w:color="auto"/>
            </w:tcBorders>
            <w:noWrap/>
            <w:vAlign w:val="center"/>
          </w:tcPr>
          <w:p>
            <w:pPr>
              <w:pStyle w:val="yTableNAm"/>
              <w:jc w:val="center"/>
            </w:pPr>
            <w:r>
              <w:rPr>
                <w:b/>
                <w:szCs w:val="22"/>
              </w:rPr>
              <w:t>Charge</w:t>
            </w:r>
            <w:r>
              <w:rPr>
                <w:b/>
                <w:szCs w:val="22"/>
              </w:rPr>
              <w:br/>
            </w:r>
            <w:r>
              <w:rPr>
                <w:b/>
                <w:szCs w:val="22"/>
              </w:rPr>
              <w:br/>
              <w:t>$</w:t>
            </w:r>
          </w:p>
        </w:tc>
        <w:tc>
          <w:tcPr>
            <w:tcW w:w="1265" w:type="dxa"/>
            <w:tcBorders>
              <w:top w:val="single" w:sz="4" w:space="0" w:color="auto"/>
              <w:bottom w:val="single" w:sz="4" w:space="0" w:color="auto"/>
            </w:tcBorders>
            <w:noWrap/>
            <w:vAlign w:val="center"/>
          </w:tcPr>
          <w:p>
            <w:pPr>
              <w:pStyle w:val="yTableNAm"/>
              <w:jc w:val="center"/>
            </w:pPr>
            <w:r>
              <w:rPr>
                <w:b/>
                <w:szCs w:val="22"/>
              </w:rPr>
              <w:t>Discount</w:t>
            </w:r>
            <w:r>
              <w:rPr>
                <w:b/>
                <w:szCs w:val="22"/>
              </w:rPr>
              <w:br/>
            </w:r>
            <w:r>
              <w:rPr>
                <w:b/>
                <w:szCs w:val="22"/>
              </w:rPr>
              <w:br/>
              <w:t>$</w:t>
            </w:r>
          </w:p>
        </w:tc>
        <w:tc>
          <w:tcPr>
            <w:tcW w:w="1417" w:type="dxa"/>
            <w:tcBorders>
              <w:top w:val="single" w:sz="4" w:space="0" w:color="auto"/>
              <w:bottom w:val="single" w:sz="4" w:space="0" w:color="auto"/>
            </w:tcBorders>
            <w:noWrap/>
            <w:vAlign w:val="center"/>
          </w:tcPr>
          <w:p>
            <w:pPr>
              <w:pStyle w:val="yTableNAm"/>
              <w:jc w:val="center"/>
            </w:pPr>
            <w:r>
              <w:rPr>
                <w:b/>
                <w:szCs w:val="22"/>
              </w:rPr>
              <w:t>Discounted charge</w:t>
            </w:r>
            <w:r>
              <w:rPr>
                <w:b/>
                <w:szCs w:val="22"/>
              </w:rPr>
              <w:br/>
              <w:t>$</w:t>
            </w:r>
          </w:p>
        </w:tc>
      </w:tr>
      <w:tr>
        <w:trPr>
          <w:cantSplit/>
        </w:trPr>
        <w:tc>
          <w:tcPr>
            <w:tcW w:w="1265" w:type="dxa"/>
            <w:tcBorders>
              <w:bottom w:val="single" w:sz="4" w:space="0" w:color="auto"/>
            </w:tcBorders>
            <w:noWrap/>
          </w:tcPr>
          <w:p>
            <w:pPr>
              <w:pStyle w:val="yTableNAm"/>
              <w:jc w:val="center"/>
            </w:pPr>
            <w:r>
              <w:t>1 184.25</w:t>
            </w:r>
          </w:p>
        </w:tc>
        <w:tc>
          <w:tcPr>
            <w:tcW w:w="1265" w:type="dxa"/>
            <w:tcBorders>
              <w:bottom w:val="single" w:sz="4" w:space="0" w:color="auto"/>
            </w:tcBorders>
            <w:noWrap/>
          </w:tcPr>
          <w:p>
            <w:pPr>
              <w:pStyle w:val="yTableNAm"/>
              <w:jc w:val="center"/>
            </w:pPr>
            <w:r>
              <w:t>1 184.25</w:t>
            </w:r>
          </w:p>
        </w:tc>
        <w:tc>
          <w:tcPr>
            <w:tcW w:w="1417" w:type="dxa"/>
            <w:tcBorders>
              <w:bottom w:val="single" w:sz="4" w:space="0" w:color="auto"/>
            </w:tcBorders>
            <w:noWrap/>
          </w:tcPr>
          <w:p>
            <w:pPr>
              <w:pStyle w:val="yTableNAm"/>
              <w:jc w:val="center"/>
            </w:pPr>
            <w:r>
              <w:t>0.00</w:t>
            </w:r>
          </w:p>
        </w:tc>
      </w:tr>
    </w:tbl>
    <w:p>
      <w:pPr>
        <w:pStyle w:val="zyHeading5"/>
      </w:pPr>
      <w:bookmarkStart w:id="241" w:name="_Toc201235750"/>
      <w:bookmarkStart w:id="242" w:name="_Toc201661661"/>
      <w:r>
        <w:t>11.</w:t>
      </w:r>
      <w:r>
        <w:tab/>
        <w:t>Community residential</w:t>
      </w:r>
      <w:bookmarkEnd w:id="241"/>
      <w:bookmarkEnd w:id="242"/>
    </w:p>
    <w:p>
      <w:pPr>
        <w:pStyle w:val="ySubsection"/>
      </w:pPr>
      <w:r>
        <w:tab/>
      </w:r>
      <w:r>
        <w:tab/>
        <w:t xml:space="preserve">For land that is classified as community residential, the charge, according to the number of major fixtures on the land, is the sum of the discounted charges for each fixture, as set out in the Table, according to whether the Housing Authority agrees to be responsible for payment of the charge. </w:t>
      </w:r>
    </w:p>
    <w:p>
      <w:pPr>
        <w:pStyle w:val="yTHeadingNAm"/>
      </w:pPr>
      <w:r>
        <w:lastRenderedPageBreak/>
        <w:t>Table of charges and discounts</w:t>
      </w:r>
    </w:p>
    <w:tbl>
      <w:tblPr>
        <w:tblW w:w="7088" w:type="dxa"/>
        <w:tblLayout w:type="fixed"/>
        <w:tblLook w:val="0000" w:firstRow="0" w:lastRow="0" w:firstColumn="0" w:lastColumn="0" w:noHBand="0" w:noVBand="0"/>
      </w:tblPr>
      <w:tblGrid>
        <w:gridCol w:w="1418"/>
        <w:gridCol w:w="992"/>
        <w:gridCol w:w="1134"/>
        <w:gridCol w:w="1134"/>
        <w:gridCol w:w="1134"/>
        <w:gridCol w:w="1276"/>
      </w:tblGrid>
      <w:tr>
        <w:trPr>
          <w:cantSplit/>
          <w:tblHeader/>
        </w:trPr>
        <w:tc>
          <w:tcPr>
            <w:tcW w:w="1418" w:type="dxa"/>
            <w:vMerge w:val="restart"/>
            <w:tcBorders>
              <w:top w:val="single" w:sz="4" w:space="0" w:color="auto"/>
            </w:tcBorders>
            <w:noWrap/>
            <w:vAlign w:val="center"/>
          </w:tcPr>
          <w:p>
            <w:pPr>
              <w:pStyle w:val="zyTableNAm"/>
              <w:jc w:val="center"/>
            </w:pPr>
          </w:p>
        </w:tc>
        <w:tc>
          <w:tcPr>
            <w:tcW w:w="992" w:type="dxa"/>
            <w:tcBorders>
              <w:top w:val="single" w:sz="4" w:space="0" w:color="auto"/>
              <w:right w:val="single" w:sz="4" w:space="0" w:color="auto"/>
            </w:tcBorders>
            <w:noWrap/>
            <w:vAlign w:val="center"/>
          </w:tcPr>
          <w:p>
            <w:pPr>
              <w:pStyle w:val="zyTableNAm"/>
              <w:jc w:val="center"/>
            </w:pPr>
          </w:p>
        </w:tc>
        <w:tc>
          <w:tcPr>
            <w:tcW w:w="2268" w:type="dxa"/>
            <w:gridSpan w:val="2"/>
            <w:tcBorders>
              <w:top w:val="single" w:sz="4" w:space="0" w:color="auto"/>
              <w:left w:val="single" w:sz="4" w:space="0" w:color="auto"/>
              <w:bottom w:val="single" w:sz="4" w:space="0" w:color="auto"/>
              <w:right w:val="single" w:sz="4" w:space="0" w:color="auto"/>
            </w:tcBorders>
            <w:noWrap/>
          </w:tcPr>
          <w:p>
            <w:pPr>
              <w:pStyle w:val="yTableNAm"/>
              <w:jc w:val="center"/>
            </w:pPr>
            <w:r>
              <w:rPr>
                <w:b/>
              </w:rPr>
              <w:t>If Housing Authority responsible for payment of charge</w:t>
            </w:r>
          </w:p>
        </w:tc>
        <w:tc>
          <w:tcPr>
            <w:tcW w:w="2410" w:type="dxa"/>
            <w:gridSpan w:val="2"/>
            <w:tcBorders>
              <w:top w:val="single" w:sz="4" w:space="0" w:color="auto"/>
              <w:left w:val="single" w:sz="4" w:space="0" w:color="auto"/>
              <w:bottom w:val="single" w:sz="4" w:space="0" w:color="auto"/>
            </w:tcBorders>
            <w:noWrap/>
          </w:tcPr>
          <w:p>
            <w:pPr>
              <w:pStyle w:val="yTableNAm"/>
              <w:jc w:val="center"/>
            </w:pPr>
            <w:r>
              <w:rPr>
                <w:b/>
              </w:rPr>
              <w:t>In any other case</w:t>
            </w:r>
          </w:p>
        </w:tc>
      </w:tr>
      <w:tr>
        <w:trPr>
          <w:cantSplit/>
          <w:tblHeader/>
        </w:trPr>
        <w:tc>
          <w:tcPr>
            <w:tcW w:w="1418" w:type="dxa"/>
            <w:vMerge/>
            <w:tcBorders>
              <w:bottom w:val="single" w:sz="4" w:space="0" w:color="auto"/>
            </w:tcBorders>
            <w:noWrap/>
            <w:vAlign w:val="center"/>
          </w:tcPr>
          <w:p>
            <w:pPr>
              <w:pStyle w:val="zyTableNAm"/>
            </w:pPr>
          </w:p>
        </w:tc>
        <w:tc>
          <w:tcPr>
            <w:tcW w:w="992" w:type="dxa"/>
            <w:tcBorders>
              <w:bottom w:val="single" w:sz="4" w:space="0" w:color="auto"/>
              <w:right w:val="single" w:sz="4" w:space="0" w:color="auto"/>
            </w:tcBorders>
            <w:noWrap/>
          </w:tcPr>
          <w:p>
            <w:pPr>
              <w:pStyle w:val="yTableNAm"/>
              <w:jc w:val="center"/>
            </w:pPr>
            <w:r>
              <w:rPr>
                <w:b/>
                <w:sz w:val="20"/>
              </w:rPr>
              <w:t>Charge</w:t>
            </w:r>
            <w:r>
              <w:rPr>
                <w:b/>
                <w:sz w:val="20"/>
              </w:rPr>
              <w:br/>
            </w:r>
            <w:r>
              <w:rPr>
                <w:b/>
                <w:sz w:val="20"/>
              </w:rPr>
              <w:br/>
              <w:t>$</w:t>
            </w:r>
          </w:p>
        </w:tc>
        <w:tc>
          <w:tcPr>
            <w:tcW w:w="1134" w:type="dxa"/>
            <w:tcBorders>
              <w:top w:val="single" w:sz="4" w:space="0" w:color="auto"/>
              <w:left w:val="single" w:sz="4" w:space="0" w:color="auto"/>
              <w:bottom w:val="single" w:sz="4" w:space="0" w:color="auto"/>
            </w:tcBorders>
            <w:noWrap/>
          </w:tcPr>
          <w:p>
            <w:pPr>
              <w:pStyle w:val="yTableNAm"/>
              <w:jc w:val="center"/>
            </w:pPr>
            <w:r>
              <w:rPr>
                <w:b/>
                <w:sz w:val="20"/>
              </w:rPr>
              <w:t>Discount</w:t>
            </w:r>
            <w:r>
              <w:rPr>
                <w:b/>
                <w:sz w:val="20"/>
              </w:rPr>
              <w:br/>
            </w:r>
            <w:r>
              <w:rPr>
                <w:b/>
                <w:sz w:val="20"/>
              </w:rPr>
              <w:br/>
              <w:t>$</w:t>
            </w:r>
          </w:p>
        </w:tc>
        <w:tc>
          <w:tcPr>
            <w:tcW w:w="1134" w:type="dxa"/>
            <w:tcBorders>
              <w:top w:val="single" w:sz="4" w:space="0" w:color="auto"/>
              <w:bottom w:val="single" w:sz="4" w:space="0" w:color="auto"/>
              <w:right w:val="single" w:sz="4" w:space="0" w:color="auto"/>
            </w:tcBorders>
            <w:noWrap/>
          </w:tcPr>
          <w:p>
            <w:pPr>
              <w:pStyle w:val="yTableNAm"/>
              <w:jc w:val="center"/>
            </w:pPr>
            <w:r>
              <w:rPr>
                <w:b/>
                <w:sz w:val="20"/>
              </w:rPr>
              <w:t>Discounted charge</w:t>
            </w:r>
            <w:r>
              <w:rPr>
                <w:b/>
                <w:sz w:val="20"/>
              </w:rPr>
              <w:br/>
              <w:t>$</w:t>
            </w:r>
          </w:p>
        </w:tc>
        <w:tc>
          <w:tcPr>
            <w:tcW w:w="1134" w:type="dxa"/>
            <w:tcBorders>
              <w:top w:val="single" w:sz="4" w:space="0" w:color="auto"/>
              <w:left w:val="single" w:sz="4" w:space="0" w:color="auto"/>
              <w:bottom w:val="single" w:sz="4" w:space="0" w:color="auto"/>
            </w:tcBorders>
            <w:noWrap/>
          </w:tcPr>
          <w:p>
            <w:pPr>
              <w:pStyle w:val="yTableNAm"/>
              <w:jc w:val="center"/>
            </w:pPr>
            <w:r>
              <w:rPr>
                <w:b/>
                <w:sz w:val="20"/>
              </w:rPr>
              <w:t>Discount</w:t>
            </w:r>
            <w:r>
              <w:rPr>
                <w:b/>
                <w:sz w:val="20"/>
              </w:rPr>
              <w:br/>
            </w:r>
            <w:r>
              <w:rPr>
                <w:b/>
                <w:sz w:val="20"/>
              </w:rPr>
              <w:br/>
              <w:t>$</w:t>
            </w:r>
          </w:p>
        </w:tc>
        <w:tc>
          <w:tcPr>
            <w:tcW w:w="1276" w:type="dxa"/>
            <w:tcBorders>
              <w:top w:val="single" w:sz="4" w:space="0" w:color="auto"/>
              <w:bottom w:val="single" w:sz="4" w:space="0" w:color="auto"/>
            </w:tcBorders>
            <w:noWrap/>
          </w:tcPr>
          <w:p>
            <w:pPr>
              <w:pStyle w:val="yTableNAm"/>
              <w:jc w:val="center"/>
            </w:pPr>
            <w:r>
              <w:rPr>
                <w:b/>
                <w:sz w:val="20"/>
              </w:rPr>
              <w:t>Discounted charge</w:t>
            </w:r>
            <w:r>
              <w:rPr>
                <w:b/>
                <w:sz w:val="20"/>
              </w:rPr>
              <w:br/>
              <w:t>$</w:t>
            </w:r>
          </w:p>
        </w:tc>
      </w:tr>
      <w:tr>
        <w:trPr>
          <w:cantSplit/>
        </w:trPr>
        <w:tc>
          <w:tcPr>
            <w:tcW w:w="1418" w:type="dxa"/>
            <w:noWrap/>
            <w:tcMar>
              <w:left w:w="62" w:type="dxa"/>
              <w:right w:w="62" w:type="dxa"/>
            </w:tcMar>
          </w:tcPr>
          <w:p>
            <w:pPr>
              <w:pStyle w:val="yTableNAm"/>
              <w:tabs>
                <w:tab w:val="clear" w:pos="567"/>
                <w:tab w:val="left" w:pos="679"/>
              </w:tabs>
              <w:ind w:left="298" w:hanging="334"/>
            </w:pPr>
            <w:r>
              <w:t>1</w:t>
            </w:r>
            <w:r>
              <w:rPr>
                <w:vertAlign w:val="superscript"/>
              </w:rPr>
              <w:t>st</w:t>
            </w:r>
            <w:r>
              <w:tab/>
              <w:t>fixture</w:t>
            </w:r>
          </w:p>
        </w:tc>
        <w:tc>
          <w:tcPr>
            <w:tcW w:w="992" w:type="dxa"/>
            <w:tcBorders>
              <w:right w:val="single" w:sz="4" w:space="0" w:color="auto"/>
            </w:tcBorders>
            <w:noWrap/>
          </w:tcPr>
          <w:p>
            <w:pPr>
              <w:pStyle w:val="yTableNAm"/>
              <w:jc w:val="center"/>
            </w:pPr>
            <w:r>
              <w:t>1 184.25</w:t>
            </w:r>
          </w:p>
        </w:tc>
        <w:tc>
          <w:tcPr>
            <w:tcW w:w="1134" w:type="dxa"/>
            <w:tcBorders>
              <w:left w:val="single" w:sz="4" w:space="0" w:color="auto"/>
            </w:tcBorders>
            <w:noWrap/>
          </w:tcPr>
          <w:p>
            <w:pPr>
              <w:pStyle w:val="yTableNAm"/>
              <w:jc w:val="center"/>
            </w:pPr>
            <w:r>
              <w:t>1 048.67</w:t>
            </w:r>
          </w:p>
        </w:tc>
        <w:tc>
          <w:tcPr>
            <w:tcW w:w="1134" w:type="dxa"/>
            <w:tcBorders>
              <w:right w:val="single" w:sz="4" w:space="0" w:color="auto"/>
            </w:tcBorders>
            <w:noWrap/>
          </w:tcPr>
          <w:p>
            <w:pPr>
              <w:pStyle w:val="yTableNAm"/>
              <w:jc w:val="center"/>
            </w:pPr>
            <w:r>
              <w:t>135.58</w:t>
            </w:r>
          </w:p>
        </w:tc>
        <w:tc>
          <w:tcPr>
            <w:tcW w:w="1134" w:type="dxa"/>
            <w:tcBorders>
              <w:left w:val="single" w:sz="4" w:space="0" w:color="auto"/>
            </w:tcBorders>
            <w:noWrap/>
          </w:tcPr>
          <w:p>
            <w:pPr>
              <w:pStyle w:val="yTableNAm"/>
              <w:jc w:val="center"/>
            </w:pPr>
            <w:r>
              <w:t>1 184.25</w:t>
            </w:r>
          </w:p>
        </w:tc>
        <w:tc>
          <w:tcPr>
            <w:tcW w:w="1276" w:type="dxa"/>
            <w:noWrap/>
            <w:vAlign w:val="bottom"/>
          </w:tcPr>
          <w:p>
            <w:pPr>
              <w:pStyle w:val="yTableNAm"/>
              <w:jc w:val="center"/>
            </w:pPr>
            <w:r>
              <w:t>0.00</w:t>
            </w:r>
          </w:p>
        </w:tc>
      </w:tr>
      <w:tr>
        <w:trPr>
          <w:cantSplit/>
        </w:trPr>
        <w:tc>
          <w:tcPr>
            <w:tcW w:w="1418" w:type="dxa"/>
            <w:noWrap/>
            <w:tcMar>
              <w:left w:w="62" w:type="dxa"/>
              <w:right w:w="62" w:type="dxa"/>
            </w:tcMar>
          </w:tcPr>
          <w:p>
            <w:pPr>
              <w:pStyle w:val="yTableNAm"/>
              <w:tabs>
                <w:tab w:val="clear" w:pos="567"/>
                <w:tab w:val="left" w:pos="679"/>
              </w:tabs>
              <w:ind w:left="298" w:hanging="334"/>
            </w:pPr>
            <w:r>
              <w:t>2</w:t>
            </w:r>
            <w:r>
              <w:rPr>
                <w:vertAlign w:val="superscript"/>
              </w:rPr>
              <w:t>nd</w:t>
            </w:r>
            <w:r>
              <w:tab/>
              <w:t>fixture</w:t>
            </w:r>
          </w:p>
        </w:tc>
        <w:tc>
          <w:tcPr>
            <w:tcW w:w="992" w:type="dxa"/>
            <w:tcBorders>
              <w:right w:val="single" w:sz="4" w:space="0" w:color="auto"/>
            </w:tcBorders>
            <w:noWrap/>
          </w:tcPr>
          <w:p>
            <w:pPr>
              <w:pStyle w:val="yTableNAm"/>
              <w:jc w:val="center"/>
            </w:pPr>
            <w:r>
              <w:t>506.92</w:t>
            </w:r>
          </w:p>
        </w:tc>
        <w:tc>
          <w:tcPr>
            <w:tcW w:w="1134" w:type="dxa"/>
            <w:tcBorders>
              <w:left w:val="single" w:sz="4" w:space="0" w:color="auto"/>
            </w:tcBorders>
            <w:noWrap/>
          </w:tcPr>
          <w:p>
            <w:pPr>
              <w:pStyle w:val="yTableNAm"/>
              <w:jc w:val="center"/>
            </w:pPr>
            <w:r>
              <w:t>371.34</w:t>
            </w:r>
          </w:p>
        </w:tc>
        <w:tc>
          <w:tcPr>
            <w:tcW w:w="1134" w:type="dxa"/>
            <w:tcBorders>
              <w:right w:val="single" w:sz="4" w:space="0" w:color="auto"/>
            </w:tcBorders>
            <w:noWrap/>
          </w:tcPr>
          <w:p>
            <w:pPr>
              <w:pStyle w:val="yTableNAm"/>
              <w:jc w:val="center"/>
            </w:pPr>
            <w:r>
              <w:t>135.58</w:t>
            </w:r>
          </w:p>
        </w:tc>
        <w:tc>
          <w:tcPr>
            <w:tcW w:w="1134" w:type="dxa"/>
            <w:tcBorders>
              <w:left w:val="single" w:sz="4" w:space="0" w:color="auto"/>
            </w:tcBorders>
            <w:noWrap/>
          </w:tcPr>
          <w:p>
            <w:pPr>
              <w:pStyle w:val="yTableNAm"/>
              <w:jc w:val="center"/>
            </w:pPr>
            <w:r>
              <w:t>506.92</w:t>
            </w:r>
          </w:p>
        </w:tc>
        <w:tc>
          <w:tcPr>
            <w:tcW w:w="1276" w:type="dxa"/>
            <w:noWrap/>
            <w:vAlign w:val="bottom"/>
          </w:tcPr>
          <w:p>
            <w:pPr>
              <w:pStyle w:val="yTableNAm"/>
              <w:jc w:val="center"/>
            </w:pPr>
            <w:r>
              <w:t>0.00</w:t>
            </w:r>
          </w:p>
        </w:tc>
      </w:tr>
      <w:tr>
        <w:trPr>
          <w:cantSplit/>
        </w:trPr>
        <w:tc>
          <w:tcPr>
            <w:tcW w:w="1418" w:type="dxa"/>
            <w:noWrap/>
            <w:tcMar>
              <w:left w:w="57" w:type="dxa"/>
              <w:right w:w="57" w:type="dxa"/>
            </w:tcMar>
          </w:tcPr>
          <w:p>
            <w:pPr>
              <w:pStyle w:val="yTableNAm"/>
              <w:tabs>
                <w:tab w:val="clear" w:pos="567"/>
                <w:tab w:val="left" w:pos="679"/>
              </w:tabs>
              <w:ind w:left="298" w:hanging="334"/>
            </w:pPr>
            <w:r>
              <w:t>3</w:t>
            </w:r>
            <w:r>
              <w:rPr>
                <w:vertAlign w:val="superscript"/>
              </w:rPr>
              <w:t>rd</w:t>
            </w:r>
            <w:r>
              <w:tab/>
              <w:t>fixture</w:t>
            </w:r>
          </w:p>
        </w:tc>
        <w:tc>
          <w:tcPr>
            <w:tcW w:w="992" w:type="dxa"/>
            <w:tcBorders>
              <w:right w:val="single" w:sz="4" w:space="0" w:color="auto"/>
            </w:tcBorders>
            <w:noWrap/>
          </w:tcPr>
          <w:p>
            <w:pPr>
              <w:pStyle w:val="yTableNAm"/>
              <w:jc w:val="center"/>
            </w:pPr>
            <w:r>
              <w:t>676.99</w:t>
            </w:r>
          </w:p>
        </w:tc>
        <w:tc>
          <w:tcPr>
            <w:tcW w:w="1134" w:type="dxa"/>
            <w:tcBorders>
              <w:left w:val="single" w:sz="4" w:space="0" w:color="auto"/>
            </w:tcBorders>
            <w:noWrap/>
          </w:tcPr>
          <w:p>
            <w:pPr>
              <w:pStyle w:val="yTableNAm"/>
              <w:jc w:val="center"/>
            </w:pPr>
            <w:r>
              <w:t>541.41</w:t>
            </w:r>
          </w:p>
        </w:tc>
        <w:tc>
          <w:tcPr>
            <w:tcW w:w="1134" w:type="dxa"/>
            <w:tcBorders>
              <w:right w:val="single" w:sz="4" w:space="0" w:color="auto"/>
            </w:tcBorders>
            <w:noWrap/>
          </w:tcPr>
          <w:p>
            <w:pPr>
              <w:pStyle w:val="yTableNAm"/>
              <w:jc w:val="center"/>
            </w:pPr>
            <w:r>
              <w:t>135.58</w:t>
            </w:r>
          </w:p>
        </w:tc>
        <w:tc>
          <w:tcPr>
            <w:tcW w:w="1134" w:type="dxa"/>
            <w:tcBorders>
              <w:left w:val="single" w:sz="4" w:space="0" w:color="auto"/>
            </w:tcBorders>
            <w:noWrap/>
          </w:tcPr>
          <w:p>
            <w:pPr>
              <w:pStyle w:val="yTableNAm"/>
              <w:jc w:val="center"/>
            </w:pPr>
            <w:r>
              <w:t>676.99</w:t>
            </w:r>
          </w:p>
        </w:tc>
        <w:tc>
          <w:tcPr>
            <w:tcW w:w="1276" w:type="dxa"/>
            <w:noWrap/>
            <w:vAlign w:val="bottom"/>
          </w:tcPr>
          <w:p>
            <w:pPr>
              <w:pStyle w:val="yTableNAm"/>
              <w:jc w:val="center"/>
            </w:pPr>
            <w:r>
              <w:t>0.00</w:t>
            </w:r>
          </w:p>
        </w:tc>
      </w:tr>
      <w:tr>
        <w:trPr>
          <w:cantSplit/>
        </w:trPr>
        <w:tc>
          <w:tcPr>
            <w:tcW w:w="1418" w:type="dxa"/>
            <w:tcBorders>
              <w:bottom w:val="single" w:sz="4" w:space="0" w:color="auto"/>
            </w:tcBorders>
            <w:noWrap/>
            <w:tcMar>
              <w:left w:w="57" w:type="dxa"/>
              <w:right w:w="57" w:type="dxa"/>
            </w:tcMar>
          </w:tcPr>
          <w:p>
            <w:pPr>
              <w:pStyle w:val="yTableNAm"/>
              <w:tabs>
                <w:tab w:val="clear" w:pos="567"/>
                <w:tab w:val="left" w:pos="679"/>
              </w:tabs>
              <w:ind w:left="298" w:hanging="334"/>
            </w:pPr>
            <w:r>
              <w:t>4</w:t>
            </w:r>
            <w:r>
              <w:rPr>
                <w:vertAlign w:val="superscript"/>
              </w:rPr>
              <w:t>th</w:t>
            </w:r>
            <w:r>
              <w:tab/>
              <w:t>and subsequent fixtures</w:t>
            </w:r>
          </w:p>
        </w:tc>
        <w:tc>
          <w:tcPr>
            <w:tcW w:w="992" w:type="dxa"/>
            <w:tcBorders>
              <w:bottom w:val="single" w:sz="4" w:space="0" w:color="auto"/>
              <w:right w:val="single" w:sz="4" w:space="0" w:color="auto"/>
            </w:tcBorders>
            <w:noWrap/>
          </w:tcPr>
          <w:p>
            <w:pPr>
              <w:pStyle w:val="yTableNAm"/>
              <w:jc w:val="center"/>
            </w:pPr>
            <w:r>
              <w:t>736.19</w:t>
            </w:r>
          </w:p>
        </w:tc>
        <w:tc>
          <w:tcPr>
            <w:tcW w:w="1134" w:type="dxa"/>
            <w:tcBorders>
              <w:left w:val="single" w:sz="4" w:space="0" w:color="auto"/>
              <w:bottom w:val="single" w:sz="4" w:space="0" w:color="auto"/>
            </w:tcBorders>
            <w:noWrap/>
          </w:tcPr>
          <w:p>
            <w:pPr>
              <w:pStyle w:val="yTableNAm"/>
              <w:jc w:val="center"/>
            </w:pPr>
            <w:r>
              <w:t>600.61</w:t>
            </w:r>
          </w:p>
        </w:tc>
        <w:tc>
          <w:tcPr>
            <w:tcW w:w="1134" w:type="dxa"/>
            <w:tcBorders>
              <w:bottom w:val="single" w:sz="4" w:space="0" w:color="auto"/>
              <w:right w:val="single" w:sz="4" w:space="0" w:color="auto"/>
            </w:tcBorders>
            <w:noWrap/>
          </w:tcPr>
          <w:p>
            <w:pPr>
              <w:pStyle w:val="yTableNAm"/>
              <w:jc w:val="center"/>
            </w:pPr>
            <w:r>
              <w:t>135.58</w:t>
            </w:r>
          </w:p>
        </w:tc>
        <w:tc>
          <w:tcPr>
            <w:tcW w:w="1134" w:type="dxa"/>
            <w:tcBorders>
              <w:left w:val="single" w:sz="4" w:space="0" w:color="auto"/>
              <w:bottom w:val="single" w:sz="4" w:space="0" w:color="auto"/>
            </w:tcBorders>
            <w:noWrap/>
          </w:tcPr>
          <w:p>
            <w:pPr>
              <w:pStyle w:val="yTableNAm"/>
              <w:jc w:val="center"/>
            </w:pPr>
            <w:r>
              <w:t>736.19</w:t>
            </w:r>
          </w:p>
        </w:tc>
        <w:tc>
          <w:tcPr>
            <w:tcW w:w="1276" w:type="dxa"/>
            <w:tcBorders>
              <w:bottom w:val="single" w:sz="4" w:space="0" w:color="auto"/>
            </w:tcBorders>
            <w:noWrap/>
          </w:tcPr>
          <w:p>
            <w:pPr>
              <w:pStyle w:val="yTableNAm"/>
              <w:jc w:val="center"/>
            </w:pPr>
            <w:r>
              <w:t>0.00</w:t>
            </w:r>
          </w:p>
        </w:tc>
      </w:tr>
    </w:tbl>
    <w:p>
      <w:pPr>
        <w:pStyle w:val="zyHeading5"/>
      </w:pPr>
      <w:bookmarkStart w:id="243" w:name="_Toc201235751"/>
      <w:bookmarkStart w:id="244" w:name="_Toc201661662"/>
      <w:r>
        <w:t>12.</w:t>
      </w:r>
      <w:r>
        <w:tab/>
        <w:t>Non</w:t>
      </w:r>
      <w:r>
        <w:noBreakHyphen/>
        <w:t>metropolitan residential or vacant land</w:t>
      </w:r>
      <w:bookmarkEnd w:id="243"/>
      <w:bookmarkEnd w:id="244"/>
    </w:p>
    <w:p>
      <w:pPr>
        <w:pStyle w:val="ySubsection"/>
      </w:pPr>
      <w:r>
        <w:tab/>
        <w:t>(1)</w:t>
      </w:r>
      <w:r>
        <w:tab/>
        <w:t>This item does not apply to land to which any other item in this Schedule applies.</w:t>
      </w:r>
    </w:p>
    <w:p>
      <w:pPr>
        <w:pStyle w:val="ySubsection"/>
      </w:pPr>
      <w:r>
        <w:tab/>
        <w:t>(2)</w:t>
      </w:r>
      <w:r>
        <w:tab/>
        <w:t>For residential land in the non</w:t>
      </w:r>
      <w:r>
        <w:noBreakHyphen/>
        <w:t>metropolitan area that is in a sewerage area referred to in the Table, the charge, per dwelling on the land, is, subject to sub</w:t>
      </w:r>
      <w:r>
        <w:noBreakHyphen/>
        <w:t>items (3) and (4), the amount worked out by multiplying the GRV of the dwelling by the relevant rate for the sewerage area set out in the Table for residential land.</w:t>
      </w:r>
    </w:p>
    <w:p>
      <w:pPr>
        <w:pStyle w:val="ySubsection"/>
        <w:tabs>
          <w:tab w:val="right" w:leader="dot" w:pos="6804"/>
        </w:tabs>
      </w:pPr>
      <w:r>
        <w:tab/>
        <w:t>(3)</w:t>
      </w:r>
      <w:r>
        <w:tab/>
        <w:t xml:space="preserve">The minimum charge per dwelling </w:t>
      </w:r>
      <w:r>
        <w:br/>
        <w:t>under sub</w:t>
      </w:r>
      <w:r>
        <w:noBreakHyphen/>
        <w:t xml:space="preserve">item (2) is </w:t>
      </w:r>
      <w:r>
        <w:tab/>
      </w:r>
      <w:r>
        <w:rPr>
          <w:szCs w:val="22"/>
        </w:rPr>
        <w:t>$493.17</w:t>
      </w:r>
    </w:p>
    <w:p>
      <w:pPr>
        <w:pStyle w:val="ySubsection"/>
        <w:tabs>
          <w:tab w:val="right" w:leader="dot" w:pos="6804"/>
        </w:tabs>
      </w:pPr>
      <w:r>
        <w:tab/>
        <w:t>(4)</w:t>
      </w:r>
      <w:r>
        <w:tab/>
        <w:t xml:space="preserve">The maximum charge per dwelling </w:t>
      </w:r>
      <w:r>
        <w:br/>
        <w:t>under sub</w:t>
      </w:r>
      <w:r>
        <w:noBreakHyphen/>
        <w:t xml:space="preserve">item (2) is </w:t>
      </w:r>
      <w:r>
        <w:tab/>
      </w:r>
      <w:r>
        <w:rPr>
          <w:szCs w:val="22"/>
        </w:rPr>
        <w:t>$1 346.39</w:t>
      </w:r>
    </w:p>
    <w:p>
      <w:pPr>
        <w:pStyle w:val="ySubsection"/>
      </w:pPr>
      <w:r>
        <w:tab/>
        <w:t>(5)</w:t>
      </w:r>
      <w:r>
        <w:tab/>
        <w:t>For vacant land in the non</w:t>
      </w:r>
      <w:r>
        <w:noBreakHyphen/>
        <w:t>metropolitan area that is in a sewerage area referred to in the Table, the charge is, subject to sub</w:t>
      </w:r>
      <w:r>
        <w:noBreakHyphen/>
        <w:t>items (6) and (7), the amount worked out by multiplying the GRV of the land by the relevant rate for the sewerage area set out in the Table for vacant land.</w:t>
      </w:r>
    </w:p>
    <w:p>
      <w:pPr>
        <w:pStyle w:val="ySubsection"/>
        <w:tabs>
          <w:tab w:val="right" w:leader="dot" w:pos="6804"/>
        </w:tabs>
      </w:pPr>
      <w:r>
        <w:tab/>
        <w:t>(6)</w:t>
      </w:r>
      <w:r>
        <w:tab/>
        <w:t>The minimum charge under sub</w:t>
      </w:r>
      <w:r>
        <w:noBreakHyphen/>
        <w:t xml:space="preserve">item (5) is </w:t>
      </w:r>
      <w:r>
        <w:tab/>
      </w:r>
      <w:r>
        <w:rPr>
          <w:szCs w:val="22"/>
        </w:rPr>
        <w:t>$324.52</w:t>
      </w:r>
    </w:p>
    <w:p>
      <w:pPr>
        <w:pStyle w:val="ySubsection"/>
        <w:tabs>
          <w:tab w:val="right" w:leader="dot" w:pos="6804"/>
        </w:tabs>
      </w:pPr>
      <w:r>
        <w:lastRenderedPageBreak/>
        <w:tab/>
        <w:t>(7)</w:t>
      </w:r>
      <w:r>
        <w:tab/>
        <w:t xml:space="preserve">The maximum charge under </w:t>
      </w:r>
      <w:r>
        <w:br/>
        <w:t>sub</w:t>
      </w:r>
      <w:r>
        <w:noBreakHyphen/>
        <w:t xml:space="preserve">item (5) for vacant land that is </w:t>
      </w:r>
      <w:r>
        <w:br/>
        <w:t xml:space="preserve">held for residential purposes is </w:t>
      </w:r>
      <w:r>
        <w:tab/>
      </w:r>
      <w:r>
        <w:rPr>
          <w:szCs w:val="22"/>
        </w:rPr>
        <w:t>$1 346.39</w:t>
      </w:r>
    </w:p>
    <w:p>
      <w:pPr>
        <w:pStyle w:val="yTHeadingNAm"/>
      </w:pPr>
      <w:r>
        <w:t>Table of rates for sewerage areas</w:t>
      </w:r>
    </w:p>
    <w:tbl>
      <w:tblPr>
        <w:tblW w:w="612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59"/>
        <w:gridCol w:w="1985"/>
        <w:gridCol w:w="1985"/>
      </w:tblGrid>
      <w:tr>
        <w:trPr>
          <w:cantSplit/>
          <w:tblHeader/>
        </w:trPr>
        <w:tc>
          <w:tcPr>
            <w:tcW w:w="2159" w:type="dxa"/>
            <w:tcBorders>
              <w:left w:val="nil"/>
              <w:bottom w:val="single" w:sz="4" w:space="0" w:color="auto"/>
              <w:right w:val="nil"/>
            </w:tcBorders>
            <w:noWrap/>
            <w:vAlign w:val="center"/>
          </w:tcPr>
          <w:p>
            <w:pPr>
              <w:pStyle w:val="yTableNAm"/>
            </w:pPr>
            <w:r>
              <w:rPr>
                <w:b/>
              </w:rPr>
              <w:t>Sewerage area</w:t>
            </w:r>
          </w:p>
        </w:tc>
        <w:tc>
          <w:tcPr>
            <w:tcW w:w="1985" w:type="dxa"/>
            <w:tcBorders>
              <w:left w:val="nil"/>
              <w:bottom w:val="single" w:sz="4" w:space="0" w:color="auto"/>
              <w:right w:val="nil"/>
            </w:tcBorders>
            <w:noWrap/>
            <w:vAlign w:val="center"/>
          </w:tcPr>
          <w:p>
            <w:pPr>
              <w:pStyle w:val="yTableNAm"/>
              <w:jc w:val="center"/>
            </w:pPr>
            <w:r>
              <w:rPr>
                <w:b/>
              </w:rPr>
              <w:t xml:space="preserve">Residential rate </w:t>
            </w:r>
            <w:r>
              <w:rPr>
                <w:b/>
              </w:rPr>
              <w:br/>
              <w:t>cents/$ of GRV</w:t>
            </w:r>
          </w:p>
        </w:tc>
        <w:tc>
          <w:tcPr>
            <w:tcW w:w="1985" w:type="dxa"/>
            <w:tcBorders>
              <w:left w:val="nil"/>
              <w:bottom w:val="single" w:sz="4" w:space="0" w:color="auto"/>
              <w:right w:val="nil"/>
            </w:tcBorders>
            <w:noWrap/>
            <w:vAlign w:val="center"/>
          </w:tcPr>
          <w:p>
            <w:pPr>
              <w:pStyle w:val="yTableNAm"/>
              <w:jc w:val="center"/>
            </w:pPr>
            <w:r>
              <w:rPr>
                <w:b/>
              </w:rPr>
              <w:t xml:space="preserve">Vacant land rate </w:t>
            </w:r>
            <w:r>
              <w:rPr>
                <w:b/>
              </w:rPr>
              <w:br/>
              <w:t>cents/$ of GRV</w:t>
            </w:r>
          </w:p>
        </w:tc>
      </w:tr>
      <w:tr>
        <w:trPr>
          <w:cantSplit/>
        </w:trPr>
        <w:tc>
          <w:tcPr>
            <w:tcW w:w="2159" w:type="dxa"/>
            <w:tcBorders>
              <w:top w:val="single" w:sz="4" w:space="0" w:color="auto"/>
              <w:left w:val="nil"/>
              <w:bottom w:val="nil"/>
              <w:right w:val="nil"/>
            </w:tcBorders>
            <w:noWrap/>
          </w:tcPr>
          <w:p>
            <w:pPr>
              <w:pStyle w:val="yTableNAm"/>
            </w:pPr>
            <w:r>
              <w:t>Albany</w:t>
            </w:r>
          </w:p>
        </w:tc>
        <w:tc>
          <w:tcPr>
            <w:tcW w:w="1985" w:type="dxa"/>
            <w:tcBorders>
              <w:top w:val="single" w:sz="4" w:space="0" w:color="auto"/>
              <w:left w:val="nil"/>
              <w:bottom w:val="nil"/>
              <w:right w:val="nil"/>
            </w:tcBorders>
            <w:noWrap/>
          </w:tcPr>
          <w:p>
            <w:pPr>
              <w:pStyle w:val="yTableNAm"/>
              <w:ind w:right="600"/>
              <w:jc w:val="right"/>
            </w:pPr>
            <w:r>
              <w:t>10.341</w:t>
            </w:r>
          </w:p>
        </w:tc>
        <w:tc>
          <w:tcPr>
            <w:tcW w:w="1985" w:type="dxa"/>
            <w:tcBorders>
              <w:top w:val="single" w:sz="4" w:space="0" w:color="auto"/>
              <w:left w:val="nil"/>
              <w:bottom w:val="nil"/>
              <w:right w:val="nil"/>
            </w:tcBorders>
            <w:noWrap/>
          </w:tcPr>
          <w:p>
            <w:pPr>
              <w:pStyle w:val="yTableNAm"/>
              <w:ind w:right="600"/>
              <w:jc w:val="right"/>
            </w:pPr>
            <w:r>
              <w:t>25.136</w:t>
            </w:r>
          </w:p>
        </w:tc>
      </w:tr>
      <w:tr>
        <w:trPr>
          <w:cantSplit/>
        </w:trPr>
        <w:tc>
          <w:tcPr>
            <w:tcW w:w="2159" w:type="dxa"/>
            <w:tcBorders>
              <w:top w:val="nil"/>
              <w:left w:val="nil"/>
              <w:bottom w:val="nil"/>
              <w:right w:val="nil"/>
            </w:tcBorders>
            <w:noWrap/>
          </w:tcPr>
          <w:p>
            <w:pPr>
              <w:pStyle w:val="yTableNAm"/>
            </w:pPr>
            <w:r>
              <w:t>Augusta</w:t>
            </w:r>
          </w:p>
        </w:tc>
        <w:tc>
          <w:tcPr>
            <w:tcW w:w="1985" w:type="dxa"/>
            <w:tcBorders>
              <w:top w:val="nil"/>
              <w:left w:val="nil"/>
              <w:bottom w:val="nil"/>
              <w:right w:val="nil"/>
            </w:tcBorders>
            <w:noWrap/>
          </w:tcPr>
          <w:p>
            <w:pPr>
              <w:pStyle w:val="yTableNAm"/>
              <w:ind w:right="600"/>
              <w:jc w:val="right"/>
            </w:pPr>
            <w:r>
              <w:t>5.884</w:t>
            </w:r>
          </w:p>
        </w:tc>
        <w:tc>
          <w:tcPr>
            <w:tcW w:w="1985" w:type="dxa"/>
            <w:tcBorders>
              <w:top w:val="nil"/>
              <w:left w:val="nil"/>
              <w:bottom w:val="nil"/>
              <w:right w:val="nil"/>
            </w:tcBorders>
            <w:noWrap/>
          </w:tcPr>
          <w:p>
            <w:pPr>
              <w:pStyle w:val="yTableNAm"/>
              <w:ind w:right="600"/>
              <w:jc w:val="right"/>
            </w:pPr>
            <w:r>
              <w:t>7.782</w:t>
            </w:r>
          </w:p>
        </w:tc>
      </w:tr>
      <w:tr>
        <w:trPr>
          <w:cantSplit/>
        </w:trPr>
        <w:tc>
          <w:tcPr>
            <w:tcW w:w="2159" w:type="dxa"/>
            <w:tcBorders>
              <w:top w:val="nil"/>
              <w:left w:val="nil"/>
              <w:bottom w:val="nil"/>
              <w:right w:val="nil"/>
            </w:tcBorders>
            <w:noWrap/>
          </w:tcPr>
          <w:p>
            <w:pPr>
              <w:pStyle w:val="yTableNAm"/>
            </w:pPr>
            <w:r>
              <w:t>Australind</w:t>
            </w:r>
          </w:p>
        </w:tc>
        <w:tc>
          <w:tcPr>
            <w:tcW w:w="1985" w:type="dxa"/>
            <w:tcBorders>
              <w:top w:val="nil"/>
              <w:left w:val="nil"/>
              <w:bottom w:val="nil"/>
              <w:right w:val="nil"/>
            </w:tcBorders>
            <w:noWrap/>
          </w:tcPr>
          <w:p>
            <w:pPr>
              <w:pStyle w:val="yTableNAm"/>
              <w:ind w:right="600"/>
              <w:jc w:val="right"/>
            </w:pPr>
            <w:r>
              <w:t>3.917</w:t>
            </w:r>
          </w:p>
        </w:tc>
        <w:tc>
          <w:tcPr>
            <w:tcW w:w="1985" w:type="dxa"/>
            <w:tcBorders>
              <w:top w:val="nil"/>
              <w:left w:val="nil"/>
              <w:bottom w:val="nil"/>
              <w:right w:val="nil"/>
            </w:tcBorders>
            <w:noWrap/>
          </w:tcPr>
          <w:p>
            <w:pPr>
              <w:pStyle w:val="yTableNAm"/>
              <w:ind w:right="600"/>
              <w:jc w:val="right"/>
            </w:pPr>
            <w:r>
              <w:t>3.929</w:t>
            </w:r>
          </w:p>
        </w:tc>
      </w:tr>
      <w:tr>
        <w:trPr>
          <w:cantSplit/>
        </w:trPr>
        <w:tc>
          <w:tcPr>
            <w:tcW w:w="2159" w:type="dxa"/>
            <w:tcBorders>
              <w:top w:val="nil"/>
              <w:left w:val="nil"/>
              <w:bottom w:val="nil"/>
              <w:right w:val="nil"/>
            </w:tcBorders>
            <w:noWrap/>
          </w:tcPr>
          <w:p>
            <w:pPr>
              <w:pStyle w:val="yTableNAm"/>
            </w:pPr>
            <w:r>
              <w:t>Beverley</w:t>
            </w:r>
          </w:p>
        </w:tc>
        <w:tc>
          <w:tcPr>
            <w:tcW w:w="1985" w:type="dxa"/>
            <w:tcBorders>
              <w:top w:val="nil"/>
              <w:left w:val="nil"/>
              <w:bottom w:val="nil"/>
              <w:right w:val="nil"/>
            </w:tcBorders>
            <w:noWrap/>
          </w:tcPr>
          <w:p>
            <w:pPr>
              <w:pStyle w:val="yTableNAm"/>
              <w:ind w:right="600"/>
              <w:jc w:val="right"/>
            </w:pPr>
            <w:r>
              <w:t>14.491</w:t>
            </w:r>
          </w:p>
        </w:tc>
        <w:tc>
          <w:tcPr>
            <w:tcW w:w="1985" w:type="dxa"/>
            <w:tcBorders>
              <w:top w:val="nil"/>
              <w:left w:val="nil"/>
              <w:bottom w:val="nil"/>
              <w:right w:val="nil"/>
            </w:tcBorders>
            <w:noWrap/>
          </w:tcPr>
          <w:p>
            <w:pPr>
              <w:pStyle w:val="yTableNAm"/>
              <w:ind w:right="600"/>
              <w:jc w:val="right"/>
            </w:pPr>
            <w:r>
              <w:t>52.143</w:t>
            </w:r>
          </w:p>
        </w:tc>
      </w:tr>
      <w:tr>
        <w:trPr>
          <w:cantSplit/>
        </w:trPr>
        <w:tc>
          <w:tcPr>
            <w:tcW w:w="2159" w:type="dxa"/>
            <w:tcBorders>
              <w:top w:val="nil"/>
              <w:left w:val="nil"/>
              <w:bottom w:val="nil"/>
              <w:right w:val="nil"/>
            </w:tcBorders>
            <w:noWrap/>
          </w:tcPr>
          <w:p>
            <w:pPr>
              <w:pStyle w:val="yTableNAm"/>
            </w:pPr>
            <w:r>
              <w:t>Binningup</w:t>
            </w:r>
          </w:p>
        </w:tc>
        <w:tc>
          <w:tcPr>
            <w:tcW w:w="1985" w:type="dxa"/>
            <w:tcBorders>
              <w:top w:val="nil"/>
              <w:left w:val="nil"/>
              <w:bottom w:val="nil"/>
              <w:right w:val="nil"/>
            </w:tcBorders>
            <w:noWrap/>
          </w:tcPr>
          <w:p>
            <w:pPr>
              <w:pStyle w:val="yTableNAm"/>
              <w:ind w:right="600"/>
              <w:jc w:val="right"/>
            </w:pPr>
            <w:r>
              <w:t>7.476</w:t>
            </w:r>
          </w:p>
        </w:tc>
        <w:tc>
          <w:tcPr>
            <w:tcW w:w="1985" w:type="dxa"/>
            <w:tcBorders>
              <w:top w:val="nil"/>
              <w:left w:val="nil"/>
              <w:bottom w:val="nil"/>
              <w:right w:val="nil"/>
            </w:tcBorders>
            <w:noWrap/>
          </w:tcPr>
          <w:p>
            <w:pPr>
              <w:pStyle w:val="yTableNAm"/>
              <w:ind w:right="600"/>
              <w:jc w:val="right"/>
            </w:pPr>
            <w:r>
              <w:t>26.112</w:t>
            </w:r>
          </w:p>
        </w:tc>
      </w:tr>
      <w:tr>
        <w:trPr>
          <w:cantSplit/>
        </w:trPr>
        <w:tc>
          <w:tcPr>
            <w:tcW w:w="2159" w:type="dxa"/>
            <w:tcBorders>
              <w:top w:val="nil"/>
              <w:left w:val="nil"/>
              <w:bottom w:val="nil"/>
              <w:right w:val="nil"/>
            </w:tcBorders>
            <w:noWrap/>
          </w:tcPr>
          <w:p>
            <w:pPr>
              <w:pStyle w:val="yTableNAm"/>
            </w:pPr>
            <w:r>
              <w:t>Boddington</w:t>
            </w:r>
          </w:p>
        </w:tc>
        <w:tc>
          <w:tcPr>
            <w:tcW w:w="1985" w:type="dxa"/>
            <w:tcBorders>
              <w:top w:val="nil"/>
              <w:left w:val="nil"/>
              <w:bottom w:val="nil"/>
              <w:right w:val="nil"/>
            </w:tcBorders>
            <w:noWrap/>
          </w:tcPr>
          <w:p>
            <w:pPr>
              <w:pStyle w:val="yTableNAm"/>
              <w:ind w:right="600"/>
              <w:jc w:val="right"/>
            </w:pPr>
            <w:r>
              <w:t>23.747</w:t>
            </w:r>
          </w:p>
        </w:tc>
        <w:tc>
          <w:tcPr>
            <w:tcW w:w="1985" w:type="dxa"/>
            <w:tcBorders>
              <w:top w:val="nil"/>
              <w:left w:val="nil"/>
              <w:bottom w:val="nil"/>
              <w:right w:val="nil"/>
            </w:tcBorders>
            <w:noWrap/>
          </w:tcPr>
          <w:p>
            <w:pPr>
              <w:pStyle w:val="yTableNAm"/>
              <w:ind w:right="600"/>
              <w:jc w:val="right"/>
            </w:pPr>
            <w:r>
              <w:t>209.708</w:t>
            </w:r>
          </w:p>
        </w:tc>
      </w:tr>
      <w:tr>
        <w:trPr>
          <w:cantSplit/>
        </w:trPr>
        <w:tc>
          <w:tcPr>
            <w:tcW w:w="2159" w:type="dxa"/>
            <w:tcBorders>
              <w:top w:val="nil"/>
              <w:left w:val="nil"/>
              <w:bottom w:val="nil"/>
              <w:right w:val="nil"/>
            </w:tcBorders>
            <w:noWrap/>
          </w:tcPr>
          <w:p>
            <w:pPr>
              <w:pStyle w:val="yTableNAm"/>
            </w:pPr>
            <w:r>
              <w:t>Boyanup</w:t>
            </w:r>
          </w:p>
        </w:tc>
        <w:tc>
          <w:tcPr>
            <w:tcW w:w="1985" w:type="dxa"/>
            <w:tcBorders>
              <w:top w:val="nil"/>
              <w:left w:val="nil"/>
              <w:bottom w:val="nil"/>
              <w:right w:val="nil"/>
            </w:tcBorders>
            <w:noWrap/>
          </w:tcPr>
          <w:p>
            <w:pPr>
              <w:pStyle w:val="yTableNAm"/>
              <w:ind w:right="600"/>
              <w:jc w:val="right"/>
            </w:pPr>
            <w:r>
              <w:t>10.256</w:t>
            </w:r>
          </w:p>
        </w:tc>
        <w:tc>
          <w:tcPr>
            <w:tcW w:w="1985" w:type="dxa"/>
            <w:tcBorders>
              <w:top w:val="nil"/>
              <w:left w:val="nil"/>
              <w:bottom w:val="nil"/>
              <w:right w:val="nil"/>
            </w:tcBorders>
            <w:noWrap/>
          </w:tcPr>
          <w:p>
            <w:pPr>
              <w:pStyle w:val="yTableNAm"/>
              <w:ind w:right="600"/>
              <w:jc w:val="right"/>
            </w:pPr>
            <w:r>
              <w:t>26.383</w:t>
            </w:r>
          </w:p>
        </w:tc>
      </w:tr>
      <w:tr>
        <w:trPr>
          <w:cantSplit/>
        </w:trPr>
        <w:tc>
          <w:tcPr>
            <w:tcW w:w="2159" w:type="dxa"/>
            <w:tcBorders>
              <w:top w:val="nil"/>
              <w:left w:val="nil"/>
              <w:bottom w:val="nil"/>
              <w:right w:val="nil"/>
            </w:tcBorders>
            <w:noWrap/>
          </w:tcPr>
          <w:p>
            <w:pPr>
              <w:pStyle w:val="yTableNAm"/>
            </w:pPr>
            <w:r>
              <w:t>Bremer Bay</w:t>
            </w:r>
          </w:p>
        </w:tc>
        <w:tc>
          <w:tcPr>
            <w:tcW w:w="1985" w:type="dxa"/>
            <w:tcBorders>
              <w:top w:val="nil"/>
              <w:left w:val="nil"/>
              <w:bottom w:val="nil"/>
              <w:right w:val="nil"/>
            </w:tcBorders>
            <w:noWrap/>
          </w:tcPr>
          <w:p>
            <w:pPr>
              <w:pStyle w:val="yTableNAm"/>
              <w:ind w:right="600"/>
              <w:jc w:val="right"/>
            </w:pPr>
            <w:r>
              <w:t>13.687</w:t>
            </w:r>
          </w:p>
        </w:tc>
        <w:tc>
          <w:tcPr>
            <w:tcW w:w="1985" w:type="dxa"/>
            <w:tcBorders>
              <w:top w:val="nil"/>
              <w:left w:val="nil"/>
              <w:bottom w:val="nil"/>
              <w:right w:val="nil"/>
            </w:tcBorders>
            <w:noWrap/>
          </w:tcPr>
          <w:p>
            <w:pPr>
              <w:pStyle w:val="yTableNAm"/>
              <w:ind w:right="600"/>
              <w:jc w:val="right"/>
            </w:pPr>
            <w:r>
              <w:t>19.762</w:t>
            </w:r>
          </w:p>
        </w:tc>
      </w:tr>
      <w:tr>
        <w:trPr>
          <w:cantSplit/>
        </w:trPr>
        <w:tc>
          <w:tcPr>
            <w:tcW w:w="2159" w:type="dxa"/>
            <w:tcBorders>
              <w:top w:val="nil"/>
              <w:left w:val="nil"/>
              <w:bottom w:val="nil"/>
              <w:right w:val="nil"/>
            </w:tcBorders>
            <w:noWrap/>
          </w:tcPr>
          <w:p>
            <w:pPr>
              <w:pStyle w:val="yTableNAm"/>
            </w:pPr>
            <w:r>
              <w:t>Bridgetown</w:t>
            </w:r>
          </w:p>
        </w:tc>
        <w:tc>
          <w:tcPr>
            <w:tcW w:w="1985" w:type="dxa"/>
            <w:tcBorders>
              <w:top w:val="nil"/>
              <w:left w:val="nil"/>
              <w:bottom w:val="nil"/>
              <w:right w:val="nil"/>
            </w:tcBorders>
            <w:noWrap/>
          </w:tcPr>
          <w:p>
            <w:pPr>
              <w:pStyle w:val="yTableNAm"/>
              <w:ind w:right="600"/>
              <w:jc w:val="right"/>
            </w:pPr>
            <w:r>
              <w:t>26.838</w:t>
            </w:r>
          </w:p>
        </w:tc>
        <w:tc>
          <w:tcPr>
            <w:tcW w:w="1985" w:type="dxa"/>
            <w:tcBorders>
              <w:top w:val="nil"/>
              <w:left w:val="nil"/>
              <w:bottom w:val="nil"/>
              <w:right w:val="nil"/>
            </w:tcBorders>
            <w:noWrap/>
          </w:tcPr>
          <w:p>
            <w:pPr>
              <w:pStyle w:val="yTableNAm"/>
              <w:ind w:right="600"/>
              <w:jc w:val="right"/>
            </w:pPr>
            <w:r>
              <w:t>124.734</w:t>
            </w:r>
          </w:p>
        </w:tc>
      </w:tr>
      <w:tr>
        <w:trPr>
          <w:cantSplit/>
        </w:trPr>
        <w:tc>
          <w:tcPr>
            <w:tcW w:w="2159" w:type="dxa"/>
            <w:tcBorders>
              <w:top w:val="nil"/>
              <w:left w:val="nil"/>
              <w:bottom w:val="nil"/>
              <w:right w:val="nil"/>
            </w:tcBorders>
            <w:noWrap/>
          </w:tcPr>
          <w:p>
            <w:pPr>
              <w:pStyle w:val="yTableNAm"/>
            </w:pPr>
            <w:r>
              <w:t>Broome</w:t>
            </w:r>
          </w:p>
        </w:tc>
        <w:tc>
          <w:tcPr>
            <w:tcW w:w="1985" w:type="dxa"/>
            <w:tcBorders>
              <w:top w:val="nil"/>
              <w:left w:val="nil"/>
              <w:bottom w:val="nil"/>
              <w:right w:val="nil"/>
            </w:tcBorders>
            <w:noWrap/>
          </w:tcPr>
          <w:p>
            <w:pPr>
              <w:pStyle w:val="yTableNAm"/>
              <w:ind w:right="600"/>
              <w:jc w:val="right"/>
            </w:pPr>
            <w:r>
              <w:t>6.752</w:t>
            </w:r>
          </w:p>
        </w:tc>
        <w:tc>
          <w:tcPr>
            <w:tcW w:w="1985" w:type="dxa"/>
            <w:tcBorders>
              <w:top w:val="nil"/>
              <w:left w:val="nil"/>
              <w:bottom w:val="nil"/>
              <w:right w:val="nil"/>
            </w:tcBorders>
            <w:noWrap/>
          </w:tcPr>
          <w:p>
            <w:pPr>
              <w:pStyle w:val="yTableNAm"/>
              <w:ind w:right="600"/>
              <w:jc w:val="right"/>
            </w:pPr>
            <w:r>
              <w:t>21.048</w:t>
            </w:r>
          </w:p>
        </w:tc>
      </w:tr>
      <w:tr>
        <w:trPr>
          <w:cantSplit/>
        </w:trPr>
        <w:tc>
          <w:tcPr>
            <w:tcW w:w="2159" w:type="dxa"/>
            <w:tcBorders>
              <w:top w:val="nil"/>
              <w:left w:val="nil"/>
              <w:bottom w:val="nil"/>
              <w:right w:val="nil"/>
            </w:tcBorders>
            <w:noWrap/>
          </w:tcPr>
          <w:p>
            <w:pPr>
              <w:pStyle w:val="yTableNAm"/>
            </w:pPr>
            <w:r>
              <w:t>Brunswick</w:t>
            </w:r>
          </w:p>
        </w:tc>
        <w:tc>
          <w:tcPr>
            <w:tcW w:w="1985" w:type="dxa"/>
            <w:tcBorders>
              <w:top w:val="nil"/>
              <w:left w:val="nil"/>
              <w:bottom w:val="nil"/>
              <w:right w:val="nil"/>
            </w:tcBorders>
            <w:noWrap/>
          </w:tcPr>
          <w:p>
            <w:pPr>
              <w:pStyle w:val="yTableNAm"/>
              <w:ind w:right="600"/>
              <w:jc w:val="right"/>
            </w:pPr>
            <w:r>
              <w:t>9.493</w:t>
            </w:r>
          </w:p>
        </w:tc>
        <w:tc>
          <w:tcPr>
            <w:tcW w:w="1985" w:type="dxa"/>
            <w:tcBorders>
              <w:top w:val="nil"/>
              <w:left w:val="nil"/>
              <w:bottom w:val="nil"/>
              <w:right w:val="nil"/>
            </w:tcBorders>
            <w:noWrap/>
          </w:tcPr>
          <w:p>
            <w:pPr>
              <w:pStyle w:val="yTableNAm"/>
              <w:ind w:right="600"/>
              <w:jc w:val="right"/>
            </w:pPr>
            <w:r>
              <w:t>24.341</w:t>
            </w:r>
          </w:p>
        </w:tc>
      </w:tr>
      <w:tr>
        <w:trPr>
          <w:cantSplit/>
        </w:trPr>
        <w:tc>
          <w:tcPr>
            <w:tcW w:w="2159" w:type="dxa"/>
            <w:tcBorders>
              <w:top w:val="nil"/>
              <w:left w:val="nil"/>
              <w:bottom w:val="nil"/>
              <w:right w:val="nil"/>
            </w:tcBorders>
            <w:noWrap/>
          </w:tcPr>
          <w:p>
            <w:pPr>
              <w:pStyle w:val="yTableNAm"/>
            </w:pPr>
            <w:r>
              <w:t>Bruce Rock</w:t>
            </w:r>
          </w:p>
        </w:tc>
        <w:tc>
          <w:tcPr>
            <w:tcW w:w="1985" w:type="dxa"/>
            <w:tcBorders>
              <w:top w:val="nil"/>
              <w:left w:val="nil"/>
              <w:bottom w:val="nil"/>
              <w:right w:val="nil"/>
            </w:tcBorders>
            <w:noWrap/>
          </w:tcPr>
          <w:p>
            <w:pPr>
              <w:pStyle w:val="yTableNAm"/>
              <w:ind w:right="600"/>
              <w:jc w:val="right"/>
            </w:pPr>
            <w:r>
              <w:t>68.512</w:t>
            </w:r>
          </w:p>
        </w:tc>
        <w:tc>
          <w:tcPr>
            <w:tcW w:w="1985" w:type="dxa"/>
            <w:tcBorders>
              <w:top w:val="nil"/>
              <w:left w:val="nil"/>
              <w:bottom w:val="nil"/>
              <w:right w:val="nil"/>
            </w:tcBorders>
            <w:noWrap/>
          </w:tcPr>
          <w:p>
            <w:pPr>
              <w:pStyle w:val="yTableNAm"/>
              <w:ind w:right="600"/>
              <w:jc w:val="right"/>
            </w:pPr>
            <w:r>
              <w:t>453.770</w:t>
            </w:r>
          </w:p>
        </w:tc>
      </w:tr>
      <w:tr>
        <w:trPr>
          <w:cantSplit/>
        </w:trPr>
        <w:tc>
          <w:tcPr>
            <w:tcW w:w="2159" w:type="dxa"/>
            <w:tcBorders>
              <w:top w:val="nil"/>
              <w:left w:val="nil"/>
              <w:bottom w:val="nil"/>
              <w:right w:val="nil"/>
            </w:tcBorders>
            <w:noWrap/>
          </w:tcPr>
          <w:p>
            <w:pPr>
              <w:pStyle w:val="yTableNAm"/>
            </w:pPr>
            <w:r>
              <w:t>Bunbury</w:t>
            </w:r>
          </w:p>
        </w:tc>
        <w:tc>
          <w:tcPr>
            <w:tcW w:w="1985" w:type="dxa"/>
            <w:tcBorders>
              <w:top w:val="nil"/>
              <w:left w:val="nil"/>
              <w:bottom w:val="nil"/>
              <w:right w:val="nil"/>
            </w:tcBorders>
            <w:noWrap/>
          </w:tcPr>
          <w:p>
            <w:pPr>
              <w:pStyle w:val="yTableNAm"/>
              <w:ind w:right="600"/>
              <w:jc w:val="right"/>
            </w:pPr>
            <w:r>
              <w:t>7.350</w:t>
            </w:r>
          </w:p>
        </w:tc>
        <w:tc>
          <w:tcPr>
            <w:tcW w:w="1985" w:type="dxa"/>
            <w:tcBorders>
              <w:top w:val="nil"/>
              <w:left w:val="nil"/>
              <w:bottom w:val="nil"/>
              <w:right w:val="nil"/>
            </w:tcBorders>
            <w:noWrap/>
          </w:tcPr>
          <w:p>
            <w:pPr>
              <w:pStyle w:val="yTableNAm"/>
              <w:ind w:right="600"/>
              <w:jc w:val="right"/>
            </w:pPr>
            <w:r>
              <w:t>14.141</w:t>
            </w:r>
          </w:p>
        </w:tc>
      </w:tr>
      <w:tr>
        <w:trPr>
          <w:cantSplit/>
        </w:trPr>
        <w:tc>
          <w:tcPr>
            <w:tcW w:w="2159" w:type="dxa"/>
            <w:tcBorders>
              <w:top w:val="nil"/>
              <w:left w:val="nil"/>
              <w:bottom w:val="nil"/>
              <w:right w:val="nil"/>
            </w:tcBorders>
            <w:noWrap/>
          </w:tcPr>
          <w:p>
            <w:pPr>
              <w:pStyle w:val="yTableNAm"/>
            </w:pPr>
            <w:r>
              <w:t>Burekup</w:t>
            </w:r>
          </w:p>
        </w:tc>
        <w:tc>
          <w:tcPr>
            <w:tcW w:w="1985" w:type="dxa"/>
            <w:tcBorders>
              <w:top w:val="nil"/>
              <w:left w:val="nil"/>
              <w:bottom w:val="nil"/>
              <w:right w:val="nil"/>
            </w:tcBorders>
            <w:noWrap/>
          </w:tcPr>
          <w:p>
            <w:pPr>
              <w:pStyle w:val="yTableNAm"/>
              <w:ind w:right="600"/>
              <w:jc w:val="right"/>
            </w:pPr>
            <w:r>
              <w:t>6.518</w:t>
            </w:r>
          </w:p>
        </w:tc>
        <w:tc>
          <w:tcPr>
            <w:tcW w:w="1985" w:type="dxa"/>
            <w:tcBorders>
              <w:top w:val="nil"/>
              <w:left w:val="nil"/>
              <w:bottom w:val="nil"/>
              <w:right w:val="nil"/>
            </w:tcBorders>
            <w:noWrap/>
          </w:tcPr>
          <w:p>
            <w:pPr>
              <w:pStyle w:val="yTableNAm"/>
              <w:ind w:right="600"/>
              <w:jc w:val="right"/>
            </w:pPr>
            <w:r>
              <w:t>8.879</w:t>
            </w:r>
          </w:p>
        </w:tc>
      </w:tr>
      <w:tr>
        <w:trPr>
          <w:cantSplit/>
        </w:trPr>
        <w:tc>
          <w:tcPr>
            <w:tcW w:w="2159" w:type="dxa"/>
            <w:tcBorders>
              <w:top w:val="nil"/>
              <w:left w:val="nil"/>
              <w:bottom w:val="nil"/>
              <w:right w:val="nil"/>
            </w:tcBorders>
            <w:noWrap/>
          </w:tcPr>
          <w:p>
            <w:pPr>
              <w:pStyle w:val="yTableNAm"/>
            </w:pPr>
            <w:r>
              <w:t>Busselton</w:t>
            </w:r>
          </w:p>
        </w:tc>
        <w:tc>
          <w:tcPr>
            <w:tcW w:w="1985" w:type="dxa"/>
            <w:tcBorders>
              <w:top w:val="nil"/>
              <w:left w:val="nil"/>
              <w:bottom w:val="nil"/>
              <w:right w:val="nil"/>
            </w:tcBorders>
            <w:noWrap/>
          </w:tcPr>
          <w:p>
            <w:pPr>
              <w:pStyle w:val="yTableNAm"/>
              <w:ind w:right="600"/>
              <w:jc w:val="right"/>
            </w:pPr>
            <w:r>
              <w:t>3.957</w:t>
            </w:r>
          </w:p>
        </w:tc>
        <w:tc>
          <w:tcPr>
            <w:tcW w:w="1985" w:type="dxa"/>
            <w:tcBorders>
              <w:top w:val="nil"/>
              <w:left w:val="nil"/>
              <w:bottom w:val="nil"/>
              <w:right w:val="nil"/>
            </w:tcBorders>
            <w:noWrap/>
          </w:tcPr>
          <w:p>
            <w:pPr>
              <w:pStyle w:val="yTableNAm"/>
              <w:ind w:right="600"/>
              <w:jc w:val="right"/>
            </w:pPr>
            <w:r>
              <w:t>3.628</w:t>
            </w:r>
          </w:p>
        </w:tc>
      </w:tr>
      <w:tr>
        <w:trPr>
          <w:cantSplit/>
        </w:trPr>
        <w:tc>
          <w:tcPr>
            <w:tcW w:w="2159" w:type="dxa"/>
            <w:tcBorders>
              <w:top w:val="nil"/>
              <w:left w:val="nil"/>
              <w:bottom w:val="nil"/>
              <w:right w:val="nil"/>
            </w:tcBorders>
            <w:noWrap/>
          </w:tcPr>
          <w:p>
            <w:pPr>
              <w:pStyle w:val="yTableNAm"/>
            </w:pPr>
            <w:r>
              <w:t>Capel</w:t>
            </w:r>
          </w:p>
        </w:tc>
        <w:tc>
          <w:tcPr>
            <w:tcW w:w="1985" w:type="dxa"/>
            <w:tcBorders>
              <w:top w:val="nil"/>
              <w:left w:val="nil"/>
              <w:bottom w:val="nil"/>
              <w:right w:val="nil"/>
            </w:tcBorders>
            <w:noWrap/>
          </w:tcPr>
          <w:p>
            <w:pPr>
              <w:pStyle w:val="yTableNAm"/>
              <w:ind w:right="600"/>
              <w:jc w:val="right"/>
            </w:pPr>
            <w:r>
              <w:t>7.250</w:t>
            </w:r>
          </w:p>
        </w:tc>
        <w:tc>
          <w:tcPr>
            <w:tcW w:w="1985" w:type="dxa"/>
            <w:tcBorders>
              <w:top w:val="nil"/>
              <w:left w:val="nil"/>
              <w:bottom w:val="nil"/>
              <w:right w:val="nil"/>
            </w:tcBorders>
            <w:noWrap/>
          </w:tcPr>
          <w:p>
            <w:pPr>
              <w:pStyle w:val="yTableNAm"/>
              <w:ind w:right="600"/>
              <w:jc w:val="right"/>
            </w:pPr>
            <w:r>
              <w:t>12.200</w:t>
            </w:r>
          </w:p>
        </w:tc>
      </w:tr>
      <w:tr>
        <w:trPr>
          <w:cantSplit/>
        </w:trPr>
        <w:tc>
          <w:tcPr>
            <w:tcW w:w="2159" w:type="dxa"/>
            <w:tcBorders>
              <w:top w:val="nil"/>
              <w:left w:val="nil"/>
              <w:bottom w:val="nil"/>
              <w:right w:val="nil"/>
            </w:tcBorders>
            <w:noWrap/>
          </w:tcPr>
          <w:p>
            <w:pPr>
              <w:pStyle w:val="yTableNAm"/>
            </w:pPr>
            <w:r>
              <w:lastRenderedPageBreak/>
              <w:t>Carnarvon</w:t>
            </w:r>
          </w:p>
        </w:tc>
        <w:tc>
          <w:tcPr>
            <w:tcW w:w="1985" w:type="dxa"/>
            <w:tcBorders>
              <w:top w:val="nil"/>
              <w:left w:val="nil"/>
              <w:bottom w:val="nil"/>
              <w:right w:val="nil"/>
            </w:tcBorders>
            <w:noWrap/>
          </w:tcPr>
          <w:p>
            <w:pPr>
              <w:pStyle w:val="yTableNAm"/>
              <w:ind w:right="600"/>
              <w:jc w:val="right"/>
            </w:pPr>
            <w:r>
              <w:t>10.513</w:t>
            </w:r>
          </w:p>
        </w:tc>
        <w:tc>
          <w:tcPr>
            <w:tcW w:w="1985" w:type="dxa"/>
            <w:tcBorders>
              <w:top w:val="nil"/>
              <w:left w:val="nil"/>
              <w:bottom w:val="nil"/>
              <w:right w:val="nil"/>
            </w:tcBorders>
            <w:noWrap/>
          </w:tcPr>
          <w:p>
            <w:pPr>
              <w:pStyle w:val="yTableNAm"/>
              <w:ind w:right="600"/>
              <w:jc w:val="right"/>
            </w:pPr>
            <w:r>
              <w:t>25.232</w:t>
            </w:r>
          </w:p>
        </w:tc>
      </w:tr>
      <w:tr>
        <w:trPr>
          <w:cantSplit/>
        </w:trPr>
        <w:tc>
          <w:tcPr>
            <w:tcW w:w="2159" w:type="dxa"/>
            <w:tcBorders>
              <w:top w:val="nil"/>
              <w:left w:val="nil"/>
              <w:bottom w:val="nil"/>
              <w:right w:val="nil"/>
            </w:tcBorders>
            <w:noWrap/>
          </w:tcPr>
          <w:p>
            <w:pPr>
              <w:pStyle w:val="yTableNAm"/>
            </w:pPr>
            <w:r>
              <w:t>Cervantes</w:t>
            </w:r>
          </w:p>
        </w:tc>
        <w:tc>
          <w:tcPr>
            <w:tcW w:w="1985" w:type="dxa"/>
            <w:tcBorders>
              <w:top w:val="nil"/>
              <w:left w:val="nil"/>
              <w:bottom w:val="nil"/>
              <w:right w:val="nil"/>
            </w:tcBorders>
            <w:noWrap/>
          </w:tcPr>
          <w:p>
            <w:pPr>
              <w:pStyle w:val="yTableNAm"/>
              <w:ind w:right="600"/>
              <w:jc w:val="right"/>
            </w:pPr>
            <w:r>
              <w:t>9.957</w:t>
            </w:r>
          </w:p>
        </w:tc>
        <w:tc>
          <w:tcPr>
            <w:tcW w:w="1985" w:type="dxa"/>
            <w:tcBorders>
              <w:top w:val="nil"/>
              <w:left w:val="nil"/>
              <w:bottom w:val="nil"/>
              <w:right w:val="nil"/>
            </w:tcBorders>
            <w:noWrap/>
          </w:tcPr>
          <w:p>
            <w:pPr>
              <w:pStyle w:val="yTableNAm"/>
              <w:ind w:right="600"/>
              <w:jc w:val="right"/>
            </w:pPr>
            <w:r>
              <w:t>17.700</w:t>
            </w:r>
          </w:p>
        </w:tc>
      </w:tr>
      <w:tr>
        <w:trPr>
          <w:cantSplit/>
        </w:trPr>
        <w:tc>
          <w:tcPr>
            <w:tcW w:w="2159" w:type="dxa"/>
            <w:tcBorders>
              <w:top w:val="nil"/>
              <w:left w:val="nil"/>
              <w:bottom w:val="nil"/>
              <w:right w:val="nil"/>
            </w:tcBorders>
            <w:noWrap/>
          </w:tcPr>
          <w:p>
            <w:pPr>
              <w:pStyle w:val="yTableNAm"/>
            </w:pPr>
            <w:r>
              <w:t>Collie</w:t>
            </w:r>
          </w:p>
        </w:tc>
        <w:tc>
          <w:tcPr>
            <w:tcW w:w="1985" w:type="dxa"/>
            <w:tcBorders>
              <w:top w:val="nil"/>
              <w:left w:val="nil"/>
              <w:bottom w:val="nil"/>
              <w:right w:val="nil"/>
            </w:tcBorders>
            <w:noWrap/>
          </w:tcPr>
          <w:p>
            <w:pPr>
              <w:pStyle w:val="yTableNAm"/>
              <w:ind w:right="600"/>
              <w:jc w:val="right"/>
            </w:pPr>
            <w:r>
              <w:t>14.048</w:t>
            </w:r>
          </w:p>
        </w:tc>
        <w:tc>
          <w:tcPr>
            <w:tcW w:w="1985" w:type="dxa"/>
            <w:tcBorders>
              <w:top w:val="nil"/>
              <w:left w:val="nil"/>
              <w:bottom w:val="nil"/>
              <w:right w:val="nil"/>
            </w:tcBorders>
            <w:noWrap/>
          </w:tcPr>
          <w:p>
            <w:pPr>
              <w:pStyle w:val="yTableNAm"/>
              <w:ind w:right="600"/>
              <w:jc w:val="right"/>
            </w:pPr>
            <w:r>
              <w:t>44.145</w:t>
            </w:r>
          </w:p>
        </w:tc>
      </w:tr>
      <w:tr>
        <w:trPr>
          <w:cantSplit/>
        </w:trPr>
        <w:tc>
          <w:tcPr>
            <w:tcW w:w="2159" w:type="dxa"/>
            <w:tcBorders>
              <w:top w:val="nil"/>
              <w:left w:val="nil"/>
              <w:bottom w:val="nil"/>
              <w:right w:val="nil"/>
            </w:tcBorders>
            <w:noWrap/>
          </w:tcPr>
          <w:p>
            <w:pPr>
              <w:pStyle w:val="yTableNAm"/>
            </w:pPr>
            <w:r>
              <w:t>Coral Bay</w:t>
            </w:r>
          </w:p>
        </w:tc>
        <w:tc>
          <w:tcPr>
            <w:tcW w:w="1985" w:type="dxa"/>
            <w:tcBorders>
              <w:top w:val="nil"/>
              <w:left w:val="nil"/>
              <w:bottom w:val="nil"/>
              <w:right w:val="nil"/>
            </w:tcBorders>
            <w:noWrap/>
          </w:tcPr>
          <w:p>
            <w:pPr>
              <w:pStyle w:val="yTableNAm"/>
              <w:ind w:right="600"/>
              <w:jc w:val="right"/>
            </w:pPr>
            <w:r>
              <w:t>230.789</w:t>
            </w:r>
          </w:p>
        </w:tc>
        <w:tc>
          <w:tcPr>
            <w:tcW w:w="1985" w:type="dxa"/>
            <w:tcBorders>
              <w:top w:val="nil"/>
              <w:left w:val="nil"/>
              <w:bottom w:val="nil"/>
              <w:right w:val="nil"/>
            </w:tcBorders>
            <w:noWrap/>
          </w:tcPr>
          <w:p>
            <w:pPr>
              <w:pStyle w:val="yTableNAm"/>
              <w:ind w:right="600"/>
              <w:jc w:val="right"/>
            </w:pPr>
            <w:r>
              <w:t>445.288</w:t>
            </w:r>
          </w:p>
        </w:tc>
      </w:tr>
      <w:tr>
        <w:trPr>
          <w:cantSplit/>
        </w:trPr>
        <w:tc>
          <w:tcPr>
            <w:tcW w:w="2159" w:type="dxa"/>
            <w:tcBorders>
              <w:top w:val="nil"/>
              <w:left w:val="nil"/>
              <w:bottom w:val="nil"/>
              <w:right w:val="nil"/>
            </w:tcBorders>
            <w:noWrap/>
          </w:tcPr>
          <w:p>
            <w:pPr>
              <w:pStyle w:val="yTableNAm"/>
            </w:pPr>
            <w:r>
              <w:t>Corrigin</w:t>
            </w:r>
          </w:p>
        </w:tc>
        <w:tc>
          <w:tcPr>
            <w:tcW w:w="1985" w:type="dxa"/>
            <w:tcBorders>
              <w:top w:val="nil"/>
              <w:left w:val="nil"/>
              <w:bottom w:val="nil"/>
              <w:right w:val="nil"/>
            </w:tcBorders>
            <w:noWrap/>
          </w:tcPr>
          <w:p>
            <w:pPr>
              <w:pStyle w:val="yTableNAm"/>
              <w:ind w:right="600"/>
              <w:jc w:val="right"/>
            </w:pPr>
            <w:r>
              <w:t>27.273</w:t>
            </w:r>
          </w:p>
        </w:tc>
        <w:tc>
          <w:tcPr>
            <w:tcW w:w="1985" w:type="dxa"/>
            <w:tcBorders>
              <w:top w:val="nil"/>
              <w:left w:val="nil"/>
              <w:bottom w:val="nil"/>
              <w:right w:val="nil"/>
            </w:tcBorders>
            <w:noWrap/>
          </w:tcPr>
          <w:p>
            <w:pPr>
              <w:pStyle w:val="yTableNAm"/>
              <w:ind w:right="600"/>
              <w:jc w:val="right"/>
            </w:pPr>
            <w:r>
              <w:t>183.382</w:t>
            </w:r>
          </w:p>
        </w:tc>
      </w:tr>
      <w:tr>
        <w:trPr>
          <w:cantSplit/>
        </w:trPr>
        <w:tc>
          <w:tcPr>
            <w:tcW w:w="2159" w:type="dxa"/>
            <w:tcBorders>
              <w:top w:val="nil"/>
              <w:left w:val="nil"/>
              <w:bottom w:val="nil"/>
              <w:right w:val="nil"/>
            </w:tcBorders>
            <w:noWrap/>
          </w:tcPr>
          <w:p>
            <w:pPr>
              <w:pStyle w:val="yTableNAm"/>
            </w:pPr>
            <w:r>
              <w:t>Cowaramup</w:t>
            </w:r>
          </w:p>
        </w:tc>
        <w:tc>
          <w:tcPr>
            <w:tcW w:w="1985" w:type="dxa"/>
            <w:tcBorders>
              <w:top w:val="nil"/>
              <w:left w:val="nil"/>
              <w:bottom w:val="nil"/>
              <w:right w:val="nil"/>
            </w:tcBorders>
            <w:noWrap/>
          </w:tcPr>
          <w:p>
            <w:pPr>
              <w:pStyle w:val="yTableNAm"/>
              <w:ind w:right="600"/>
              <w:jc w:val="right"/>
            </w:pPr>
            <w:r>
              <w:t>3.542</w:t>
            </w:r>
          </w:p>
        </w:tc>
        <w:tc>
          <w:tcPr>
            <w:tcW w:w="1985" w:type="dxa"/>
            <w:tcBorders>
              <w:top w:val="nil"/>
              <w:left w:val="nil"/>
              <w:bottom w:val="nil"/>
              <w:right w:val="nil"/>
            </w:tcBorders>
            <w:noWrap/>
          </w:tcPr>
          <w:p>
            <w:pPr>
              <w:pStyle w:val="yTableNAm"/>
              <w:ind w:right="600"/>
              <w:jc w:val="right"/>
            </w:pPr>
            <w:r>
              <w:t>3.100</w:t>
            </w:r>
          </w:p>
        </w:tc>
      </w:tr>
      <w:tr>
        <w:trPr>
          <w:cantSplit/>
        </w:trPr>
        <w:tc>
          <w:tcPr>
            <w:tcW w:w="2159" w:type="dxa"/>
            <w:tcBorders>
              <w:top w:val="nil"/>
              <w:left w:val="nil"/>
              <w:bottom w:val="nil"/>
              <w:right w:val="nil"/>
            </w:tcBorders>
            <w:noWrap/>
          </w:tcPr>
          <w:p>
            <w:pPr>
              <w:pStyle w:val="yTableNAm"/>
            </w:pPr>
            <w:r>
              <w:t>Cranbrook</w:t>
            </w:r>
          </w:p>
        </w:tc>
        <w:tc>
          <w:tcPr>
            <w:tcW w:w="1985" w:type="dxa"/>
            <w:tcBorders>
              <w:top w:val="nil"/>
              <w:left w:val="nil"/>
              <w:bottom w:val="nil"/>
              <w:right w:val="nil"/>
            </w:tcBorders>
            <w:noWrap/>
          </w:tcPr>
          <w:p>
            <w:pPr>
              <w:pStyle w:val="yTableNAm"/>
              <w:ind w:right="600"/>
              <w:jc w:val="right"/>
            </w:pPr>
            <w:r>
              <w:t>13.904</w:t>
            </w:r>
          </w:p>
        </w:tc>
        <w:tc>
          <w:tcPr>
            <w:tcW w:w="1985" w:type="dxa"/>
            <w:tcBorders>
              <w:top w:val="nil"/>
              <w:left w:val="nil"/>
              <w:bottom w:val="nil"/>
              <w:right w:val="nil"/>
            </w:tcBorders>
            <w:noWrap/>
          </w:tcPr>
          <w:p>
            <w:pPr>
              <w:pStyle w:val="yTableNAm"/>
              <w:ind w:right="600"/>
              <w:jc w:val="right"/>
            </w:pPr>
            <w:r>
              <w:t>88.096</w:t>
            </w:r>
          </w:p>
        </w:tc>
      </w:tr>
      <w:tr>
        <w:trPr>
          <w:cantSplit/>
        </w:trPr>
        <w:tc>
          <w:tcPr>
            <w:tcW w:w="2159" w:type="dxa"/>
            <w:tcBorders>
              <w:top w:val="nil"/>
              <w:left w:val="nil"/>
              <w:bottom w:val="nil"/>
              <w:right w:val="nil"/>
            </w:tcBorders>
            <w:noWrap/>
          </w:tcPr>
          <w:p>
            <w:pPr>
              <w:pStyle w:val="yTableNAm"/>
            </w:pPr>
            <w:r>
              <w:t>Cunderdin</w:t>
            </w:r>
          </w:p>
        </w:tc>
        <w:tc>
          <w:tcPr>
            <w:tcW w:w="1985" w:type="dxa"/>
            <w:tcBorders>
              <w:top w:val="nil"/>
              <w:left w:val="nil"/>
              <w:bottom w:val="nil"/>
              <w:right w:val="nil"/>
            </w:tcBorders>
            <w:noWrap/>
          </w:tcPr>
          <w:p>
            <w:pPr>
              <w:pStyle w:val="yTableNAm"/>
              <w:ind w:right="600"/>
              <w:jc w:val="right"/>
            </w:pPr>
            <w:r>
              <w:t>25.457</w:t>
            </w:r>
          </w:p>
        </w:tc>
        <w:tc>
          <w:tcPr>
            <w:tcW w:w="1985" w:type="dxa"/>
            <w:tcBorders>
              <w:top w:val="nil"/>
              <w:left w:val="nil"/>
              <w:bottom w:val="nil"/>
              <w:right w:val="nil"/>
            </w:tcBorders>
            <w:noWrap/>
          </w:tcPr>
          <w:p>
            <w:pPr>
              <w:pStyle w:val="yTableNAm"/>
              <w:ind w:right="600"/>
              <w:jc w:val="right"/>
            </w:pPr>
            <w:r>
              <w:t>88.047</w:t>
            </w:r>
          </w:p>
        </w:tc>
      </w:tr>
      <w:tr>
        <w:trPr>
          <w:cantSplit/>
        </w:trPr>
        <w:tc>
          <w:tcPr>
            <w:tcW w:w="2159" w:type="dxa"/>
            <w:tcBorders>
              <w:top w:val="nil"/>
              <w:left w:val="nil"/>
              <w:bottom w:val="nil"/>
              <w:right w:val="nil"/>
            </w:tcBorders>
            <w:noWrap/>
          </w:tcPr>
          <w:p>
            <w:pPr>
              <w:pStyle w:val="yTableNAm"/>
            </w:pPr>
            <w:r>
              <w:t>Dalyellup</w:t>
            </w:r>
          </w:p>
        </w:tc>
        <w:tc>
          <w:tcPr>
            <w:tcW w:w="1985" w:type="dxa"/>
            <w:tcBorders>
              <w:top w:val="nil"/>
              <w:left w:val="nil"/>
              <w:bottom w:val="nil"/>
              <w:right w:val="nil"/>
            </w:tcBorders>
            <w:noWrap/>
          </w:tcPr>
          <w:p>
            <w:pPr>
              <w:pStyle w:val="yTableNAm"/>
              <w:ind w:right="600"/>
              <w:jc w:val="right"/>
            </w:pPr>
            <w:r>
              <w:t>3.354</w:t>
            </w:r>
          </w:p>
        </w:tc>
        <w:tc>
          <w:tcPr>
            <w:tcW w:w="1985" w:type="dxa"/>
            <w:tcBorders>
              <w:top w:val="nil"/>
              <w:left w:val="nil"/>
              <w:bottom w:val="nil"/>
              <w:right w:val="nil"/>
            </w:tcBorders>
            <w:noWrap/>
          </w:tcPr>
          <w:p>
            <w:pPr>
              <w:pStyle w:val="yTableNAm"/>
              <w:ind w:right="600"/>
              <w:jc w:val="right"/>
            </w:pPr>
            <w:r>
              <w:t>5.431</w:t>
            </w:r>
          </w:p>
        </w:tc>
      </w:tr>
      <w:tr>
        <w:trPr>
          <w:cantSplit/>
        </w:trPr>
        <w:tc>
          <w:tcPr>
            <w:tcW w:w="2159" w:type="dxa"/>
            <w:tcBorders>
              <w:top w:val="nil"/>
              <w:left w:val="nil"/>
              <w:bottom w:val="nil"/>
              <w:right w:val="nil"/>
            </w:tcBorders>
            <w:noWrap/>
          </w:tcPr>
          <w:p>
            <w:pPr>
              <w:pStyle w:val="yTableNAm"/>
            </w:pPr>
            <w:r>
              <w:t>Dardanup</w:t>
            </w:r>
          </w:p>
        </w:tc>
        <w:tc>
          <w:tcPr>
            <w:tcW w:w="1985" w:type="dxa"/>
            <w:tcBorders>
              <w:top w:val="nil"/>
              <w:left w:val="nil"/>
              <w:bottom w:val="nil"/>
              <w:right w:val="nil"/>
            </w:tcBorders>
            <w:noWrap/>
          </w:tcPr>
          <w:p>
            <w:pPr>
              <w:pStyle w:val="yTableNAm"/>
              <w:ind w:right="600"/>
              <w:jc w:val="right"/>
            </w:pPr>
            <w:r>
              <w:t>15.681</w:t>
            </w:r>
          </w:p>
        </w:tc>
        <w:tc>
          <w:tcPr>
            <w:tcW w:w="1985" w:type="dxa"/>
            <w:tcBorders>
              <w:top w:val="nil"/>
              <w:left w:val="nil"/>
              <w:bottom w:val="nil"/>
              <w:right w:val="nil"/>
            </w:tcBorders>
            <w:noWrap/>
          </w:tcPr>
          <w:p>
            <w:pPr>
              <w:pStyle w:val="yTableNAm"/>
              <w:ind w:right="600"/>
              <w:jc w:val="right"/>
            </w:pPr>
            <w:r>
              <w:t>64.902</w:t>
            </w:r>
          </w:p>
        </w:tc>
      </w:tr>
      <w:tr>
        <w:trPr>
          <w:cantSplit/>
        </w:trPr>
        <w:tc>
          <w:tcPr>
            <w:tcW w:w="2159" w:type="dxa"/>
            <w:tcBorders>
              <w:top w:val="nil"/>
              <w:left w:val="nil"/>
              <w:bottom w:val="nil"/>
              <w:right w:val="nil"/>
            </w:tcBorders>
            <w:noWrap/>
          </w:tcPr>
          <w:p>
            <w:pPr>
              <w:pStyle w:val="yTableNAm"/>
            </w:pPr>
            <w:r>
              <w:t>Denham</w:t>
            </w:r>
          </w:p>
        </w:tc>
        <w:tc>
          <w:tcPr>
            <w:tcW w:w="1985" w:type="dxa"/>
            <w:tcBorders>
              <w:top w:val="nil"/>
              <w:left w:val="nil"/>
              <w:bottom w:val="nil"/>
              <w:right w:val="nil"/>
            </w:tcBorders>
            <w:noWrap/>
          </w:tcPr>
          <w:p>
            <w:pPr>
              <w:pStyle w:val="yTableNAm"/>
              <w:ind w:right="600"/>
              <w:jc w:val="right"/>
            </w:pPr>
            <w:r>
              <w:t>11.192</w:t>
            </w:r>
          </w:p>
        </w:tc>
        <w:tc>
          <w:tcPr>
            <w:tcW w:w="1985" w:type="dxa"/>
            <w:tcBorders>
              <w:top w:val="nil"/>
              <w:left w:val="nil"/>
              <w:bottom w:val="nil"/>
              <w:right w:val="nil"/>
            </w:tcBorders>
            <w:noWrap/>
          </w:tcPr>
          <w:p>
            <w:pPr>
              <w:pStyle w:val="yTableNAm"/>
              <w:ind w:right="600"/>
              <w:jc w:val="right"/>
            </w:pPr>
            <w:r>
              <w:t>21.787</w:t>
            </w:r>
          </w:p>
        </w:tc>
      </w:tr>
      <w:tr>
        <w:trPr>
          <w:cantSplit/>
        </w:trPr>
        <w:tc>
          <w:tcPr>
            <w:tcW w:w="2159" w:type="dxa"/>
            <w:tcBorders>
              <w:top w:val="nil"/>
              <w:left w:val="nil"/>
              <w:bottom w:val="nil"/>
              <w:right w:val="nil"/>
            </w:tcBorders>
            <w:noWrap/>
          </w:tcPr>
          <w:p>
            <w:pPr>
              <w:pStyle w:val="yTableNAm"/>
            </w:pPr>
            <w:r>
              <w:t>Denmark</w:t>
            </w:r>
          </w:p>
        </w:tc>
        <w:tc>
          <w:tcPr>
            <w:tcW w:w="1985" w:type="dxa"/>
            <w:tcBorders>
              <w:top w:val="nil"/>
              <w:left w:val="nil"/>
              <w:bottom w:val="nil"/>
              <w:right w:val="nil"/>
            </w:tcBorders>
            <w:noWrap/>
          </w:tcPr>
          <w:p>
            <w:pPr>
              <w:pStyle w:val="yTableNAm"/>
              <w:ind w:right="600"/>
              <w:jc w:val="right"/>
            </w:pPr>
            <w:r>
              <w:t>17.630</w:t>
            </w:r>
          </w:p>
        </w:tc>
        <w:tc>
          <w:tcPr>
            <w:tcW w:w="1985" w:type="dxa"/>
            <w:tcBorders>
              <w:top w:val="nil"/>
              <w:left w:val="nil"/>
              <w:bottom w:val="nil"/>
              <w:right w:val="nil"/>
            </w:tcBorders>
            <w:noWrap/>
          </w:tcPr>
          <w:p>
            <w:pPr>
              <w:pStyle w:val="yTableNAm"/>
              <w:ind w:right="600"/>
              <w:jc w:val="right"/>
            </w:pPr>
            <w:r>
              <w:t>47.108</w:t>
            </w:r>
          </w:p>
        </w:tc>
      </w:tr>
      <w:tr>
        <w:trPr>
          <w:cantSplit/>
        </w:trPr>
        <w:tc>
          <w:tcPr>
            <w:tcW w:w="2159" w:type="dxa"/>
            <w:tcBorders>
              <w:top w:val="nil"/>
              <w:left w:val="nil"/>
              <w:bottom w:val="nil"/>
              <w:right w:val="nil"/>
            </w:tcBorders>
            <w:noWrap/>
          </w:tcPr>
          <w:p>
            <w:pPr>
              <w:pStyle w:val="yTableNAm"/>
            </w:pPr>
            <w:r>
              <w:t>Derby</w:t>
            </w:r>
          </w:p>
        </w:tc>
        <w:tc>
          <w:tcPr>
            <w:tcW w:w="1985" w:type="dxa"/>
            <w:tcBorders>
              <w:top w:val="nil"/>
              <w:left w:val="nil"/>
              <w:bottom w:val="nil"/>
              <w:right w:val="nil"/>
            </w:tcBorders>
            <w:noWrap/>
          </w:tcPr>
          <w:p>
            <w:pPr>
              <w:pStyle w:val="yTableNAm"/>
              <w:ind w:right="600"/>
              <w:jc w:val="right"/>
            </w:pPr>
            <w:r>
              <w:t>12.594</w:t>
            </w:r>
          </w:p>
        </w:tc>
        <w:tc>
          <w:tcPr>
            <w:tcW w:w="1985" w:type="dxa"/>
            <w:tcBorders>
              <w:top w:val="nil"/>
              <w:left w:val="nil"/>
              <w:bottom w:val="nil"/>
              <w:right w:val="nil"/>
            </w:tcBorders>
            <w:noWrap/>
          </w:tcPr>
          <w:p>
            <w:pPr>
              <w:pStyle w:val="yTableNAm"/>
              <w:ind w:right="600"/>
              <w:jc w:val="right"/>
            </w:pPr>
            <w:r>
              <w:t>66.917</w:t>
            </w:r>
          </w:p>
        </w:tc>
      </w:tr>
      <w:tr>
        <w:trPr>
          <w:cantSplit/>
        </w:trPr>
        <w:tc>
          <w:tcPr>
            <w:tcW w:w="2159" w:type="dxa"/>
            <w:tcBorders>
              <w:top w:val="nil"/>
              <w:left w:val="nil"/>
              <w:bottom w:val="nil"/>
              <w:right w:val="nil"/>
            </w:tcBorders>
            <w:noWrap/>
          </w:tcPr>
          <w:p>
            <w:pPr>
              <w:pStyle w:val="yTableNAm"/>
            </w:pPr>
            <w:r>
              <w:t>Dongara/Denison</w:t>
            </w:r>
          </w:p>
        </w:tc>
        <w:tc>
          <w:tcPr>
            <w:tcW w:w="1985" w:type="dxa"/>
            <w:tcBorders>
              <w:top w:val="nil"/>
              <w:left w:val="nil"/>
              <w:bottom w:val="nil"/>
              <w:right w:val="nil"/>
            </w:tcBorders>
            <w:noWrap/>
          </w:tcPr>
          <w:p>
            <w:pPr>
              <w:pStyle w:val="yTableNAm"/>
              <w:ind w:right="600"/>
              <w:jc w:val="right"/>
            </w:pPr>
            <w:r>
              <w:t>13.226</w:t>
            </w:r>
          </w:p>
        </w:tc>
        <w:tc>
          <w:tcPr>
            <w:tcW w:w="1985" w:type="dxa"/>
            <w:tcBorders>
              <w:top w:val="nil"/>
              <w:left w:val="nil"/>
              <w:bottom w:val="nil"/>
              <w:right w:val="nil"/>
            </w:tcBorders>
            <w:noWrap/>
          </w:tcPr>
          <w:p>
            <w:pPr>
              <w:pStyle w:val="yTableNAm"/>
              <w:ind w:right="600"/>
              <w:jc w:val="right"/>
            </w:pPr>
            <w:r>
              <w:t>34.555</w:t>
            </w:r>
          </w:p>
        </w:tc>
      </w:tr>
      <w:tr>
        <w:trPr>
          <w:cantSplit/>
        </w:trPr>
        <w:tc>
          <w:tcPr>
            <w:tcW w:w="2159" w:type="dxa"/>
            <w:tcBorders>
              <w:top w:val="nil"/>
              <w:left w:val="nil"/>
              <w:bottom w:val="nil"/>
              <w:right w:val="nil"/>
            </w:tcBorders>
            <w:noWrap/>
          </w:tcPr>
          <w:p>
            <w:pPr>
              <w:pStyle w:val="yTableNAm"/>
            </w:pPr>
            <w:r>
              <w:t>Donnybrook</w:t>
            </w:r>
          </w:p>
        </w:tc>
        <w:tc>
          <w:tcPr>
            <w:tcW w:w="1985" w:type="dxa"/>
            <w:tcBorders>
              <w:top w:val="nil"/>
              <w:left w:val="nil"/>
              <w:bottom w:val="nil"/>
              <w:right w:val="nil"/>
            </w:tcBorders>
            <w:noWrap/>
          </w:tcPr>
          <w:p>
            <w:pPr>
              <w:pStyle w:val="yTableNAm"/>
              <w:ind w:right="600"/>
              <w:jc w:val="right"/>
            </w:pPr>
            <w:r>
              <w:t>28.100</w:t>
            </w:r>
          </w:p>
        </w:tc>
        <w:tc>
          <w:tcPr>
            <w:tcW w:w="1985" w:type="dxa"/>
            <w:tcBorders>
              <w:top w:val="nil"/>
              <w:left w:val="nil"/>
              <w:bottom w:val="nil"/>
              <w:right w:val="nil"/>
            </w:tcBorders>
            <w:noWrap/>
          </w:tcPr>
          <w:p>
            <w:pPr>
              <w:pStyle w:val="yTableNAm"/>
              <w:ind w:right="600"/>
              <w:jc w:val="right"/>
            </w:pPr>
            <w:r>
              <w:t>96.311</w:t>
            </w:r>
          </w:p>
        </w:tc>
      </w:tr>
      <w:tr>
        <w:trPr>
          <w:cantSplit/>
        </w:trPr>
        <w:tc>
          <w:tcPr>
            <w:tcW w:w="2159" w:type="dxa"/>
            <w:tcBorders>
              <w:top w:val="nil"/>
              <w:left w:val="nil"/>
              <w:bottom w:val="nil"/>
              <w:right w:val="nil"/>
            </w:tcBorders>
            <w:noWrap/>
          </w:tcPr>
          <w:p>
            <w:pPr>
              <w:pStyle w:val="yTableNAm"/>
            </w:pPr>
            <w:r>
              <w:t>Dunsborough</w:t>
            </w:r>
          </w:p>
        </w:tc>
        <w:tc>
          <w:tcPr>
            <w:tcW w:w="1985" w:type="dxa"/>
            <w:tcBorders>
              <w:top w:val="nil"/>
              <w:left w:val="nil"/>
              <w:bottom w:val="nil"/>
              <w:right w:val="nil"/>
            </w:tcBorders>
            <w:noWrap/>
          </w:tcPr>
          <w:p>
            <w:pPr>
              <w:pStyle w:val="yTableNAm"/>
              <w:ind w:right="600"/>
              <w:jc w:val="right"/>
            </w:pPr>
            <w:r>
              <w:t>4.112</w:t>
            </w:r>
          </w:p>
        </w:tc>
        <w:tc>
          <w:tcPr>
            <w:tcW w:w="1985" w:type="dxa"/>
            <w:tcBorders>
              <w:top w:val="nil"/>
              <w:left w:val="nil"/>
              <w:bottom w:val="nil"/>
              <w:right w:val="nil"/>
            </w:tcBorders>
            <w:noWrap/>
          </w:tcPr>
          <w:p>
            <w:pPr>
              <w:pStyle w:val="yTableNAm"/>
              <w:ind w:right="600"/>
              <w:jc w:val="right"/>
            </w:pPr>
            <w:r>
              <w:t>2.679</w:t>
            </w:r>
          </w:p>
        </w:tc>
      </w:tr>
      <w:tr>
        <w:trPr>
          <w:cantSplit/>
        </w:trPr>
        <w:tc>
          <w:tcPr>
            <w:tcW w:w="2159" w:type="dxa"/>
            <w:tcBorders>
              <w:top w:val="nil"/>
              <w:left w:val="nil"/>
              <w:bottom w:val="nil"/>
              <w:right w:val="nil"/>
            </w:tcBorders>
            <w:noWrap/>
          </w:tcPr>
          <w:p>
            <w:pPr>
              <w:pStyle w:val="yTableNAm"/>
            </w:pPr>
            <w:r>
              <w:t>Eaton</w:t>
            </w:r>
          </w:p>
        </w:tc>
        <w:tc>
          <w:tcPr>
            <w:tcW w:w="1985" w:type="dxa"/>
            <w:tcBorders>
              <w:top w:val="nil"/>
              <w:left w:val="nil"/>
              <w:bottom w:val="nil"/>
              <w:right w:val="nil"/>
            </w:tcBorders>
            <w:noWrap/>
          </w:tcPr>
          <w:p>
            <w:pPr>
              <w:pStyle w:val="yTableNAm"/>
              <w:ind w:right="600"/>
              <w:jc w:val="right"/>
            </w:pPr>
            <w:r>
              <w:t>5.789</w:t>
            </w:r>
          </w:p>
        </w:tc>
        <w:tc>
          <w:tcPr>
            <w:tcW w:w="1985" w:type="dxa"/>
            <w:tcBorders>
              <w:top w:val="nil"/>
              <w:left w:val="nil"/>
              <w:bottom w:val="nil"/>
              <w:right w:val="nil"/>
            </w:tcBorders>
            <w:noWrap/>
          </w:tcPr>
          <w:p>
            <w:pPr>
              <w:pStyle w:val="yTableNAm"/>
              <w:ind w:right="600"/>
              <w:jc w:val="right"/>
            </w:pPr>
            <w:r>
              <w:t>8.307</w:t>
            </w:r>
          </w:p>
        </w:tc>
      </w:tr>
      <w:tr>
        <w:trPr>
          <w:cantSplit/>
        </w:trPr>
        <w:tc>
          <w:tcPr>
            <w:tcW w:w="2159" w:type="dxa"/>
            <w:tcBorders>
              <w:top w:val="nil"/>
              <w:left w:val="nil"/>
              <w:bottom w:val="nil"/>
              <w:right w:val="nil"/>
            </w:tcBorders>
            <w:noWrap/>
          </w:tcPr>
          <w:p>
            <w:pPr>
              <w:pStyle w:val="yTableNAm"/>
            </w:pPr>
            <w:r>
              <w:t>Eneabba</w:t>
            </w:r>
          </w:p>
        </w:tc>
        <w:tc>
          <w:tcPr>
            <w:tcW w:w="1985" w:type="dxa"/>
            <w:tcBorders>
              <w:top w:val="nil"/>
              <w:left w:val="nil"/>
              <w:bottom w:val="nil"/>
              <w:right w:val="nil"/>
            </w:tcBorders>
            <w:noWrap/>
          </w:tcPr>
          <w:p>
            <w:pPr>
              <w:pStyle w:val="yTableNAm"/>
              <w:ind w:right="600"/>
              <w:jc w:val="right"/>
            </w:pPr>
            <w:r>
              <w:t>24.460</w:t>
            </w:r>
          </w:p>
        </w:tc>
        <w:tc>
          <w:tcPr>
            <w:tcW w:w="1985" w:type="dxa"/>
            <w:tcBorders>
              <w:top w:val="nil"/>
              <w:left w:val="nil"/>
              <w:bottom w:val="nil"/>
              <w:right w:val="nil"/>
            </w:tcBorders>
            <w:noWrap/>
          </w:tcPr>
          <w:p>
            <w:pPr>
              <w:pStyle w:val="yTableNAm"/>
              <w:ind w:right="600"/>
              <w:jc w:val="right"/>
            </w:pPr>
            <w:r>
              <w:t>188.575</w:t>
            </w:r>
          </w:p>
        </w:tc>
      </w:tr>
      <w:tr>
        <w:trPr>
          <w:cantSplit/>
        </w:trPr>
        <w:tc>
          <w:tcPr>
            <w:tcW w:w="2159" w:type="dxa"/>
            <w:tcBorders>
              <w:top w:val="nil"/>
              <w:left w:val="nil"/>
              <w:bottom w:val="nil"/>
              <w:right w:val="nil"/>
            </w:tcBorders>
            <w:noWrap/>
          </w:tcPr>
          <w:p>
            <w:pPr>
              <w:pStyle w:val="yTableNAm"/>
            </w:pPr>
            <w:r>
              <w:t>Esperance</w:t>
            </w:r>
          </w:p>
        </w:tc>
        <w:tc>
          <w:tcPr>
            <w:tcW w:w="1985" w:type="dxa"/>
            <w:tcBorders>
              <w:top w:val="nil"/>
              <w:left w:val="nil"/>
              <w:bottom w:val="nil"/>
              <w:right w:val="nil"/>
            </w:tcBorders>
            <w:noWrap/>
          </w:tcPr>
          <w:p>
            <w:pPr>
              <w:pStyle w:val="yTableNAm"/>
              <w:ind w:right="600"/>
              <w:jc w:val="right"/>
            </w:pPr>
            <w:r>
              <w:t>7.880</w:t>
            </w:r>
          </w:p>
        </w:tc>
        <w:tc>
          <w:tcPr>
            <w:tcW w:w="1985" w:type="dxa"/>
            <w:tcBorders>
              <w:top w:val="nil"/>
              <w:left w:val="nil"/>
              <w:bottom w:val="nil"/>
              <w:right w:val="nil"/>
            </w:tcBorders>
            <w:noWrap/>
          </w:tcPr>
          <w:p>
            <w:pPr>
              <w:pStyle w:val="yTableNAm"/>
              <w:ind w:right="600"/>
              <w:jc w:val="right"/>
            </w:pPr>
            <w:r>
              <w:t>16.211</w:t>
            </w:r>
          </w:p>
        </w:tc>
      </w:tr>
      <w:tr>
        <w:trPr>
          <w:cantSplit/>
        </w:trPr>
        <w:tc>
          <w:tcPr>
            <w:tcW w:w="2159" w:type="dxa"/>
            <w:tcBorders>
              <w:top w:val="nil"/>
              <w:left w:val="nil"/>
              <w:bottom w:val="nil"/>
              <w:right w:val="nil"/>
            </w:tcBorders>
            <w:noWrap/>
          </w:tcPr>
          <w:p>
            <w:pPr>
              <w:pStyle w:val="yTableNAm"/>
            </w:pPr>
            <w:r>
              <w:lastRenderedPageBreak/>
              <w:t>Exmouth</w:t>
            </w:r>
          </w:p>
        </w:tc>
        <w:tc>
          <w:tcPr>
            <w:tcW w:w="1985" w:type="dxa"/>
            <w:tcBorders>
              <w:top w:val="nil"/>
              <w:left w:val="nil"/>
              <w:bottom w:val="nil"/>
              <w:right w:val="nil"/>
            </w:tcBorders>
            <w:noWrap/>
          </w:tcPr>
          <w:p>
            <w:pPr>
              <w:pStyle w:val="yTableNAm"/>
              <w:ind w:right="600"/>
              <w:jc w:val="right"/>
            </w:pPr>
            <w:r>
              <w:t>2.127</w:t>
            </w:r>
          </w:p>
        </w:tc>
        <w:tc>
          <w:tcPr>
            <w:tcW w:w="1985" w:type="dxa"/>
            <w:tcBorders>
              <w:top w:val="nil"/>
              <w:left w:val="nil"/>
              <w:bottom w:val="nil"/>
              <w:right w:val="nil"/>
            </w:tcBorders>
            <w:noWrap/>
          </w:tcPr>
          <w:p>
            <w:pPr>
              <w:pStyle w:val="yTableNAm"/>
              <w:ind w:right="600"/>
              <w:jc w:val="right"/>
            </w:pPr>
            <w:r>
              <w:t>3.942</w:t>
            </w:r>
          </w:p>
        </w:tc>
      </w:tr>
      <w:tr>
        <w:trPr>
          <w:cantSplit/>
        </w:trPr>
        <w:tc>
          <w:tcPr>
            <w:tcW w:w="2159" w:type="dxa"/>
            <w:tcBorders>
              <w:top w:val="nil"/>
              <w:left w:val="nil"/>
              <w:bottom w:val="nil"/>
              <w:right w:val="nil"/>
            </w:tcBorders>
            <w:noWrap/>
          </w:tcPr>
          <w:p>
            <w:pPr>
              <w:pStyle w:val="yTableNAm"/>
            </w:pPr>
            <w:r>
              <w:t>Fitzroy Crossing</w:t>
            </w:r>
          </w:p>
        </w:tc>
        <w:tc>
          <w:tcPr>
            <w:tcW w:w="1985" w:type="dxa"/>
            <w:tcBorders>
              <w:top w:val="nil"/>
              <w:left w:val="nil"/>
              <w:bottom w:val="nil"/>
              <w:right w:val="nil"/>
            </w:tcBorders>
            <w:noWrap/>
          </w:tcPr>
          <w:p>
            <w:pPr>
              <w:pStyle w:val="yTableNAm"/>
              <w:ind w:right="600"/>
              <w:jc w:val="right"/>
            </w:pPr>
            <w:r>
              <w:t>9.329</w:t>
            </w:r>
          </w:p>
        </w:tc>
        <w:tc>
          <w:tcPr>
            <w:tcW w:w="1985" w:type="dxa"/>
            <w:tcBorders>
              <w:top w:val="nil"/>
              <w:left w:val="nil"/>
              <w:bottom w:val="nil"/>
              <w:right w:val="nil"/>
            </w:tcBorders>
            <w:noWrap/>
          </w:tcPr>
          <w:p>
            <w:pPr>
              <w:pStyle w:val="yTableNAm"/>
              <w:ind w:right="600"/>
              <w:jc w:val="right"/>
            </w:pPr>
            <w:r>
              <w:t>16.701</w:t>
            </w:r>
          </w:p>
        </w:tc>
      </w:tr>
      <w:tr>
        <w:trPr>
          <w:cantSplit/>
        </w:trPr>
        <w:tc>
          <w:tcPr>
            <w:tcW w:w="2159" w:type="dxa"/>
            <w:tcBorders>
              <w:top w:val="nil"/>
              <w:left w:val="nil"/>
              <w:bottom w:val="nil"/>
              <w:right w:val="nil"/>
            </w:tcBorders>
            <w:noWrap/>
          </w:tcPr>
          <w:p>
            <w:pPr>
              <w:pStyle w:val="yTableNAm"/>
            </w:pPr>
            <w:r>
              <w:t>Geraldton</w:t>
            </w:r>
          </w:p>
        </w:tc>
        <w:tc>
          <w:tcPr>
            <w:tcW w:w="1985" w:type="dxa"/>
            <w:tcBorders>
              <w:top w:val="nil"/>
              <w:left w:val="nil"/>
              <w:bottom w:val="nil"/>
              <w:right w:val="nil"/>
            </w:tcBorders>
            <w:noWrap/>
          </w:tcPr>
          <w:p>
            <w:pPr>
              <w:pStyle w:val="yTableNAm"/>
              <w:ind w:right="600"/>
              <w:jc w:val="right"/>
            </w:pPr>
            <w:r>
              <w:t>7.321</w:t>
            </w:r>
          </w:p>
        </w:tc>
        <w:tc>
          <w:tcPr>
            <w:tcW w:w="1985" w:type="dxa"/>
            <w:tcBorders>
              <w:top w:val="nil"/>
              <w:left w:val="nil"/>
              <w:bottom w:val="nil"/>
              <w:right w:val="nil"/>
            </w:tcBorders>
            <w:noWrap/>
          </w:tcPr>
          <w:p>
            <w:pPr>
              <w:pStyle w:val="yTableNAm"/>
              <w:ind w:right="600"/>
              <w:jc w:val="right"/>
            </w:pPr>
            <w:r>
              <w:t>18.846</w:t>
            </w:r>
          </w:p>
        </w:tc>
      </w:tr>
      <w:tr>
        <w:trPr>
          <w:cantSplit/>
        </w:trPr>
        <w:tc>
          <w:tcPr>
            <w:tcW w:w="2159" w:type="dxa"/>
            <w:tcBorders>
              <w:top w:val="nil"/>
              <w:left w:val="nil"/>
              <w:bottom w:val="nil"/>
              <w:right w:val="nil"/>
            </w:tcBorders>
            <w:noWrap/>
          </w:tcPr>
          <w:p>
            <w:pPr>
              <w:pStyle w:val="yTableNAm"/>
            </w:pPr>
            <w:r>
              <w:t>Gnowangerup</w:t>
            </w:r>
          </w:p>
        </w:tc>
        <w:tc>
          <w:tcPr>
            <w:tcW w:w="1985" w:type="dxa"/>
            <w:tcBorders>
              <w:top w:val="nil"/>
              <w:left w:val="nil"/>
              <w:bottom w:val="nil"/>
              <w:right w:val="nil"/>
            </w:tcBorders>
            <w:noWrap/>
          </w:tcPr>
          <w:p>
            <w:pPr>
              <w:pStyle w:val="yTableNAm"/>
              <w:ind w:right="600"/>
              <w:jc w:val="right"/>
            </w:pPr>
            <w:r>
              <w:t>14.930</w:t>
            </w:r>
          </w:p>
        </w:tc>
        <w:tc>
          <w:tcPr>
            <w:tcW w:w="1985" w:type="dxa"/>
            <w:tcBorders>
              <w:top w:val="nil"/>
              <w:left w:val="nil"/>
              <w:bottom w:val="nil"/>
              <w:right w:val="nil"/>
            </w:tcBorders>
            <w:noWrap/>
          </w:tcPr>
          <w:p>
            <w:pPr>
              <w:pStyle w:val="yTableNAm"/>
              <w:ind w:right="600"/>
              <w:jc w:val="right"/>
            </w:pPr>
            <w:r>
              <w:t>72.472</w:t>
            </w:r>
          </w:p>
        </w:tc>
      </w:tr>
      <w:tr>
        <w:trPr>
          <w:cantSplit/>
        </w:trPr>
        <w:tc>
          <w:tcPr>
            <w:tcW w:w="2159" w:type="dxa"/>
            <w:tcBorders>
              <w:top w:val="nil"/>
              <w:left w:val="nil"/>
              <w:bottom w:val="nil"/>
              <w:right w:val="nil"/>
            </w:tcBorders>
            <w:noWrap/>
          </w:tcPr>
          <w:p>
            <w:pPr>
              <w:pStyle w:val="yTableNAm"/>
            </w:pPr>
            <w:r>
              <w:t>Greenhead</w:t>
            </w:r>
          </w:p>
        </w:tc>
        <w:tc>
          <w:tcPr>
            <w:tcW w:w="1985" w:type="dxa"/>
            <w:tcBorders>
              <w:top w:val="nil"/>
              <w:left w:val="nil"/>
              <w:bottom w:val="nil"/>
              <w:right w:val="nil"/>
            </w:tcBorders>
            <w:noWrap/>
          </w:tcPr>
          <w:p>
            <w:pPr>
              <w:pStyle w:val="yTableNAm"/>
              <w:ind w:right="600"/>
              <w:jc w:val="right"/>
            </w:pPr>
            <w:r>
              <w:t>7.578</w:t>
            </w:r>
          </w:p>
        </w:tc>
        <w:tc>
          <w:tcPr>
            <w:tcW w:w="1985" w:type="dxa"/>
            <w:tcBorders>
              <w:top w:val="nil"/>
              <w:left w:val="nil"/>
              <w:bottom w:val="nil"/>
              <w:right w:val="nil"/>
            </w:tcBorders>
            <w:noWrap/>
          </w:tcPr>
          <w:p>
            <w:pPr>
              <w:pStyle w:val="yTableNAm"/>
              <w:ind w:right="600"/>
              <w:jc w:val="right"/>
            </w:pPr>
            <w:r>
              <w:t>22.294</w:t>
            </w:r>
          </w:p>
        </w:tc>
      </w:tr>
      <w:tr>
        <w:trPr>
          <w:cantSplit/>
        </w:trPr>
        <w:tc>
          <w:tcPr>
            <w:tcW w:w="2159" w:type="dxa"/>
            <w:tcBorders>
              <w:top w:val="nil"/>
              <w:left w:val="nil"/>
              <w:bottom w:val="nil"/>
              <w:right w:val="nil"/>
            </w:tcBorders>
            <w:noWrap/>
          </w:tcPr>
          <w:p>
            <w:pPr>
              <w:pStyle w:val="yTableNAm"/>
            </w:pPr>
            <w:r>
              <w:t>Halls Creek</w:t>
            </w:r>
          </w:p>
        </w:tc>
        <w:tc>
          <w:tcPr>
            <w:tcW w:w="1985" w:type="dxa"/>
            <w:tcBorders>
              <w:top w:val="nil"/>
              <w:left w:val="nil"/>
              <w:bottom w:val="nil"/>
              <w:right w:val="nil"/>
            </w:tcBorders>
            <w:noWrap/>
          </w:tcPr>
          <w:p>
            <w:pPr>
              <w:pStyle w:val="yTableNAm"/>
              <w:ind w:right="600"/>
              <w:jc w:val="right"/>
            </w:pPr>
            <w:r>
              <w:t>16.417</w:t>
            </w:r>
          </w:p>
        </w:tc>
        <w:tc>
          <w:tcPr>
            <w:tcW w:w="1985" w:type="dxa"/>
            <w:tcBorders>
              <w:top w:val="nil"/>
              <w:left w:val="nil"/>
              <w:bottom w:val="nil"/>
              <w:right w:val="nil"/>
            </w:tcBorders>
            <w:noWrap/>
          </w:tcPr>
          <w:p>
            <w:pPr>
              <w:pStyle w:val="yTableNAm"/>
              <w:ind w:right="600"/>
              <w:jc w:val="right"/>
            </w:pPr>
            <w:r>
              <w:t>139.151</w:t>
            </w:r>
          </w:p>
        </w:tc>
      </w:tr>
      <w:tr>
        <w:trPr>
          <w:cantSplit/>
        </w:trPr>
        <w:tc>
          <w:tcPr>
            <w:tcW w:w="2159" w:type="dxa"/>
            <w:tcBorders>
              <w:top w:val="nil"/>
              <w:left w:val="nil"/>
              <w:bottom w:val="nil"/>
              <w:right w:val="nil"/>
            </w:tcBorders>
            <w:noWrap/>
          </w:tcPr>
          <w:p>
            <w:pPr>
              <w:pStyle w:val="yTableNAm"/>
            </w:pPr>
            <w:r>
              <w:t>Harvey</w:t>
            </w:r>
          </w:p>
        </w:tc>
        <w:tc>
          <w:tcPr>
            <w:tcW w:w="1985" w:type="dxa"/>
            <w:tcBorders>
              <w:top w:val="nil"/>
              <w:left w:val="nil"/>
              <w:bottom w:val="nil"/>
              <w:right w:val="nil"/>
            </w:tcBorders>
            <w:noWrap/>
          </w:tcPr>
          <w:p>
            <w:pPr>
              <w:pStyle w:val="yTableNAm"/>
              <w:ind w:right="600"/>
              <w:jc w:val="right"/>
            </w:pPr>
            <w:r>
              <w:t>8.482</w:t>
            </w:r>
          </w:p>
        </w:tc>
        <w:tc>
          <w:tcPr>
            <w:tcW w:w="1985" w:type="dxa"/>
            <w:tcBorders>
              <w:top w:val="nil"/>
              <w:left w:val="nil"/>
              <w:bottom w:val="nil"/>
              <w:right w:val="nil"/>
            </w:tcBorders>
            <w:noWrap/>
          </w:tcPr>
          <w:p>
            <w:pPr>
              <w:pStyle w:val="yTableNAm"/>
              <w:ind w:right="600"/>
              <w:jc w:val="right"/>
            </w:pPr>
            <w:r>
              <w:t>16.927</w:t>
            </w:r>
          </w:p>
        </w:tc>
      </w:tr>
      <w:tr>
        <w:trPr>
          <w:cantSplit/>
        </w:trPr>
        <w:tc>
          <w:tcPr>
            <w:tcW w:w="2159" w:type="dxa"/>
            <w:tcBorders>
              <w:top w:val="nil"/>
              <w:left w:val="nil"/>
              <w:bottom w:val="nil"/>
              <w:right w:val="nil"/>
            </w:tcBorders>
            <w:noWrap/>
          </w:tcPr>
          <w:p>
            <w:pPr>
              <w:pStyle w:val="yTableNAm"/>
            </w:pPr>
            <w:r>
              <w:t>Hopetoun</w:t>
            </w:r>
          </w:p>
        </w:tc>
        <w:tc>
          <w:tcPr>
            <w:tcW w:w="1985" w:type="dxa"/>
            <w:tcBorders>
              <w:top w:val="nil"/>
              <w:left w:val="nil"/>
              <w:bottom w:val="nil"/>
              <w:right w:val="nil"/>
            </w:tcBorders>
            <w:noWrap/>
          </w:tcPr>
          <w:p>
            <w:pPr>
              <w:pStyle w:val="yTableNAm"/>
              <w:ind w:right="600"/>
              <w:jc w:val="right"/>
            </w:pPr>
            <w:r>
              <w:t>53.259</w:t>
            </w:r>
          </w:p>
        </w:tc>
        <w:tc>
          <w:tcPr>
            <w:tcW w:w="1985" w:type="dxa"/>
            <w:tcBorders>
              <w:top w:val="nil"/>
              <w:left w:val="nil"/>
              <w:bottom w:val="nil"/>
              <w:right w:val="nil"/>
            </w:tcBorders>
            <w:noWrap/>
          </w:tcPr>
          <w:p>
            <w:pPr>
              <w:pStyle w:val="yTableNAm"/>
              <w:ind w:right="600"/>
              <w:jc w:val="right"/>
            </w:pPr>
            <w:r>
              <w:t>177.355</w:t>
            </w:r>
          </w:p>
        </w:tc>
      </w:tr>
      <w:tr>
        <w:trPr>
          <w:cantSplit/>
        </w:trPr>
        <w:tc>
          <w:tcPr>
            <w:tcW w:w="2159" w:type="dxa"/>
            <w:tcBorders>
              <w:top w:val="nil"/>
              <w:left w:val="nil"/>
              <w:bottom w:val="nil"/>
              <w:right w:val="nil"/>
            </w:tcBorders>
            <w:noWrap/>
          </w:tcPr>
          <w:p>
            <w:pPr>
              <w:pStyle w:val="yTableNAm"/>
            </w:pPr>
            <w:r>
              <w:t>Horrocks</w:t>
            </w:r>
          </w:p>
        </w:tc>
        <w:tc>
          <w:tcPr>
            <w:tcW w:w="1985" w:type="dxa"/>
            <w:tcBorders>
              <w:top w:val="nil"/>
              <w:left w:val="nil"/>
              <w:bottom w:val="nil"/>
              <w:right w:val="nil"/>
            </w:tcBorders>
            <w:noWrap/>
          </w:tcPr>
          <w:p>
            <w:pPr>
              <w:pStyle w:val="yTableNAm"/>
              <w:ind w:right="600"/>
              <w:jc w:val="right"/>
            </w:pPr>
            <w:r>
              <w:t>23.811</w:t>
            </w:r>
          </w:p>
        </w:tc>
        <w:tc>
          <w:tcPr>
            <w:tcW w:w="1985" w:type="dxa"/>
            <w:tcBorders>
              <w:top w:val="nil"/>
              <w:left w:val="nil"/>
              <w:bottom w:val="nil"/>
              <w:right w:val="nil"/>
            </w:tcBorders>
            <w:noWrap/>
          </w:tcPr>
          <w:p>
            <w:pPr>
              <w:pStyle w:val="yTableNAm"/>
              <w:ind w:right="600"/>
              <w:jc w:val="right"/>
            </w:pPr>
            <w:r>
              <w:t>30.275</w:t>
            </w:r>
          </w:p>
        </w:tc>
      </w:tr>
      <w:tr>
        <w:trPr>
          <w:cantSplit/>
        </w:trPr>
        <w:tc>
          <w:tcPr>
            <w:tcW w:w="2159" w:type="dxa"/>
            <w:tcBorders>
              <w:top w:val="nil"/>
              <w:left w:val="nil"/>
              <w:bottom w:val="nil"/>
              <w:right w:val="nil"/>
            </w:tcBorders>
            <w:noWrap/>
          </w:tcPr>
          <w:p>
            <w:pPr>
              <w:pStyle w:val="yTableNAm"/>
            </w:pPr>
            <w:r>
              <w:t>Hyden</w:t>
            </w:r>
          </w:p>
        </w:tc>
        <w:tc>
          <w:tcPr>
            <w:tcW w:w="1985" w:type="dxa"/>
            <w:tcBorders>
              <w:top w:val="nil"/>
              <w:left w:val="nil"/>
              <w:bottom w:val="nil"/>
              <w:right w:val="nil"/>
            </w:tcBorders>
            <w:noWrap/>
          </w:tcPr>
          <w:p>
            <w:pPr>
              <w:pStyle w:val="yTableNAm"/>
              <w:ind w:right="600"/>
              <w:jc w:val="right"/>
            </w:pPr>
            <w:r>
              <w:t>90.900</w:t>
            </w:r>
          </w:p>
        </w:tc>
        <w:tc>
          <w:tcPr>
            <w:tcW w:w="1985" w:type="dxa"/>
            <w:tcBorders>
              <w:top w:val="nil"/>
              <w:left w:val="nil"/>
              <w:bottom w:val="nil"/>
              <w:right w:val="nil"/>
            </w:tcBorders>
            <w:noWrap/>
          </w:tcPr>
          <w:p>
            <w:pPr>
              <w:pStyle w:val="yTableNAm"/>
              <w:ind w:right="600"/>
              <w:jc w:val="right"/>
            </w:pPr>
            <w:r>
              <w:t>516.548</w:t>
            </w:r>
          </w:p>
        </w:tc>
      </w:tr>
      <w:tr>
        <w:trPr>
          <w:cantSplit/>
        </w:trPr>
        <w:tc>
          <w:tcPr>
            <w:tcW w:w="2159" w:type="dxa"/>
            <w:tcBorders>
              <w:top w:val="nil"/>
              <w:left w:val="nil"/>
              <w:bottom w:val="nil"/>
              <w:right w:val="nil"/>
            </w:tcBorders>
            <w:noWrap/>
          </w:tcPr>
          <w:p>
            <w:pPr>
              <w:pStyle w:val="yTableNAm"/>
            </w:pPr>
            <w:r>
              <w:t>Jurien</w:t>
            </w:r>
          </w:p>
        </w:tc>
        <w:tc>
          <w:tcPr>
            <w:tcW w:w="1985" w:type="dxa"/>
            <w:tcBorders>
              <w:top w:val="nil"/>
              <w:left w:val="nil"/>
              <w:bottom w:val="nil"/>
              <w:right w:val="nil"/>
            </w:tcBorders>
            <w:noWrap/>
          </w:tcPr>
          <w:p>
            <w:pPr>
              <w:pStyle w:val="yTableNAm"/>
              <w:ind w:right="600"/>
              <w:jc w:val="right"/>
            </w:pPr>
            <w:r>
              <w:t>3.962</w:t>
            </w:r>
          </w:p>
        </w:tc>
        <w:tc>
          <w:tcPr>
            <w:tcW w:w="1985" w:type="dxa"/>
            <w:tcBorders>
              <w:top w:val="nil"/>
              <w:left w:val="nil"/>
              <w:bottom w:val="nil"/>
              <w:right w:val="nil"/>
            </w:tcBorders>
            <w:noWrap/>
          </w:tcPr>
          <w:p>
            <w:pPr>
              <w:pStyle w:val="yTableNAm"/>
              <w:ind w:right="600"/>
              <w:jc w:val="right"/>
            </w:pPr>
            <w:r>
              <w:t>7.949</w:t>
            </w:r>
          </w:p>
        </w:tc>
      </w:tr>
      <w:tr>
        <w:trPr>
          <w:cantSplit/>
        </w:trPr>
        <w:tc>
          <w:tcPr>
            <w:tcW w:w="2159" w:type="dxa"/>
            <w:tcBorders>
              <w:top w:val="nil"/>
              <w:left w:val="nil"/>
              <w:bottom w:val="nil"/>
              <w:right w:val="nil"/>
            </w:tcBorders>
            <w:noWrap/>
          </w:tcPr>
          <w:p>
            <w:pPr>
              <w:pStyle w:val="yTableNAm"/>
            </w:pPr>
            <w:r>
              <w:t>Kalbarri</w:t>
            </w:r>
          </w:p>
        </w:tc>
        <w:tc>
          <w:tcPr>
            <w:tcW w:w="1985" w:type="dxa"/>
            <w:tcBorders>
              <w:top w:val="nil"/>
              <w:left w:val="nil"/>
              <w:bottom w:val="nil"/>
              <w:right w:val="nil"/>
            </w:tcBorders>
            <w:noWrap/>
          </w:tcPr>
          <w:p>
            <w:pPr>
              <w:pStyle w:val="yTableNAm"/>
              <w:ind w:right="600"/>
              <w:jc w:val="right"/>
            </w:pPr>
            <w:r>
              <w:t>9.608</w:t>
            </w:r>
          </w:p>
        </w:tc>
        <w:tc>
          <w:tcPr>
            <w:tcW w:w="1985" w:type="dxa"/>
            <w:tcBorders>
              <w:top w:val="nil"/>
              <w:left w:val="nil"/>
              <w:bottom w:val="nil"/>
              <w:right w:val="nil"/>
            </w:tcBorders>
            <w:noWrap/>
          </w:tcPr>
          <w:p>
            <w:pPr>
              <w:pStyle w:val="yTableNAm"/>
              <w:ind w:right="600"/>
              <w:jc w:val="right"/>
            </w:pPr>
            <w:r>
              <w:t>19.429</w:t>
            </w:r>
          </w:p>
        </w:tc>
      </w:tr>
      <w:tr>
        <w:trPr>
          <w:cantSplit/>
        </w:trPr>
        <w:tc>
          <w:tcPr>
            <w:tcW w:w="2159" w:type="dxa"/>
            <w:tcBorders>
              <w:top w:val="nil"/>
              <w:left w:val="nil"/>
              <w:bottom w:val="nil"/>
              <w:right w:val="nil"/>
            </w:tcBorders>
            <w:noWrap/>
          </w:tcPr>
          <w:p>
            <w:pPr>
              <w:pStyle w:val="yTableNAm"/>
            </w:pPr>
            <w:r>
              <w:t>Kambalda</w:t>
            </w:r>
          </w:p>
        </w:tc>
        <w:tc>
          <w:tcPr>
            <w:tcW w:w="1985" w:type="dxa"/>
            <w:tcBorders>
              <w:top w:val="nil"/>
              <w:left w:val="nil"/>
              <w:bottom w:val="nil"/>
              <w:right w:val="nil"/>
            </w:tcBorders>
            <w:noWrap/>
          </w:tcPr>
          <w:p>
            <w:pPr>
              <w:pStyle w:val="yTableNAm"/>
              <w:ind w:right="600"/>
              <w:jc w:val="right"/>
            </w:pPr>
            <w:r>
              <w:t>9.503</w:t>
            </w:r>
          </w:p>
        </w:tc>
        <w:tc>
          <w:tcPr>
            <w:tcW w:w="1985" w:type="dxa"/>
            <w:tcBorders>
              <w:top w:val="nil"/>
              <w:left w:val="nil"/>
              <w:bottom w:val="nil"/>
              <w:right w:val="nil"/>
            </w:tcBorders>
            <w:noWrap/>
          </w:tcPr>
          <w:p>
            <w:pPr>
              <w:pStyle w:val="yTableNAm"/>
              <w:ind w:right="600"/>
              <w:jc w:val="right"/>
            </w:pPr>
            <w:r>
              <w:t>81.341</w:t>
            </w:r>
          </w:p>
        </w:tc>
      </w:tr>
      <w:tr>
        <w:trPr>
          <w:cantSplit/>
        </w:trPr>
        <w:tc>
          <w:tcPr>
            <w:tcW w:w="2159" w:type="dxa"/>
            <w:tcBorders>
              <w:top w:val="nil"/>
              <w:left w:val="nil"/>
              <w:bottom w:val="nil"/>
              <w:right w:val="nil"/>
            </w:tcBorders>
            <w:noWrap/>
          </w:tcPr>
          <w:p>
            <w:pPr>
              <w:pStyle w:val="yTableNAm"/>
            </w:pPr>
            <w:r>
              <w:t>Karratha</w:t>
            </w:r>
          </w:p>
        </w:tc>
        <w:tc>
          <w:tcPr>
            <w:tcW w:w="1985" w:type="dxa"/>
            <w:tcBorders>
              <w:top w:val="nil"/>
              <w:left w:val="nil"/>
              <w:bottom w:val="nil"/>
              <w:right w:val="nil"/>
            </w:tcBorders>
            <w:noWrap/>
          </w:tcPr>
          <w:p>
            <w:pPr>
              <w:pStyle w:val="yTableNAm"/>
              <w:ind w:right="600"/>
              <w:jc w:val="right"/>
            </w:pPr>
            <w:r>
              <w:t>2.166</w:t>
            </w:r>
          </w:p>
        </w:tc>
        <w:tc>
          <w:tcPr>
            <w:tcW w:w="1985" w:type="dxa"/>
            <w:tcBorders>
              <w:top w:val="nil"/>
              <w:left w:val="nil"/>
              <w:bottom w:val="nil"/>
              <w:right w:val="nil"/>
            </w:tcBorders>
            <w:noWrap/>
          </w:tcPr>
          <w:p>
            <w:pPr>
              <w:pStyle w:val="yTableNAm"/>
              <w:ind w:right="600"/>
              <w:jc w:val="right"/>
            </w:pPr>
            <w:r>
              <w:t>6.095</w:t>
            </w:r>
          </w:p>
        </w:tc>
      </w:tr>
      <w:tr>
        <w:trPr>
          <w:cantSplit/>
        </w:trPr>
        <w:tc>
          <w:tcPr>
            <w:tcW w:w="2159" w:type="dxa"/>
            <w:tcBorders>
              <w:top w:val="nil"/>
              <w:left w:val="nil"/>
              <w:bottom w:val="nil"/>
              <w:right w:val="nil"/>
            </w:tcBorders>
            <w:noWrap/>
          </w:tcPr>
          <w:p>
            <w:pPr>
              <w:pStyle w:val="yTableNAm"/>
            </w:pPr>
            <w:r>
              <w:t>Katanning</w:t>
            </w:r>
          </w:p>
        </w:tc>
        <w:tc>
          <w:tcPr>
            <w:tcW w:w="1985" w:type="dxa"/>
            <w:tcBorders>
              <w:top w:val="nil"/>
              <w:left w:val="nil"/>
              <w:bottom w:val="nil"/>
              <w:right w:val="nil"/>
            </w:tcBorders>
            <w:noWrap/>
          </w:tcPr>
          <w:p>
            <w:pPr>
              <w:pStyle w:val="yTableNAm"/>
              <w:ind w:right="600"/>
              <w:jc w:val="right"/>
            </w:pPr>
            <w:r>
              <w:t>13.766</w:t>
            </w:r>
          </w:p>
        </w:tc>
        <w:tc>
          <w:tcPr>
            <w:tcW w:w="1985" w:type="dxa"/>
            <w:tcBorders>
              <w:top w:val="nil"/>
              <w:left w:val="nil"/>
              <w:bottom w:val="nil"/>
              <w:right w:val="nil"/>
            </w:tcBorders>
            <w:noWrap/>
          </w:tcPr>
          <w:p>
            <w:pPr>
              <w:pStyle w:val="yTableNAm"/>
              <w:ind w:right="600"/>
              <w:jc w:val="right"/>
            </w:pPr>
            <w:r>
              <w:t>75.278</w:t>
            </w:r>
          </w:p>
        </w:tc>
      </w:tr>
      <w:tr>
        <w:trPr>
          <w:cantSplit/>
        </w:trPr>
        <w:tc>
          <w:tcPr>
            <w:tcW w:w="2159" w:type="dxa"/>
            <w:tcBorders>
              <w:top w:val="nil"/>
              <w:left w:val="nil"/>
              <w:bottom w:val="nil"/>
              <w:right w:val="nil"/>
            </w:tcBorders>
            <w:noWrap/>
          </w:tcPr>
          <w:p>
            <w:pPr>
              <w:pStyle w:val="yTableNAm"/>
            </w:pPr>
            <w:r>
              <w:t>Kellerberrin</w:t>
            </w:r>
          </w:p>
        </w:tc>
        <w:tc>
          <w:tcPr>
            <w:tcW w:w="1985" w:type="dxa"/>
            <w:tcBorders>
              <w:top w:val="nil"/>
              <w:left w:val="nil"/>
              <w:bottom w:val="nil"/>
              <w:right w:val="nil"/>
            </w:tcBorders>
            <w:noWrap/>
          </w:tcPr>
          <w:p>
            <w:pPr>
              <w:pStyle w:val="yTableNAm"/>
              <w:ind w:right="600"/>
              <w:jc w:val="right"/>
            </w:pPr>
            <w:r>
              <w:t>24.959</w:t>
            </w:r>
          </w:p>
        </w:tc>
        <w:tc>
          <w:tcPr>
            <w:tcW w:w="1985" w:type="dxa"/>
            <w:tcBorders>
              <w:top w:val="nil"/>
              <w:left w:val="nil"/>
              <w:bottom w:val="nil"/>
              <w:right w:val="nil"/>
            </w:tcBorders>
            <w:noWrap/>
          </w:tcPr>
          <w:p>
            <w:pPr>
              <w:pStyle w:val="yTableNAm"/>
              <w:ind w:right="600"/>
              <w:jc w:val="right"/>
            </w:pPr>
            <w:r>
              <w:t>325.809</w:t>
            </w:r>
          </w:p>
        </w:tc>
      </w:tr>
      <w:tr>
        <w:trPr>
          <w:cantSplit/>
        </w:trPr>
        <w:tc>
          <w:tcPr>
            <w:tcW w:w="2159" w:type="dxa"/>
            <w:tcBorders>
              <w:top w:val="nil"/>
              <w:left w:val="nil"/>
              <w:bottom w:val="nil"/>
              <w:right w:val="nil"/>
            </w:tcBorders>
            <w:noWrap/>
          </w:tcPr>
          <w:p>
            <w:pPr>
              <w:pStyle w:val="yTableNAm"/>
            </w:pPr>
            <w:r>
              <w:t>Kojonup</w:t>
            </w:r>
          </w:p>
        </w:tc>
        <w:tc>
          <w:tcPr>
            <w:tcW w:w="1985" w:type="dxa"/>
            <w:tcBorders>
              <w:top w:val="nil"/>
              <w:left w:val="nil"/>
              <w:bottom w:val="nil"/>
              <w:right w:val="nil"/>
            </w:tcBorders>
            <w:noWrap/>
          </w:tcPr>
          <w:p>
            <w:pPr>
              <w:pStyle w:val="yTableNAm"/>
              <w:ind w:right="600"/>
              <w:jc w:val="right"/>
            </w:pPr>
            <w:r>
              <w:t>20.555</w:t>
            </w:r>
          </w:p>
        </w:tc>
        <w:tc>
          <w:tcPr>
            <w:tcW w:w="1985" w:type="dxa"/>
            <w:tcBorders>
              <w:top w:val="nil"/>
              <w:left w:val="nil"/>
              <w:bottom w:val="nil"/>
              <w:right w:val="nil"/>
            </w:tcBorders>
            <w:noWrap/>
          </w:tcPr>
          <w:p>
            <w:pPr>
              <w:pStyle w:val="yTableNAm"/>
              <w:ind w:right="600"/>
              <w:jc w:val="right"/>
            </w:pPr>
            <w:r>
              <w:t>175.258</w:t>
            </w:r>
          </w:p>
        </w:tc>
      </w:tr>
      <w:tr>
        <w:trPr>
          <w:cantSplit/>
        </w:trPr>
        <w:tc>
          <w:tcPr>
            <w:tcW w:w="2159" w:type="dxa"/>
            <w:tcBorders>
              <w:top w:val="nil"/>
              <w:left w:val="nil"/>
              <w:bottom w:val="nil"/>
              <w:right w:val="nil"/>
            </w:tcBorders>
            <w:noWrap/>
          </w:tcPr>
          <w:p>
            <w:pPr>
              <w:pStyle w:val="yTableNAm"/>
            </w:pPr>
            <w:r>
              <w:t>Kulin</w:t>
            </w:r>
          </w:p>
        </w:tc>
        <w:tc>
          <w:tcPr>
            <w:tcW w:w="1985" w:type="dxa"/>
            <w:tcBorders>
              <w:top w:val="nil"/>
              <w:left w:val="nil"/>
              <w:bottom w:val="nil"/>
              <w:right w:val="nil"/>
            </w:tcBorders>
            <w:noWrap/>
          </w:tcPr>
          <w:p>
            <w:pPr>
              <w:pStyle w:val="yTableNAm"/>
              <w:ind w:right="600"/>
              <w:jc w:val="right"/>
            </w:pPr>
            <w:r>
              <w:t>40.796</w:t>
            </w:r>
          </w:p>
        </w:tc>
        <w:tc>
          <w:tcPr>
            <w:tcW w:w="1985" w:type="dxa"/>
            <w:tcBorders>
              <w:top w:val="nil"/>
              <w:left w:val="nil"/>
              <w:bottom w:val="nil"/>
              <w:right w:val="nil"/>
            </w:tcBorders>
            <w:noWrap/>
          </w:tcPr>
          <w:p>
            <w:pPr>
              <w:pStyle w:val="yTableNAm"/>
              <w:ind w:right="600"/>
              <w:jc w:val="right"/>
            </w:pPr>
            <w:r>
              <w:t>1004.123</w:t>
            </w:r>
          </w:p>
        </w:tc>
      </w:tr>
      <w:tr>
        <w:trPr>
          <w:cantSplit/>
        </w:trPr>
        <w:tc>
          <w:tcPr>
            <w:tcW w:w="2159" w:type="dxa"/>
            <w:tcBorders>
              <w:top w:val="nil"/>
              <w:left w:val="nil"/>
              <w:bottom w:val="nil"/>
              <w:right w:val="nil"/>
            </w:tcBorders>
            <w:noWrap/>
          </w:tcPr>
          <w:p>
            <w:pPr>
              <w:pStyle w:val="yTableNAm"/>
            </w:pPr>
            <w:r>
              <w:t>Kununurra</w:t>
            </w:r>
          </w:p>
        </w:tc>
        <w:tc>
          <w:tcPr>
            <w:tcW w:w="1985" w:type="dxa"/>
            <w:tcBorders>
              <w:top w:val="nil"/>
              <w:left w:val="nil"/>
              <w:bottom w:val="nil"/>
              <w:right w:val="nil"/>
            </w:tcBorders>
            <w:noWrap/>
          </w:tcPr>
          <w:p>
            <w:pPr>
              <w:pStyle w:val="yTableNAm"/>
              <w:ind w:right="600"/>
              <w:jc w:val="right"/>
            </w:pPr>
            <w:r>
              <w:t>7.478</w:t>
            </w:r>
          </w:p>
        </w:tc>
        <w:tc>
          <w:tcPr>
            <w:tcW w:w="1985" w:type="dxa"/>
            <w:tcBorders>
              <w:top w:val="nil"/>
              <w:left w:val="nil"/>
              <w:bottom w:val="nil"/>
              <w:right w:val="nil"/>
            </w:tcBorders>
            <w:noWrap/>
          </w:tcPr>
          <w:p>
            <w:pPr>
              <w:pStyle w:val="yTableNAm"/>
              <w:ind w:right="600"/>
              <w:jc w:val="right"/>
            </w:pPr>
            <w:r>
              <w:t>21.144</w:t>
            </w:r>
          </w:p>
        </w:tc>
      </w:tr>
      <w:tr>
        <w:trPr>
          <w:cantSplit/>
        </w:trPr>
        <w:tc>
          <w:tcPr>
            <w:tcW w:w="2159" w:type="dxa"/>
            <w:tcBorders>
              <w:top w:val="nil"/>
              <w:left w:val="nil"/>
              <w:bottom w:val="nil"/>
              <w:right w:val="nil"/>
            </w:tcBorders>
            <w:noWrap/>
          </w:tcPr>
          <w:p>
            <w:pPr>
              <w:pStyle w:val="yTableNAm"/>
            </w:pPr>
            <w:r>
              <w:lastRenderedPageBreak/>
              <w:t>Lancelin</w:t>
            </w:r>
          </w:p>
        </w:tc>
        <w:tc>
          <w:tcPr>
            <w:tcW w:w="1985" w:type="dxa"/>
            <w:tcBorders>
              <w:top w:val="nil"/>
              <w:left w:val="nil"/>
              <w:bottom w:val="nil"/>
              <w:right w:val="nil"/>
            </w:tcBorders>
            <w:noWrap/>
          </w:tcPr>
          <w:p>
            <w:pPr>
              <w:pStyle w:val="yTableNAm"/>
              <w:ind w:right="600"/>
              <w:jc w:val="right"/>
            </w:pPr>
            <w:r>
              <w:t>18.348</w:t>
            </w:r>
          </w:p>
        </w:tc>
        <w:tc>
          <w:tcPr>
            <w:tcW w:w="1985" w:type="dxa"/>
            <w:tcBorders>
              <w:top w:val="nil"/>
              <w:left w:val="nil"/>
              <w:bottom w:val="nil"/>
              <w:right w:val="nil"/>
            </w:tcBorders>
            <w:noWrap/>
          </w:tcPr>
          <w:p>
            <w:pPr>
              <w:pStyle w:val="yTableNAm"/>
              <w:ind w:right="600"/>
              <w:jc w:val="right"/>
            </w:pPr>
            <w:r>
              <w:t>20.923</w:t>
            </w:r>
          </w:p>
        </w:tc>
      </w:tr>
      <w:tr>
        <w:trPr>
          <w:cantSplit/>
        </w:trPr>
        <w:tc>
          <w:tcPr>
            <w:tcW w:w="2159" w:type="dxa"/>
            <w:tcBorders>
              <w:top w:val="nil"/>
              <w:left w:val="nil"/>
              <w:bottom w:val="nil"/>
              <w:right w:val="nil"/>
            </w:tcBorders>
            <w:noWrap/>
          </w:tcPr>
          <w:p>
            <w:pPr>
              <w:pStyle w:val="yTableNAm"/>
            </w:pPr>
            <w:r>
              <w:t>Laverton</w:t>
            </w:r>
          </w:p>
        </w:tc>
        <w:tc>
          <w:tcPr>
            <w:tcW w:w="1985" w:type="dxa"/>
            <w:tcBorders>
              <w:top w:val="nil"/>
              <w:left w:val="nil"/>
              <w:bottom w:val="nil"/>
              <w:right w:val="nil"/>
            </w:tcBorders>
            <w:noWrap/>
          </w:tcPr>
          <w:p>
            <w:pPr>
              <w:pStyle w:val="yTableNAm"/>
              <w:ind w:right="600"/>
              <w:jc w:val="right"/>
            </w:pPr>
            <w:r>
              <w:t>25.720</w:t>
            </w:r>
          </w:p>
        </w:tc>
        <w:tc>
          <w:tcPr>
            <w:tcW w:w="1985" w:type="dxa"/>
            <w:tcBorders>
              <w:top w:val="nil"/>
              <w:left w:val="nil"/>
              <w:bottom w:val="nil"/>
              <w:right w:val="nil"/>
            </w:tcBorders>
            <w:noWrap/>
          </w:tcPr>
          <w:p>
            <w:pPr>
              <w:pStyle w:val="yTableNAm"/>
              <w:ind w:right="600"/>
              <w:jc w:val="right"/>
            </w:pPr>
            <w:r>
              <w:t>989.473</w:t>
            </w:r>
          </w:p>
        </w:tc>
      </w:tr>
      <w:tr>
        <w:trPr>
          <w:cantSplit/>
        </w:trPr>
        <w:tc>
          <w:tcPr>
            <w:tcW w:w="2159" w:type="dxa"/>
            <w:tcBorders>
              <w:top w:val="nil"/>
              <w:left w:val="nil"/>
              <w:bottom w:val="nil"/>
              <w:right w:val="nil"/>
            </w:tcBorders>
            <w:noWrap/>
          </w:tcPr>
          <w:p>
            <w:pPr>
              <w:pStyle w:val="yTableNAm"/>
            </w:pPr>
            <w:r>
              <w:t>Ledge Point</w:t>
            </w:r>
          </w:p>
        </w:tc>
        <w:tc>
          <w:tcPr>
            <w:tcW w:w="1985" w:type="dxa"/>
            <w:tcBorders>
              <w:top w:val="nil"/>
              <w:left w:val="nil"/>
              <w:bottom w:val="nil"/>
              <w:right w:val="nil"/>
            </w:tcBorders>
            <w:noWrap/>
          </w:tcPr>
          <w:p>
            <w:pPr>
              <w:pStyle w:val="yTableNAm"/>
              <w:ind w:right="600"/>
              <w:jc w:val="right"/>
            </w:pPr>
            <w:r>
              <w:t>7.672</w:t>
            </w:r>
          </w:p>
        </w:tc>
        <w:tc>
          <w:tcPr>
            <w:tcW w:w="1985" w:type="dxa"/>
            <w:tcBorders>
              <w:top w:val="nil"/>
              <w:left w:val="nil"/>
              <w:bottom w:val="nil"/>
              <w:right w:val="nil"/>
            </w:tcBorders>
            <w:noWrap/>
          </w:tcPr>
          <w:p>
            <w:pPr>
              <w:pStyle w:val="yTableNAm"/>
              <w:ind w:right="600"/>
              <w:jc w:val="right"/>
            </w:pPr>
            <w:r>
              <w:t>15.584</w:t>
            </w:r>
          </w:p>
        </w:tc>
      </w:tr>
      <w:tr>
        <w:trPr>
          <w:cantSplit/>
        </w:trPr>
        <w:tc>
          <w:tcPr>
            <w:tcW w:w="2159" w:type="dxa"/>
            <w:tcBorders>
              <w:top w:val="nil"/>
              <w:left w:val="nil"/>
              <w:bottom w:val="nil"/>
              <w:right w:val="nil"/>
            </w:tcBorders>
            <w:noWrap/>
          </w:tcPr>
          <w:p>
            <w:pPr>
              <w:pStyle w:val="yTableNAm"/>
            </w:pPr>
            <w:r>
              <w:t>Leeman</w:t>
            </w:r>
          </w:p>
        </w:tc>
        <w:tc>
          <w:tcPr>
            <w:tcW w:w="1985" w:type="dxa"/>
            <w:tcBorders>
              <w:top w:val="nil"/>
              <w:left w:val="nil"/>
              <w:bottom w:val="nil"/>
              <w:right w:val="nil"/>
            </w:tcBorders>
            <w:noWrap/>
          </w:tcPr>
          <w:p>
            <w:pPr>
              <w:pStyle w:val="yTableNAm"/>
              <w:ind w:right="600"/>
              <w:jc w:val="right"/>
            </w:pPr>
            <w:r>
              <w:t>13.635</w:t>
            </w:r>
          </w:p>
        </w:tc>
        <w:tc>
          <w:tcPr>
            <w:tcW w:w="1985" w:type="dxa"/>
            <w:tcBorders>
              <w:top w:val="nil"/>
              <w:left w:val="nil"/>
              <w:bottom w:val="nil"/>
              <w:right w:val="nil"/>
            </w:tcBorders>
            <w:noWrap/>
          </w:tcPr>
          <w:p>
            <w:pPr>
              <w:pStyle w:val="yTableNAm"/>
              <w:ind w:right="600"/>
              <w:jc w:val="right"/>
            </w:pPr>
            <w:r>
              <w:t>33.672</w:t>
            </w:r>
          </w:p>
        </w:tc>
      </w:tr>
      <w:tr>
        <w:trPr>
          <w:cantSplit/>
        </w:trPr>
        <w:tc>
          <w:tcPr>
            <w:tcW w:w="2159" w:type="dxa"/>
            <w:tcBorders>
              <w:top w:val="nil"/>
              <w:left w:val="nil"/>
              <w:bottom w:val="nil"/>
              <w:right w:val="nil"/>
            </w:tcBorders>
            <w:noWrap/>
          </w:tcPr>
          <w:p>
            <w:pPr>
              <w:pStyle w:val="yTableNAm"/>
            </w:pPr>
            <w:r>
              <w:t>Leonora</w:t>
            </w:r>
          </w:p>
        </w:tc>
        <w:tc>
          <w:tcPr>
            <w:tcW w:w="1985" w:type="dxa"/>
            <w:tcBorders>
              <w:top w:val="nil"/>
              <w:left w:val="nil"/>
              <w:bottom w:val="nil"/>
              <w:right w:val="nil"/>
            </w:tcBorders>
            <w:noWrap/>
          </w:tcPr>
          <w:p>
            <w:pPr>
              <w:pStyle w:val="yTableNAm"/>
              <w:ind w:right="600"/>
              <w:jc w:val="right"/>
            </w:pPr>
            <w:r>
              <w:t>2.262</w:t>
            </w:r>
          </w:p>
        </w:tc>
        <w:tc>
          <w:tcPr>
            <w:tcW w:w="1985" w:type="dxa"/>
            <w:tcBorders>
              <w:top w:val="nil"/>
              <w:left w:val="nil"/>
              <w:bottom w:val="nil"/>
              <w:right w:val="nil"/>
            </w:tcBorders>
            <w:noWrap/>
          </w:tcPr>
          <w:p>
            <w:pPr>
              <w:pStyle w:val="yTableNAm"/>
              <w:ind w:right="600"/>
              <w:jc w:val="right"/>
            </w:pPr>
            <w:r>
              <w:t>38.054</w:t>
            </w:r>
          </w:p>
        </w:tc>
      </w:tr>
      <w:tr>
        <w:trPr>
          <w:cantSplit/>
        </w:trPr>
        <w:tc>
          <w:tcPr>
            <w:tcW w:w="2159" w:type="dxa"/>
            <w:tcBorders>
              <w:top w:val="nil"/>
              <w:left w:val="nil"/>
              <w:bottom w:val="nil"/>
              <w:right w:val="nil"/>
            </w:tcBorders>
            <w:noWrap/>
          </w:tcPr>
          <w:p>
            <w:pPr>
              <w:pStyle w:val="yTableNAm"/>
            </w:pPr>
            <w:r>
              <w:t>Mandurah</w:t>
            </w:r>
          </w:p>
        </w:tc>
        <w:tc>
          <w:tcPr>
            <w:tcW w:w="1985" w:type="dxa"/>
            <w:tcBorders>
              <w:top w:val="nil"/>
              <w:left w:val="nil"/>
              <w:bottom w:val="nil"/>
              <w:right w:val="nil"/>
            </w:tcBorders>
            <w:noWrap/>
          </w:tcPr>
          <w:p>
            <w:pPr>
              <w:pStyle w:val="yTableNAm"/>
              <w:ind w:right="600"/>
              <w:jc w:val="right"/>
            </w:pPr>
            <w:r>
              <w:t>6.959</w:t>
            </w:r>
          </w:p>
        </w:tc>
        <w:tc>
          <w:tcPr>
            <w:tcW w:w="1985" w:type="dxa"/>
            <w:tcBorders>
              <w:top w:val="nil"/>
              <w:left w:val="nil"/>
              <w:bottom w:val="nil"/>
              <w:right w:val="nil"/>
            </w:tcBorders>
            <w:noWrap/>
          </w:tcPr>
          <w:p>
            <w:pPr>
              <w:pStyle w:val="yTableNAm"/>
              <w:ind w:right="600"/>
              <w:jc w:val="right"/>
            </w:pPr>
            <w:r>
              <w:t>6.940</w:t>
            </w:r>
          </w:p>
        </w:tc>
      </w:tr>
      <w:tr>
        <w:trPr>
          <w:cantSplit/>
        </w:trPr>
        <w:tc>
          <w:tcPr>
            <w:tcW w:w="2159" w:type="dxa"/>
            <w:tcBorders>
              <w:top w:val="nil"/>
              <w:left w:val="nil"/>
              <w:bottom w:val="nil"/>
              <w:right w:val="nil"/>
            </w:tcBorders>
            <w:noWrap/>
          </w:tcPr>
          <w:p>
            <w:pPr>
              <w:pStyle w:val="yTableNAm"/>
            </w:pPr>
            <w:r>
              <w:t>Manjimup</w:t>
            </w:r>
          </w:p>
        </w:tc>
        <w:tc>
          <w:tcPr>
            <w:tcW w:w="1985" w:type="dxa"/>
            <w:tcBorders>
              <w:top w:val="nil"/>
              <w:left w:val="nil"/>
              <w:bottom w:val="nil"/>
              <w:right w:val="nil"/>
            </w:tcBorders>
            <w:noWrap/>
          </w:tcPr>
          <w:p>
            <w:pPr>
              <w:pStyle w:val="yTableNAm"/>
              <w:ind w:right="600"/>
              <w:jc w:val="right"/>
            </w:pPr>
            <w:r>
              <w:t>16.219</w:t>
            </w:r>
          </w:p>
        </w:tc>
        <w:tc>
          <w:tcPr>
            <w:tcW w:w="1985" w:type="dxa"/>
            <w:tcBorders>
              <w:top w:val="nil"/>
              <w:left w:val="nil"/>
              <w:bottom w:val="nil"/>
              <w:right w:val="nil"/>
            </w:tcBorders>
            <w:noWrap/>
          </w:tcPr>
          <w:p>
            <w:pPr>
              <w:pStyle w:val="yTableNAm"/>
              <w:ind w:right="600"/>
              <w:jc w:val="right"/>
            </w:pPr>
            <w:r>
              <w:t>44.614</w:t>
            </w:r>
          </w:p>
        </w:tc>
      </w:tr>
      <w:tr>
        <w:trPr>
          <w:cantSplit/>
        </w:trPr>
        <w:tc>
          <w:tcPr>
            <w:tcW w:w="2159" w:type="dxa"/>
            <w:tcBorders>
              <w:top w:val="nil"/>
              <w:left w:val="nil"/>
              <w:bottom w:val="nil"/>
              <w:right w:val="nil"/>
            </w:tcBorders>
            <w:noWrap/>
          </w:tcPr>
          <w:p>
            <w:pPr>
              <w:pStyle w:val="yTableNAm"/>
            </w:pPr>
            <w:r>
              <w:t>Margaret River</w:t>
            </w:r>
          </w:p>
        </w:tc>
        <w:tc>
          <w:tcPr>
            <w:tcW w:w="1985" w:type="dxa"/>
            <w:tcBorders>
              <w:top w:val="nil"/>
              <w:left w:val="nil"/>
              <w:bottom w:val="nil"/>
              <w:right w:val="nil"/>
            </w:tcBorders>
            <w:noWrap/>
          </w:tcPr>
          <w:p>
            <w:pPr>
              <w:pStyle w:val="yTableNAm"/>
              <w:ind w:right="600"/>
              <w:jc w:val="right"/>
            </w:pPr>
            <w:r>
              <w:t>9.001</w:t>
            </w:r>
          </w:p>
        </w:tc>
        <w:tc>
          <w:tcPr>
            <w:tcW w:w="1985" w:type="dxa"/>
            <w:tcBorders>
              <w:top w:val="nil"/>
              <w:left w:val="nil"/>
              <w:bottom w:val="nil"/>
              <w:right w:val="nil"/>
            </w:tcBorders>
            <w:noWrap/>
          </w:tcPr>
          <w:p>
            <w:pPr>
              <w:pStyle w:val="yTableNAm"/>
              <w:ind w:right="600"/>
              <w:jc w:val="right"/>
            </w:pPr>
            <w:r>
              <w:t>18.955</w:t>
            </w:r>
          </w:p>
        </w:tc>
      </w:tr>
      <w:tr>
        <w:trPr>
          <w:cantSplit/>
        </w:trPr>
        <w:tc>
          <w:tcPr>
            <w:tcW w:w="2159" w:type="dxa"/>
            <w:tcBorders>
              <w:top w:val="nil"/>
              <w:left w:val="nil"/>
              <w:bottom w:val="nil"/>
              <w:right w:val="nil"/>
            </w:tcBorders>
            <w:noWrap/>
          </w:tcPr>
          <w:p>
            <w:pPr>
              <w:pStyle w:val="yTableNAm"/>
            </w:pPr>
            <w:r>
              <w:t>Meckering</w:t>
            </w:r>
          </w:p>
        </w:tc>
        <w:tc>
          <w:tcPr>
            <w:tcW w:w="1985" w:type="dxa"/>
            <w:tcBorders>
              <w:top w:val="nil"/>
              <w:left w:val="nil"/>
              <w:bottom w:val="nil"/>
              <w:right w:val="nil"/>
            </w:tcBorders>
            <w:noWrap/>
          </w:tcPr>
          <w:p>
            <w:pPr>
              <w:pStyle w:val="yTableNAm"/>
              <w:ind w:right="600"/>
              <w:jc w:val="right"/>
            </w:pPr>
            <w:r>
              <w:t>92.141</w:t>
            </w:r>
          </w:p>
        </w:tc>
        <w:tc>
          <w:tcPr>
            <w:tcW w:w="1985" w:type="dxa"/>
            <w:tcBorders>
              <w:top w:val="nil"/>
              <w:left w:val="nil"/>
              <w:bottom w:val="nil"/>
              <w:right w:val="nil"/>
            </w:tcBorders>
            <w:noWrap/>
          </w:tcPr>
          <w:p>
            <w:pPr>
              <w:pStyle w:val="yTableNAm"/>
              <w:ind w:right="600"/>
              <w:jc w:val="right"/>
            </w:pPr>
            <w:r>
              <w:t>538.218</w:t>
            </w:r>
          </w:p>
        </w:tc>
      </w:tr>
      <w:tr>
        <w:trPr>
          <w:cantSplit/>
        </w:trPr>
        <w:tc>
          <w:tcPr>
            <w:tcW w:w="2159" w:type="dxa"/>
            <w:tcBorders>
              <w:top w:val="nil"/>
              <w:left w:val="nil"/>
              <w:bottom w:val="nil"/>
              <w:right w:val="nil"/>
            </w:tcBorders>
            <w:noWrap/>
          </w:tcPr>
          <w:p>
            <w:pPr>
              <w:pStyle w:val="yTableNAm"/>
            </w:pPr>
            <w:r>
              <w:t>Merredin</w:t>
            </w:r>
          </w:p>
        </w:tc>
        <w:tc>
          <w:tcPr>
            <w:tcW w:w="1985" w:type="dxa"/>
            <w:tcBorders>
              <w:top w:val="nil"/>
              <w:left w:val="nil"/>
              <w:bottom w:val="nil"/>
              <w:right w:val="nil"/>
            </w:tcBorders>
            <w:noWrap/>
          </w:tcPr>
          <w:p>
            <w:pPr>
              <w:pStyle w:val="yTableNAm"/>
              <w:ind w:right="600"/>
              <w:jc w:val="right"/>
            </w:pPr>
            <w:r>
              <w:t>14.966</w:t>
            </w:r>
          </w:p>
        </w:tc>
        <w:tc>
          <w:tcPr>
            <w:tcW w:w="1985" w:type="dxa"/>
            <w:tcBorders>
              <w:top w:val="nil"/>
              <w:left w:val="nil"/>
              <w:bottom w:val="nil"/>
              <w:right w:val="nil"/>
            </w:tcBorders>
            <w:noWrap/>
          </w:tcPr>
          <w:p>
            <w:pPr>
              <w:pStyle w:val="yTableNAm"/>
              <w:ind w:right="600"/>
              <w:jc w:val="right"/>
            </w:pPr>
            <w:r>
              <w:t>97.401</w:t>
            </w:r>
          </w:p>
        </w:tc>
      </w:tr>
      <w:tr>
        <w:trPr>
          <w:cantSplit/>
        </w:trPr>
        <w:tc>
          <w:tcPr>
            <w:tcW w:w="2159" w:type="dxa"/>
            <w:tcBorders>
              <w:top w:val="nil"/>
              <w:left w:val="nil"/>
              <w:bottom w:val="nil"/>
              <w:right w:val="nil"/>
            </w:tcBorders>
            <w:noWrap/>
          </w:tcPr>
          <w:p>
            <w:pPr>
              <w:pStyle w:val="yTableNAm"/>
            </w:pPr>
            <w:r>
              <w:t>Mount Barker</w:t>
            </w:r>
          </w:p>
        </w:tc>
        <w:tc>
          <w:tcPr>
            <w:tcW w:w="1985" w:type="dxa"/>
            <w:tcBorders>
              <w:top w:val="nil"/>
              <w:left w:val="nil"/>
              <w:bottom w:val="nil"/>
              <w:right w:val="nil"/>
            </w:tcBorders>
            <w:noWrap/>
          </w:tcPr>
          <w:p>
            <w:pPr>
              <w:pStyle w:val="yTableNAm"/>
              <w:ind w:right="600"/>
              <w:jc w:val="right"/>
            </w:pPr>
            <w:r>
              <w:t>10.991</w:t>
            </w:r>
          </w:p>
        </w:tc>
        <w:tc>
          <w:tcPr>
            <w:tcW w:w="1985" w:type="dxa"/>
            <w:tcBorders>
              <w:top w:val="nil"/>
              <w:left w:val="nil"/>
              <w:bottom w:val="nil"/>
              <w:right w:val="nil"/>
            </w:tcBorders>
            <w:noWrap/>
          </w:tcPr>
          <w:p>
            <w:pPr>
              <w:pStyle w:val="yTableNAm"/>
              <w:ind w:right="600"/>
              <w:jc w:val="right"/>
            </w:pPr>
            <w:r>
              <w:t>44.544</w:t>
            </w:r>
          </w:p>
        </w:tc>
      </w:tr>
      <w:tr>
        <w:trPr>
          <w:cantSplit/>
        </w:trPr>
        <w:tc>
          <w:tcPr>
            <w:tcW w:w="2159" w:type="dxa"/>
            <w:tcBorders>
              <w:top w:val="nil"/>
              <w:left w:val="nil"/>
              <w:bottom w:val="nil"/>
              <w:right w:val="nil"/>
            </w:tcBorders>
            <w:noWrap/>
          </w:tcPr>
          <w:p>
            <w:pPr>
              <w:pStyle w:val="yTableNAm"/>
            </w:pPr>
            <w:r>
              <w:t>Mukinbudin</w:t>
            </w:r>
          </w:p>
        </w:tc>
        <w:tc>
          <w:tcPr>
            <w:tcW w:w="1985" w:type="dxa"/>
            <w:tcBorders>
              <w:top w:val="nil"/>
              <w:left w:val="nil"/>
              <w:bottom w:val="nil"/>
              <w:right w:val="nil"/>
            </w:tcBorders>
            <w:noWrap/>
          </w:tcPr>
          <w:p>
            <w:pPr>
              <w:pStyle w:val="yTableNAm"/>
              <w:ind w:right="600"/>
              <w:jc w:val="right"/>
            </w:pPr>
            <w:r>
              <w:t>30.284</w:t>
            </w:r>
          </w:p>
        </w:tc>
        <w:tc>
          <w:tcPr>
            <w:tcW w:w="1985" w:type="dxa"/>
            <w:tcBorders>
              <w:top w:val="nil"/>
              <w:left w:val="nil"/>
              <w:bottom w:val="nil"/>
              <w:right w:val="nil"/>
            </w:tcBorders>
            <w:noWrap/>
          </w:tcPr>
          <w:p>
            <w:pPr>
              <w:pStyle w:val="yTableNAm"/>
              <w:ind w:right="600"/>
              <w:jc w:val="right"/>
            </w:pPr>
            <w:r>
              <w:t>312.833</w:t>
            </w:r>
          </w:p>
        </w:tc>
      </w:tr>
      <w:tr>
        <w:trPr>
          <w:cantSplit/>
        </w:trPr>
        <w:tc>
          <w:tcPr>
            <w:tcW w:w="2159" w:type="dxa"/>
            <w:tcBorders>
              <w:top w:val="nil"/>
              <w:left w:val="nil"/>
              <w:bottom w:val="nil"/>
              <w:right w:val="nil"/>
            </w:tcBorders>
            <w:noWrap/>
          </w:tcPr>
          <w:p>
            <w:pPr>
              <w:pStyle w:val="yTableNAm"/>
            </w:pPr>
            <w:r>
              <w:t>Nannup</w:t>
            </w:r>
          </w:p>
        </w:tc>
        <w:tc>
          <w:tcPr>
            <w:tcW w:w="1985" w:type="dxa"/>
            <w:tcBorders>
              <w:top w:val="nil"/>
              <w:left w:val="nil"/>
              <w:bottom w:val="nil"/>
              <w:right w:val="nil"/>
            </w:tcBorders>
            <w:noWrap/>
          </w:tcPr>
          <w:p>
            <w:pPr>
              <w:pStyle w:val="yTableNAm"/>
              <w:ind w:right="600"/>
              <w:jc w:val="right"/>
            </w:pPr>
            <w:r>
              <w:t>11.874</w:t>
            </w:r>
          </w:p>
        </w:tc>
        <w:tc>
          <w:tcPr>
            <w:tcW w:w="1985" w:type="dxa"/>
            <w:tcBorders>
              <w:top w:val="nil"/>
              <w:left w:val="nil"/>
              <w:bottom w:val="nil"/>
              <w:right w:val="nil"/>
            </w:tcBorders>
            <w:noWrap/>
          </w:tcPr>
          <w:p>
            <w:pPr>
              <w:pStyle w:val="yTableNAm"/>
              <w:ind w:right="600"/>
              <w:jc w:val="right"/>
            </w:pPr>
            <w:r>
              <w:t>27.192</w:t>
            </w:r>
          </w:p>
        </w:tc>
      </w:tr>
      <w:tr>
        <w:trPr>
          <w:cantSplit/>
        </w:trPr>
        <w:tc>
          <w:tcPr>
            <w:tcW w:w="2159" w:type="dxa"/>
            <w:tcBorders>
              <w:top w:val="nil"/>
              <w:left w:val="nil"/>
              <w:bottom w:val="nil"/>
              <w:right w:val="nil"/>
            </w:tcBorders>
            <w:noWrap/>
          </w:tcPr>
          <w:p>
            <w:pPr>
              <w:pStyle w:val="yTableNAm"/>
            </w:pPr>
            <w:r>
              <w:t>Narembeen</w:t>
            </w:r>
          </w:p>
        </w:tc>
        <w:tc>
          <w:tcPr>
            <w:tcW w:w="1985" w:type="dxa"/>
            <w:tcBorders>
              <w:top w:val="nil"/>
              <w:left w:val="nil"/>
              <w:bottom w:val="nil"/>
              <w:right w:val="nil"/>
            </w:tcBorders>
            <w:noWrap/>
          </w:tcPr>
          <w:p>
            <w:pPr>
              <w:pStyle w:val="yTableNAm"/>
              <w:ind w:right="600"/>
              <w:jc w:val="right"/>
            </w:pPr>
            <w:r>
              <w:t>23.307</w:t>
            </w:r>
          </w:p>
        </w:tc>
        <w:tc>
          <w:tcPr>
            <w:tcW w:w="1985" w:type="dxa"/>
            <w:tcBorders>
              <w:top w:val="nil"/>
              <w:left w:val="nil"/>
              <w:bottom w:val="nil"/>
              <w:right w:val="nil"/>
            </w:tcBorders>
            <w:noWrap/>
          </w:tcPr>
          <w:p>
            <w:pPr>
              <w:pStyle w:val="yTableNAm"/>
              <w:ind w:right="600"/>
              <w:jc w:val="right"/>
            </w:pPr>
            <w:r>
              <w:t>372.261</w:t>
            </w:r>
          </w:p>
        </w:tc>
      </w:tr>
      <w:tr>
        <w:trPr>
          <w:cantSplit/>
        </w:trPr>
        <w:tc>
          <w:tcPr>
            <w:tcW w:w="2159" w:type="dxa"/>
            <w:tcBorders>
              <w:top w:val="nil"/>
              <w:left w:val="nil"/>
              <w:bottom w:val="nil"/>
              <w:right w:val="nil"/>
            </w:tcBorders>
            <w:noWrap/>
          </w:tcPr>
          <w:p>
            <w:pPr>
              <w:pStyle w:val="yTableNAm"/>
            </w:pPr>
            <w:r>
              <w:t>Narrogin</w:t>
            </w:r>
          </w:p>
        </w:tc>
        <w:tc>
          <w:tcPr>
            <w:tcW w:w="1985" w:type="dxa"/>
            <w:tcBorders>
              <w:top w:val="nil"/>
              <w:left w:val="nil"/>
              <w:bottom w:val="nil"/>
              <w:right w:val="nil"/>
            </w:tcBorders>
            <w:noWrap/>
          </w:tcPr>
          <w:p>
            <w:pPr>
              <w:pStyle w:val="yTableNAm"/>
              <w:ind w:right="600"/>
              <w:jc w:val="right"/>
            </w:pPr>
            <w:r>
              <w:t>12.098</w:t>
            </w:r>
          </w:p>
        </w:tc>
        <w:tc>
          <w:tcPr>
            <w:tcW w:w="1985" w:type="dxa"/>
            <w:tcBorders>
              <w:top w:val="nil"/>
              <w:left w:val="nil"/>
              <w:bottom w:val="nil"/>
              <w:right w:val="nil"/>
            </w:tcBorders>
            <w:noWrap/>
          </w:tcPr>
          <w:p>
            <w:pPr>
              <w:pStyle w:val="yTableNAm"/>
              <w:ind w:right="600"/>
              <w:jc w:val="right"/>
            </w:pPr>
            <w:r>
              <w:t>27.231</w:t>
            </w:r>
          </w:p>
        </w:tc>
      </w:tr>
      <w:tr>
        <w:trPr>
          <w:cantSplit/>
        </w:trPr>
        <w:tc>
          <w:tcPr>
            <w:tcW w:w="2159" w:type="dxa"/>
            <w:tcBorders>
              <w:top w:val="nil"/>
              <w:left w:val="nil"/>
              <w:bottom w:val="nil"/>
              <w:right w:val="nil"/>
            </w:tcBorders>
            <w:noWrap/>
          </w:tcPr>
          <w:p>
            <w:pPr>
              <w:pStyle w:val="yTableNAm"/>
            </w:pPr>
            <w:r>
              <w:t>Newdegate</w:t>
            </w:r>
          </w:p>
        </w:tc>
        <w:tc>
          <w:tcPr>
            <w:tcW w:w="1985" w:type="dxa"/>
            <w:tcBorders>
              <w:top w:val="nil"/>
              <w:left w:val="nil"/>
              <w:bottom w:val="nil"/>
              <w:right w:val="nil"/>
            </w:tcBorders>
            <w:noWrap/>
          </w:tcPr>
          <w:p>
            <w:pPr>
              <w:pStyle w:val="yTableNAm"/>
              <w:ind w:right="600"/>
              <w:jc w:val="right"/>
            </w:pPr>
            <w:r>
              <w:t>36.439</w:t>
            </w:r>
          </w:p>
        </w:tc>
        <w:tc>
          <w:tcPr>
            <w:tcW w:w="1985" w:type="dxa"/>
            <w:tcBorders>
              <w:top w:val="nil"/>
              <w:left w:val="nil"/>
              <w:bottom w:val="nil"/>
              <w:right w:val="nil"/>
            </w:tcBorders>
            <w:noWrap/>
          </w:tcPr>
          <w:p>
            <w:pPr>
              <w:pStyle w:val="yTableNAm"/>
              <w:ind w:right="600"/>
              <w:jc w:val="right"/>
            </w:pPr>
            <w:r>
              <w:t>528.640</w:t>
            </w:r>
          </w:p>
        </w:tc>
      </w:tr>
      <w:tr>
        <w:trPr>
          <w:cantSplit/>
        </w:trPr>
        <w:tc>
          <w:tcPr>
            <w:tcW w:w="2159" w:type="dxa"/>
            <w:tcBorders>
              <w:top w:val="nil"/>
              <w:left w:val="nil"/>
              <w:bottom w:val="nil"/>
              <w:right w:val="nil"/>
            </w:tcBorders>
            <w:noWrap/>
          </w:tcPr>
          <w:p>
            <w:pPr>
              <w:pStyle w:val="yTableNAm"/>
            </w:pPr>
            <w:r>
              <w:t>Newman</w:t>
            </w:r>
          </w:p>
        </w:tc>
        <w:tc>
          <w:tcPr>
            <w:tcW w:w="1985" w:type="dxa"/>
            <w:tcBorders>
              <w:top w:val="nil"/>
              <w:left w:val="nil"/>
              <w:bottom w:val="nil"/>
              <w:right w:val="nil"/>
            </w:tcBorders>
            <w:noWrap/>
          </w:tcPr>
          <w:p>
            <w:pPr>
              <w:pStyle w:val="yTableNAm"/>
              <w:ind w:right="600"/>
              <w:jc w:val="right"/>
            </w:pPr>
            <w:r>
              <w:t>1.321</w:t>
            </w:r>
          </w:p>
        </w:tc>
        <w:tc>
          <w:tcPr>
            <w:tcW w:w="1985" w:type="dxa"/>
            <w:tcBorders>
              <w:top w:val="nil"/>
              <w:left w:val="nil"/>
              <w:bottom w:val="nil"/>
              <w:right w:val="nil"/>
            </w:tcBorders>
            <w:noWrap/>
          </w:tcPr>
          <w:p>
            <w:pPr>
              <w:pStyle w:val="yTableNAm"/>
              <w:ind w:right="600"/>
              <w:jc w:val="right"/>
            </w:pPr>
            <w:r>
              <w:t>1.148</w:t>
            </w:r>
          </w:p>
        </w:tc>
      </w:tr>
      <w:tr>
        <w:trPr>
          <w:cantSplit/>
        </w:trPr>
        <w:tc>
          <w:tcPr>
            <w:tcW w:w="2159" w:type="dxa"/>
            <w:tcBorders>
              <w:top w:val="nil"/>
              <w:left w:val="nil"/>
              <w:bottom w:val="nil"/>
              <w:right w:val="nil"/>
            </w:tcBorders>
            <w:noWrap/>
          </w:tcPr>
          <w:p>
            <w:pPr>
              <w:pStyle w:val="yTableNAm"/>
            </w:pPr>
            <w:r>
              <w:t>Northam</w:t>
            </w:r>
          </w:p>
        </w:tc>
        <w:tc>
          <w:tcPr>
            <w:tcW w:w="1985" w:type="dxa"/>
            <w:tcBorders>
              <w:top w:val="nil"/>
              <w:left w:val="nil"/>
              <w:bottom w:val="nil"/>
              <w:right w:val="nil"/>
            </w:tcBorders>
            <w:noWrap/>
          </w:tcPr>
          <w:p>
            <w:pPr>
              <w:pStyle w:val="yTableNAm"/>
              <w:ind w:right="600"/>
              <w:jc w:val="right"/>
            </w:pPr>
            <w:r>
              <w:t>14.008</w:t>
            </w:r>
          </w:p>
        </w:tc>
        <w:tc>
          <w:tcPr>
            <w:tcW w:w="1985" w:type="dxa"/>
            <w:tcBorders>
              <w:top w:val="nil"/>
              <w:left w:val="nil"/>
              <w:bottom w:val="nil"/>
              <w:right w:val="nil"/>
            </w:tcBorders>
            <w:noWrap/>
          </w:tcPr>
          <w:p>
            <w:pPr>
              <w:pStyle w:val="yTableNAm"/>
              <w:ind w:right="600"/>
              <w:jc w:val="right"/>
            </w:pPr>
            <w:r>
              <w:t>48.972</w:t>
            </w:r>
          </w:p>
        </w:tc>
      </w:tr>
      <w:tr>
        <w:trPr>
          <w:cantSplit/>
        </w:trPr>
        <w:tc>
          <w:tcPr>
            <w:tcW w:w="2159" w:type="dxa"/>
            <w:tcBorders>
              <w:top w:val="nil"/>
              <w:left w:val="nil"/>
              <w:bottom w:val="nil"/>
              <w:right w:val="nil"/>
            </w:tcBorders>
            <w:noWrap/>
          </w:tcPr>
          <w:p>
            <w:pPr>
              <w:pStyle w:val="yTableNAm"/>
            </w:pPr>
            <w:r>
              <w:t>Onslow</w:t>
            </w:r>
          </w:p>
        </w:tc>
        <w:tc>
          <w:tcPr>
            <w:tcW w:w="1985" w:type="dxa"/>
            <w:tcBorders>
              <w:top w:val="nil"/>
              <w:left w:val="nil"/>
              <w:bottom w:val="nil"/>
              <w:right w:val="nil"/>
            </w:tcBorders>
            <w:noWrap/>
          </w:tcPr>
          <w:p>
            <w:pPr>
              <w:pStyle w:val="yTableNAm"/>
              <w:ind w:right="600"/>
              <w:jc w:val="right"/>
            </w:pPr>
            <w:r>
              <w:t>2.899</w:t>
            </w:r>
          </w:p>
        </w:tc>
        <w:tc>
          <w:tcPr>
            <w:tcW w:w="1985" w:type="dxa"/>
            <w:tcBorders>
              <w:top w:val="nil"/>
              <w:left w:val="nil"/>
              <w:bottom w:val="nil"/>
              <w:right w:val="nil"/>
            </w:tcBorders>
            <w:noWrap/>
          </w:tcPr>
          <w:p>
            <w:pPr>
              <w:pStyle w:val="yTableNAm"/>
              <w:ind w:right="600"/>
              <w:jc w:val="right"/>
            </w:pPr>
            <w:r>
              <w:t>9.286</w:t>
            </w:r>
          </w:p>
        </w:tc>
      </w:tr>
      <w:tr>
        <w:trPr>
          <w:cantSplit/>
        </w:trPr>
        <w:tc>
          <w:tcPr>
            <w:tcW w:w="2159" w:type="dxa"/>
            <w:tcBorders>
              <w:top w:val="nil"/>
              <w:left w:val="nil"/>
              <w:bottom w:val="nil"/>
              <w:right w:val="nil"/>
            </w:tcBorders>
            <w:noWrap/>
          </w:tcPr>
          <w:p>
            <w:pPr>
              <w:pStyle w:val="yTableNAm"/>
            </w:pPr>
            <w:r>
              <w:lastRenderedPageBreak/>
              <w:t>Pemberton</w:t>
            </w:r>
          </w:p>
        </w:tc>
        <w:tc>
          <w:tcPr>
            <w:tcW w:w="1985" w:type="dxa"/>
            <w:tcBorders>
              <w:top w:val="nil"/>
              <w:left w:val="nil"/>
              <w:bottom w:val="nil"/>
              <w:right w:val="nil"/>
            </w:tcBorders>
            <w:noWrap/>
          </w:tcPr>
          <w:p>
            <w:pPr>
              <w:pStyle w:val="yTableNAm"/>
              <w:ind w:right="600"/>
              <w:jc w:val="right"/>
            </w:pPr>
            <w:r>
              <w:t>23.388</w:t>
            </w:r>
          </w:p>
        </w:tc>
        <w:tc>
          <w:tcPr>
            <w:tcW w:w="1985" w:type="dxa"/>
            <w:tcBorders>
              <w:top w:val="nil"/>
              <w:left w:val="nil"/>
              <w:bottom w:val="nil"/>
              <w:right w:val="nil"/>
            </w:tcBorders>
            <w:noWrap/>
          </w:tcPr>
          <w:p>
            <w:pPr>
              <w:pStyle w:val="yTableNAm"/>
              <w:ind w:right="600"/>
              <w:jc w:val="right"/>
            </w:pPr>
            <w:r>
              <w:t>98.477</w:t>
            </w:r>
          </w:p>
        </w:tc>
      </w:tr>
      <w:tr>
        <w:trPr>
          <w:cantSplit/>
        </w:trPr>
        <w:tc>
          <w:tcPr>
            <w:tcW w:w="2159" w:type="dxa"/>
            <w:tcBorders>
              <w:top w:val="nil"/>
              <w:left w:val="nil"/>
              <w:bottom w:val="nil"/>
              <w:right w:val="nil"/>
            </w:tcBorders>
            <w:noWrap/>
          </w:tcPr>
          <w:p>
            <w:pPr>
              <w:pStyle w:val="yTableNAm"/>
            </w:pPr>
            <w:r>
              <w:t>Pingelly</w:t>
            </w:r>
          </w:p>
        </w:tc>
        <w:tc>
          <w:tcPr>
            <w:tcW w:w="1985" w:type="dxa"/>
            <w:tcBorders>
              <w:top w:val="nil"/>
              <w:left w:val="nil"/>
              <w:bottom w:val="nil"/>
              <w:right w:val="nil"/>
            </w:tcBorders>
            <w:noWrap/>
          </w:tcPr>
          <w:p>
            <w:pPr>
              <w:pStyle w:val="yTableNAm"/>
              <w:ind w:right="600"/>
              <w:jc w:val="right"/>
            </w:pPr>
            <w:r>
              <w:t>18.376</w:t>
            </w:r>
          </w:p>
        </w:tc>
        <w:tc>
          <w:tcPr>
            <w:tcW w:w="1985" w:type="dxa"/>
            <w:tcBorders>
              <w:top w:val="nil"/>
              <w:left w:val="nil"/>
              <w:bottom w:val="nil"/>
              <w:right w:val="nil"/>
            </w:tcBorders>
            <w:noWrap/>
          </w:tcPr>
          <w:p>
            <w:pPr>
              <w:pStyle w:val="yTableNAm"/>
              <w:ind w:right="600"/>
              <w:jc w:val="right"/>
            </w:pPr>
            <w:r>
              <w:t>151.489</w:t>
            </w:r>
          </w:p>
        </w:tc>
      </w:tr>
      <w:tr>
        <w:trPr>
          <w:cantSplit/>
        </w:trPr>
        <w:tc>
          <w:tcPr>
            <w:tcW w:w="2159" w:type="dxa"/>
            <w:tcBorders>
              <w:top w:val="nil"/>
              <w:left w:val="nil"/>
              <w:bottom w:val="nil"/>
              <w:right w:val="nil"/>
            </w:tcBorders>
            <w:noWrap/>
          </w:tcPr>
          <w:p>
            <w:pPr>
              <w:pStyle w:val="yTableNAm"/>
            </w:pPr>
            <w:r>
              <w:t>Pinjarra</w:t>
            </w:r>
          </w:p>
        </w:tc>
        <w:tc>
          <w:tcPr>
            <w:tcW w:w="1985" w:type="dxa"/>
            <w:tcBorders>
              <w:top w:val="nil"/>
              <w:left w:val="nil"/>
              <w:bottom w:val="nil"/>
              <w:right w:val="nil"/>
            </w:tcBorders>
            <w:noWrap/>
          </w:tcPr>
          <w:p>
            <w:pPr>
              <w:pStyle w:val="yTableNAm"/>
              <w:ind w:right="600"/>
              <w:jc w:val="right"/>
            </w:pPr>
            <w:r>
              <w:t>9.528</w:t>
            </w:r>
          </w:p>
        </w:tc>
        <w:tc>
          <w:tcPr>
            <w:tcW w:w="1985" w:type="dxa"/>
            <w:tcBorders>
              <w:top w:val="nil"/>
              <w:left w:val="nil"/>
              <w:bottom w:val="nil"/>
              <w:right w:val="nil"/>
            </w:tcBorders>
            <w:noWrap/>
          </w:tcPr>
          <w:p>
            <w:pPr>
              <w:pStyle w:val="yTableNAm"/>
              <w:ind w:right="600"/>
              <w:jc w:val="right"/>
            </w:pPr>
            <w:r>
              <w:t>11.831</w:t>
            </w:r>
          </w:p>
        </w:tc>
      </w:tr>
      <w:tr>
        <w:trPr>
          <w:cantSplit/>
        </w:trPr>
        <w:tc>
          <w:tcPr>
            <w:tcW w:w="2159" w:type="dxa"/>
            <w:tcBorders>
              <w:top w:val="nil"/>
              <w:left w:val="nil"/>
              <w:bottom w:val="nil"/>
              <w:right w:val="nil"/>
            </w:tcBorders>
            <w:noWrap/>
          </w:tcPr>
          <w:p>
            <w:pPr>
              <w:pStyle w:val="yTableNAm"/>
            </w:pPr>
            <w:r>
              <w:t>Port Hedland</w:t>
            </w:r>
          </w:p>
        </w:tc>
        <w:tc>
          <w:tcPr>
            <w:tcW w:w="1985" w:type="dxa"/>
            <w:tcBorders>
              <w:top w:val="nil"/>
              <w:left w:val="nil"/>
              <w:bottom w:val="nil"/>
              <w:right w:val="nil"/>
            </w:tcBorders>
            <w:noWrap/>
          </w:tcPr>
          <w:p>
            <w:pPr>
              <w:pStyle w:val="yTableNAm"/>
              <w:ind w:right="600"/>
              <w:jc w:val="right"/>
            </w:pPr>
            <w:r>
              <w:t>4.549</w:t>
            </w:r>
          </w:p>
        </w:tc>
        <w:tc>
          <w:tcPr>
            <w:tcW w:w="1985" w:type="dxa"/>
            <w:tcBorders>
              <w:top w:val="nil"/>
              <w:left w:val="nil"/>
              <w:bottom w:val="nil"/>
              <w:right w:val="nil"/>
            </w:tcBorders>
            <w:noWrap/>
          </w:tcPr>
          <w:p>
            <w:pPr>
              <w:pStyle w:val="yTableNAm"/>
              <w:ind w:right="600"/>
              <w:jc w:val="right"/>
            </w:pPr>
            <w:r>
              <w:t>19.071</w:t>
            </w:r>
          </w:p>
        </w:tc>
      </w:tr>
      <w:tr>
        <w:trPr>
          <w:cantSplit/>
        </w:trPr>
        <w:tc>
          <w:tcPr>
            <w:tcW w:w="2159" w:type="dxa"/>
            <w:tcBorders>
              <w:top w:val="nil"/>
              <w:left w:val="nil"/>
              <w:bottom w:val="nil"/>
              <w:right w:val="nil"/>
            </w:tcBorders>
            <w:noWrap/>
          </w:tcPr>
          <w:p>
            <w:pPr>
              <w:pStyle w:val="yTableNAm"/>
            </w:pPr>
            <w:r>
              <w:t>Prevelly</w:t>
            </w:r>
          </w:p>
        </w:tc>
        <w:tc>
          <w:tcPr>
            <w:tcW w:w="1985" w:type="dxa"/>
            <w:tcBorders>
              <w:top w:val="nil"/>
              <w:left w:val="nil"/>
              <w:bottom w:val="nil"/>
              <w:right w:val="nil"/>
            </w:tcBorders>
            <w:noWrap/>
          </w:tcPr>
          <w:p>
            <w:pPr>
              <w:pStyle w:val="yTableNAm"/>
              <w:ind w:right="600"/>
              <w:jc w:val="right"/>
            </w:pPr>
            <w:r>
              <w:t>7.046</w:t>
            </w:r>
          </w:p>
        </w:tc>
        <w:tc>
          <w:tcPr>
            <w:tcW w:w="1985" w:type="dxa"/>
            <w:tcBorders>
              <w:top w:val="nil"/>
              <w:left w:val="nil"/>
              <w:bottom w:val="nil"/>
              <w:right w:val="nil"/>
            </w:tcBorders>
            <w:noWrap/>
          </w:tcPr>
          <w:p>
            <w:pPr>
              <w:pStyle w:val="yTableNAm"/>
              <w:ind w:right="600"/>
              <w:jc w:val="right"/>
            </w:pPr>
            <w:r>
              <w:t>10.324</w:t>
            </w:r>
          </w:p>
        </w:tc>
      </w:tr>
      <w:tr>
        <w:trPr>
          <w:cantSplit/>
        </w:trPr>
        <w:tc>
          <w:tcPr>
            <w:tcW w:w="2159" w:type="dxa"/>
            <w:tcBorders>
              <w:top w:val="nil"/>
              <w:left w:val="nil"/>
              <w:bottom w:val="nil"/>
              <w:right w:val="nil"/>
            </w:tcBorders>
            <w:noWrap/>
          </w:tcPr>
          <w:p>
            <w:pPr>
              <w:pStyle w:val="yTableNAm"/>
            </w:pPr>
            <w:r>
              <w:t>Quairading</w:t>
            </w:r>
          </w:p>
        </w:tc>
        <w:tc>
          <w:tcPr>
            <w:tcW w:w="1985" w:type="dxa"/>
            <w:tcBorders>
              <w:top w:val="nil"/>
              <w:left w:val="nil"/>
              <w:bottom w:val="nil"/>
              <w:right w:val="nil"/>
            </w:tcBorders>
            <w:noWrap/>
          </w:tcPr>
          <w:p>
            <w:pPr>
              <w:pStyle w:val="yTableNAm"/>
              <w:ind w:right="600"/>
              <w:jc w:val="right"/>
            </w:pPr>
            <w:r>
              <w:t>24.031</w:t>
            </w:r>
          </w:p>
        </w:tc>
        <w:tc>
          <w:tcPr>
            <w:tcW w:w="1985" w:type="dxa"/>
            <w:tcBorders>
              <w:top w:val="nil"/>
              <w:left w:val="nil"/>
              <w:bottom w:val="nil"/>
              <w:right w:val="nil"/>
            </w:tcBorders>
            <w:noWrap/>
          </w:tcPr>
          <w:p>
            <w:pPr>
              <w:pStyle w:val="yTableNAm"/>
              <w:ind w:right="600"/>
              <w:jc w:val="right"/>
            </w:pPr>
            <w:r>
              <w:t>128.974</w:t>
            </w:r>
          </w:p>
        </w:tc>
      </w:tr>
      <w:tr>
        <w:trPr>
          <w:cantSplit/>
        </w:trPr>
        <w:tc>
          <w:tcPr>
            <w:tcW w:w="2159" w:type="dxa"/>
            <w:tcBorders>
              <w:top w:val="nil"/>
              <w:left w:val="nil"/>
              <w:bottom w:val="nil"/>
              <w:right w:val="nil"/>
            </w:tcBorders>
            <w:noWrap/>
          </w:tcPr>
          <w:p>
            <w:pPr>
              <w:pStyle w:val="yTableNAm"/>
            </w:pPr>
            <w:r>
              <w:t>Roebourne</w:t>
            </w:r>
          </w:p>
        </w:tc>
        <w:tc>
          <w:tcPr>
            <w:tcW w:w="1985" w:type="dxa"/>
            <w:tcBorders>
              <w:top w:val="nil"/>
              <w:left w:val="nil"/>
              <w:bottom w:val="nil"/>
              <w:right w:val="nil"/>
            </w:tcBorders>
            <w:noWrap/>
          </w:tcPr>
          <w:p>
            <w:pPr>
              <w:pStyle w:val="yTableNAm"/>
              <w:ind w:right="600"/>
              <w:jc w:val="right"/>
            </w:pPr>
            <w:r>
              <w:t>19.456</w:t>
            </w:r>
          </w:p>
        </w:tc>
        <w:tc>
          <w:tcPr>
            <w:tcW w:w="1985" w:type="dxa"/>
            <w:tcBorders>
              <w:top w:val="nil"/>
              <w:left w:val="nil"/>
              <w:bottom w:val="nil"/>
              <w:right w:val="nil"/>
            </w:tcBorders>
            <w:noWrap/>
          </w:tcPr>
          <w:p>
            <w:pPr>
              <w:pStyle w:val="yTableNAm"/>
              <w:ind w:right="600"/>
              <w:jc w:val="right"/>
            </w:pPr>
            <w:r>
              <w:t>356.950</w:t>
            </w:r>
          </w:p>
        </w:tc>
      </w:tr>
      <w:tr>
        <w:trPr>
          <w:cantSplit/>
        </w:trPr>
        <w:tc>
          <w:tcPr>
            <w:tcW w:w="2159" w:type="dxa"/>
            <w:tcBorders>
              <w:top w:val="nil"/>
              <w:left w:val="nil"/>
              <w:bottom w:val="nil"/>
              <w:right w:val="nil"/>
            </w:tcBorders>
            <w:noWrap/>
          </w:tcPr>
          <w:p>
            <w:pPr>
              <w:pStyle w:val="yTableNAm"/>
            </w:pPr>
            <w:r>
              <w:t>Seabird</w:t>
            </w:r>
          </w:p>
        </w:tc>
        <w:tc>
          <w:tcPr>
            <w:tcW w:w="1985" w:type="dxa"/>
            <w:tcBorders>
              <w:top w:val="nil"/>
              <w:left w:val="nil"/>
              <w:bottom w:val="nil"/>
              <w:right w:val="nil"/>
            </w:tcBorders>
            <w:noWrap/>
          </w:tcPr>
          <w:p>
            <w:pPr>
              <w:pStyle w:val="yTableNAm"/>
              <w:ind w:right="600"/>
              <w:jc w:val="right"/>
            </w:pPr>
            <w:r>
              <w:t>62.699</w:t>
            </w:r>
          </w:p>
        </w:tc>
        <w:tc>
          <w:tcPr>
            <w:tcW w:w="1985" w:type="dxa"/>
            <w:tcBorders>
              <w:top w:val="nil"/>
              <w:left w:val="nil"/>
              <w:bottom w:val="nil"/>
              <w:right w:val="nil"/>
            </w:tcBorders>
            <w:noWrap/>
          </w:tcPr>
          <w:p>
            <w:pPr>
              <w:pStyle w:val="yTableNAm"/>
              <w:ind w:right="600"/>
              <w:jc w:val="right"/>
            </w:pPr>
            <w:r>
              <w:t>200.762</w:t>
            </w:r>
          </w:p>
        </w:tc>
      </w:tr>
      <w:tr>
        <w:trPr>
          <w:cantSplit/>
        </w:trPr>
        <w:tc>
          <w:tcPr>
            <w:tcW w:w="2159" w:type="dxa"/>
            <w:tcBorders>
              <w:top w:val="nil"/>
              <w:left w:val="nil"/>
              <w:bottom w:val="nil"/>
              <w:right w:val="nil"/>
            </w:tcBorders>
            <w:noWrap/>
          </w:tcPr>
          <w:p>
            <w:pPr>
              <w:pStyle w:val="yTableNAm"/>
            </w:pPr>
            <w:r>
              <w:t>Tambellup</w:t>
            </w:r>
          </w:p>
        </w:tc>
        <w:tc>
          <w:tcPr>
            <w:tcW w:w="1985" w:type="dxa"/>
            <w:tcBorders>
              <w:top w:val="nil"/>
              <w:left w:val="nil"/>
              <w:bottom w:val="nil"/>
              <w:right w:val="nil"/>
            </w:tcBorders>
            <w:noWrap/>
          </w:tcPr>
          <w:p>
            <w:pPr>
              <w:pStyle w:val="yTableNAm"/>
              <w:ind w:right="600"/>
              <w:jc w:val="right"/>
            </w:pPr>
            <w:r>
              <w:t>35.031</w:t>
            </w:r>
          </w:p>
        </w:tc>
        <w:tc>
          <w:tcPr>
            <w:tcW w:w="1985" w:type="dxa"/>
            <w:tcBorders>
              <w:top w:val="nil"/>
              <w:left w:val="nil"/>
              <w:bottom w:val="nil"/>
              <w:right w:val="nil"/>
            </w:tcBorders>
            <w:noWrap/>
          </w:tcPr>
          <w:p>
            <w:pPr>
              <w:pStyle w:val="yTableNAm"/>
              <w:ind w:right="600"/>
              <w:jc w:val="right"/>
            </w:pPr>
            <w:r>
              <w:t>375.495</w:t>
            </w:r>
          </w:p>
        </w:tc>
      </w:tr>
      <w:tr>
        <w:trPr>
          <w:cantSplit/>
        </w:trPr>
        <w:tc>
          <w:tcPr>
            <w:tcW w:w="2159" w:type="dxa"/>
            <w:tcBorders>
              <w:top w:val="nil"/>
              <w:left w:val="nil"/>
              <w:bottom w:val="nil"/>
              <w:right w:val="nil"/>
            </w:tcBorders>
            <w:noWrap/>
          </w:tcPr>
          <w:p>
            <w:pPr>
              <w:pStyle w:val="yTableNAm"/>
            </w:pPr>
            <w:r>
              <w:t>Three Springs</w:t>
            </w:r>
          </w:p>
        </w:tc>
        <w:tc>
          <w:tcPr>
            <w:tcW w:w="1985" w:type="dxa"/>
            <w:tcBorders>
              <w:top w:val="nil"/>
              <w:left w:val="nil"/>
              <w:bottom w:val="nil"/>
              <w:right w:val="nil"/>
            </w:tcBorders>
            <w:noWrap/>
          </w:tcPr>
          <w:p>
            <w:pPr>
              <w:pStyle w:val="yTableNAm"/>
              <w:ind w:right="600"/>
              <w:jc w:val="right"/>
            </w:pPr>
            <w:r>
              <w:t>4.981</w:t>
            </w:r>
          </w:p>
        </w:tc>
        <w:tc>
          <w:tcPr>
            <w:tcW w:w="1985" w:type="dxa"/>
            <w:tcBorders>
              <w:top w:val="nil"/>
              <w:left w:val="nil"/>
              <w:bottom w:val="nil"/>
              <w:right w:val="nil"/>
            </w:tcBorders>
            <w:noWrap/>
          </w:tcPr>
          <w:p>
            <w:pPr>
              <w:pStyle w:val="yTableNAm"/>
              <w:ind w:right="600"/>
              <w:jc w:val="right"/>
            </w:pPr>
            <w:r>
              <w:t>70.715</w:t>
            </w:r>
          </w:p>
        </w:tc>
      </w:tr>
      <w:tr>
        <w:trPr>
          <w:cantSplit/>
        </w:trPr>
        <w:tc>
          <w:tcPr>
            <w:tcW w:w="2159" w:type="dxa"/>
            <w:tcBorders>
              <w:top w:val="nil"/>
              <w:left w:val="nil"/>
              <w:bottom w:val="nil"/>
              <w:right w:val="nil"/>
            </w:tcBorders>
            <w:noWrap/>
          </w:tcPr>
          <w:p>
            <w:pPr>
              <w:pStyle w:val="yTableNAm"/>
            </w:pPr>
            <w:r>
              <w:t>Toodyay</w:t>
            </w:r>
          </w:p>
        </w:tc>
        <w:tc>
          <w:tcPr>
            <w:tcW w:w="1985" w:type="dxa"/>
            <w:tcBorders>
              <w:top w:val="nil"/>
              <w:left w:val="nil"/>
              <w:bottom w:val="nil"/>
              <w:right w:val="nil"/>
            </w:tcBorders>
            <w:noWrap/>
          </w:tcPr>
          <w:p>
            <w:pPr>
              <w:pStyle w:val="yTableNAm"/>
              <w:ind w:right="600"/>
              <w:jc w:val="right"/>
            </w:pPr>
            <w:r>
              <w:t>7.982</w:t>
            </w:r>
          </w:p>
        </w:tc>
        <w:tc>
          <w:tcPr>
            <w:tcW w:w="1985" w:type="dxa"/>
            <w:tcBorders>
              <w:top w:val="nil"/>
              <w:left w:val="nil"/>
              <w:bottom w:val="nil"/>
              <w:right w:val="nil"/>
            </w:tcBorders>
            <w:noWrap/>
          </w:tcPr>
          <w:p>
            <w:pPr>
              <w:pStyle w:val="yTableNAm"/>
              <w:ind w:right="600"/>
              <w:jc w:val="right"/>
            </w:pPr>
            <w:r>
              <w:t>29.060</w:t>
            </w:r>
          </w:p>
        </w:tc>
      </w:tr>
      <w:tr>
        <w:trPr>
          <w:cantSplit/>
        </w:trPr>
        <w:tc>
          <w:tcPr>
            <w:tcW w:w="2159" w:type="dxa"/>
            <w:tcBorders>
              <w:top w:val="nil"/>
              <w:left w:val="nil"/>
              <w:bottom w:val="nil"/>
              <w:right w:val="nil"/>
            </w:tcBorders>
            <w:noWrap/>
          </w:tcPr>
          <w:p>
            <w:pPr>
              <w:pStyle w:val="yTableNAm"/>
            </w:pPr>
            <w:r>
              <w:t>Wagin</w:t>
            </w:r>
          </w:p>
        </w:tc>
        <w:tc>
          <w:tcPr>
            <w:tcW w:w="1985" w:type="dxa"/>
            <w:tcBorders>
              <w:top w:val="nil"/>
              <w:left w:val="nil"/>
              <w:bottom w:val="nil"/>
              <w:right w:val="nil"/>
            </w:tcBorders>
            <w:noWrap/>
          </w:tcPr>
          <w:p>
            <w:pPr>
              <w:pStyle w:val="yTableNAm"/>
              <w:ind w:right="600"/>
              <w:jc w:val="right"/>
            </w:pPr>
            <w:r>
              <w:t>14.593</w:t>
            </w:r>
          </w:p>
        </w:tc>
        <w:tc>
          <w:tcPr>
            <w:tcW w:w="1985" w:type="dxa"/>
            <w:tcBorders>
              <w:top w:val="nil"/>
              <w:left w:val="nil"/>
              <w:bottom w:val="nil"/>
              <w:right w:val="nil"/>
            </w:tcBorders>
            <w:noWrap/>
          </w:tcPr>
          <w:p>
            <w:pPr>
              <w:pStyle w:val="yTableNAm"/>
              <w:ind w:right="600"/>
              <w:jc w:val="right"/>
            </w:pPr>
            <w:r>
              <w:t>115.906</w:t>
            </w:r>
          </w:p>
        </w:tc>
      </w:tr>
      <w:tr>
        <w:trPr>
          <w:cantSplit/>
        </w:trPr>
        <w:tc>
          <w:tcPr>
            <w:tcW w:w="2159" w:type="dxa"/>
            <w:tcBorders>
              <w:top w:val="nil"/>
              <w:left w:val="nil"/>
              <w:bottom w:val="nil"/>
              <w:right w:val="nil"/>
            </w:tcBorders>
            <w:noWrap/>
          </w:tcPr>
          <w:p>
            <w:pPr>
              <w:pStyle w:val="yTableNAm"/>
            </w:pPr>
            <w:r>
              <w:t>Walpole</w:t>
            </w:r>
          </w:p>
        </w:tc>
        <w:tc>
          <w:tcPr>
            <w:tcW w:w="1985" w:type="dxa"/>
            <w:tcBorders>
              <w:top w:val="nil"/>
              <w:left w:val="nil"/>
              <w:bottom w:val="nil"/>
              <w:right w:val="nil"/>
            </w:tcBorders>
            <w:noWrap/>
          </w:tcPr>
          <w:p>
            <w:pPr>
              <w:pStyle w:val="yTableNAm"/>
              <w:ind w:right="600"/>
              <w:jc w:val="right"/>
            </w:pPr>
            <w:r>
              <w:t>15.144</w:t>
            </w:r>
          </w:p>
        </w:tc>
        <w:tc>
          <w:tcPr>
            <w:tcW w:w="1985" w:type="dxa"/>
            <w:tcBorders>
              <w:top w:val="nil"/>
              <w:left w:val="nil"/>
              <w:bottom w:val="nil"/>
              <w:right w:val="nil"/>
            </w:tcBorders>
            <w:noWrap/>
          </w:tcPr>
          <w:p>
            <w:pPr>
              <w:pStyle w:val="yTableNAm"/>
              <w:ind w:right="600"/>
              <w:jc w:val="right"/>
            </w:pPr>
            <w:r>
              <w:t>42.503</w:t>
            </w:r>
          </w:p>
        </w:tc>
      </w:tr>
      <w:tr>
        <w:trPr>
          <w:cantSplit/>
        </w:trPr>
        <w:tc>
          <w:tcPr>
            <w:tcW w:w="2159" w:type="dxa"/>
            <w:tcBorders>
              <w:top w:val="nil"/>
              <w:left w:val="nil"/>
              <w:bottom w:val="nil"/>
              <w:right w:val="nil"/>
            </w:tcBorders>
            <w:noWrap/>
          </w:tcPr>
          <w:p>
            <w:pPr>
              <w:pStyle w:val="yTableNAm"/>
            </w:pPr>
            <w:r>
              <w:t>Waroona</w:t>
            </w:r>
          </w:p>
        </w:tc>
        <w:tc>
          <w:tcPr>
            <w:tcW w:w="1985" w:type="dxa"/>
            <w:tcBorders>
              <w:top w:val="nil"/>
              <w:left w:val="nil"/>
              <w:bottom w:val="nil"/>
              <w:right w:val="nil"/>
            </w:tcBorders>
            <w:noWrap/>
          </w:tcPr>
          <w:p>
            <w:pPr>
              <w:pStyle w:val="yTableNAm"/>
              <w:ind w:right="600"/>
              <w:jc w:val="right"/>
            </w:pPr>
            <w:r>
              <w:t>9.297</w:t>
            </w:r>
          </w:p>
        </w:tc>
        <w:tc>
          <w:tcPr>
            <w:tcW w:w="1985" w:type="dxa"/>
            <w:tcBorders>
              <w:top w:val="nil"/>
              <w:left w:val="nil"/>
              <w:bottom w:val="nil"/>
              <w:right w:val="nil"/>
            </w:tcBorders>
            <w:noWrap/>
          </w:tcPr>
          <w:p>
            <w:pPr>
              <w:pStyle w:val="yTableNAm"/>
              <w:ind w:right="600"/>
              <w:jc w:val="right"/>
            </w:pPr>
            <w:r>
              <w:t>22.868</w:t>
            </w:r>
          </w:p>
        </w:tc>
      </w:tr>
      <w:tr>
        <w:trPr>
          <w:cantSplit/>
        </w:trPr>
        <w:tc>
          <w:tcPr>
            <w:tcW w:w="2159" w:type="dxa"/>
            <w:tcBorders>
              <w:top w:val="nil"/>
              <w:left w:val="nil"/>
              <w:bottom w:val="nil"/>
              <w:right w:val="nil"/>
            </w:tcBorders>
            <w:noWrap/>
          </w:tcPr>
          <w:p>
            <w:pPr>
              <w:pStyle w:val="yTableNAm"/>
            </w:pPr>
            <w:r>
              <w:t>Wickham</w:t>
            </w:r>
          </w:p>
        </w:tc>
        <w:tc>
          <w:tcPr>
            <w:tcW w:w="1985" w:type="dxa"/>
            <w:tcBorders>
              <w:top w:val="nil"/>
              <w:left w:val="nil"/>
              <w:bottom w:val="nil"/>
              <w:right w:val="nil"/>
            </w:tcBorders>
            <w:noWrap/>
          </w:tcPr>
          <w:p>
            <w:pPr>
              <w:pStyle w:val="yTableNAm"/>
              <w:ind w:right="600"/>
              <w:jc w:val="right"/>
            </w:pPr>
            <w:r>
              <w:t>7.560</w:t>
            </w:r>
          </w:p>
        </w:tc>
        <w:tc>
          <w:tcPr>
            <w:tcW w:w="1985" w:type="dxa"/>
            <w:tcBorders>
              <w:top w:val="nil"/>
              <w:left w:val="nil"/>
              <w:bottom w:val="nil"/>
              <w:right w:val="nil"/>
            </w:tcBorders>
            <w:noWrap/>
          </w:tcPr>
          <w:p>
            <w:pPr>
              <w:pStyle w:val="yTableNAm"/>
              <w:ind w:right="600"/>
              <w:jc w:val="right"/>
            </w:pPr>
            <w:r>
              <w:t>143.258</w:t>
            </w:r>
          </w:p>
        </w:tc>
      </w:tr>
      <w:tr>
        <w:trPr>
          <w:cantSplit/>
        </w:trPr>
        <w:tc>
          <w:tcPr>
            <w:tcW w:w="2159" w:type="dxa"/>
            <w:tcBorders>
              <w:top w:val="nil"/>
              <w:left w:val="nil"/>
              <w:bottom w:val="nil"/>
              <w:right w:val="nil"/>
            </w:tcBorders>
            <w:noWrap/>
          </w:tcPr>
          <w:p>
            <w:pPr>
              <w:pStyle w:val="yTableNAm"/>
            </w:pPr>
            <w:r>
              <w:t>Williams</w:t>
            </w:r>
          </w:p>
        </w:tc>
        <w:tc>
          <w:tcPr>
            <w:tcW w:w="1985" w:type="dxa"/>
            <w:tcBorders>
              <w:top w:val="nil"/>
              <w:left w:val="nil"/>
              <w:bottom w:val="nil"/>
              <w:right w:val="nil"/>
            </w:tcBorders>
            <w:noWrap/>
          </w:tcPr>
          <w:p>
            <w:pPr>
              <w:pStyle w:val="yTableNAm"/>
              <w:ind w:right="600"/>
              <w:jc w:val="right"/>
            </w:pPr>
            <w:r>
              <w:t>25.649</w:t>
            </w:r>
          </w:p>
        </w:tc>
        <w:tc>
          <w:tcPr>
            <w:tcW w:w="1985" w:type="dxa"/>
            <w:tcBorders>
              <w:top w:val="nil"/>
              <w:left w:val="nil"/>
              <w:bottom w:val="nil"/>
              <w:right w:val="nil"/>
            </w:tcBorders>
            <w:noWrap/>
          </w:tcPr>
          <w:p>
            <w:pPr>
              <w:pStyle w:val="yTableNAm"/>
              <w:ind w:right="600"/>
              <w:jc w:val="right"/>
            </w:pPr>
            <w:r>
              <w:t>125.518</w:t>
            </w:r>
          </w:p>
        </w:tc>
      </w:tr>
      <w:tr>
        <w:trPr>
          <w:cantSplit/>
        </w:trPr>
        <w:tc>
          <w:tcPr>
            <w:tcW w:w="2159" w:type="dxa"/>
            <w:tcBorders>
              <w:top w:val="nil"/>
              <w:left w:val="nil"/>
              <w:bottom w:val="nil"/>
              <w:right w:val="nil"/>
            </w:tcBorders>
            <w:noWrap/>
          </w:tcPr>
          <w:p>
            <w:pPr>
              <w:pStyle w:val="yTableNAm"/>
            </w:pPr>
            <w:r>
              <w:t>Wiluna</w:t>
            </w:r>
          </w:p>
        </w:tc>
        <w:tc>
          <w:tcPr>
            <w:tcW w:w="1985" w:type="dxa"/>
            <w:tcBorders>
              <w:top w:val="nil"/>
              <w:left w:val="nil"/>
              <w:bottom w:val="nil"/>
              <w:right w:val="nil"/>
            </w:tcBorders>
            <w:noWrap/>
          </w:tcPr>
          <w:p>
            <w:pPr>
              <w:pStyle w:val="yTableNAm"/>
              <w:ind w:right="600"/>
              <w:jc w:val="right"/>
            </w:pPr>
            <w:r>
              <w:t>16.948</w:t>
            </w:r>
          </w:p>
        </w:tc>
        <w:tc>
          <w:tcPr>
            <w:tcW w:w="1985" w:type="dxa"/>
            <w:tcBorders>
              <w:top w:val="nil"/>
              <w:left w:val="nil"/>
              <w:bottom w:val="nil"/>
              <w:right w:val="nil"/>
            </w:tcBorders>
            <w:noWrap/>
          </w:tcPr>
          <w:p>
            <w:pPr>
              <w:pStyle w:val="yTableNAm"/>
              <w:ind w:right="600"/>
              <w:jc w:val="right"/>
            </w:pPr>
            <w:r>
              <w:t>16.221</w:t>
            </w:r>
          </w:p>
        </w:tc>
      </w:tr>
      <w:tr>
        <w:trPr>
          <w:cantSplit/>
        </w:trPr>
        <w:tc>
          <w:tcPr>
            <w:tcW w:w="2159" w:type="dxa"/>
            <w:tcBorders>
              <w:top w:val="nil"/>
              <w:left w:val="nil"/>
              <w:bottom w:val="nil"/>
              <w:right w:val="nil"/>
            </w:tcBorders>
            <w:noWrap/>
          </w:tcPr>
          <w:p>
            <w:pPr>
              <w:pStyle w:val="yTableNAm"/>
            </w:pPr>
            <w:r>
              <w:t>Wongan Hills</w:t>
            </w:r>
          </w:p>
        </w:tc>
        <w:tc>
          <w:tcPr>
            <w:tcW w:w="1985" w:type="dxa"/>
            <w:tcBorders>
              <w:top w:val="nil"/>
              <w:left w:val="nil"/>
              <w:bottom w:val="nil"/>
              <w:right w:val="nil"/>
            </w:tcBorders>
            <w:noWrap/>
          </w:tcPr>
          <w:p>
            <w:pPr>
              <w:pStyle w:val="yTableNAm"/>
              <w:ind w:right="600"/>
              <w:jc w:val="right"/>
            </w:pPr>
            <w:r>
              <w:t>15.438</w:t>
            </w:r>
          </w:p>
        </w:tc>
        <w:tc>
          <w:tcPr>
            <w:tcW w:w="1985" w:type="dxa"/>
            <w:tcBorders>
              <w:top w:val="nil"/>
              <w:left w:val="nil"/>
              <w:bottom w:val="nil"/>
              <w:right w:val="nil"/>
            </w:tcBorders>
            <w:noWrap/>
          </w:tcPr>
          <w:p>
            <w:pPr>
              <w:pStyle w:val="yTableNAm"/>
              <w:ind w:right="600"/>
              <w:jc w:val="right"/>
            </w:pPr>
            <w:r>
              <w:t>69.799</w:t>
            </w:r>
          </w:p>
        </w:tc>
      </w:tr>
      <w:tr>
        <w:trPr>
          <w:cantSplit/>
        </w:trPr>
        <w:tc>
          <w:tcPr>
            <w:tcW w:w="2159" w:type="dxa"/>
            <w:tcBorders>
              <w:top w:val="nil"/>
              <w:left w:val="nil"/>
              <w:bottom w:val="nil"/>
              <w:right w:val="nil"/>
            </w:tcBorders>
            <w:noWrap/>
          </w:tcPr>
          <w:p>
            <w:pPr>
              <w:pStyle w:val="yTableNAm"/>
            </w:pPr>
            <w:r>
              <w:t>Wundowie</w:t>
            </w:r>
          </w:p>
        </w:tc>
        <w:tc>
          <w:tcPr>
            <w:tcW w:w="1985" w:type="dxa"/>
            <w:tcBorders>
              <w:top w:val="nil"/>
              <w:left w:val="nil"/>
              <w:bottom w:val="nil"/>
              <w:right w:val="nil"/>
            </w:tcBorders>
            <w:noWrap/>
          </w:tcPr>
          <w:p>
            <w:pPr>
              <w:pStyle w:val="yTableNAm"/>
              <w:ind w:right="600"/>
              <w:jc w:val="right"/>
            </w:pPr>
            <w:r>
              <w:t>18.879</w:t>
            </w:r>
          </w:p>
        </w:tc>
        <w:tc>
          <w:tcPr>
            <w:tcW w:w="1985" w:type="dxa"/>
            <w:tcBorders>
              <w:top w:val="nil"/>
              <w:left w:val="nil"/>
              <w:bottom w:val="nil"/>
              <w:right w:val="nil"/>
            </w:tcBorders>
            <w:noWrap/>
          </w:tcPr>
          <w:p>
            <w:pPr>
              <w:pStyle w:val="yTableNAm"/>
              <w:ind w:right="600"/>
              <w:jc w:val="right"/>
            </w:pPr>
            <w:r>
              <w:t>57.480</w:t>
            </w:r>
          </w:p>
        </w:tc>
      </w:tr>
      <w:tr>
        <w:trPr>
          <w:cantSplit/>
        </w:trPr>
        <w:tc>
          <w:tcPr>
            <w:tcW w:w="2159" w:type="dxa"/>
            <w:tcBorders>
              <w:top w:val="nil"/>
              <w:left w:val="nil"/>
              <w:bottom w:val="nil"/>
              <w:right w:val="nil"/>
            </w:tcBorders>
            <w:noWrap/>
          </w:tcPr>
          <w:p>
            <w:pPr>
              <w:pStyle w:val="yTableNAm"/>
            </w:pPr>
            <w:r>
              <w:lastRenderedPageBreak/>
              <w:t>Wyalkatchem</w:t>
            </w:r>
          </w:p>
        </w:tc>
        <w:tc>
          <w:tcPr>
            <w:tcW w:w="1985" w:type="dxa"/>
            <w:tcBorders>
              <w:top w:val="nil"/>
              <w:left w:val="nil"/>
              <w:bottom w:val="nil"/>
              <w:right w:val="nil"/>
            </w:tcBorders>
            <w:noWrap/>
          </w:tcPr>
          <w:p>
            <w:pPr>
              <w:pStyle w:val="yTableNAm"/>
              <w:ind w:right="600"/>
              <w:jc w:val="right"/>
            </w:pPr>
            <w:r>
              <w:t>28.412</w:t>
            </w:r>
          </w:p>
        </w:tc>
        <w:tc>
          <w:tcPr>
            <w:tcW w:w="1985" w:type="dxa"/>
            <w:tcBorders>
              <w:top w:val="nil"/>
              <w:left w:val="nil"/>
              <w:bottom w:val="nil"/>
              <w:right w:val="nil"/>
            </w:tcBorders>
            <w:noWrap/>
          </w:tcPr>
          <w:p>
            <w:pPr>
              <w:pStyle w:val="yTableNAm"/>
              <w:ind w:right="600"/>
              <w:jc w:val="right"/>
            </w:pPr>
            <w:r>
              <w:t>336.699</w:t>
            </w:r>
          </w:p>
        </w:tc>
      </w:tr>
      <w:tr>
        <w:trPr>
          <w:cantSplit/>
        </w:trPr>
        <w:tc>
          <w:tcPr>
            <w:tcW w:w="2159" w:type="dxa"/>
            <w:tcBorders>
              <w:top w:val="nil"/>
              <w:left w:val="nil"/>
              <w:bottom w:val="nil"/>
              <w:right w:val="nil"/>
            </w:tcBorders>
            <w:noWrap/>
          </w:tcPr>
          <w:p>
            <w:pPr>
              <w:pStyle w:val="yTableNAm"/>
            </w:pPr>
            <w:r>
              <w:t>Wyndham</w:t>
            </w:r>
          </w:p>
        </w:tc>
        <w:tc>
          <w:tcPr>
            <w:tcW w:w="1985" w:type="dxa"/>
            <w:tcBorders>
              <w:top w:val="nil"/>
              <w:left w:val="nil"/>
              <w:bottom w:val="nil"/>
              <w:right w:val="nil"/>
            </w:tcBorders>
            <w:noWrap/>
          </w:tcPr>
          <w:p>
            <w:pPr>
              <w:pStyle w:val="yTableNAm"/>
              <w:ind w:right="600"/>
              <w:jc w:val="right"/>
            </w:pPr>
            <w:r>
              <w:t>39.868</w:t>
            </w:r>
          </w:p>
        </w:tc>
        <w:tc>
          <w:tcPr>
            <w:tcW w:w="1985" w:type="dxa"/>
            <w:tcBorders>
              <w:top w:val="nil"/>
              <w:left w:val="nil"/>
              <w:bottom w:val="nil"/>
              <w:right w:val="nil"/>
            </w:tcBorders>
            <w:noWrap/>
          </w:tcPr>
          <w:p>
            <w:pPr>
              <w:pStyle w:val="yTableNAm"/>
              <w:ind w:right="600"/>
              <w:jc w:val="right"/>
            </w:pPr>
            <w:r>
              <w:t>332.745</w:t>
            </w:r>
          </w:p>
        </w:tc>
      </w:tr>
      <w:tr>
        <w:trPr>
          <w:cantSplit/>
        </w:trPr>
        <w:tc>
          <w:tcPr>
            <w:tcW w:w="2159" w:type="dxa"/>
            <w:tcBorders>
              <w:top w:val="nil"/>
              <w:left w:val="nil"/>
              <w:bottom w:val="nil"/>
              <w:right w:val="nil"/>
            </w:tcBorders>
            <w:noWrap/>
          </w:tcPr>
          <w:p>
            <w:pPr>
              <w:pStyle w:val="yTableNAm"/>
            </w:pPr>
            <w:r>
              <w:t>York</w:t>
            </w:r>
          </w:p>
        </w:tc>
        <w:tc>
          <w:tcPr>
            <w:tcW w:w="1985" w:type="dxa"/>
            <w:tcBorders>
              <w:top w:val="nil"/>
              <w:left w:val="nil"/>
              <w:bottom w:val="nil"/>
              <w:right w:val="nil"/>
            </w:tcBorders>
            <w:noWrap/>
          </w:tcPr>
          <w:p>
            <w:pPr>
              <w:pStyle w:val="yTableNAm"/>
              <w:ind w:right="600"/>
              <w:jc w:val="right"/>
            </w:pPr>
            <w:r>
              <w:t>1.622</w:t>
            </w:r>
          </w:p>
        </w:tc>
        <w:tc>
          <w:tcPr>
            <w:tcW w:w="1985" w:type="dxa"/>
            <w:tcBorders>
              <w:top w:val="nil"/>
              <w:left w:val="nil"/>
              <w:bottom w:val="nil"/>
              <w:right w:val="nil"/>
            </w:tcBorders>
            <w:noWrap/>
          </w:tcPr>
          <w:p>
            <w:pPr>
              <w:pStyle w:val="yTableNAm"/>
              <w:ind w:right="600"/>
              <w:jc w:val="right"/>
            </w:pPr>
            <w:r>
              <w:t>5.421</w:t>
            </w:r>
          </w:p>
        </w:tc>
      </w:tr>
      <w:tr>
        <w:trPr>
          <w:cantSplit/>
        </w:trPr>
        <w:tc>
          <w:tcPr>
            <w:tcW w:w="2159" w:type="dxa"/>
            <w:tcBorders>
              <w:top w:val="nil"/>
              <w:left w:val="nil"/>
              <w:bottom w:val="single" w:sz="4" w:space="0" w:color="auto"/>
              <w:right w:val="nil"/>
            </w:tcBorders>
            <w:noWrap/>
          </w:tcPr>
          <w:p>
            <w:pPr>
              <w:pStyle w:val="yTableNAm"/>
            </w:pPr>
            <w:r>
              <w:t>Yunderup</w:t>
            </w:r>
          </w:p>
        </w:tc>
        <w:tc>
          <w:tcPr>
            <w:tcW w:w="1985" w:type="dxa"/>
            <w:tcBorders>
              <w:top w:val="nil"/>
              <w:left w:val="nil"/>
              <w:bottom w:val="single" w:sz="4" w:space="0" w:color="auto"/>
              <w:right w:val="nil"/>
            </w:tcBorders>
            <w:noWrap/>
          </w:tcPr>
          <w:p>
            <w:pPr>
              <w:pStyle w:val="yTableNAm"/>
              <w:ind w:right="600"/>
              <w:jc w:val="right"/>
            </w:pPr>
            <w:r>
              <w:t>5.364</w:t>
            </w:r>
          </w:p>
        </w:tc>
        <w:tc>
          <w:tcPr>
            <w:tcW w:w="1985" w:type="dxa"/>
            <w:tcBorders>
              <w:top w:val="nil"/>
              <w:left w:val="nil"/>
              <w:bottom w:val="single" w:sz="4" w:space="0" w:color="auto"/>
              <w:right w:val="nil"/>
            </w:tcBorders>
            <w:noWrap/>
          </w:tcPr>
          <w:p>
            <w:pPr>
              <w:pStyle w:val="yTableNAm"/>
              <w:ind w:right="600"/>
              <w:jc w:val="right"/>
            </w:pPr>
            <w:r>
              <w:t>4.875</w:t>
            </w:r>
          </w:p>
        </w:tc>
      </w:tr>
    </w:tbl>
    <w:p>
      <w:pPr>
        <w:pStyle w:val="zyHeading3"/>
      </w:pPr>
      <w:bookmarkStart w:id="245" w:name="_Toc201235752"/>
      <w:bookmarkStart w:id="246" w:name="_Toc201236003"/>
      <w:bookmarkStart w:id="247" w:name="_Toc201236159"/>
      <w:bookmarkStart w:id="248" w:name="_Toc201661663"/>
      <w:r>
        <w:t>Division 2 — Combined charges for certain non</w:t>
      </w:r>
      <w:r>
        <w:noBreakHyphen/>
        <w:t>residential property</w:t>
      </w:r>
      <w:bookmarkEnd w:id="245"/>
      <w:bookmarkEnd w:id="246"/>
      <w:bookmarkEnd w:id="247"/>
      <w:bookmarkEnd w:id="248"/>
    </w:p>
    <w:p>
      <w:pPr>
        <w:pStyle w:val="zyHeading4"/>
      </w:pPr>
      <w:bookmarkStart w:id="249" w:name="_Toc201235753"/>
      <w:bookmarkStart w:id="250" w:name="_Toc201236004"/>
      <w:bookmarkStart w:id="251" w:name="_Toc201236160"/>
      <w:bookmarkStart w:id="252" w:name="_Toc201661664"/>
      <w:r>
        <w:t>Subdivision 1 — Preliminary</w:t>
      </w:r>
      <w:bookmarkEnd w:id="249"/>
      <w:bookmarkEnd w:id="250"/>
      <w:bookmarkEnd w:id="251"/>
      <w:bookmarkEnd w:id="252"/>
    </w:p>
    <w:p>
      <w:pPr>
        <w:pStyle w:val="zyHeading5"/>
      </w:pPr>
      <w:bookmarkStart w:id="253" w:name="_Toc201235754"/>
      <w:bookmarkStart w:id="254" w:name="_Toc201661665"/>
      <w:r>
        <w:t>13.</w:t>
      </w:r>
      <w:r>
        <w:tab/>
        <w:t>Combined charges for 2025/26 and subsequent years</w:t>
      </w:r>
      <w:bookmarkEnd w:id="253"/>
      <w:bookmarkEnd w:id="254"/>
    </w:p>
    <w:p>
      <w:pPr>
        <w:pStyle w:val="ySubsection"/>
      </w:pPr>
      <w:r>
        <w:tab/>
      </w:r>
      <w:r>
        <w:tab/>
        <w:t>The charges set out in this Division apply for sewerage services provided and wastewater discharged in the 2025/26 financial year and each subsequent year.</w:t>
      </w:r>
    </w:p>
    <w:p>
      <w:pPr>
        <w:pStyle w:val="zyHeading4"/>
      </w:pPr>
      <w:bookmarkStart w:id="255" w:name="_Toc201235755"/>
      <w:bookmarkStart w:id="256" w:name="_Toc201236006"/>
      <w:bookmarkStart w:id="257" w:name="_Toc201236162"/>
      <w:bookmarkStart w:id="258" w:name="_Toc201661666"/>
      <w:r>
        <w:t>Subdivision 2 — Combined charges: metropolitan</w:t>
      </w:r>
      <w:bookmarkEnd w:id="255"/>
      <w:bookmarkEnd w:id="256"/>
      <w:bookmarkEnd w:id="257"/>
      <w:bookmarkEnd w:id="258"/>
    </w:p>
    <w:p>
      <w:pPr>
        <w:pStyle w:val="zyHeading5"/>
      </w:pPr>
      <w:bookmarkStart w:id="259" w:name="_Toc201235756"/>
      <w:bookmarkStart w:id="260" w:name="_Toc201661667"/>
      <w:r>
        <w:t>14.</w:t>
      </w:r>
      <w:r>
        <w:tab/>
        <w:t>Metropolitan non</w:t>
      </w:r>
      <w:r>
        <w:noBreakHyphen/>
        <w:t>residential</w:t>
      </w:r>
      <w:bookmarkEnd w:id="259"/>
      <w:bookmarkEnd w:id="260"/>
    </w:p>
    <w:p>
      <w:pPr>
        <w:pStyle w:val="ySubsection"/>
      </w:pPr>
      <w:r>
        <w:tab/>
      </w:r>
      <w:r>
        <w:tab/>
        <w:t>For land in the metropolitan area that —</w:t>
      </w:r>
    </w:p>
    <w:p>
      <w:pPr>
        <w:pStyle w:val="yIndenta"/>
      </w:pPr>
      <w:r>
        <w:tab/>
        <w:t>(a)</w:t>
      </w:r>
      <w:r>
        <w:tab/>
        <w:t>is not contained in a residential property; and</w:t>
      </w:r>
    </w:p>
    <w:p>
      <w:pPr>
        <w:pStyle w:val="yIndenta"/>
      </w:pPr>
      <w:r>
        <w:tab/>
        <w:t>(b)</w:t>
      </w:r>
      <w:r>
        <w:tab/>
        <w:t>is not covered by item 3, 4, 5, 6, 15, 16, 17 or 18,</w:t>
      </w:r>
    </w:p>
    <w:p>
      <w:pPr>
        <w:pStyle w:val="ySubsection"/>
      </w:pPr>
      <w:r>
        <w:tab/>
      </w:r>
      <w:r>
        <w:tab/>
        <w:t>the charge is —</w:t>
      </w:r>
    </w:p>
    <w:p>
      <w:pPr>
        <w:pStyle w:val="Equation"/>
        <w:spacing w:before="120"/>
        <w:ind w:left="879"/>
        <w:rPr>
          <w:b/>
          <w:sz w:val="22"/>
        </w:rPr>
      </w:pPr>
      <m:oMathPara>
        <m:oMathParaPr>
          <m:jc m:val="left"/>
        </m:oMathParaPr>
        <m:oMath>
          <m:r>
            <m:rPr>
              <m:sty m:val="b"/>
            </m:rPr>
            <w:rPr>
              <w:rFonts w:ascii="Cambria Math" w:hAnsi="Cambria Math"/>
              <w:sz w:val="22"/>
            </w:rPr>
            <m:t>P+Q</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4" w:hanging="425"/>
      </w:pPr>
      <w:r>
        <w:rPr>
          <w:b/>
        </w:rPr>
        <w:t>P</w:t>
      </w:r>
      <w:r>
        <w:tab/>
        <w:t>is the service charge calculated in accordance with item 19;</w:t>
      </w:r>
    </w:p>
    <w:p>
      <w:pPr>
        <w:pStyle w:val="yMiscellaneousBody"/>
        <w:tabs>
          <w:tab w:val="left" w:pos="284"/>
          <w:tab w:val="left" w:pos="1985"/>
        </w:tabs>
        <w:ind w:left="1304" w:hanging="425"/>
      </w:pPr>
      <w:r>
        <w:rPr>
          <w:b/>
        </w:rPr>
        <w:t>Q</w:t>
      </w:r>
      <w:r>
        <w:tab/>
        <w:t>is the discharge charge calculated in accordance with item 20.</w:t>
      </w:r>
    </w:p>
    <w:p>
      <w:pPr>
        <w:pStyle w:val="zyHeading5"/>
      </w:pPr>
      <w:bookmarkStart w:id="261" w:name="_Toc201235757"/>
      <w:bookmarkStart w:id="262" w:name="_Toc201661668"/>
      <w:r>
        <w:lastRenderedPageBreak/>
        <w:t>15.</w:t>
      </w:r>
      <w:r>
        <w:tab/>
        <w:t>Metropolitan government trading organisation and non</w:t>
      </w:r>
      <w:r>
        <w:noBreakHyphen/>
        <w:t>commercial government property</w:t>
      </w:r>
      <w:bookmarkEnd w:id="261"/>
      <w:bookmarkEnd w:id="262"/>
    </w:p>
    <w:p>
      <w:pPr>
        <w:pStyle w:val="ySubsection"/>
      </w:pPr>
      <w:r>
        <w:tab/>
        <w:t>(1)</w:t>
      </w:r>
      <w:r>
        <w:tab/>
        <w:t>For land in the metropolitan area held by a government trading organisation or a public authority that holds non</w:t>
      </w:r>
      <w:r>
        <w:noBreakHyphen/>
        <w:t>commercial government property, the charge is —</w:t>
      </w:r>
    </w:p>
    <w:p>
      <w:pPr>
        <w:pStyle w:val="Equation"/>
        <w:spacing w:before="120"/>
        <w:ind w:left="879"/>
        <w:rPr>
          <w:sz w:val="22"/>
        </w:rPr>
      </w:pPr>
      <m:oMathPara>
        <m:oMathParaPr>
          <m:jc m:val="left"/>
        </m:oMathParaPr>
        <m:oMath>
          <m:r>
            <m:rPr>
              <m:sty m:val="b"/>
            </m:rPr>
            <w:rPr>
              <w:rFonts w:ascii="Cambria Math" w:hAnsi="Cambria Math"/>
              <w:sz w:val="22"/>
            </w:rPr>
            <m:t>Y</m:t>
          </m:r>
          <m:r>
            <m:rPr>
              <m:sty m:val="p"/>
            </m:rPr>
            <w:rPr>
              <w:rFonts w:ascii="Cambria Math" w:hAnsi="Cambria Math"/>
              <w:sz w:val="22"/>
            </w:rPr>
            <m:t>+</m:t>
          </m:r>
          <m:r>
            <m:rPr>
              <m:sty m:val="b"/>
            </m:rPr>
            <w:rPr>
              <w:rFonts w:ascii="Cambria Math" w:hAnsi="Cambria Math"/>
              <w:sz w:val="22"/>
            </w:rPr>
            <m:t>Q</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Y</w:t>
      </w:r>
      <w:r>
        <w:tab/>
        <w:t>is the charge according to the number of connected major fixtures calculated in accordance with item 19;</w:t>
      </w:r>
    </w:p>
    <w:p>
      <w:pPr>
        <w:pStyle w:val="yMiscellaneousBody"/>
        <w:tabs>
          <w:tab w:val="left" w:pos="284"/>
          <w:tab w:val="left" w:pos="1985"/>
        </w:tabs>
        <w:ind w:left="1305" w:hanging="425"/>
      </w:pPr>
      <w:r>
        <w:rPr>
          <w:b/>
        </w:rPr>
        <w:t>Q</w:t>
      </w:r>
      <w:r>
        <w:tab/>
        <w:t>is the discharge charge calculated in accordance with item 20.</w:t>
      </w:r>
    </w:p>
    <w:p>
      <w:pPr>
        <w:pStyle w:val="ySubsection"/>
      </w:pPr>
      <w:r>
        <w:tab/>
        <w:t>(2)</w:t>
      </w:r>
      <w:r>
        <w:tab/>
        <w:t>Sub</w:t>
      </w:r>
      <w:r>
        <w:noBreakHyphen/>
        <w:t>item (1) does not apply to public land.</w:t>
      </w:r>
    </w:p>
    <w:p>
      <w:pPr>
        <w:pStyle w:val="zyHeading5"/>
      </w:pPr>
      <w:bookmarkStart w:id="263" w:name="_Toc201235758"/>
      <w:bookmarkStart w:id="264" w:name="_Toc201661669"/>
      <w:r>
        <w:t>16.</w:t>
      </w:r>
      <w:r>
        <w:tab/>
        <w:t>Metropolitan non</w:t>
      </w:r>
      <w:r>
        <w:noBreakHyphen/>
        <w:t>strata titled caravan park with long</w:t>
      </w:r>
      <w:r>
        <w:noBreakHyphen/>
        <w:t>term residential caravan bays</w:t>
      </w:r>
      <w:bookmarkEnd w:id="263"/>
      <w:bookmarkEnd w:id="264"/>
    </w:p>
    <w:p>
      <w:pPr>
        <w:pStyle w:val="ySubsection"/>
      </w:pPr>
      <w:r>
        <w:tab/>
      </w:r>
      <w:r>
        <w:tab/>
        <w:t>For a caravan park in the metropolitan area that —</w:t>
      </w:r>
    </w:p>
    <w:p>
      <w:pPr>
        <w:pStyle w:val="yIndenta"/>
      </w:pPr>
      <w:r>
        <w:tab/>
        <w:t>(a)</w:t>
      </w:r>
      <w:r>
        <w:tab/>
        <w:t>does not consist wholly of strata</w:t>
      </w:r>
      <w:r>
        <w:noBreakHyphen/>
        <w:t>titled caravan bays; and</w:t>
      </w:r>
    </w:p>
    <w:p>
      <w:pPr>
        <w:pStyle w:val="yIndenta"/>
        <w:keepNext/>
      </w:pPr>
      <w:r>
        <w:tab/>
        <w:t>(b)</w:t>
      </w:r>
      <w:r>
        <w:tab/>
        <w:t>has long</w:t>
      </w:r>
      <w:r>
        <w:noBreakHyphen/>
        <w:t>term residential caravan bays,</w:t>
      </w:r>
    </w:p>
    <w:p>
      <w:pPr>
        <w:pStyle w:val="ySubsection"/>
        <w:keepNext/>
        <w:tabs>
          <w:tab w:val="right" w:leader="dot" w:pos="6804"/>
        </w:tabs>
      </w:pPr>
      <w:r>
        <w:tab/>
      </w:r>
      <w:r>
        <w:tab/>
        <w:t>the charge is —</w:t>
      </w:r>
    </w:p>
    <w:p>
      <w:pPr>
        <w:pStyle w:val="Equation"/>
        <w:spacing w:before="120"/>
        <w:ind w:left="879"/>
        <w:rPr>
          <w:sz w:val="22"/>
        </w:rPr>
      </w:pPr>
      <m:oMathPara>
        <m:oMathParaPr>
          <m:jc m:val="left"/>
        </m:oMathParaPr>
        <m:oMath>
          <m:r>
            <m:rPr>
              <m:sty m:val="b"/>
            </m:rPr>
            <w:rPr>
              <w:rFonts w:ascii="Cambria Math" w:hAnsi="Cambria Math"/>
              <w:sz w:val="22"/>
            </w:rPr>
            <m:t>AA</m:t>
          </m:r>
          <m:r>
            <m:rPr>
              <m:sty m:val="p"/>
            </m:rPr>
            <w:rPr>
              <w:rFonts w:ascii="Cambria Math" w:hAnsi="Cambria Math"/>
              <w:sz w:val="22"/>
            </w:rPr>
            <m:t>+</m:t>
          </m:r>
          <m:r>
            <m:rPr>
              <m:sty m:val="b"/>
            </m:rPr>
            <w:rPr>
              <w:rFonts w:ascii="Cambria Math" w:hAnsi="Cambria Math"/>
              <w:sz w:val="22"/>
            </w:rPr>
            <m:t>AB</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AA</w:t>
      </w:r>
      <w:r>
        <w:tab/>
        <w:t xml:space="preserve">is </w:t>
      </w:r>
      <w:r>
        <w:rPr>
          <w:szCs w:val="22"/>
        </w:rPr>
        <w:t xml:space="preserve">$378.70 </w:t>
      </w:r>
      <w:r>
        <w:t>for each long</w:t>
      </w:r>
      <w:r>
        <w:noBreakHyphen/>
        <w:t>term residential caravan bay;</w:t>
      </w:r>
    </w:p>
    <w:p>
      <w:pPr>
        <w:pStyle w:val="yMiscellaneousBody"/>
        <w:tabs>
          <w:tab w:val="left" w:pos="284"/>
          <w:tab w:val="left" w:pos="1985"/>
        </w:tabs>
        <w:ind w:left="1305" w:hanging="425"/>
      </w:pPr>
      <w:r>
        <w:rPr>
          <w:b/>
        </w:rPr>
        <w:t>AB</w:t>
      </w:r>
      <w:r>
        <w:tab/>
        <w:t>is, for those parts of the caravan park not contained in long</w:t>
      </w:r>
      <w:r>
        <w:noBreakHyphen/>
        <w:t xml:space="preserve">term residential caravan bays, </w:t>
      </w:r>
      <m:oMath>
        <m:r>
          <m:rPr>
            <m:sty m:val="b"/>
          </m:rPr>
          <w:rPr>
            <w:rFonts w:ascii="Cambria Math" w:hAnsi="Cambria Math"/>
          </w:rPr>
          <m:t>Y</m:t>
        </m:r>
        <m:r>
          <m:rPr>
            <m:sty m:val="p"/>
          </m:rPr>
          <w:rPr>
            <w:rFonts w:ascii="Cambria Math" w:hAnsi="Cambria Math"/>
          </w:rPr>
          <m:t>+</m:t>
        </m:r>
        <m:r>
          <m:rPr>
            <m:sty m:val="b"/>
          </m:rPr>
          <w:rPr>
            <w:rFonts w:ascii="Cambria Math" w:hAnsi="Cambria Math"/>
          </w:rPr>
          <m:t>Q</m:t>
        </m:r>
      </m:oMath>
    </w:p>
    <w:p>
      <w:pPr>
        <w:pStyle w:val="yMiscellaneousBody"/>
        <w:tabs>
          <w:tab w:val="left" w:pos="284"/>
          <w:tab w:val="left" w:pos="1985"/>
        </w:tabs>
        <w:ind w:left="1305" w:hanging="425"/>
      </w:pPr>
      <w:r>
        <w:rPr>
          <w:b/>
          <w:bCs/>
        </w:rPr>
        <w:t>Y</w:t>
      </w:r>
      <w:r>
        <w:rPr>
          <w:bCs/>
        </w:rPr>
        <w:tab/>
        <w:t xml:space="preserve">is the </w:t>
      </w:r>
      <w:r>
        <w:rPr>
          <w:bCs/>
          <w:szCs w:val="22"/>
        </w:rPr>
        <w:t>charge</w:t>
      </w:r>
      <w:r>
        <w:rPr>
          <w:bCs/>
        </w:rPr>
        <w:t xml:space="preserve"> according to the number of connected </w:t>
      </w:r>
      <w:r>
        <w:t>major fixtures calculated in accordance with item 19;</w:t>
      </w:r>
    </w:p>
    <w:p>
      <w:pPr>
        <w:pStyle w:val="yMiscellaneousBody"/>
        <w:tabs>
          <w:tab w:val="left" w:pos="284"/>
          <w:tab w:val="left" w:pos="1985"/>
        </w:tabs>
        <w:ind w:left="1305" w:hanging="425"/>
        <w:rPr>
          <w:bCs/>
        </w:rPr>
      </w:pPr>
      <w:r>
        <w:rPr>
          <w:b/>
        </w:rPr>
        <w:t>Q</w:t>
      </w:r>
      <w:r>
        <w:tab/>
        <w:t>is the</w:t>
      </w:r>
      <w:r>
        <w:rPr>
          <w:bCs/>
        </w:rPr>
        <w:t xml:space="preserve"> discharge charge calculated in accordance with item 20.</w:t>
      </w:r>
    </w:p>
    <w:p>
      <w:pPr>
        <w:pStyle w:val="zyHeading5"/>
      </w:pPr>
      <w:bookmarkStart w:id="265" w:name="_Toc201235759"/>
      <w:bookmarkStart w:id="266" w:name="_Toc201661670"/>
      <w:r>
        <w:lastRenderedPageBreak/>
        <w:t>17.</w:t>
      </w:r>
      <w:r>
        <w:tab/>
        <w:t>Metropolitan nursing home</w:t>
      </w:r>
      <w:bookmarkEnd w:id="265"/>
      <w:bookmarkEnd w:id="266"/>
    </w:p>
    <w:p>
      <w:pPr>
        <w:pStyle w:val="ySubsection"/>
        <w:keepNext/>
      </w:pPr>
      <w:r>
        <w:tab/>
      </w:r>
      <w:r>
        <w:tab/>
        <w:t>For a nursing home in the metropolitan area, other than a nursing home that is, or is part of, an aged home, the charge is —</w:t>
      </w:r>
    </w:p>
    <w:p>
      <w:pPr>
        <w:pStyle w:val="Equation"/>
        <w:spacing w:before="120"/>
        <w:ind w:left="879"/>
        <w:rPr>
          <w:sz w:val="22"/>
        </w:rPr>
      </w:pPr>
      <m:oMathPara>
        <m:oMathParaPr>
          <m:jc m:val="left"/>
        </m:oMathParaPr>
        <m:oMath>
          <m:r>
            <m:rPr>
              <m:sty m:val="b"/>
            </m:rPr>
            <w:rPr>
              <w:rFonts w:ascii="Cambria Math" w:hAnsi="Cambria Math"/>
              <w:sz w:val="22"/>
            </w:rPr>
            <m:t>T</m:t>
          </m:r>
          <m:r>
            <m:rPr>
              <m:sty m:val="p"/>
            </m:rPr>
            <w:rPr>
              <w:rFonts w:ascii="Cambria Math" w:hAnsi="Cambria Math"/>
              <w:sz w:val="22"/>
            </w:rPr>
            <m:t>+</m:t>
          </m:r>
          <m:r>
            <m:rPr>
              <m:sty m:val="b"/>
            </m:rPr>
            <w:rPr>
              <w:rFonts w:ascii="Cambria Math" w:hAnsi="Cambria Math"/>
              <w:sz w:val="22"/>
            </w:rPr>
            <m:t>Q</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Q</w:t>
      </w:r>
      <w:r>
        <w:tab/>
        <w:t>is the discharge charge calculated in accordance with item 20;</w:t>
      </w:r>
    </w:p>
    <w:p>
      <w:pPr>
        <w:pStyle w:val="yMiscellaneousBody"/>
        <w:tabs>
          <w:tab w:val="left" w:pos="284"/>
          <w:tab w:val="left" w:pos="1985"/>
        </w:tabs>
        <w:ind w:left="1305" w:hanging="425"/>
      </w:pPr>
      <w:r>
        <w:rPr>
          <w:b/>
        </w:rPr>
        <w:t>T</w:t>
      </w:r>
      <w:r>
        <w:tab/>
        <w:t xml:space="preserve">is </w:t>
      </w:r>
      <m:oMath>
        <m:r>
          <m:rPr>
            <m:sty m:val="b"/>
          </m:rPr>
          <w:rPr>
            <w:rFonts w:ascii="Cambria Math" w:hAnsi="Cambria Math"/>
          </w:rPr>
          <m:t>U</m:t>
        </m:r>
        <m:r>
          <m:rPr>
            <m:sty m:val="p"/>
          </m:rPr>
          <w:rPr>
            <w:rFonts w:ascii="Cambria Math" w:hAnsi="Cambria Math"/>
          </w:rPr>
          <m:t>×</m:t>
        </m:r>
        <m:r>
          <m:rPr>
            <m:sty m:val="b"/>
          </m:rPr>
          <w:rPr>
            <w:rFonts w:ascii="Cambria Math" w:hAnsi="Cambria Math"/>
          </w:rPr>
          <m:t>V</m:t>
        </m:r>
      </m:oMath>
      <w:r>
        <w:t>;</w:t>
      </w:r>
    </w:p>
    <w:p>
      <w:pPr>
        <w:pStyle w:val="yMiscellaneousBody"/>
        <w:tabs>
          <w:tab w:val="left" w:pos="284"/>
          <w:tab w:val="left" w:pos="1985"/>
        </w:tabs>
        <w:ind w:left="1305" w:hanging="425"/>
      </w:pPr>
      <w:r>
        <w:rPr>
          <w:b/>
        </w:rPr>
        <w:t>U</w:t>
      </w:r>
      <w:r>
        <w:tab/>
        <w:t>is the number of beds in the nursing home;</w:t>
      </w:r>
    </w:p>
    <w:p>
      <w:pPr>
        <w:pStyle w:val="yMiscellaneousBody"/>
        <w:tabs>
          <w:tab w:val="left" w:pos="284"/>
          <w:tab w:val="left" w:pos="1985"/>
        </w:tabs>
        <w:ind w:left="1305" w:hanging="425"/>
      </w:pPr>
      <w:r>
        <w:rPr>
          <w:b/>
        </w:rPr>
        <w:t>V</w:t>
      </w:r>
      <w:r>
        <w:tab/>
        <w:t>is</w:t>
      </w:r>
      <w:r>
        <w:rPr>
          <w:szCs w:val="22"/>
        </w:rPr>
        <w:t xml:space="preserve"> $214.29.</w:t>
      </w:r>
    </w:p>
    <w:p>
      <w:pPr>
        <w:pStyle w:val="zyHeading5"/>
      </w:pPr>
      <w:bookmarkStart w:id="267" w:name="_Toc201235760"/>
      <w:bookmarkStart w:id="268" w:name="_Toc201661671"/>
      <w:r>
        <w:t>18.</w:t>
      </w:r>
      <w:r>
        <w:tab/>
        <w:t>Certain metropolitan units</w:t>
      </w:r>
      <w:bookmarkEnd w:id="267"/>
      <w:bookmarkEnd w:id="268"/>
      <w:r>
        <w:t xml:space="preserve"> </w:t>
      </w:r>
    </w:p>
    <w:p>
      <w:pPr>
        <w:pStyle w:val="ySubsection"/>
      </w:pPr>
      <w:r>
        <w:tab/>
      </w:r>
      <w:r>
        <w:tab/>
        <w:t>For land in the metropolitan area —</w:t>
      </w:r>
    </w:p>
    <w:p>
      <w:pPr>
        <w:pStyle w:val="yIndenta"/>
      </w:pPr>
      <w:r>
        <w:tab/>
        <w:t>(a)</w:t>
      </w:r>
      <w:r>
        <w:tab/>
        <w:t>that is contained in a lot; and</w:t>
      </w:r>
    </w:p>
    <w:p>
      <w:pPr>
        <w:pStyle w:val="yIndenta"/>
      </w:pPr>
      <w:r>
        <w:tab/>
        <w:t>(b)</w:t>
      </w:r>
      <w:r>
        <w:tab/>
        <w:t>that is classified as non</w:t>
      </w:r>
      <w:r>
        <w:noBreakHyphen/>
        <w:t>residential; and</w:t>
      </w:r>
    </w:p>
    <w:p>
      <w:pPr>
        <w:pStyle w:val="yIndenta"/>
      </w:pPr>
      <w:r>
        <w:tab/>
        <w:t>(c)</w:t>
      </w:r>
      <w:r>
        <w:tab/>
        <w:t>that is not covered by item 5 or 6; and</w:t>
      </w:r>
    </w:p>
    <w:p>
      <w:pPr>
        <w:pStyle w:val="yIndenta"/>
      </w:pPr>
      <w:r>
        <w:tab/>
        <w:t>(d)</w:t>
      </w:r>
      <w:r>
        <w:tab/>
        <w:t>that shares 1 or more major fixtures, that discharge into a sewer of the Water Corporation, with other such land and has no other major fixtures that discharge into such a sewer; and</w:t>
      </w:r>
    </w:p>
    <w:p>
      <w:pPr>
        <w:pStyle w:val="yIndenta"/>
      </w:pPr>
      <w:r>
        <w:tab/>
        <w:t>(e)</w:t>
      </w:r>
      <w:r>
        <w:tab/>
        <w:t>for which the number of major fixtures shared by all units on the relevant scheme plan for a strata titles scheme or a community titles scheme is less than the number of those units,</w:t>
      </w:r>
    </w:p>
    <w:p>
      <w:pPr>
        <w:pStyle w:val="ySubsection"/>
        <w:tabs>
          <w:tab w:val="right" w:leader="dot" w:pos="6804"/>
        </w:tabs>
      </w:pPr>
      <w:r>
        <w:tab/>
      </w:r>
      <w:r>
        <w:tab/>
        <w:t>the charge is —</w:t>
      </w:r>
    </w:p>
    <w:p>
      <w:pPr>
        <w:pStyle w:val="Equation"/>
        <w:spacing w:before="120"/>
        <w:ind w:left="879"/>
        <w:rPr>
          <w:sz w:val="22"/>
        </w:rPr>
      </w:pPr>
      <m:oMathPara>
        <m:oMathParaPr>
          <m:jc m:val="left"/>
        </m:oMathParaPr>
        <m:oMath>
          <m:r>
            <m:rPr>
              <m:sty m:val="b"/>
            </m:rPr>
            <w:rPr>
              <w:rFonts w:ascii="Cambria Math" w:hAnsi="Cambria Math"/>
              <w:sz w:val="22"/>
            </w:rPr>
            <m:t>T</m:t>
          </m:r>
          <m:r>
            <m:rPr>
              <m:sty m:val="p"/>
            </m:rPr>
            <w:rPr>
              <w:rFonts w:ascii="Cambria Math" w:hAnsi="Cambria Math"/>
              <w:sz w:val="22"/>
            </w:rPr>
            <m:t>+</m:t>
          </m:r>
          <m:r>
            <m:rPr>
              <m:sty m:val="b"/>
            </m:rPr>
            <w:rPr>
              <w:rFonts w:ascii="Cambria Math" w:hAnsi="Cambria Math"/>
              <w:sz w:val="22"/>
            </w:rPr>
            <m:t>Q</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T</w:t>
      </w:r>
      <w:r>
        <w:tab/>
        <w:t xml:space="preserve">is </w:t>
      </w:r>
      <w:r>
        <w:rPr>
          <w:szCs w:val="22"/>
        </w:rPr>
        <w:t>$736.19</w:t>
      </w:r>
      <w:r>
        <w:t>;</w:t>
      </w:r>
    </w:p>
    <w:p>
      <w:pPr>
        <w:pStyle w:val="yMiscellaneousBody"/>
        <w:tabs>
          <w:tab w:val="left" w:pos="284"/>
          <w:tab w:val="left" w:pos="1985"/>
        </w:tabs>
        <w:ind w:left="1305" w:hanging="425"/>
      </w:pPr>
      <w:r>
        <w:rPr>
          <w:b/>
        </w:rPr>
        <w:t>Q</w:t>
      </w:r>
      <w:r>
        <w:tab/>
        <w:t>is the discharge charge calculated in accordance with item 20.</w:t>
      </w:r>
    </w:p>
    <w:p>
      <w:pPr>
        <w:pStyle w:val="zyHeading4"/>
      </w:pPr>
      <w:bookmarkStart w:id="269" w:name="_Toc201235761"/>
      <w:bookmarkStart w:id="270" w:name="_Toc201236012"/>
      <w:bookmarkStart w:id="271" w:name="_Toc201236168"/>
      <w:bookmarkStart w:id="272" w:name="_Toc201661672"/>
      <w:r>
        <w:lastRenderedPageBreak/>
        <w:t>Subdivision 3 — Calculation of certain factors for Subdivision 2</w:t>
      </w:r>
      <w:bookmarkEnd w:id="269"/>
      <w:bookmarkEnd w:id="270"/>
      <w:bookmarkEnd w:id="271"/>
      <w:bookmarkEnd w:id="272"/>
    </w:p>
    <w:p>
      <w:pPr>
        <w:pStyle w:val="zyHeading5"/>
      </w:pPr>
      <w:bookmarkStart w:id="273" w:name="_Toc201235762"/>
      <w:bookmarkStart w:id="274" w:name="_Toc201661673"/>
      <w:r>
        <w:t>19.</w:t>
      </w:r>
      <w:r>
        <w:tab/>
        <w:t>Service charge</w:t>
      </w:r>
      <w:bookmarkEnd w:id="273"/>
      <w:bookmarkEnd w:id="274"/>
    </w:p>
    <w:p>
      <w:pPr>
        <w:pStyle w:val="ySubsection"/>
      </w:pPr>
      <w:r>
        <w:tab/>
      </w:r>
      <w:r>
        <w:tab/>
        <w:t>The service charge (</w:t>
      </w:r>
      <w:r>
        <w:rPr>
          <w:b/>
          <w:i/>
        </w:rPr>
        <w:t>P</w:t>
      </w:r>
      <w:r>
        <w:t>) is the charge, according to the number of major fixtures for the land, that is the sum of the charges for each fixture as set out in the Table.</w:t>
      </w:r>
    </w:p>
    <w:p>
      <w:pPr>
        <w:pStyle w:val="yTHeadingNAm"/>
      </w:pPr>
      <w:r>
        <w:t>Table of major fixture</w:t>
      </w:r>
      <w:r>
        <w:noBreakHyphen/>
        <w:t>based charges</w:t>
      </w:r>
    </w:p>
    <w:tbl>
      <w:tblPr>
        <w:tblW w:w="0" w:type="auto"/>
        <w:tblInd w:w="1560" w:type="dxa"/>
        <w:tblLayout w:type="fixed"/>
        <w:tblCellMar>
          <w:left w:w="28" w:type="dxa"/>
          <w:right w:w="28" w:type="dxa"/>
        </w:tblCellMar>
        <w:tblLook w:val="0000" w:firstRow="0" w:lastRow="0" w:firstColumn="0" w:lastColumn="0" w:noHBand="0" w:noVBand="0"/>
      </w:tblPr>
      <w:tblGrid>
        <w:gridCol w:w="2154"/>
        <w:gridCol w:w="2268"/>
      </w:tblGrid>
      <w:tr>
        <w:trPr>
          <w:tblHeader/>
        </w:trPr>
        <w:tc>
          <w:tcPr>
            <w:tcW w:w="2154" w:type="dxa"/>
            <w:tcBorders>
              <w:top w:val="single" w:sz="4" w:space="0" w:color="auto"/>
              <w:bottom w:val="single" w:sz="4" w:space="0" w:color="auto"/>
            </w:tcBorders>
            <w:noWrap/>
          </w:tcPr>
          <w:p>
            <w:pPr>
              <w:pStyle w:val="zyTableNAm"/>
              <w:jc w:val="center"/>
              <w:rPr>
                <w:b/>
              </w:rPr>
            </w:pPr>
          </w:p>
        </w:tc>
        <w:tc>
          <w:tcPr>
            <w:tcW w:w="2268" w:type="dxa"/>
            <w:tcBorders>
              <w:top w:val="single" w:sz="4" w:space="0" w:color="auto"/>
              <w:bottom w:val="single" w:sz="4" w:space="0" w:color="auto"/>
            </w:tcBorders>
            <w:noWrap/>
          </w:tcPr>
          <w:p>
            <w:pPr>
              <w:pStyle w:val="yTableNAm"/>
              <w:jc w:val="center"/>
            </w:pPr>
            <w:r>
              <w:rPr>
                <w:b/>
              </w:rPr>
              <w:t>Charge</w:t>
            </w:r>
            <w:r>
              <w:rPr>
                <w:b/>
              </w:rPr>
              <w:br/>
              <w:t>$</w:t>
            </w:r>
          </w:p>
        </w:tc>
      </w:tr>
      <w:tr>
        <w:tc>
          <w:tcPr>
            <w:tcW w:w="2154" w:type="dxa"/>
            <w:noWrap/>
            <w:tcMar>
              <w:left w:w="482" w:type="dxa"/>
            </w:tcMar>
          </w:tcPr>
          <w:p>
            <w:pPr>
              <w:pStyle w:val="yTableNAm"/>
              <w:tabs>
                <w:tab w:val="clear" w:pos="567"/>
                <w:tab w:val="left" w:pos="679"/>
              </w:tabs>
              <w:ind w:left="298" w:hanging="334"/>
            </w:pPr>
            <w:r>
              <w:t>1</w:t>
            </w:r>
            <w:r>
              <w:rPr>
                <w:vertAlign w:val="superscript"/>
              </w:rPr>
              <w:t>st</w:t>
            </w:r>
            <w:r>
              <w:tab/>
              <w:t>fixture</w:t>
            </w:r>
          </w:p>
        </w:tc>
        <w:tc>
          <w:tcPr>
            <w:tcW w:w="2268" w:type="dxa"/>
            <w:noWrap/>
          </w:tcPr>
          <w:p>
            <w:pPr>
              <w:pStyle w:val="yTableNAm"/>
              <w:jc w:val="center"/>
            </w:pPr>
            <w:r>
              <w:t>1 184.25</w:t>
            </w:r>
          </w:p>
        </w:tc>
      </w:tr>
      <w:tr>
        <w:tc>
          <w:tcPr>
            <w:tcW w:w="2154" w:type="dxa"/>
            <w:noWrap/>
            <w:tcMar>
              <w:left w:w="482" w:type="dxa"/>
            </w:tcMar>
          </w:tcPr>
          <w:p>
            <w:pPr>
              <w:pStyle w:val="yTableNAm"/>
              <w:tabs>
                <w:tab w:val="clear" w:pos="567"/>
                <w:tab w:val="left" w:pos="679"/>
              </w:tabs>
              <w:ind w:left="298" w:hanging="334"/>
            </w:pPr>
            <w:r>
              <w:t>2</w:t>
            </w:r>
            <w:r>
              <w:rPr>
                <w:vertAlign w:val="superscript"/>
              </w:rPr>
              <w:t>nd</w:t>
            </w:r>
            <w:r>
              <w:tab/>
              <w:t>fixture</w:t>
            </w:r>
          </w:p>
        </w:tc>
        <w:tc>
          <w:tcPr>
            <w:tcW w:w="2268" w:type="dxa"/>
            <w:noWrap/>
          </w:tcPr>
          <w:p>
            <w:pPr>
              <w:pStyle w:val="yTableNAm"/>
              <w:jc w:val="center"/>
            </w:pPr>
            <w:r>
              <w:t>506.92</w:t>
            </w:r>
          </w:p>
        </w:tc>
      </w:tr>
      <w:tr>
        <w:tc>
          <w:tcPr>
            <w:tcW w:w="2154" w:type="dxa"/>
            <w:noWrap/>
            <w:tcMar>
              <w:left w:w="482" w:type="dxa"/>
            </w:tcMar>
          </w:tcPr>
          <w:p>
            <w:pPr>
              <w:pStyle w:val="yTableNAm"/>
              <w:tabs>
                <w:tab w:val="clear" w:pos="567"/>
                <w:tab w:val="left" w:pos="679"/>
              </w:tabs>
              <w:ind w:left="298" w:hanging="334"/>
            </w:pPr>
            <w:r>
              <w:t>3</w:t>
            </w:r>
            <w:r>
              <w:rPr>
                <w:vertAlign w:val="superscript"/>
              </w:rPr>
              <w:t>rd</w:t>
            </w:r>
            <w:r>
              <w:tab/>
              <w:t>fixture</w:t>
            </w:r>
          </w:p>
        </w:tc>
        <w:tc>
          <w:tcPr>
            <w:tcW w:w="2268" w:type="dxa"/>
            <w:noWrap/>
          </w:tcPr>
          <w:p>
            <w:pPr>
              <w:pStyle w:val="yTableNAm"/>
              <w:jc w:val="center"/>
            </w:pPr>
            <w:r>
              <w:t>676.99</w:t>
            </w:r>
          </w:p>
        </w:tc>
      </w:tr>
      <w:tr>
        <w:tc>
          <w:tcPr>
            <w:tcW w:w="2154" w:type="dxa"/>
            <w:tcBorders>
              <w:bottom w:val="single" w:sz="4" w:space="0" w:color="auto"/>
            </w:tcBorders>
            <w:noWrap/>
            <w:tcMar>
              <w:left w:w="482" w:type="dxa"/>
            </w:tcMar>
          </w:tcPr>
          <w:p>
            <w:pPr>
              <w:pStyle w:val="yTableNAm"/>
              <w:tabs>
                <w:tab w:val="clear" w:pos="567"/>
                <w:tab w:val="left" w:pos="679"/>
              </w:tabs>
              <w:ind w:left="298" w:hanging="334"/>
            </w:pPr>
            <w:r>
              <w:t>4</w:t>
            </w:r>
            <w:r>
              <w:rPr>
                <w:vertAlign w:val="superscript"/>
              </w:rPr>
              <w:t>th</w:t>
            </w:r>
            <w:r>
              <w:tab/>
              <w:t>and subsequent fixtures</w:t>
            </w:r>
          </w:p>
        </w:tc>
        <w:tc>
          <w:tcPr>
            <w:tcW w:w="2268" w:type="dxa"/>
            <w:tcBorders>
              <w:bottom w:val="single" w:sz="4" w:space="0" w:color="auto"/>
            </w:tcBorders>
            <w:noWrap/>
          </w:tcPr>
          <w:p>
            <w:pPr>
              <w:pStyle w:val="yTableNAm"/>
              <w:jc w:val="center"/>
            </w:pPr>
            <w:r>
              <w:rPr>
                <w:szCs w:val="22"/>
              </w:rPr>
              <w:t>736.19</w:t>
            </w:r>
          </w:p>
        </w:tc>
      </w:tr>
    </w:tbl>
    <w:p>
      <w:pPr>
        <w:pStyle w:val="zyHeading5"/>
      </w:pPr>
      <w:bookmarkStart w:id="275" w:name="_Toc201235763"/>
      <w:bookmarkStart w:id="276" w:name="_Toc201661674"/>
      <w:r>
        <w:t>20.</w:t>
      </w:r>
      <w:r>
        <w:tab/>
        <w:t>Discharge charge</w:t>
      </w:r>
      <w:bookmarkEnd w:id="275"/>
      <w:bookmarkEnd w:id="276"/>
    </w:p>
    <w:p>
      <w:pPr>
        <w:pStyle w:val="ySubsection"/>
        <w:keepNext/>
        <w:tabs>
          <w:tab w:val="right" w:leader="dot" w:pos="6804"/>
        </w:tabs>
      </w:pPr>
      <w:r>
        <w:rPr>
          <w:szCs w:val="22"/>
        </w:rPr>
        <w:tab/>
      </w:r>
      <w:r>
        <w:rPr>
          <w:szCs w:val="22"/>
        </w:rPr>
        <w:tab/>
        <w:t xml:space="preserve">The </w:t>
      </w:r>
      <w:r>
        <w:t>discharge</w:t>
      </w:r>
      <w:r>
        <w:rPr>
          <w:szCs w:val="22"/>
        </w:rPr>
        <w:t xml:space="preserve"> charge (</w:t>
      </w:r>
      <w:r>
        <w:rPr>
          <w:b/>
          <w:i/>
          <w:szCs w:val="22"/>
        </w:rPr>
        <w:t>Q</w:t>
      </w:r>
      <w:r>
        <w:rPr>
          <w:szCs w:val="22"/>
        </w:rPr>
        <w:t>) is —</w:t>
      </w:r>
    </w:p>
    <w:p>
      <w:pPr>
        <w:pStyle w:val="yMiscellaneousBody"/>
        <w:tabs>
          <w:tab w:val="left" w:pos="284"/>
          <w:tab w:val="right" w:leader="dot" w:pos="6804"/>
        </w:tabs>
        <w:ind w:left="1021" w:hanging="142"/>
        <w:rPr>
          <w:szCs w:val="22"/>
        </w:rPr>
      </w:pPr>
      <w:r>
        <w:rPr>
          <w:szCs w:val="22"/>
        </w:rPr>
        <w:t xml:space="preserve">if </w:t>
      </w:r>
      <m:oMath>
        <m:r>
          <m:rPr>
            <m:sty m:val="p"/>
          </m:rPr>
          <w:rPr>
            <w:rFonts w:ascii="Cambria Math" w:hAnsi="Cambria Math"/>
            <w:szCs w:val="22"/>
          </w:rPr>
          <m:t>(</m:t>
        </m:r>
        <m:r>
          <m:rPr>
            <m:sty m:val="b"/>
          </m:rPr>
          <w:rPr>
            <w:rFonts w:ascii="Cambria Math" w:hAnsi="Cambria Math"/>
            <w:szCs w:val="22"/>
          </w:rPr>
          <m:t>F</m:t>
        </m:r>
        <m:r>
          <m:rPr>
            <m:sty m:val="p"/>
          </m:rPr>
          <w:rPr>
            <w:rFonts w:ascii="Cambria Math" w:hAnsi="Cambria Math"/>
            <w:szCs w:val="22"/>
          </w:rPr>
          <m:t>×</m:t>
        </m:r>
        <m:r>
          <m:rPr>
            <m:sty m:val="b"/>
          </m:rPr>
          <w:rPr>
            <w:rFonts w:ascii="Cambria Math" w:hAnsi="Cambria Math"/>
            <w:szCs w:val="22"/>
          </w:rPr>
          <m:t>G</m:t>
        </m:r>
        <m:r>
          <m:rPr>
            <m:sty m:val="p"/>
          </m:rPr>
          <w:rPr>
            <w:rFonts w:ascii="Cambria Math" w:hAnsi="Cambria Math"/>
            <w:szCs w:val="22"/>
          </w:rPr>
          <m:t>)≤</m:t>
        </m:r>
        <m:r>
          <m:rPr>
            <m:sty m:val="b"/>
          </m:rPr>
          <w:rPr>
            <w:rFonts w:ascii="Cambria Math" w:hAnsi="Cambria Math"/>
            <w:szCs w:val="22"/>
          </w:rPr>
          <m:t>H</m:t>
        </m:r>
      </m:oMath>
      <w:r>
        <w:rPr>
          <w:szCs w:val="22"/>
        </w:rPr>
        <w:t>,</w:t>
      </w:r>
    </w:p>
    <w:p>
      <w:pPr>
        <w:pStyle w:val="yMiscellaneousBody"/>
        <w:tabs>
          <w:tab w:val="left" w:pos="284"/>
          <w:tab w:val="left" w:pos="1985"/>
          <w:tab w:val="right" w:leader="dot" w:pos="6804"/>
        </w:tabs>
        <w:ind w:left="1021" w:hanging="142"/>
      </w:pPr>
      <w:r>
        <w:tab/>
        <w:t>then nil</w:t>
      </w:r>
    </w:p>
    <w:p>
      <w:pPr>
        <w:pStyle w:val="yMiscellaneousBody"/>
        <w:tabs>
          <w:tab w:val="left" w:pos="284"/>
          <w:tab w:val="right" w:leader="dot" w:pos="6804"/>
        </w:tabs>
        <w:ind w:left="1021" w:hanging="142"/>
        <w:rPr>
          <w:szCs w:val="22"/>
        </w:rPr>
      </w:pPr>
      <w:r>
        <w:rPr>
          <w:szCs w:val="22"/>
        </w:rPr>
        <w:t xml:space="preserve">or if </w:t>
      </w:r>
      <m:oMath>
        <m:r>
          <m:rPr>
            <m:sty m:val="p"/>
          </m:rPr>
          <w:rPr>
            <w:rFonts w:ascii="Cambria Math" w:hAnsi="Cambria Math"/>
            <w:szCs w:val="22"/>
          </w:rPr>
          <m:t>(</m:t>
        </m:r>
        <m:r>
          <m:rPr>
            <m:sty m:val="b"/>
          </m:rPr>
          <w:rPr>
            <w:rFonts w:ascii="Cambria Math" w:hAnsi="Cambria Math"/>
            <w:szCs w:val="22"/>
          </w:rPr>
          <m:t>F</m:t>
        </m:r>
        <m:r>
          <m:rPr>
            <m:sty m:val="p"/>
          </m:rPr>
          <w:rPr>
            <w:rFonts w:ascii="Cambria Math" w:hAnsi="Cambria Math"/>
            <w:szCs w:val="22"/>
          </w:rPr>
          <m:t>×</m:t>
        </m:r>
        <m:r>
          <m:rPr>
            <m:sty m:val="b"/>
          </m:rPr>
          <w:rPr>
            <w:rFonts w:ascii="Cambria Math" w:hAnsi="Cambria Math"/>
            <w:szCs w:val="22"/>
          </w:rPr>
          <m:t>G</m:t>
        </m:r>
        <m:r>
          <m:rPr>
            <m:sty m:val="p"/>
          </m:rPr>
          <w:rPr>
            <w:rFonts w:ascii="Cambria Math" w:hAnsi="Cambria Math"/>
            <w:szCs w:val="22"/>
          </w:rPr>
          <m:t>)&gt;</m:t>
        </m:r>
        <m:r>
          <m:rPr>
            <m:sty m:val="b"/>
          </m:rPr>
          <w:rPr>
            <w:rFonts w:ascii="Cambria Math" w:hAnsi="Cambria Math"/>
            <w:szCs w:val="22"/>
          </w:rPr>
          <m:t>H</m:t>
        </m:r>
      </m:oMath>
      <w:r>
        <w:rPr>
          <w:szCs w:val="22"/>
        </w:rPr>
        <w:t>,</w:t>
      </w:r>
    </w:p>
    <w:p>
      <w:pPr>
        <w:pStyle w:val="yMiscellaneousBody"/>
        <w:tabs>
          <w:tab w:val="left" w:pos="284"/>
          <w:tab w:val="left" w:pos="1985"/>
          <w:tab w:val="right" w:leader="dot" w:pos="6804"/>
        </w:tabs>
        <w:ind w:left="1021" w:hanging="142"/>
      </w:pPr>
      <w:r>
        <w:tab/>
        <w:t xml:space="preserve">then </w:t>
      </w:r>
      <m:oMath>
        <m:r>
          <m:rPr>
            <m:sty m:val="p"/>
          </m:rPr>
          <w:rPr>
            <w:rFonts w:ascii="Cambria Math" w:hAnsi="Cambria Math"/>
          </w:rPr>
          <m:t>(</m:t>
        </m:r>
        <m:d>
          <m:dPr>
            <m:ctrlPr>
              <w:rPr>
                <w:rFonts w:ascii="Cambria Math" w:hAnsi="Cambria Math"/>
              </w:rPr>
            </m:ctrlPr>
          </m:dPr>
          <m:e>
            <m:r>
              <m:rPr>
                <m:sty m:val="b"/>
              </m:rPr>
              <w:rPr>
                <w:rFonts w:ascii="Cambria Math" w:hAnsi="Cambria Math"/>
              </w:rPr>
              <m:t>F</m:t>
            </m:r>
            <m:r>
              <m:rPr>
                <m:sty m:val="p"/>
              </m:rPr>
              <w:rPr>
                <w:rFonts w:ascii="Cambria Math" w:hAnsi="Cambria Math"/>
              </w:rPr>
              <m:t>×</m:t>
            </m:r>
            <m:r>
              <m:rPr>
                <m:sty m:val="b"/>
              </m:rPr>
              <w:rPr>
                <w:rFonts w:ascii="Cambria Math" w:hAnsi="Cambria Math"/>
              </w:rPr>
              <m:t>G</m:t>
            </m:r>
          </m:e>
        </m:d>
        <m:r>
          <m:rPr>
            <m:sty m:val="p"/>
          </m:rPr>
          <w:rPr>
            <w:rFonts w:ascii="Cambria Math" w:hAnsi="Cambria Math"/>
          </w:rPr>
          <m:t>-</m:t>
        </m:r>
        <m:r>
          <m:rPr>
            <m:sty m:val="b"/>
          </m:rPr>
          <w:rPr>
            <w:rFonts w:ascii="Cambria Math" w:hAnsi="Cambria Math"/>
          </w:rPr>
          <m:t>H)×I</m:t>
        </m:r>
      </m:oMath>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F</w:t>
      </w:r>
      <w:r>
        <w:rPr>
          <w:b/>
        </w:rPr>
        <w:tab/>
      </w:r>
      <w:r>
        <w:t>is the volume of water supplied to the land in the current consumption year;</w:t>
      </w:r>
    </w:p>
    <w:p>
      <w:pPr>
        <w:pStyle w:val="yMiscellaneousBody"/>
        <w:tabs>
          <w:tab w:val="left" w:pos="284"/>
          <w:tab w:val="left" w:pos="1985"/>
        </w:tabs>
        <w:ind w:left="1305" w:hanging="425"/>
      </w:pPr>
      <w:r>
        <w:rPr>
          <w:b/>
        </w:rPr>
        <w:t>G</w:t>
      </w:r>
      <w:r>
        <w:tab/>
        <w:t>is the discharge factor applicable for the land for the current discharge year;</w:t>
      </w:r>
    </w:p>
    <w:p>
      <w:pPr>
        <w:pStyle w:val="yMiscellaneousBody"/>
        <w:tabs>
          <w:tab w:val="left" w:pos="284"/>
          <w:tab w:val="left" w:pos="1985"/>
        </w:tabs>
        <w:ind w:left="1305" w:hanging="425"/>
      </w:pPr>
      <w:r>
        <w:rPr>
          <w:b/>
        </w:rPr>
        <w:t>H</w:t>
      </w:r>
      <w:r>
        <w:tab/>
        <w:t>is the discharge allowance for the current discharge year worked out in accordance with item 21;</w:t>
      </w:r>
    </w:p>
    <w:p>
      <w:pPr>
        <w:pStyle w:val="yMiscellaneousBody"/>
        <w:keepNext/>
        <w:tabs>
          <w:tab w:val="left" w:pos="284"/>
          <w:tab w:val="left" w:pos="1701"/>
          <w:tab w:val="right" w:leader="dot" w:pos="6804"/>
        </w:tabs>
        <w:ind w:left="1276" w:hanging="397"/>
      </w:pPr>
      <w:r>
        <w:rPr>
          <w:b/>
          <w:szCs w:val="22"/>
        </w:rPr>
        <w:lastRenderedPageBreak/>
        <w:t>I</w:t>
      </w:r>
      <w:r>
        <w:rPr>
          <w:szCs w:val="22"/>
        </w:rPr>
        <w:tab/>
        <w:t>is $4.352</w:t>
      </w:r>
      <w:r>
        <w:t>,</w:t>
      </w:r>
    </w:p>
    <w:p>
      <w:pPr>
        <w:pStyle w:val="yMiscellaneousBody"/>
        <w:tabs>
          <w:tab w:val="left" w:pos="284"/>
          <w:tab w:val="left" w:pos="1985"/>
        </w:tabs>
        <w:ind w:left="879"/>
      </w:pPr>
      <w:r>
        <w:t xml:space="preserve">and </w:t>
      </w:r>
      <m:oMath>
        <m:d>
          <m:dPr>
            <m:ctrlPr>
              <w:rPr>
                <w:rFonts w:ascii="Cambria Math" w:hAnsi="Cambria Math"/>
              </w:rPr>
            </m:ctrlPr>
          </m:dPr>
          <m:e>
            <m:r>
              <m:rPr>
                <m:sty m:val="b"/>
              </m:rPr>
              <w:rPr>
                <w:rFonts w:ascii="Cambria Math" w:hAnsi="Cambria Math"/>
              </w:rPr>
              <m:t>F</m:t>
            </m:r>
            <m:r>
              <m:rPr>
                <m:sty m:val="p"/>
              </m:rPr>
              <w:rPr>
                <w:rFonts w:ascii="Cambria Math" w:hAnsi="Cambria Math"/>
              </w:rPr>
              <m:t>×</m:t>
            </m:r>
            <m:r>
              <m:rPr>
                <m:sty m:val="b"/>
              </m:rPr>
              <w:rPr>
                <w:rFonts w:ascii="Cambria Math" w:hAnsi="Cambria Math"/>
              </w:rPr>
              <m:t>G</m:t>
            </m:r>
          </m:e>
        </m:d>
        <m:r>
          <m:rPr>
            <m:sty m:val="p"/>
          </m:rPr>
          <w:rPr>
            <w:rFonts w:ascii="Cambria Math" w:hAnsi="Cambria Math"/>
          </w:rPr>
          <m:t>-</m:t>
        </m:r>
        <m:r>
          <m:rPr>
            <m:sty m:val="b"/>
          </m:rPr>
          <w:rPr>
            <w:rFonts w:ascii="Cambria Math" w:hAnsi="Cambria Math"/>
          </w:rPr>
          <m:t>H</m:t>
        </m:r>
      </m:oMath>
      <w:r>
        <w:t xml:space="preserve"> is rounded down to the nearest whole number.</w:t>
      </w:r>
    </w:p>
    <w:p>
      <w:pPr>
        <w:pStyle w:val="zyHeading5"/>
      </w:pPr>
      <w:bookmarkStart w:id="277" w:name="_Toc201235764"/>
      <w:bookmarkStart w:id="278" w:name="_Toc201661675"/>
      <w:r>
        <w:t>21.</w:t>
      </w:r>
      <w:r>
        <w:tab/>
        <w:t>Discharge allowance</w:t>
      </w:r>
      <w:bookmarkEnd w:id="277"/>
      <w:bookmarkEnd w:id="278"/>
    </w:p>
    <w:p>
      <w:pPr>
        <w:pStyle w:val="ySubsection"/>
      </w:pPr>
      <w:r>
        <w:tab/>
        <w:t>(1)</w:t>
      </w:r>
      <w:r>
        <w:tab/>
        <w:t>The discharge allowance for the current discharge year is —</w:t>
      </w:r>
    </w:p>
    <w:p>
      <w:pPr>
        <w:pStyle w:val="yIndenta"/>
      </w:pPr>
      <w:r>
        <w:tab/>
        <w:t>(a)</w:t>
      </w:r>
      <w:r>
        <w:tab/>
        <w:t>for land to which item 14 applies that is not covered by paragraph (e) — 200 kL;</w:t>
      </w:r>
    </w:p>
    <w:p>
      <w:pPr>
        <w:pStyle w:val="yIndenta"/>
      </w:pPr>
      <w:r>
        <w:tab/>
        <w:t>(b)</w:t>
      </w:r>
      <w:r>
        <w:tab/>
        <w:t>for land held by a government trading organisation or by a public authority that holds non</w:t>
      </w:r>
      <w:r>
        <w:noBreakHyphen/>
        <w:t>commercial government property — 200 kL;</w:t>
      </w:r>
    </w:p>
    <w:p>
      <w:pPr>
        <w:pStyle w:val="yIndenta"/>
      </w:pPr>
      <w:r>
        <w:tab/>
        <w:t>(c)</w:t>
      </w:r>
      <w:r>
        <w:tab/>
        <w:t>for a caravan park referred to in item 16, the amount (in kL) calculated in accordance with the formula in sub</w:t>
      </w:r>
      <w:r>
        <w:noBreakHyphen/>
        <w:t>item (2);</w:t>
      </w:r>
    </w:p>
    <w:p>
      <w:pPr>
        <w:pStyle w:val="yIndenta"/>
      </w:pPr>
      <w:r>
        <w:tab/>
        <w:t>(d)</w:t>
      </w:r>
      <w:r>
        <w:tab/>
        <w:t>for a nursing home referred to in item 17 — 75 kL per bed;</w:t>
      </w:r>
    </w:p>
    <w:p>
      <w:pPr>
        <w:pStyle w:val="yIndenta"/>
      </w:pPr>
      <w:r>
        <w:tab/>
        <w:t>(e)</w:t>
      </w:r>
      <w:r>
        <w:tab/>
        <w:t>for properties that share a metered property water supply connection — 200 kL for each property.</w:t>
      </w:r>
    </w:p>
    <w:p>
      <w:pPr>
        <w:pStyle w:val="ySubsection"/>
        <w:keepNext/>
      </w:pPr>
      <w:r>
        <w:tab/>
        <w:t>(2)</w:t>
      </w:r>
      <w:r>
        <w:tab/>
        <w:t>The formula for the purposes of sub</w:t>
      </w:r>
      <w:r>
        <w:noBreakHyphen/>
        <w:t>item (1)(c) is —</w:t>
      </w:r>
    </w:p>
    <w:p>
      <w:pPr>
        <w:pStyle w:val="Equation"/>
        <w:spacing w:before="120"/>
        <w:ind w:left="879"/>
        <w:rPr>
          <w:sz w:val="22"/>
        </w:rPr>
      </w:pPr>
      <m:oMathPara>
        <m:oMathParaPr>
          <m:jc m:val="left"/>
        </m:oMathParaPr>
        <m:oMath>
          <m:r>
            <m:rPr>
              <m:sty m:val="b"/>
            </m:rPr>
            <w:rPr>
              <w:rFonts w:ascii="Cambria Math" w:hAnsi="Cambria Math"/>
              <w:sz w:val="22"/>
            </w:rPr>
            <m:t>200kL</m:t>
          </m:r>
          <m:r>
            <m:rPr>
              <m:sty m:val="p"/>
            </m:rPr>
            <w:rPr>
              <w:rFonts w:ascii="Cambria Math" w:hAnsi="Cambria Math"/>
              <w:sz w:val="22"/>
            </w:rPr>
            <m:t>+</m:t>
          </m:r>
          <m:r>
            <m:rPr>
              <m:sty m:val="b"/>
            </m:rPr>
            <w:rPr>
              <w:rFonts w:ascii="Cambria Math" w:hAnsi="Cambria Math"/>
              <w:sz w:val="22"/>
            </w:rPr>
            <m:t>M</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4" w:hanging="425"/>
      </w:pPr>
      <w:r>
        <w:rPr>
          <w:b/>
        </w:rPr>
        <w:t>M</w:t>
      </w:r>
      <w:r>
        <w:tab/>
        <w:t xml:space="preserve">is 75 kL for </w:t>
      </w:r>
      <w:r>
        <w:rPr>
          <w:szCs w:val="22"/>
        </w:rPr>
        <w:t>each</w:t>
      </w:r>
      <w:r>
        <w:t xml:space="preserve"> long</w:t>
      </w:r>
      <w:r>
        <w:noBreakHyphen/>
        <w:t>term residential caravan bay.</w:t>
      </w:r>
    </w:p>
    <w:p>
      <w:pPr>
        <w:pStyle w:val="zyHeading4"/>
      </w:pPr>
      <w:bookmarkStart w:id="279" w:name="_Toc201235765"/>
      <w:bookmarkStart w:id="280" w:name="_Toc201236016"/>
      <w:bookmarkStart w:id="281" w:name="_Toc201236172"/>
      <w:bookmarkStart w:id="282" w:name="_Toc201661676"/>
      <w:r>
        <w:t>Subdivision 4 — Combined charges: non</w:t>
      </w:r>
      <w:r>
        <w:noBreakHyphen/>
        <w:t>metropolitan</w:t>
      </w:r>
      <w:bookmarkEnd w:id="279"/>
      <w:bookmarkEnd w:id="280"/>
      <w:bookmarkEnd w:id="281"/>
      <w:bookmarkEnd w:id="282"/>
    </w:p>
    <w:p>
      <w:pPr>
        <w:pStyle w:val="zyHeading5"/>
      </w:pPr>
      <w:bookmarkStart w:id="283" w:name="_Toc201235766"/>
      <w:bookmarkStart w:id="284" w:name="_Toc201661677"/>
      <w:r>
        <w:t>22.</w:t>
      </w:r>
      <w:r>
        <w:tab/>
        <w:t>Non</w:t>
      </w:r>
      <w:r>
        <w:noBreakHyphen/>
        <w:t>metropolitan non</w:t>
      </w:r>
      <w:r>
        <w:noBreakHyphen/>
        <w:t>residential</w:t>
      </w:r>
      <w:bookmarkEnd w:id="283"/>
      <w:bookmarkEnd w:id="284"/>
    </w:p>
    <w:p>
      <w:pPr>
        <w:pStyle w:val="ySubsection"/>
      </w:pPr>
      <w:r>
        <w:tab/>
      </w:r>
      <w:r>
        <w:tab/>
        <w:t>For land in the non</w:t>
      </w:r>
      <w:r>
        <w:noBreakHyphen/>
        <w:t>metropolitan area that —</w:t>
      </w:r>
    </w:p>
    <w:p>
      <w:pPr>
        <w:pStyle w:val="yIndenta"/>
      </w:pPr>
      <w:r>
        <w:tab/>
        <w:t>(a)</w:t>
      </w:r>
      <w:r>
        <w:tab/>
        <w:t>is classified as non</w:t>
      </w:r>
      <w:r>
        <w:noBreakHyphen/>
        <w:t>residential property; and</w:t>
      </w:r>
    </w:p>
    <w:p>
      <w:pPr>
        <w:pStyle w:val="yIndenta"/>
      </w:pPr>
      <w:r>
        <w:tab/>
        <w:t>(b)</w:t>
      </w:r>
      <w:r>
        <w:tab/>
        <w:t>is not covered by item 5, 6, 10, 23, 24, 25 or 26,</w:t>
      </w:r>
    </w:p>
    <w:p>
      <w:pPr>
        <w:pStyle w:val="ySubsection"/>
      </w:pPr>
      <w:r>
        <w:tab/>
      </w:r>
      <w:r>
        <w:tab/>
        <w:t>the charge is —</w:t>
      </w:r>
    </w:p>
    <w:p>
      <w:pPr>
        <w:pStyle w:val="yMiscellaneousBody"/>
        <w:tabs>
          <w:tab w:val="left" w:pos="284"/>
          <w:tab w:val="right" w:leader="dot" w:pos="6804"/>
        </w:tabs>
        <w:ind w:left="1021" w:hanging="142"/>
      </w:pPr>
      <w:r>
        <w:rPr>
          <w:szCs w:val="22"/>
        </w:rPr>
        <w:t>if</w:t>
      </w:r>
      <w:r>
        <w:t xml:space="preserve"> </w:t>
      </w:r>
      <m:oMath>
        <m:r>
          <m:rPr>
            <m:sty m:val="p"/>
          </m:rPr>
          <w:rPr>
            <w:rFonts w:ascii="Cambria Math" w:hAnsi="Cambria Math"/>
          </w:rPr>
          <m:t>(</m:t>
        </m:r>
        <m:r>
          <m:rPr>
            <m:sty m:val="b"/>
          </m:rPr>
          <w:rPr>
            <w:rFonts w:ascii="Cambria Math" w:hAnsi="Cambria Math"/>
          </w:rPr>
          <m:t>P+Q</m:t>
        </m:r>
        <m:r>
          <m:rPr>
            <m:sty m:val="p"/>
          </m:rPr>
          <w:rPr>
            <w:rFonts w:ascii="Cambria Math" w:hAnsi="Cambria Math"/>
          </w:rPr>
          <m:t>)≤</m:t>
        </m:r>
        <m:r>
          <m:rPr>
            <m:sty m:val="b"/>
          </m:rPr>
          <w:rPr>
            <w:rFonts w:ascii="Cambria Math" w:hAnsi="Cambria Math"/>
          </w:rPr>
          <m:t>R</m:t>
        </m:r>
      </m:oMath>
      <w:r>
        <w:t>,</w:t>
      </w:r>
    </w:p>
    <w:p>
      <w:pPr>
        <w:pStyle w:val="yMiscellaneousBody"/>
        <w:tabs>
          <w:tab w:val="left" w:pos="284"/>
          <w:tab w:val="left" w:pos="1985"/>
          <w:tab w:val="right" w:leader="dot" w:pos="6804"/>
        </w:tabs>
        <w:ind w:left="1021" w:hanging="142"/>
      </w:pPr>
      <w:r>
        <w:tab/>
        <w:t xml:space="preserve">then </w:t>
      </w:r>
      <m:oMath>
        <m:r>
          <m:rPr>
            <m:sty m:val="b"/>
          </m:rPr>
          <w:rPr>
            <w:rFonts w:ascii="Cambria Math" w:hAnsi="Cambria Math"/>
          </w:rPr>
          <m:t>P+Q</m:t>
        </m:r>
      </m:oMath>
    </w:p>
    <w:p>
      <w:pPr>
        <w:pStyle w:val="yMiscellaneousBody"/>
        <w:keepNext/>
        <w:tabs>
          <w:tab w:val="left" w:pos="284"/>
          <w:tab w:val="right" w:leader="dot" w:pos="6804"/>
        </w:tabs>
        <w:ind w:left="1021" w:hanging="142"/>
      </w:pPr>
      <w:r>
        <w:rPr>
          <w:szCs w:val="22"/>
        </w:rPr>
        <w:lastRenderedPageBreak/>
        <w:t>or</w:t>
      </w:r>
      <w:r>
        <w:t xml:space="preserve"> if </w:t>
      </w:r>
      <m:oMath>
        <m:r>
          <m:rPr>
            <m:sty m:val="p"/>
          </m:rPr>
          <w:rPr>
            <w:rFonts w:ascii="Cambria Math" w:hAnsi="Cambria Math"/>
          </w:rPr>
          <m:t>(</m:t>
        </m:r>
        <m:r>
          <m:rPr>
            <m:sty m:val="b"/>
          </m:rPr>
          <w:rPr>
            <w:rFonts w:ascii="Cambria Math" w:hAnsi="Cambria Math"/>
          </w:rPr>
          <m:t>P+Q</m:t>
        </m:r>
        <m:r>
          <m:rPr>
            <m:sty m:val="p"/>
          </m:rPr>
          <w:rPr>
            <w:rFonts w:ascii="Cambria Math" w:hAnsi="Cambria Math"/>
          </w:rPr>
          <m:t>)&gt;</m:t>
        </m:r>
        <m:r>
          <m:rPr>
            <m:sty m:val="b"/>
          </m:rPr>
          <w:rPr>
            <w:rFonts w:ascii="Cambria Math" w:hAnsi="Cambria Math"/>
          </w:rPr>
          <m:t>R</m:t>
        </m:r>
      </m:oMath>
      <w:r>
        <w:t>; and</w:t>
      </w:r>
    </w:p>
    <w:p>
      <w:pPr>
        <w:pStyle w:val="yMiscellaneousBody"/>
        <w:tabs>
          <w:tab w:val="left" w:pos="284"/>
          <w:tab w:val="right" w:leader="dot" w:pos="6804"/>
        </w:tabs>
        <w:ind w:left="1282" w:hanging="142"/>
        <w:rPr>
          <w:rFonts w:ascii="Cambria Math" w:hAnsi="Cambria Math"/>
          <w:b/>
          <w:bCs/>
        </w:rPr>
      </w:pPr>
      <m:oMath>
        <m:r>
          <m:rPr>
            <m:sty m:val="b"/>
          </m:rPr>
          <w:rPr>
            <w:rFonts w:ascii="Cambria Math" w:hAnsi="Cambria Math"/>
          </w:rPr>
          <m:t>N≤W</m:t>
        </m:r>
      </m:oMath>
      <w:r>
        <w:rPr>
          <w:rFonts w:ascii="Cambria Math" w:hAnsi="Cambria Math"/>
          <w:b/>
          <w:bCs/>
        </w:rPr>
        <w:t>,</w:t>
      </w:r>
    </w:p>
    <w:p>
      <w:pPr>
        <w:pStyle w:val="yMiscellaneousBody"/>
        <w:tabs>
          <w:tab w:val="left" w:pos="284"/>
          <w:tab w:val="left" w:pos="1985"/>
          <w:tab w:val="right" w:leader="dot" w:pos="6804"/>
        </w:tabs>
        <w:ind w:left="1424" w:hanging="142"/>
      </w:pPr>
      <w:r>
        <w:tab/>
        <w:t xml:space="preserve">then </w:t>
      </w:r>
      <w:r>
        <w:rPr>
          <w:b/>
        </w:rPr>
        <w:t>R</w:t>
      </w:r>
    </w:p>
    <w:p>
      <w:pPr>
        <w:pStyle w:val="yMiscellaneousBody"/>
        <w:tabs>
          <w:tab w:val="left" w:pos="284"/>
          <w:tab w:val="left" w:pos="1985"/>
          <w:tab w:val="right" w:leader="dot" w:pos="6804"/>
        </w:tabs>
        <w:ind w:left="1021" w:hanging="142"/>
      </w:pPr>
      <w:r>
        <w:t xml:space="preserve">or if </w:t>
      </w:r>
      <m:oMath>
        <m:r>
          <m:rPr>
            <m:sty m:val="p"/>
          </m:rPr>
          <w:rPr>
            <w:rFonts w:ascii="Cambria Math" w:hAnsi="Cambria Math"/>
          </w:rPr>
          <m:t>(</m:t>
        </m:r>
        <m:r>
          <m:rPr>
            <m:sty m:val="b"/>
          </m:rPr>
          <w:rPr>
            <w:rFonts w:ascii="Cambria Math" w:hAnsi="Cambria Math"/>
          </w:rPr>
          <m:t>P+Q</m:t>
        </m:r>
        <m:r>
          <m:rPr>
            <m:sty m:val="p"/>
          </m:rPr>
          <w:rPr>
            <w:rFonts w:ascii="Cambria Math" w:hAnsi="Cambria Math"/>
          </w:rPr>
          <m:t>)&gt;</m:t>
        </m:r>
        <m:r>
          <m:rPr>
            <m:sty m:val="b"/>
          </m:rPr>
          <w:rPr>
            <w:rFonts w:ascii="Cambria Math" w:hAnsi="Cambria Math"/>
          </w:rPr>
          <m:t>R</m:t>
        </m:r>
      </m:oMath>
      <w:r>
        <w:t>; and</w:t>
      </w:r>
    </w:p>
    <w:p>
      <w:pPr>
        <w:pStyle w:val="yMiscellaneousBody"/>
        <w:tabs>
          <w:tab w:val="left" w:pos="284"/>
          <w:tab w:val="right" w:leader="dot" w:pos="6804"/>
        </w:tabs>
        <w:ind w:left="1424" w:hanging="142"/>
        <w:rPr>
          <w:rFonts w:ascii="Cambria Math" w:hAnsi="Cambria Math"/>
          <w:b/>
          <w:bCs/>
        </w:rPr>
      </w:pPr>
      <m:oMath>
        <m:r>
          <m:rPr>
            <m:sty m:val="b"/>
          </m:rPr>
          <w:rPr>
            <w:rFonts w:ascii="Cambria Math" w:hAnsi="Cambria Math"/>
          </w:rPr>
          <m:t>N&gt;W</m:t>
        </m:r>
      </m:oMath>
      <w:r>
        <w:rPr>
          <w:rFonts w:ascii="Cambria Math" w:hAnsi="Cambria Math"/>
          <w:b/>
          <w:bCs/>
        </w:rPr>
        <w:t>,</w:t>
      </w:r>
    </w:p>
    <w:p>
      <w:pPr>
        <w:pStyle w:val="yMiscellaneousBody"/>
        <w:tabs>
          <w:tab w:val="left" w:pos="284"/>
          <w:tab w:val="left" w:pos="1985"/>
          <w:tab w:val="right" w:leader="dot" w:pos="6804"/>
        </w:tabs>
        <w:ind w:left="1566" w:hanging="142"/>
      </w:pPr>
      <w:r>
        <w:tab/>
        <w:t xml:space="preserve">then </w:t>
      </w:r>
      <m:oMath>
        <m:r>
          <m:rPr>
            <m:sty m:val="b"/>
          </m:rPr>
          <w:rPr>
            <w:rFonts w:ascii="Cambria Math" w:hAnsi="Cambria Math"/>
          </w:rPr>
          <m:t>R</m:t>
        </m:r>
        <m:r>
          <m:rPr>
            <m:sty m:val="p"/>
          </m:rPr>
          <w:rPr>
            <w:rFonts w:ascii="Cambria Math" w:hAnsi="Cambria Math"/>
          </w:rPr>
          <m:t>+((</m:t>
        </m:r>
        <m:r>
          <m:rPr>
            <m:sty m:val="b"/>
          </m:rPr>
          <w:rPr>
            <w:rFonts w:ascii="Cambria Math" w:hAnsi="Cambria Math"/>
          </w:rPr>
          <m:t>N</m:t>
        </m:r>
        <m:r>
          <m:rPr>
            <m:sty m:val="p"/>
          </m:rPr>
          <w:rPr>
            <w:rFonts w:ascii="Cambria Math" w:hAnsi="Cambria Math"/>
          </w:rPr>
          <m:t>-</m:t>
        </m:r>
        <m:r>
          <m:rPr>
            <m:sty m:val="b"/>
          </m:rPr>
          <w:rPr>
            <w:rFonts w:ascii="Cambria Math" w:hAnsi="Cambria Math"/>
          </w:rPr>
          <m:t>W</m:t>
        </m:r>
        <m:r>
          <m:rPr>
            <m:sty m:val="p"/>
          </m:rPr>
          <w:rPr>
            <w:rFonts w:ascii="Cambria Math" w:hAnsi="Cambria Math"/>
          </w:rPr>
          <m:t>)×</m:t>
        </m:r>
        <m:r>
          <m:rPr>
            <m:sty m:val="b"/>
          </m:rPr>
          <w:rPr>
            <w:rFonts w:ascii="Cambria Math" w:hAnsi="Cambria Math"/>
          </w:rPr>
          <m:t>I</m:t>
        </m:r>
        <m:r>
          <m:rPr>
            <m:sty m:val="p"/>
          </m:rPr>
          <w:rPr>
            <w:rFonts w:ascii="Cambria Math" w:hAnsi="Cambria Math"/>
          </w:rPr>
          <m:t>)</m:t>
        </m:r>
      </m:oMath>
    </w:p>
    <w:p>
      <w:pPr>
        <w:pStyle w:val="yMiscellaneousBody"/>
        <w:tabs>
          <w:tab w:val="left" w:pos="284"/>
          <w:tab w:val="right" w:leader="dot" w:pos="6804"/>
        </w:tabs>
        <w:ind w:left="1282" w:hanging="142"/>
      </w:pPr>
      <w:r>
        <w:t xml:space="preserve">where — </w:t>
      </w:r>
    </w:p>
    <w:p>
      <w:pPr>
        <w:pStyle w:val="yMiscellaneousBody"/>
        <w:tabs>
          <w:tab w:val="left" w:pos="284"/>
          <w:tab w:val="left" w:pos="1985"/>
        </w:tabs>
        <w:ind w:left="1566" w:hanging="425"/>
      </w:pPr>
      <w:r>
        <w:rPr>
          <w:b/>
        </w:rPr>
        <w:t>P</w:t>
      </w:r>
      <w:r>
        <w:tab/>
        <w:t>is the service charge calculated in accordance with item 27;</w:t>
      </w:r>
    </w:p>
    <w:p>
      <w:pPr>
        <w:pStyle w:val="yMiscellaneousBody"/>
        <w:tabs>
          <w:tab w:val="left" w:pos="284"/>
          <w:tab w:val="left" w:pos="1985"/>
        </w:tabs>
        <w:ind w:left="1566" w:hanging="425"/>
      </w:pPr>
      <w:r>
        <w:rPr>
          <w:b/>
        </w:rPr>
        <w:t>Q</w:t>
      </w:r>
      <w:r>
        <w:tab/>
        <w:t>is the discharge charge calculated in accordance with item 28;</w:t>
      </w:r>
    </w:p>
    <w:p>
      <w:pPr>
        <w:pStyle w:val="yMiscellaneousBody"/>
        <w:tabs>
          <w:tab w:val="left" w:pos="284"/>
          <w:tab w:val="left" w:pos="1985"/>
        </w:tabs>
        <w:ind w:left="1566" w:hanging="425"/>
      </w:pPr>
      <w:r>
        <w:rPr>
          <w:b/>
        </w:rPr>
        <w:t>R</w:t>
      </w:r>
      <w:r>
        <w:tab/>
        <w:t>is the maximum charge calculated in accordance with item 30;</w:t>
      </w:r>
    </w:p>
    <w:p>
      <w:pPr>
        <w:pStyle w:val="yMiscellaneousBody"/>
        <w:tabs>
          <w:tab w:val="left" w:pos="284"/>
          <w:tab w:val="left" w:pos="1985"/>
        </w:tabs>
        <w:ind w:left="1566" w:hanging="425"/>
      </w:pPr>
      <w:r>
        <w:rPr>
          <w:b/>
        </w:rPr>
        <w:t>N</w:t>
      </w:r>
      <w:r>
        <w:tab/>
        <w:t>is the discharge volume for the current discharge year;</w:t>
      </w:r>
    </w:p>
    <w:p>
      <w:pPr>
        <w:pStyle w:val="yMiscellaneousBody"/>
        <w:tabs>
          <w:tab w:val="left" w:pos="284"/>
          <w:tab w:val="left" w:pos="1985"/>
        </w:tabs>
        <w:ind w:left="1566" w:hanging="425"/>
      </w:pPr>
      <w:r>
        <w:rPr>
          <w:b/>
        </w:rPr>
        <w:t>W</w:t>
      </w:r>
      <w:r>
        <w:tab/>
        <w:t>is the discharge volume for the most recently completed discharge year;</w:t>
      </w:r>
    </w:p>
    <w:p>
      <w:pPr>
        <w:pStyle w:val="yMiscellaneousBody"/>
        <w:tabs>
          <w:tab w:val="left" w:pos="284"/>
          <w:tab w:val="left" w:pos="1985"/>
        </w:tabs>
        <w:ind w:left="1566" w:hanging="425"/>
      </w:pPr>
      <w:r>
        <w:rPr>
          <w:b/>
        </w:rPr>
        <w:t>I</w:t>
      </w:r>
      <w:r>
        <w:tab/>
        <w:t>is $4.352.</w:t>
      </w:r>
    </w:p>
    <w:p>
      <w:pPr>
        <w:pStyle w:val="zyHeading5"/>
      </w:pPr>
      <w:bookmarkStart w:id="285" w:name="_Toc201235767"/>
      <w:bookmarkStart w:id="286" w:name="_Toc201661678"/>
      <w:r>
        <w:t>23.</w:t>
      </w:r>
      <w:r>
        <w:tab/>
        <w:t>Non</w:t>
      </w:r>
      <w:r>
        <w:noBreakHyphen/>
        <w:t>metropolitan non</w:t>
      </w:r>
      <w:r>
        <w:noBreakHyphen/>
        <w:t>strata titled caravan park with long</w:t>
      </w:r>
      <w:r>
        <w:noBreakHyphen/>
        <w:t>term residential caravan bays</w:t>
      </w:r>
      <w:bookmarkEnd w:id="285"/>
      <w:bookmarkEnd w:id="286"/>
    </w:p>
    <w:p>
      <w:pPr>
        <w:pStyle w:val="ySubsection"/>
      </w:pPr>
      <w:r>
        <w:tab/>
      </w:r>
      <w:r>
        <w:tab/>
        <w:t>For a caravan park in the non</w:t>
      </w:r>
      <w:r>
        <w:noBreakHyphen/>
        <w:t xml:space="preserve">metropolitan area that — </w:t>
      </w:r>
    </w:p>
    <w:p>
      <w:pPr>
        <w:pStyle w:val="yIndenta"/>
      </w:pPr>
      <w:r>
        <w:tab/>
        <w:t>(a)</w:t>
      </w:r>
      <w:r>
        <w:tab/>
        <w:t>does not consist wholly of strata</w:t>
      </w:r>
      <w:r>
        <w:noBreakHyphen/>
        <w:t>titled caravan bays; and</w:t>
      </w:r>
    </w:p>
    <w:p>
      <w:pPr>
        <w:pStyle w:val="yIndenta"/>
      </w:pPr>
      <w:r>
        <w:tab/>
        <w:t>(b)</w:t>
      </w:r>
      <w:r>
        <w:tab/>
        <w:t>has long</w:t>
      </w:r>
      <w:r>
        <w:noBreakHyphen/>
        <w:t>term residential caravan bays,</w:t>
      </w:r>
    </w:p>
    <w:p>
      <w:pPr>
        <w:pStyle w:val="ySubsection"/>
      </w:pPr>
      <w:r>
        <w:tab/>
      </w:r>
      <w:r>
        <w:tab/>
        <w:t>the charge is —</w:t>
      </w:r>
    </w:p>
    <w:p>
      <w:pPr>
        <w:pStyle w:val="Equation"/>
        <w:spacing w:before="120"/>
        <w:ind w:left="879"/>
        <w:rPr>
          <w:sz w:val="22"/>
        </w:rPr>
      </w:pPr>
      <m:oMathPara>
        <m:oMathParaPr>
          <m:jc m:val="left"/>
        </m:oMathParaPr>
        <m:oMath>
          <m:r>
            <m:rPr>
              <m:sty m:val="b"/>
            </m:rPr>
            <w:rPr>
              <w:rFonts w:ascii="Cambria Math" w:hAnsi="Cambria Math"/>
              <w:sz w:val="22"/>
            </w:rPr>
            <m:t>AA</m:t>
          </m:r>
          <m:r>
            <m:rPr>
              <m:sty m:val="p"/>
            </m:rPr>
            <w:rPr>
              <w:rFonts w:ascii="Cambria Math" w:hAnsi="Cambria Math"/>
              <w:sz w:val="22"/>
            </w:rPr>
            <m:t>+</m:t>
          </m:r>
          <m:r>
            <m:rPr>
              <m:sty m:val="b"/>
            </m:rPr>
            <w:rPr>
              <w:rFonts w:ascii="Cambria Math" w:hAnsi="Cambria Math"/>
              <w:sz w:val="22"/>
            </w:rPr>
            <m:t>AB</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AA</w:t>
      </w:r>
      <w:r>
        <w:tab/>
        <w:t xml:space="preserve"> is</w:t>
      </w:r>
      <w:r>
        <w:rPr>
          <w:szCs w:val="22"/>
        </w:rPr>
        <w:t xml:space="preserve"> $378.70 </w:t>
      </w:r>
      <w:r>
        <w:t>for each long</w:t>
      </w:r>
      <w:r>
        <w:noBreakHyphen/>
        <w:t>term residential caravan bay;</w:t>
      </w:r>
    </w:p>
    <w:p>
      <w:pPr>
        <w:pStyle w:val="yMiscellaneousBody"/>
        <w:keepNext/>
        <w:tabs>
          <w:tab w:val="left" w:pos="284"/>
          <w:tab w:val="left" w:pos="1985"/>
        </w:tabs>
        <w:ind w:left="1305" w:hanging="425"/>
      </w:pPr>
      <w:r>
        <w:rPr>
          <w:b/>
        </w:rPr>
        <w:lastRenderedPageBreak/>
        <w:t>AB</w:t>
      </w:r>
      <w:r>
        <w:tab/>
        <w:t xml:space="preserve">is, for those parts of </w:t>
      </w:r>
      <w:r>
        <w:rPr>
          <w:szCs w:val="22"/>
        </w:rPr>
        <w:t>the</w:t>
      </w:r>
      <w:r>
        <w:t xml:space="preserve"> caravan park not consisting of long</w:t>
      </w:r>
      <w:r>
        <w:noBreakHyphen/>
        <w:t xml:space="preserve">term residential caravan bays — </w:t>
      </w:r>
    </w:p>
    <w:p>
      <w:pPr>
        <w:pStyle w:val="yMiscellaneousBody"/>
        <w:keepNext/>
        <w:tabs>
          <w:tab w:val="left" w:pos="284"/>
          <w:tab w:val="right" w:leader="dot" w:pos="6804"/>
        </w:tabs>
        <w:ind w:left="1021" w:hanging="142"/>
      </w:pPr>
      <w:r>
        <w:rPr>
          <w:szCs w:val="22"/>
        </w:rPr>
        <w:t>if</w:t>
      </w:r>
      <w:r>
        <w:t xml:space="preserve"> </w:t>
      </w:r>
      <m:oMath>
        <m:r>
          <m:rPr>
            <m:sty m:val="p"/>
          </m:rPr>
          <w:rPr>
            <w:rFonts w:ascii="Cambria Math" w:hAnsi="Cambria Math"/>
          </w:rPr>
          <m:t>(</m:t>
        </m:r>
        <m:r>
          <m:rPr>
            <m:sty m:val="b"/>
          </m:rPr>
          <w:rPr>
            <w:rFonts w:ascii="Cambria Math" w:hAnsi="Cambria Math"/>
          </w:rPr>
          <m:t>Y+Q</m:t>
        </m:r>
        <m:r>
          <m:rPr>
            <m:sty m:val="p"/>
          </m:rPr>
          <w:rPr>
            <w:rFonts w:ascii="Cambria Math" w:hAnsi="Cambria Math"/>
          </w:rPr>
          <m:t>)≤</m:t>
        </m:r>
        <m:r>
          <m:rPr>
            <m:sty m:val="b"/>
          </m:rPr>
          <w:rPr>
            <w:rFonts w:ascii="Cambria Math" w:hAnsi="Cambria Math"/>
          </w:rPr>
          <m:t>R</m:t>
        </m:r>
      </m:oMath>
      <w:r>
        <w:t>,</w:t>
      </w:r>
    </w:p>
    <w:p>
      <w:pPr>
        <w:pStyle w:val="yMiscellaneousBody"/>
        <w:tabs>
          <w:tab w:val="left" w:pos="284"/>
          <w:tab w:val="left" w:pos="1985"/>
          <w:tab w:val="right" w:leader="dot" w:pos="6804"/>
        </w:tabs>
        <w:ind w:left="1021" w:hanging="142"/>
      </w:pPr>
      <w:r>
        <w:tab/>
        <w:t xml:space="preserve">then </w:t>
      </w:r>
      <m:oMath>
        <m:r>
          <m:rPr>
            <m:sty m:val="b"/>
          </m:rPr>
          <w:rPr>
            <w:rFonts w:ascii="Cambria Math" w:hAnsi="Cambria Math"/>
          </w:rPr>
          <m:t>Y+Q</m:t>
        </m:r>
      </m:oMath>
    </w:p>
    <w:p>
      <w:pPr>
        <w:pStyle w:val="yMiscellaneousBody"/>
        <w:tabs>
          <w:tab w:val="left" w:pos="284"/>
          <w:tab w:val="left" w:pos="1985"/>
          <w:tab w:val="right" w:leader="dot" w:pos="6804"/>
        </w:tabs>
        <w:ind w:left="1021" w:hanging="142"/>
      </w:pPr>
      <w:r>
        <w:t xml:space="preserve">or if </w:t>
      </w:r>
      <m:oMath>
        <m:r>
          <m:rPr>
            <m:sty m:val="p"/>
          </m:rPr>
          <w:rPr>
            <w:rFonts w:ascii="Cambria Math" w:hAnsi="Cambria Math"/>
          </w:rPr>
          <m:t>(</m:t>
        </m:r>
        <m:r>
          <m:rPr>
            <m:sty m:val="b"/>
          </m:rPr>
          <w:rPr>
            <w:rFonts w:ascii="Cambria Math" w:hAnsi="Cambria Math"/>
          </w:rPr>
          <m:t>Y+Q</m:t>
        </m:r>
        <m:r>
          <m:rPr>
            <m:sty m:val="p"/>
          </m:rPr>
          <w:rPr>
            <w:rFonts w:ascii="Cambria Math" w:hAnsi="Cambria Math"/>
          </w:rPr>
          <m:t>)&gt;</m:t>
        </m:r>
        <m:r>
          <m:rPr>
            <m:sty m:val="b"/>
          </m:rPr>
          <w:rPr>
            <w:rFonts w:ascii="Cambria Math" w:hAnsi="Cambria Math"/>
          </w:rPr>
          <m:t>R</m:t>
        </m:r>
      </m:oMath>
      <w:r>
        <w:t>; and</w:t>
      </w:r>
    </w:p>
    <w:p>
      <w:pPr>
        <w:pStyle w:val="yMiscellaneousBody"/>
        <w:tabs>
          <w:tab w:val="left" w:pos="284"/>
          <w:tab w:val="right" w:leader="dot" w:pos="6804"/>
        </w:tabs>
        <w:ind w:left="1163" w:hanging="142"/>
        <w:rPr>
          <w:rFonts w:ascii="Cambria Math" w:hAnsi="Cambria Math"/>
          <w:bCs/>
        </w:rPr>
      </w:pPr>
      <m:oMath>
        <m:r>
          <m:rPr>
            <m:sty m:val="b"/>
          </m:rPr>
          <w:rPr>
            <w:rFonts w:ascii="Cambria Math" w:hAnsi="Cambria Math"/>
          </w:rPr>
          <m:t>N≤W</m:t>
        </m:r>
      </m:oMath>
      <w:r>
        <w:rPr>
          <w:rFonts w:ascii="Cambria Math" w:hAnsi="Cambria Math"/>
          <w:bCs/>
        </w:rPr>
        <w:t>,</w:t>
      </w:r>
    </w:p>
    <w:p>
      <w:pPr>
        <w:pStyle w:val="yMiscellaneousBody"/>
        <w:tabs>
          <w:tab w:val="left" w:pos="284"/>
          <w:tab w:val="left" w:pos="1985"/>
          <w:tab w:val="right" w:leader="dot" w:pos="6804"/>
        </w:tabs>
        <w:ind w:left="1163" w:hanging="142"/>
        <w:rPr>
          <w:b/>
        </w:rPr>
      </w:pPr>
      <w:r>
        <w:tab/>
        <w:t xml:space="preserve">then </w:t>
      </w:r>
      <w:r>
        <w:rPr>
          <w:b/>
        </w:rPr>
        <w:t>R</w:t>
      </w:r>
    </w:p>
    <w:p>
      <w:pPr>
        <w:pStyle w:val="yMiscellaneousBody"/>
        <w:tabs>
          <w:tab w:val="left" w:pos="284"/>
          <w:tab w:val="left" w:pos="1985"/>
          <w:tab w:val="right" w:leader="dot" w:pos="6804"/>
        </w:tabs>
        <w:ind w:left="1021" w:hanging="142"/>
        <w:rPr>
          <w:b/>
        </w:rPr>
      </w:pPr>
      <w:r>
        <w:t xml:space="preserve">or if </w:t>
      </w:r>
      <m:oMath>
        <m:r>
          <m:rPr>
            <m:sty m:val="p"/>
          </m:rPr>
          <w:rPr>
            <w:rFonts w:ascii="Cambria Math" w:hAnsi="Cambria Math"/>
          </w:rPr>
          <m:t>(</m:t>
        </m:r>
        <m:r>
          <m:rPr>
            <m:sty m:val="b"/>
          </m:rPr>
          <w:rPr>
            <w:rFonts w:ascii="Cambria Math" w:hAnsi="Cambria Math"/>
          </w:rPr>
          <m:t>Y+Q</m:t>
        </m:r>
        <m:r>
          <m:rPr>
            <m:sty m:val="p"/>
          </m:rPr>
          <w:rPr>
            <w:rFonts w:ascii="Cambria Math" w:hAnsi="Cambria Math"/>
          </w:rPr>
          <m:t>)&gt;</m:t>
        </m:r>
        <m:r>
          <m:rPr>
            <m:sty m:val="b"/>
          </m:rPr>
          <w:rPr>
            <w:rFonts w:ascii="Cambria Math" w:hAnsi="Cambria Math"/>
          </w:rPr>
          <m:t>R</m:t>
        </m:r>
      </m:oMath>
      <w:r>
        <w:t>; and</w:t>
      </w:r>
    </w:p>
    <w:p>
      <w:pPr>
        <w:pStyle w:val="yMiscellaneousBody"/>
        <w:tabs>
          <w:tab w:val="left" w:pos="284"/>
          <w:tab w:val="right" w:leader="dot" w:pos="6804"/>
        </w:tabs>
        <w:ind w:left="1163" w:hanging="142"/>
      </w:pPr>
      <m:oMath>
        <m:r>
          <m:rPr>
            <m:sty m:val="b"/>
          </m:rPr>
          <w:rPr>
            <w:rFonts w:ascii="Cambria Math" w:hAnsi="Cambria Math"/>
          </w:rPr>
          <m:t>N</m:t>
        </m:r>
        <m:r>
          <m:rPr>
            <m:sty m:val="p"/>
          </m:rPr>
          <w:rPr>
            <w:rFonts w:ascii="Cambria Math" w:hAnsi="Cambria Math"/>
          </w:rPr>
          <m:t>&gt;</m:t>
        </m:r>
        <m:r>
          <m:rPr>
            <m:sty m:val="b"/>
          </m:rPr>
          <w:rPr>
            <w:rFonts w:ascii="Cambria Math" w:hAnsi="Cambria Math"/>
          </w:rPr>
          <m:t>W</m:t>
        </m:r>
      </m:oMath>
      <w:r>
        <w:t>,</w:t>
      </w:r>
    </w:p>
    <w:p>
      <w:pPr>
        <w:pStyle w:val="yMiscellaneousBody"/>
        <w:tabs>
          <w:tab w:val="left" w:pos="284"/>
          <w:tab w:val="left" w:pos="1985"/>
          <w:tab w:val="right" w:leader="dot" w:pos="6804"/>
        </w:tabs>
        <w:ind w:left="1163" w:hanging="142"/>
      </w:pPr>
      <w:r>
        <w:tab/>
        <w:t xml:space="preserve">then </w:t>
      </w:r>
      <m:oMath>
        <m:r>
          <m:rPr>
            <m:sty m:val="b"/>
          </m:rPr>
          <w:rPr>
            <w:rFonts w:ascii="Cambria Math" w:hAnsi="Cambria Math"/>
          </w:rPr>
          <m:t>R</m:t>
        </m:r>
        <m:r>
          <m:rPr>
            <m:sty m:val="p"/>
          </m:rPr>
          <w:rPr>
            <w:rFonts w:ascii="Cambria Math" w:hAnsi="Cambria Math"/>
          </w:rPr>
          <m:t>+((</m:t>
        </m:r>
        <m:r>
          <m:rPr>
            <m:sty m:val="b"/>
          </m:rPr>
          <w:rPr>
            <w:rFonts w:ascii="Cambria Math" w:hAnsi="Cambria Math"/>
          </w:rPr>
          <m:t>N</m:t>
        </m:r>
        <m:r>
          <m:rPr>
            <m:sty m:val="p"/>
          </m:rPr>
          <w:rPr>
            <w:rFonts w:ascii="Cambria Math" w:hAnsi="Cambria Math"/>
          </w:rPr>
          <m:t>-</m:t>
        </m:r>
        <m:r>
          <m:rPr>
            <m:sty m:val="b"/>
          </m:rPr>
          <w:rPr>
            <w:rFonts w:ascii="Cambria Math" w:hAnsi="Cambria Math"/>
          </w:rPr>
          <m:t>W</m:t>
        </m:r>
        <m:r>
          <m:rPr>
            <m:sty m:val="p"/>
          </m:rPr>
          <w:rPr>
            <w:rFonts w:ascii="Cambria Math" w:hAnsi="Cambria Math"/>
          </w:rPr>
          <m:t>)×</m:t>
        </m:r>
        <m:r>
          <m:rPr>
            <m:sty m:val="b"/>
          </m:rPr>
          <w:rPr>
            <w:rFonts w:ascii="Cambria Math" w:hAnsi="Cambria Math"/>
          </w:rPr>
          <m:t>I</m:t>
        </m:r>
        <m:r>
          <m:rPr>
            <m:sty m:val="p"/>
          </m:rPr>
          <w:rPr>
            <w:rFonts w:ascii="Cambria Math" w:hAnsi="Cambria Math"/>
          </w:rPr>
          <m:t>)</m:t>
        </m:r>
      </m:oMath>
    </w:p>
    <w:p>
      <w:pPr>
        <w:pStyle w:val="yMiscellaneousBody"/>
        <w:tabs>
          <w:tab w:val="left" w:pos="284"/>
          <w:tab w:val="right" w:leader="dot" w:pos="6804"/>
        </w:tabs>
        <w:ind w:left="1163" w:hanging="142"/>
      </w:pPr>
      <w:r>
        <w:t xml:space="preserve">where — </w:t>
      </w:r>
    </w:p>
    <w:p>
      <w:pPr>
        <w:pStyle w:val="yMiscellaneousBody"/>
        <w:tabs>
          <w:tab w:val="left" w:pos="284"/>
          <w:tab w:val="left" w:pos="1985"/>
        </w:tabs>
        <w:ind w:left="1446" w:hanging="425"/>
      </w:pPr>
      <w:r>
        <w:rPr>
          <w:b/>
        </w:rPr>
        <w:t>Y</w:t>
      </w:r>
      <w:r>
        <w:tab/>
        <w:t xml:space="preserve">is the charge according to the number of major </w:t>
      </w:r>
      <w:r>
        <w:rPr>
          <w:szCs w:val="22"/>
        </w:rPr>
        <w:t>fixtures</w:t>
      </w:r>
      <w:r>
        <w:t xml:space="preserve"> for the relevant part of the caravan park, that is, “</w:t>
      </w:r>
      <w:r>
        <w:rPr>
          <w:b/>
        </w:rPr>
        <w:t>C</w:t>
      </w:r>
      <w:r>
        <w:t>” in item 27;</w:t>
      </w:r>
    </w:p>
    <w:p>
      <w:pPr>
        <w:pStyle w:val="yMiscellaneousBody"/>
        <w:tabs>
          <w:tab w:val="left" w:pos="284"/>
          <w:tab w:val="left" w:pos="1985"/>
        </w:tabs>
        <w:ind w:left="1446" w:hanging="425"/>
      </w:pPr>
      <w:r>
        <w:rPr>
          <w:b/>
        </w:rPr>
        <w:t>Q</w:t>
      </w:r>
      <w:r>
        <w:tab/>
        <w:t xml:space="preserve">is </w:t>
      </w:r>
      <w:r>
        <w:rPr>
          <w:szCs w:val="22"/>
        </w:rPr>
        <w:t>the</w:t>
      </w:r>
      <w:r>
        <w:t xml:space="preserve"> discharge charge calculated in accordance with item 28;</w:t>
      </w:r>
    </w:p>
    <w:p>
      <w:pPr>
        <w:pStyle w:val="yMiscellaneousBody"/>
        <w:tabs>
          <w:tab w:val="left" w:pos="284"/>
          <w:tab w:val="left" w:pos="1985"/>
        </w:tabs>
        <w:ind w:left="1446" w:hanging="425"/>
      </w:pPr>
      <w:r>
        <w:rPr>
          <w:b/>
        </w:rPr>
        <w:t>R</w:t>
      </w:r>
      <w:r>
        <w:tab/>
        <w:t>is the maximum charge calculated in accordance with item 30;</w:t>
      </w:r>
    </w:p>
    <w:p>
      <w:pPr>
        <w:pStyle w:val="yMiscellaneousBody"/>
        <w:tabs>
          <w:tab w:val="left" w:pos="284"/>
          <w:tab w:val="left" w:pos="1985"/>
        </w:tabs>
        <w:ind w:left="1446" w:hanging="425"/>
      </w:pPr>
      <w:r>
        <w:rPr>
          <w:b/>
        </w:rPr>
        <w:t>N</w:t>
      </w:r>
      <w:r>
        <w:tab/>
        <w:t>is the discharge volume for the current discharge year;</w:t>
      </w:r>
    </w:p>
    <w:p>
      <w:pPr>
        <w:pStyle w:val="yMiscellaneousBody"/>
        <w:tabs>
          <w:tab w:val="left" w:pos="284"/>
          <w:tab w:val="left" w:pos="1985"/>
        </w:tabs>
        <w:ind w:left="1446" w:hanging="425"/>
      </w:pPr>
      <w:r>
        <w:rPr>
          <w:b/>
        </w:rPr>
        <w:t>W</w:t>
      </w:r>
      <w:r>
        <w:tab/>
        <w:t xml:space="preserve">is the discharge volume for the most recently </w:t>
      </w:r>
      <w:r>
        <w:rPr>
          <w:szCs w:val="22"/>
        </w:rPr>
        <w:t>completed</w:t>
      </w:r>
      <w:r>
        <w:t xml:space="preserve"> discharge year;</w:t>
      </w:r>
    </w:p>
    <w:p>
      <w:pPr>
        <w:pStyle w:val="yMiscellaneousBody"/>
        <w:tabs>
          <w:tab w:val="left" w:pos="284"/>
          <w:tab w:val="left" w:pos="1985"/>
        </w:tabs>
        <w:ind w:left="1446" w:hanging="425"/>
      </w:pPr>
      <w:r>
        <w:rPr>
          <w:b/>
        </w:rPr>
        <w:t>I</w:t>
      </w:r>
      <w:r>
        <w:rPr>
          <w:b/>
        </w:rPr>
        <w:tab/>
      </w:r>
      <w:r>
        <w:t>is</w:t>
      </w:r>
      <w:r>
        <w:rPr>
          <w:szCs w:val="22"/>
        </w:rPr>
        <w:t xml:space="preserve"> </w:t>
      </w:r>
      <w:r>
        <w:t>$4.352.</w:t>
      </w:r>
    </w:p>
    <w:p>
      <w:pPr>
        <w:pStyle w:val="zyHeading5"/>
      </w:pPr>
      <w:bookmarkStart w:id="287" w:name="_Toc201235768"/>
      <w:bookmarkStart w:id="288" w:name="_Toc201661679"/>
      <w:r>
        <w:t>24.</w:t>
      </w:r>
      <w:r>
        <w:tab/>
        <w:t>Non</w:t>
      </w:r>
      <w:r>
        <w:noBreakHyphen/>
        <w:t>metropolitan nursing home</w:t>
      </w:r>
      <w:bookmarkEnd w:id="287"/>
      <w:bookmarkEnd w:id="288"/>
    </w:p>
    <w:p>
      <w:pPr>
        <w:pStyle w:val="ySubsection"/>
      </w:pPr>
      <w:r>
        <w:tab/>
      </w:r>
      <w:r>
        <w:tab/>
        <w:t>For a nursing home in the non</w:t>
      </w:r>
      <w:r>
        <w:noBreakHyphen/>
        <w:t>metropolitan area, other than a nursing home that is, or is part of, an aged home, the charge is —</w:t>
      </w:r>
    </w:p>
    <w:p>
      <w:pPr>
        <w:pStyle w:val="Equation"/>
        <w:spacing w:before="120"/>
        <w:ind w:left="879"/>
        <w:rPr>
          <w:b/>
          <w:noProof w:val="0"/>
          <w:sz w:val="22"/>
        </w:rPr>
      </w:pPr>
      <m:oMathPara>
        <m:oMathParaPr>
          <m:jc m:val="left"/>
        </m:oMathParaPr>
        <m:oMath>
          <m:r>
            <m:rPr>
              <m:sty m:val="b"/>
            </m:rPr>
            <w:rPr>
              <w:rFonts w:ascii="Cambria Math" w:hAnsi="Cambria Math"/>
              <w:noProof w:val="0"/>
              <w:sz w:val="22"/>
            </w:rPr>
            <m:t>T+Q</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Q</w:t>
      </w:r>
      <w:r>
        <w:tab/>
        <w:t>is the discharge charge calculated in accordance with item 28;</w:t>
      </w:r>
    </w:p>
    <w:p>
      <w:pPr>
        <w:pStyle w:val="yMiscellaneousBody"/>
        <w:tabs>
          <w:tab w:val="left" w:pos="284"/>
          <w:tab w:val="left" w:pos="1985"/>
        </w:tabs>
        <w:ind w:left="1305" w:hanging="425"/>
      </w:pPr>
      <w:r>
        <w:rPr>
          <w:b/>
        </w:rPr>
        <w:t>T</w:t>
      </w:r>
      <w:r>
        <w:tab/>
        <w:t xml:space="preserve">is </w:t>
      </w:r>
      <m:oMath>
        <m:r>
          <m:rPr>
            <m:sty m:val="b"/>
          </m:rPr>
          <w:rPr>
            <w:rFonts w:ascii="Cambria Math" w:hAnsi="Cambria Math"/>
          </w:rPr>
          <m:t>U×V</m:t>
        </m:r>
      </m:oMath>
      <w:r>
        <w:t>;</w:t>
      </w:r>
    </w:p>
    <w:p>
      <w:pPr>
        <w:pStyle w:val="yMiscellaneousBody"/>
        <w:tabs>
          <w:tab w:val="left" w:pos="284"/>
          <w:tab w:val="left" w:pos="1985"/>
        </w:tabs>
        <w:ind w:left="1305" w:hanging="425"/>
      </w:pPr>
      <w:r>
        <w:rPr>
          <w:b/>
        </w:rPr>
        <w:lastRenderedPageBreak/>
        <w:t>U</w:t>
      </w:r>
      <w:r>
        <w:tab/>
        <w:t>is the number of beds in the nursing home;</w:t>
      </w:r>
    </w:p>
    <w:p>
      <w:pPr>
        <w:pStyle w:val="yMiscellaneousBody"/>
        <w:tabs>
          <w:tab w:val="left" w:pos="284"/>
          <w:tab w:val="left" w:pos="1985"/>
        </w:tabs>
        <w:ind w:left="1305" w:hanging="425"/>
      </w:pPr>
      <w:r>
        <w:rPr>
          <w:b/>
        </w:rPr>
        <w:t>V</w:t>
      </w:r>
      <w:r>
        <w:tab/>
        <w:t>is</w:t>
      </w:r>
      <w:r>
        <w:rPr>
          <w:szCs w:val="22"/>
        </w:rPr>
        <w:t xml:space="preserve"> $214.29.</w:t>
      </w:r>
    </w:p>
    <w:p>
      <w:pPr>
        <w:pStyle w:val="zyHeading5"/>
      </w:pPr>
      <w:bookmarkStart w:id="289" w:name="_Toc201235769"/>
      <w:bookmarkStart w:id="290" w:name="_Toc201661680"/>
      <w:r>
        <w:t>25.</w:t>
      </w:r>
      <w:r>
        <w:tab/>
        <w:t>Certain non</w:t>
      </w:r>
      <w:r>
        <w:noBreakHyphen/>
        <w:t>metropolitan units</w:t>
      </w:r>
      <w:bookmarkEnd w:id="289"/>
      <w:bookmarkEnd w:id="290"/>
      <w:r>
        <w:t xml:space="preserve"> </w:t>
      </w:r>
    </w:p>
    <w:p>
      <w:pPr>
        <w:pStyle w:val="ySubsection"/>
        <w:keepNext/>
      </w:pPr>
      <w:r>
        <w:tab/>
      </w:r>
      <w:r>
        <w:tab/>
        <w:t>For land in the non</w:t>
      </w:r>
      <w:r>
        <w:noBreakHyphen/>
        <w:t xml:space="preserve">metropolitan area — </w:t>
      </w:r>
    </w:p>
    <w:p>
      <w:pPr>
        <w:pStyle w:val="yIndenta"/>
      </w:pPr>
      <w:r>
        <w:tab/>
        <w:t>(a)</w:t>
      </w:r>
      <w:r>
        <w:tab/>
        <w:t>that is contained in a lot; and</w:t>
      </w:r>
    </w:p>
    <w:p>
      <w:pPr>
        <w:pStyle w:val="yIndenta"/>
      </w:pPr>
      <w:r>
        <w:tab/>
        <w:t>(b)</w:t>
      </w:r>
      <w:r>
        <w:tab/>
        <w:t>that is classified as non</w:t>
      </w:r>
      <w:r>
        <w:noBreakHyphen/>
        <w:t>residential; and</w:t>
      </w:r>
    </w:p>
    <w:p>
      <w:pPr>
        <w:pStyle w:val="yIndenta"/>
      </w:pPr>
      <w:r>
        <w:tab/>
        <w:t>(c)</w:t>
      </w:r>
      <w:r>
        <w:tab/>
        <w:t>that is not covered by item 5 or 6; and</w:t>
      </w:r>
    </w:p>
    <w:p>
      <w:pPr>
        <w:pStyle w:val="yIndenta"/>
      </w:pPr>
      <w:r>
        <w:tab/>
        <w:t>(d)</w:t>
      </w:r>
      <w:r>
        <w:tab/>
        <w:t>that shares 1 or more major fixtures, that discharge into a sewer of the Water Corporation, with other such land and has no other major fixtures that discharge into such a sewer; and</w:t>
      </w:r>
    </w:p>
    <w:p>
      <w:pPr>
        <w:pStyle w:val="yIndenta"/>
      </w:pPr>
      <w:r>
        <w:tab/>
        <w:t>(e)</w:t>
      </w:r>
      <w:r>
        <w:tab/>
        <w:t>for which the number of major fixtures shared by all units on the relevant scheme plan for a strata titles scheme or a community titles scheme is less than the number of those units,</w:t>
      </w:r>
    </w:p>
    <w:p>
      <w:pPr>
        <w:pStyle w:val="ySubsection"/>
        <w:tabs>
          <w:tab w:val="right" w:leader="dot" w:pos="6804"/>
        </w:tabs>
      </w:pPr>
      <w:r>
        <w:tab/>
      </w:r>
      <w:r>
        <w:tab/>
        <w:t>the charge is —</w:t>
      </w:r>
    </w:p>
    <w:p>
      <w:pPr>
        <w:pStyle w:val="Equation"/>
        <w:spacing w:before="120"/>
        <w:ind w:left="879"/>
        <w:rPr>
          <w:sz w:val="22"/>
        </w:rPr>
      </w:pPr>
      <m:oMathPara>
        <m:oMathParaPr>
          <m:jc m:val="left"/>
        </m:oMathParaPr>
        <m:oMath>
          <m:r>
            <m:rPr>
              <m:sty m:val="b"/>
            </m:rPr>
            <w:rPr>
              <w:rFonts w:ascii="Cambria Math" w:hAnsi="Cambria Math"/>
              <w:sz w:val="22"/>
            </w:rPr>
            <m:t>T</m:t>
          </m:r>
          <m:r>
            <m:rPr>
              <m:sty m:val="p"/>
            </m:rPr>
            <w:rPr>
              <w:rFonts w:ascii="Cambria Math" w:hAnsi="Cambria Math"/>
              <w:sz w:val="22"/>
            </w:rPr>
            <m:t>+</m:t>
          </m:r>
          <m:r>
            <m:rPr>
              <m:sty m:val="b"/>
            </m:rPr>
            <w:rPr>
              <w:rFonts w:ascii="Cambria Math" w:hAnsi="Cambria Math"/>
              <w:sz w:val="22"/>
            </w:rPr>
            <m:t>Q</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T</w:t>
      </w:r>
      <w:r>
        <w:tab/>
        <w:t>is</w:t>
      </w:r>
      <w:r>
        <w:rPr>
          <w:szCs w:val="22"/>
        </w:rPr>
        <w:t xml:space="preserve"> $736.19</w:t>
      </w:r>
      <w:r>
        <w:t>;</w:t>
      </w:r>
    </w:p>
    <w:p>
      <w:pPr>
        <w:pStyle w:val="yMiscellaneousBody"/>
        <w:tabs>
          <w:tab w:val="left" w:pos="284"/>
          <w:tab w:val="left" w:pos="1985"/>
        </w:tabs>
        <w:ind w:left="1305" w:hanging="425"/>
      </w:pPr>
      <w:r>
        <w:rPr>
          <w:b/>
        </w:rPr>
        <w:t>Q</w:t>
      </w:r>
      <w:r>
        <w:tab/>
        <w:t xml:space="preserve">is the </w:t>
      </w:r>
      <w:r>
        <w:rPr>
          <w:szCs w:val="22"/>
        </w:rPr>
        <w:t>discharge</w:t>
      </w:r>
      <w:r>
        <w:t xml:space="preserve"> charge calculated in accordance with item 28.</w:t>
      </w:r>
    </w:p>
    <w:p>
      <w:pPr>
        <w:pStyle w:val="zyHeading5"/>
      </w:pPr>
      <w:bookmarkStart w:id="291" w:name="_Toc201235770"/>
      <w:bookmarkStart w:id="292" w:name="_Toc201661681"/>
      <w:r>
        <w:t>26.</w:t>
      </w:r>
      <w:r>
        <w:tab/>
        <w:t>Non</w:t>
      </w:r>
      <w:r>
        <w:noBreakHyphen/>
        <w:t>metropolitan government trading organisation and non</w:t>
      </w:r>
      <w:r>
        <w:noBreakHyphen/>
        <w:t>commercial government property</w:t>
      </w:r>
      <w:bookmarkEnd w:id="291"/>
      <w:bookmarkEnd w:id="292"/>
    </w:p>
    <w:p>
      <w:pPr>
        <w:pStyle w:val="ySubsection"/>
      </w:pPr>
      <w:r>
        <w:tab/>
        <w:t>(1)</w:t>
      </w:r>
      <w:r>
        <w:tab/>
        <w:t>For land in the non</w:t>
      </w:r>
      <w:r>
        <w:noBreakHyphen/>
        <w:t>metropolitan area held by a government trading organisation or a public authority that holds non</w:t>
      </w:r>
      <w:r>
        <w:noBreakHyphen/>
        <w:t xml:space="preserve">commercial government property, the charge is — </w:t>
      </w:r>
    </w:p>
    <w:p>
      <w:pPr>
        <w:pStyle w:val="Equation"/>
        <w:spacing w:before="120"/>
        <w:ind w:left="879"/>
        <w:rPr>
          <w:sz w:val="22"/>
        </w:rPr>
      </w:pPr>
      <m:oMathPara>
        <m:oMathParaPr>
          <m:jc m:val="left"/>
        </m:oMathParaPr>
        <m:oMath>
          <m:r>
            <m:rPr>
              <m:sty m:val="b"/>
            </m:rPr>
            <w:rPr>
              <w:rFonts w:ascii="Cambria Math" w:hAnsi="Cambria Math"/>
              <w:sz w:val="22"/>
            </w:rPr>
            <m:t>Y</m:t>
          </m:r>
          <m:r>
            <m:rPr>
              <m:sty m:val="p"/>
            </m:rPr>
            <w:rPr>
              <w:rFonts w:ascii="Cambria Math" w:hAnsi="Cambria Math"/>
              <w:sz w:val="22"/>
            </w:rPr>
            <m:t>+</m:t>
          </m:r>
          <m:r>
            <m:rPr>
              <m:sty m:val="b"/>
            </m:rPr>
            <w:rPr>
              <w:rFonts w:ascii="Cambria Math" w:hAnsi="Cambria Math"/>
              <w:sz w:val="22"/>
            </w:rPr>
            <m:t>Q</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Y</w:t>
      </w:r>
      <w:r>
        <w:tab/>
        <w:t xml:space="preserve">is </w:t>
      </w:r>
      <w:r>
        <w:rPr>
          <w:szCs w:val="22"/>
        </w:rPr>
        <w:t xml:space="preserve">the charge </w:t>
      </w:r>
      <w:r>
        <w:t>according</w:t>
      </w:r>
      <w:r>
        <w:rPr>
          <w:szCs w:val="22"/>
        </w:rPr>
        <w:t xml:space="preserve"> to the number of connected </w:t>
      </w:r>
      <w:r>
        <w:t>major</w:t>
      </w:r>
      <w:r>
        <w:rPr>
          <w:szCs w:val="22"/>
        </w:rPr>
        <w:t xml:space="preserve"> fixtures for the land, that is, “</w:t>
      </w:r>
      <w:r>
        <w:rPr>
          <w:b/>
          <w:szCs w:val="22"/>
        </w:rPr>
        <w:t>C</w:t>
      </w:r>
      <w:r>
        <w:rPr>
          <w:szCs w:val="22"/>
        </w:rPr>
        <w:t>” in item 27</w:t>
      </w:r>
      <w:r>
        <w:t>;</w:t>
      </w:r>
    </w:p>
    <w:p>
      <w:pPr>
        <w:pStyle w:val="yMiscellaneousBody"/>
        <w:tabs>
          <w:tab w:val="left" w:pos="284"/>
          <w:tab w:val="left" w:pos="1985"/>
        </w:tabs>
        <w:ind w:left="1305" w:hanging="425"/>
      </w:pPr>
      <w:r>
        <w:rPr>
          <w:b/>
        </w:rPr>
        <w:t>Q</w:t>
      </w:r>
      <w:r>
        <w:tab/>
        <w:t>is the discharge charge calculated in accordance with item 28.</w:t>
      </w:r>
    </w:p>
    <w:p>
      <w:pPr>
        <w:pStyle w:val="ySubsection"/>
        <w:tabs>
          <w:tab w:val="right" w:leader="dot" w:pos="6804"/>
        </w:tabs>
      </w:pPr>
      <w:r>
        <w:lastRenderedPageBreak/>
        <w:tab/>
        <w:t>(2)</w:t>
      </w:r>
      <w:r>
        <w:tab/>
        <w:t>Sub</w:t>
      </w:r>
      <w:r>
        <w:noBreakHyphen/>
        <w:t>item (1) does not apply to public land.</w:t>
      </w:r>
    </w:p>
    <w:p>
      <w:pPr>
        <w:pStyle w:val="zyHeading4"/>
      </w:pPr>
      <w:bookmarkStart w:id="293" w:name="_Toc201235771"/>
      <w:bookmarkStart w:id="294" w:name="_Toc201236022"/>
      <w:bookmarkStart w:id="295" w:name="_Toc201236178"/>
      <w:bookmarkStart w:id="296" w:name="_Toc201661682"/>
      <w:r>
        <w:t>Subdivision 5 — Calculation of certain factors for Subdivision 4</w:t>
      </w:r>
      <w:bookmarkEnd w:id="293"/>
      <w:bookmarkEnd w:id="294"/>
      <w:bookmarkEnd w:id="295"/>
      <w:bookmarkEnd w:id="296"/>
    </w:p>
    <w:p>
      <w:pPr>
        <w:pStyle w:val="zyHeading5"/>
      </w:pPr>
      <w:bookmarkStart w:id="297" w:name="_Toc201235772"/>
      <w:bookmarkStart w:id="298" w:name="_Toc201661683"/>
      <w:r>
        <w:t>27.</w:t>
      </w:r>
      <w:r>
        <w:tab/>
        <w:t>Service charge</w:t>
      </w:r>
      <w:bookmarkEnd w:id="297"/>
      <w:bookmarkEnd w:id="298"/>
    </w:p>
    <w:p>
      <w:pPr>
        <w:pStyle w:val="ySubsection"/>
      </w:pPr>
      <w:r>
        <w:tab/>
      </w:r>
      <w:r>
        <w:tab/>
        <w:t>The service charge (</w:t>
      </w:r>
      <w:r>
        <w:rPr>
          <w:b/>
          <w:i/>
        </w:rPr>
        <w:t>P</w:t>
      </w:r>
      <w:r>
        <w:t>) is —</w:t>
      </w:r>
    </w:p>
    <w:p>
      <w:pPr>
        <w:pStyle w:val="yMiscellaneousBody"/>
        <w:tabs>
          <w:tab w:val="left" w:pos="284"/>
          <w:tab w:val="right" w:leader="dot" w:pos="6804"/>
        </w:tabs>
        <w:ind w:left="1021" w:hanging="142"/>
      </w:pPr>
      <w:r>
        <w:t xml:space="preserve">if </w:t>
      </w:r>
      <m:oMath>
        <m:r>
          <m:rPr>
            <m:sty m:val="b"/>
          </m:rPr>
          <w:rPr>
            <w:rFonts w:ascii="Cambria Math" w:hAnsi="Cambria Math"/>
          </w:rPr>
          <m:t>R</m:t>
        </m:r>
        <m:r>
          <m:rPr>
            <m:sty m:val="p"/>
          </m:rPr>
          <w:rPr>
            <w:rFonts w:ascii="Cambria Math" w:hAnsi="Cambria Math"/>
          </w:rPr>
          <m:t>≤(</m:t>
        </m:r>
        <m:r>
          <m:rPr>
            <m:sty m:val="b"/>
          </m:rPr>
          <w:rPr>
            <w:rFonts w:ascii="Cambria Math" w:hAnsi="Cambria Math"/>
          </w:rPr>
          <m:t>C+D</m:t>
        </m:r>
        <m:r>
          <m:rPr>
            <m:sty m:val="p"/>
          </m:rPr>
          <w:rPr>
            <w:rFonts w:ascii="Cambria Math" w:hAnsi="Cambria Math"/>
          </w:rPr>
          <m:t>)</m:t>
        </m:r>
      </m:oMath>
      <w:r>
        <w:t>,</w:t>
      </w:r>
    </w:p>
    <w:p>
      <w:pPr>
        <w:pStyle w:val="yMiscellaneousBody"/>
        <w:tabs>
          <w:tab w:val="left" w:pos="284"/>
          <w:tab w:val="left" w:pos="1985"/>
          <w:tab w:val="right" w:leader="dot" w:pos="6804"/>
        </w:tabs>
        <w:ind w:left="1021" w:hanging="142"/>
      </w:pPr>
      <w:r>
        <w:tab/>
        <w:t xml:space="preserve">then </w:t>
      </w:r>
      <w:r>
        <w:rPr>
          <w:b/>
        </w:rPr>
        <w:t>R</w:t>
      </w:r>
    </w:p>
    <w:p>
      <w:pPr>
        <w:pStyle w:val="yMiscellaneousBody"/>
        <w:tabs>
          <w:tab w:val="left" w:pos="284"/>
          <w:tab w:val="right" w:leader="dot" w:pos="6804"/>
        </w:tabs>
        <w:ind w:left="1021" w:hanging="142"/>
      </w:pPr>
      <w:r>
        <w:t xml:space="preserve">or if </w:t>
      </w:r>
      <m:oMath>
        <m:r>
          <m:rPr>
            <m:sty m:val="b"/>
          </m:rPr>
          <w:rPr>
            <w:rFonts w:ascii="Cambria Math" w:hAnsi="Cambria Math"/>
          </w:rPr>
          <m:t>R</m:t>
        </m:r>
        <m:r>
          <m:rPr>
            <m:sty m:val="p"/>
          </m:rPr>
          <w:rPr>
            <w:rFonts w:ascii="Cambria Math" w:hAnsi="Cambria Math"/>
          </w:rPr>
          <m:t>&gt;(</m:t>
        </m:r>
        <m:r>
          <m:rPr>
            <m:sty m:val="b"/>
          </m:rPr>
          <w:rPr>
            <w:rFonts w:ascii="Cambria Math" w:hAnsi="Cambria Math"/>
          </w:rPr>
          <m:t>C+D</m:t>
        </m:r>
        <m:r>
          <m:rPr>
            <m:sty m:val="p"/>
          </m:rPr>
          <w:rPr>
            <w:rFonts w:ascii="Cambria Math" w:hAnsi="Cambria Math"/>
          </w:rPr>
          <m:t>)</m:t>
        </m:r>
      </m:oMath>
      <w:r>
        <w:t>,</w:t>
      </w:r>
    </w:p>
    <w:p>
      <w:pPr>
        <w:pStyle w:val="yMiscellaneousBody"/>
        <w:tabs>
          <w:tab w:val="left" w:pos="284"/>
          <w:tab w:val="left" w:pos="1985"/>
          <w:tab w:val="right" w:leader="dot" w:pos="6804"/>
        </w:tabs>
        <w:ind w:left="1021" w:hanging="142"/>
      </w:pPr>
      <w:r>
        <w:tab/>
        <w:t xml:space="preserve">then </w:t>
      </w:r>
      <w:r>
        <w:rPr>
          <w:b/>
        </w:rPr>
        <w:t>C</w:t>
      </w:r>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R</w:t>
      </w:r>
      <w:r>
        <w:tab/>
        <w:t>is the maximum charge calculated in accordance with item 30;</w:t>
      </w:r>
    </w:p>
    <w:p>
      <w:pPr>
        <w:pStyle w:val="yMiscellaneousBody"/>
        <w:tabs>
          <w:tab w:val="left" w:pos="284"/>
          <w:tab w:val="left" w:pos="1985"/>
        </w:tabs>
        <w:ind w:left="1305" w:hanging="425"/>
      </w:pPr>
      <w:r>
        <w:rPr>
          <w:b/>
        </w:rPr>
        <w:t>C</w:t>
      </w:r>
      <w:r>
        <w:tab/>
        <w:t>is the charge, according to the number of major fixtures for the land, that is the sum of the charges for each fixture as set out in the Table;</w:t>
      </w:r>
    </w:p>
    <w:p>
      <w:pPr>
        <w:pStyle w:val="yMiscellaneousBody"/>
        <w:tabs>
          <w:tab w:val="left" w:pos="284"/>
          <w:tab w:val="left" w:pos="1985"/>
        </w:tabs>
        <w:ind w:left="1305" w:hanging="425"/>
      </w:pPr>
      <w:r>
        <w:rPr>
          <w:b/>
        </w:rPr>
        <w:t>D</w:t>
      </w:r>
      <w:r>
        <w:tab/>
        <w:t>is the discharge charge calculated in accordance with item 28.</w:t>
      </w:r>
    </w:p>
    <w:p>
      <w:pPr>
        <w:pStyle w:val="yTHeadingNAm"/>
      </w:pPr>
      <w:r>
        <w:t>Table of major fixture</w:t>
      </w:r>
      <w:r>
        <w:noBreakHyphen/>
        <w:t>based charges</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cantSplit/>
          <w:tblHeader/>
        </w:trPr>
        <w:tc>
          <w:tcPr>
            <w:tcW w:w="2268" w:type="dxa"/>
            <w:tcBorders>
              <w:top w:val="single" w:sz="4" w:space="0" w:color="auto"/>
              <w:bottom w:val="single" w:sz="4" w:space="0" w:color="auto"/>
            </w:tcBorders>
            <w:noWrap/>
          </w:tcPr>
          <w:p>
            <w:pPr>
              <w:pStyle w:val="zyTableNAm"/>
              <w:jc w:val="center"/>
            </w:pPr>
          </w:p>
        </w:tc>
        <w:tc>
          <w:tcPr>
            <w:tcW w:w="2268" w:type="dxa"/>
            <w:tcBorders>
              <w:top w:val="single" w:sz="4" w:space="0" w:color="auto"/>
              <w:bottom w:val="single" w:sz="4" w:space="0" w:color="auto"/>
            </w:tcBorders>
            <w:noWrap/>
          </w:tcPr>
          <w:p>
            <w:pPr>
              <w:pStyle w:val="yTableNAm"/>
              <w:jc w:val="center"/>
            </w:pPr>
            <w:r>
              <w:rPr>
                <w:b/>
              </w:rPr>
              <w:t>Charge</w:t>
            </w:r>
            <w:r>
              <w:rPr>
                <w:b/>
              </w:rPr>
              <w:br/>
              <w:t>$</w:t>
            </w:r>
          </w:p>
        </w:tc>
      </w:tr>
      <w:tr>
        <w:trPr>
          <w:cantSplit/>
        </w:trPr>
        <w:tc>
          <w:tcPr>
            <w:tcW w:w="2268" w:type="dxa"/>
            <w:noWrap/>
            <w:tcMar>
              <w:left w:w="284" w:type="dxa"/>
            </w:tcMar>
          </w:tcPr>
          <w:p>
            <w:pPr>
              <w:pStyle w:val="yTableNAm"/>
              <w:tabs>
                <w:tab w:val="clear" w:pos="567"/>
                <w:tab w:val="left" w:pos="679"/>
              </w:tabs>
              <w:ind w:left="356" w:hanging="392"/>
            </w:pPr>
            <w:r>
              <w:t>1</w:t>
            </w:r>
            <w:r>
              <w:rPr>
                <w:vertAlign w:val="superscript"/>
              </w:rPr>
              <w:t>st</w:t>
            </w:r>
            <w:r>
              <w:tab/>
              <w:t>fixture</w:t>
            </w:r>
          </w:p>
        </w:tc>
        <w:tc>
          <w:tcPr>
            <w:tcW w:w="2268" w:type="dxa"/>
            <w:noWrap/>
          </w:tcPr>
          <w:p>
            <w:pPr>
              <w:pStyle w:val="yTableNAm"/>
              <w:jc w:val="center"/>
            </w:pPr>
            <w:r>
              <w:t>1 184.25</w:t>
            </w:r>
          </w:p>
        </w:tc>
      </w:tr>
      <w:tr>
        <w:trPr>
          <w:cantSplit/>
        </w:trPr>
        <w:tc>
          <w:tcPr>
            <w:tcW w:w="2268" w:type="dxa"/>
            <w:noWrap/>
            <w:tcMar>
              <w:left w:w="284" w:type="dxa"/>
            </w:tcMar>
          </w:tcPr>
          <w:p>
            <w:pPr>
              <w:pStyle w:val="yTableNAm"/>
              <w:tabs>
                <w:tab w:val="clear" w:pos="567"/>
                <w:tab w:val="left" w:pos="679"/>
              </w:tabs>
              <w:ind w:left="356" w:hanging="392"/>
            </w:pPr>
            <w:r>
              <w:t>2</w:t>
            </w:r>
            <w:r>
              <w:rPr>
                <w:vertAlign w:val="superscript"/>
              </w:rPr>
              <w:t>nd</w:t>
            </w:r>
            <w:r>
              <w:tab/>
              <w:t>fixture</w:t>
            </w:r>
          </w:p>
        </w:tc>
        <w:tc>
          <w:tcPr>
            <w:tcW w:w="2268" w:type="dxa"/>
            <w:noWrap/>
          </w:tcPr>
          <w:p>
            <w:pPr>
              <w:pStyle w:val="yTableNAm"/>
              <w:jc w:val="center"/>
            </w:pPr>
            <w:r>
              <w:t>506.92</w:t>
            </w:r>
          </w:p>
        </w:tc>
      </w:tr>
      <w:tr>
        <w:trPr>
          <w:cantSplit/>
        </w:trPr>
        <w:tc>
          <w:tcPr>
            <w:tcW w:w="2268" w:type="dxa"/>
            <w:noWrap/>
            <w:tcMar>
              <w:left w:w="284" w:type="dxa"/>
            </w:tcMar>
          </w:tcPr>
          <w:p>
            <w:pPr>
              <w:pStyle w:val="yTableNAm"/>
              <w:tabs>
                <w:tab w:val="clear" w:pos="567"/>
                <w:tab w:val="left" w:pos="679"/>
              </w:tabs>
              <w:ind w:left="356" w:hanging="392"/>
            </w:pPr>
            <w:r>
              <w:t>3</w:t>
            </w:r>
            <w:r>
              <w:rPr>
                <w:vertAlign w:val="superscript"/>
              </w:rPr>
              <w:t>rd</w:t>
            </w:r>
            <w:r>
              <w:tab/>
              <w:t>fixture</w:t>
            </w:r>
          </w:p>
        </w:tc>
        <w:tc>
          <w:tcPr>
            <w:tcW w:w="2268" w:type="dxa"/>
            <w:noWrap/>
          </w:tcPr>
          <w:p>
            <w:pPr>
              <w:pStyle w:val="yTableNAm"/>
              <w:jc w:val="center"/>
            </w:pPr>
            <w:r>
              <w:t>676.99</w:t>
            </w:r>
          </w:p>
        </w:tc>
      </w:tr>
      <w:tr>
        <w:trPr>
          <w:cantSplit/>
        </w:trPr>
        <w:tc>
          <w:tcPr>
            <w:tcW w:w="2268" w:type="dxa"/>
            <w:tcBorders>
              <w:bottom w:val="single" w:sz="4" w:space="0" w:color="auto"/>
            </w:tcBorders>
            <w:noWrap/>
            <w:tcMar>
              <w:left w:w="284" w:type="dxa"/>
            </w:tcMar>
          </w:tcPr>
          <w:p>
            <w:pPr>
              <w:pStyle w:val="yTableNAm"/>
              <w:tabs>
                <w:tab w:val="clear" w:pos="567"/>
                <w:tab w:val="left" w:pos="679"/>
              </w:tabs>
              <w:ind w:left="356" w:hanging="392"/>
            </w:pPr>
            <w:r>
              <w:t>4</w:t>
            </w:r>
            <w:r>
              <w:rPr>
                <w:vertAlign w:val="superscript"/>
              </w:rPr>
              <w:t>th</w:t>
            </w:r>
            <w:r>
              <w:tab/>
              <w:t>and subsequent fixtures</w:t>
            </w:r>
          </w:p>
        </w:tc>
        <w:tc>
          <w:tcPr>
            <w:tcW w:w="2268" w:type="dxa"/>
            <w:tcBorders>
              <w:bottom w:val="single" w:sz="4" w:space="0" w:color="auto"/>
            </w:tcBorders>
            <w:noWrap/>
            <w:vAlign w:val="bottom"/>
          </w:tcPr>
          <w:p>
            <w:pPr>
              <w:pStyle w:val="yTableNAm"/>
              <w:jc w:val="center"/>
            </w:pPr>
            <w:r>
              <w:rPr>
                <w:szCs w:val="22"/>
              </w:rPr>
              <w:t>736.19</w:t>
            </w:r>
          </w:p>
        </w:tc>
      </w:tr>
    </w:tbl>
    <w:p>
      <w:pPr>
        <w:pStyle w:val="zyHeading5"/>
      </w:pPr>
      <w:bookmarkStart w:id="299" w:name="_Toc201235773"/>
      <w:bookmarkStart w:id="300" w:name="_Toc201661684"/>
      <w:r>
        <w:t>28.</w:t>
      </w:r>
      <w:r>
        <w:tab/>
        <w:t>Discharge charge</w:t>
      </w:r>
      <w:bookmarkEnd w:id="299"/>
      <w:bookmarkEnd w:id="300"/>
    </w:p>
    <w:p>
      <w:pPr>
        <w:pStyle w:val="ySubsection"/>
        <w:keepNext/>
      </w:pPr>
      <w:r>
        <w:tab/>
      </w:r>
      <w:r>
        <w:tab/>
        <w:t>The discharge charge (</w:t>
      </w:r>
      <w:r>
        <w:rPr>
          <w:b/>
          <w:i/>
        </w:rPr>
        <w:t>Q</w:t>
      </w:r>
      <w:r>
        <w:t>) is —</w:t>
      </w:r>
    </w:p>
    <w:p>
      <w:pPr>
        <w:pStyle w:val="yMiscellaneousBody"/>
        <w:keepNext/>
        <w:tabs>
          <w:tab w:val="left" w:pos="284"/>
          <w:tab w:val="right" w:leader="dot" w:pos="6804"/>
        </w:tabs>
        <w:ind w:left="1021" w:hanging="142"/>
      </w:pPr>
      <w:r>
        <w:t xml:space="preserve">if </w:t>
      </w:r>
      <m:oMath>
        <m:r>
          <m:rPr>
            <m:sty m:val="p"/>
          </m:rPr>
          <w:rPr>
            <w:rFonts w:ascii="Cambria Math" w:hAnsi="Cambria Math"/>
          </w:rPr>
          <m:t>(</m:t>
        </m:r>
        <m:r>
          <m:rPr>
            <m:sty m:val="b"/>
          </m:rPr>
          <w:rPr>
            <w:rFonts w:ascii="Cambria Math" w:hAnsi="Cambria Math"/>
          </w:rPr>
          <m:t>F</m:t>
        </m:r>
        <m:r>
          <m:rPr>
            <m:sty m:val="p"/>
          </m:rPr>
          <w:rPr>
            <w:rFonts w:ascii="Cambria Math" w:hAnsi="Cambria Math"/>
          </w:rPr>
          <m:t>×</m:t>
        </m:r>
        <m:r>
          <m:rPr>
            <m:sty m:val="b"/>
          </m:rPr>
          <w:rPr>
            <w:rFonts w:ascii="Cambria Math" w:hAnsi="Cambria Math"/>
          </w:rPr>
          <m:t>G</m:t>
        </m:r>
        <m:r>
          <m:rPr>
            <m:sty m:val="p"/>
          </m:rPr>
          <w:rPr>
            <w:rFonts w:ascii="Cambria Math" w:hAnsi="Cambria Math"/>
          </w:rPr>
          <m:t>)≤</m:t>
        </m:r>
        <m:r>
          <m:rPr>
            <m:sty m:val="b"/>
          </m:rPr>
          <w:rPr>
            <w:rFonts w:ascii="Cambria Math" w:hAnsi="Cambria Math"/>
          </w:rPr>
          <m:t>H</m:t>
        </m:r>
      </m:oMath>
      <w:r>
        <w:t>,</w:t>
      </w:r>
    </w:p>
    <w:p>
      <w:pPr>
        <w:pStyle w:val="yMiscellaneousBody"/>
        <w:tabs>
          <w:tab w:val="left" w:pos="284"/>
          <w:tab w:val="left" w:pos="1985"/>
          <w:tab w:val="right" w:leader="dot" w:pos="6804"/>
        </w:tabs>
        <w:ind w:left="1021" w:hanging="142"/>
      </w:pPr>
      <w:r>
        <w:tab/>
        <w:t>then nil</w:t>
      </w:r>
    </w:p>
    <w:p>
      <w:pPr>
        <w:pStyle w:val="yMiscellaneousBody"/>
        <w:tabs>
          <w:tab w:val="left" w:pos="284"/>
          <w:tab w:val="right" w:leader="dot" w:pos="6804"/>
        </w:tabs>
        <w:ind w:left="1021" w:hanging="142"/>
      </w:pPr>
      <w:r>
        <w:lastRenderedPageBreak/>
        <w:t xml:space="preserve">or if </w:t>
      </w:r>
      <m:oMath>
        <m:r>
          <m:rPr>
            <m:sty m:val="p"/>
          </m:rPr>
          <w:rPr>
            <w:rFonts w:ascii="Cambria Math" w:hAnsi="Cambria Math"/>
          </w:rPr>
          <m:t>(</m:t>
        </m:r>
        <m:r>
          <m:rPr>
            <m:sty m:val="b"/>
          </m:rPr>
          <w:rPr>
            <w:rFonts w:ascii="Cambria Math" w:hAnsi="Cambria Math"/>
          </w:rPr>
          <m:t>F</m:t>
        </m:r>
        <m:r>
          <m:rPr>
            <m:sty m:val="p"/>
          </m:rPr>
          <w:rPr>
            <w:rFonts w:ascii="Cambria Math" w:hAnsi="Cambria Math"/>
          </w:rPr>
          <m:t>×</m:t>
        </m:r>
        <m:r>
          <m:rPr>
            <m:sty m:val="b"/>
          </m:rPr>
          <w:rPr>
            <w:rFonts w:ascii="Cambria Math" w:hAnsi="Cambria Math"/>
          </w:rPr>
          <m:t>G</m:t>
        </m:r>
        <m:r>
          <m:rPr>
            <m:sty m:val="p"/>
          </m:rPr>
          <w:rPr>
            <w:rFonts w:ascii="Cambria Math" w:hAnsi="Cambria Math"/>
          </w:rPr>
          <m:t>)&gt;</m:t>
        </m:r>
        <m:r>
          <m:rPr>
            <m:sty m:val="b"/>
          </m:rPr>
          <w:rPr>
            <w:rFonts w:ascii="Cambria Math" w:hAnsi="Cambria Math"/>
          </w:rPr>
          <m:t>H</m:t>
        </m:r>
      </m:oMath>
      <w:r>
        <w:t>,</w:t>
      </w:r>
    </w:p>
    <w:p>
      <w:pPr>
        <w:pStyle w:val="yMiscellaneousBody"/>
        <w:tabs>
          <w:tab w:val="left" w:pos="284"/>
          <w:tab w:val="left" w:pos="1985"/>
          <w:tab w:val="right" w:leader="dot" w:pos="6804"/>
        </w:tabs>
        <w:ind w:left="1021" w:hanging="142"/>
      </w:pPr>
      <w:r>
        <w:tab/>
        <w:t xml:space="preserve">then </w:t>
      </w:r>
      <m:oMath>
        <m:r>
          <m:rPr>
            <m:sty m:val="p"/>
          </m:rPr>
          <w:rPr>
            <w:rFonts w:ascii="Cambria Math" w:hAnsi="Cambria Math"/>
          </w:rPr>
          <m:t>(</m:t>
        </m:r>
        <m:d>
          <m:dPr>
            <m:ctrlPr>
              <w:rPr>
                <w:rFonts w:ascii="Cambria Math" w:hAnsi="Cambria Math"/>
              </w:rPr>
            </m:ctrlPr>
          </m:dPr>
          <m:e>
            <m:r>
              <m:rPr>
                <m:sty m:val="b"/>
              </m:rPr>
              <w:rPr>
                <w:rFonts w:ascii="Cambria Math" w:hAnsi="Cambria Math"/>
              </w:rPr>
              <m:t>F</m:t>
            </m:r>
            <m:r>
              <m:rPr>
                <m:sty m:val="p"/>
              </m:rPr>
              <w:rPr>
                <w:rFonts w:ascii="Cambria Math" w:hAnsi="Cambria Math"/>
              </w:rPr>
              <m:t>×</m:t>
            </m:r>
            <m:r>
              <m:rPr>
                <m:sty m:val="b"/>
              </m:rPr>
              <w:rPr>
                <w:rFonts w:ascii="Cambria Math" w:hAnsi="Cambria Math"/>
              </w:rPr>
              <m:t>G</m:t>
            </m:r>
          </m:e>
        </m:d>
        <m:r>
          <m:rPr>
            <m:sty m:val="p"/>
          </m:rPr>
          <w:rPr>
            <w:rFonts w:ascii="Cambria Math" w:hAnsi="Cambria Math"/>
          </w:rPr>
          <m:t>-</m:t>
        </m:r>
        <m:r>
          <m:rPr>
            <m:sty m:val="b"/>
          </m:rPr>
          <w:rPr>
            <w:rFonts w:ascii="Cambria Math" w:hAnsi="Cambria Math"/>
          </w:rPr>
          <m:t>H)×I</m:t>
        </m:r>
      </m:oMath>
    </w:p>
    <w:p>
      <w:pPr>
        <w:pStyle w:val="yMiscellaneousBody"/>
        <w:tabs>
          <w:tab w:val="left" w:pos="284"/>
          <w:tab w:val="right" w:leader="dot" w:pos="6804"/>
        </w:tabs>
        <w:ind w:left="1021" w:hanging="142"/>
      </w:pPr>
      <w:r>
        <w:t xml:space="preserve">where — </w:t>
      </w:r>
    </w:p>
    <w:p>
      <w:pPr>
        <w:pStyle w:val="yMiscellaneousBody"/>
        <w:tabs>
          <w:tab w:val="left" w:pos="284"/>
          <w:tab w:val="left" w:pos="1985"/>
        </w:tabs>
        <w:ind w:left="1305" w:hanging="425"/>
      </w:pPr>
      <w:r>
        <w:rPr>
          <w:b/>
        </w:rPr>
        <w:t>F</w:t>
      </w:r>
      <w:r>
        <w:tab/>
        <w:t>is the volume of water supplied to the land in the current consumption year;</w:t>
      </w:r>
    </w:p>
    <w:p>
      <w:pPr>
        <w:pStyle w:val="yMiscellaneousBody"/>
        <w:tabs>
          <w:tab w:val="left" w:pos="284"/>
          <w:tab w:val="left" w:pos="1985"/>
        </w:tabs>
        <w:ind w:left="1305" w:hanging="425"/>
      </w:pPr>
      <w:r>
        <w:rPr>
          <w:b/>
        </w:rPr>
        <w:t>G</w:t>
      </w:r>
      <w:r>
        <w:tab/>
        <w:t>is the discharge factor applicable for the land for the current discharge year;</w:t>
      </w:r>
    </w:p>
    <w:p>
      <w:pPr>
        <w:pStyle w:val="yMiscellaneousBody"/>
        <w:tabs>
          <w:tab w:val="left" w:pos="284"/>
          <w:tab w:val="left" w:pos="1985"/>
        </w:tabs>
        <w:ind w:left="1305" w:hanging="425"/>
      </w:pPr>
      <w:r>
        <w:rPr>
          <w:b/>
        </w:rPr>
        <w:t>H</w:t>
      </w:r>
      <w:r>
        <w:tab/>
        <w:t>is the discharge allowance for the current discharge year worked out in accordance with item 29;</w:t>
      </w:r>
    </w:p>
    <w:p>
      <w:pPr>
        <w:pStyle w:val="yMiscellaneousBody"/>
        <w:tabs>
          <w:tab w:val="left" w:pos="284"/>
          <w:tab w:val="left" w:pos="1985"/>
        </w:tabs>
        <w:ind w:left="1305" w:hanging="425"/>
      </w:pPr>
      <w:r>
        <w:rPr>
          <w:b/>
        </w:rPr>
        <w:t>I</w:t>
      </w:r>
      <w:r>
        <w:tab/>
        <w:t>is</w:t>
      </w:r>
      <w:r>
        <w:rPr>
          <w:szCs w:val="22"/>
        </w:rPr>
        <w:t xml:space="preserve"> </w:t>
      </w:r>
      <w:r>
        <w:t>$4.352,</w:t>
      </w:r>
    </w:p>
    <w:p>
      <w:pPr>
        <w:pStyle w:val="yMiscellaneousBody"/>
        <w:tabs>
          <w:tab w:val="left" w:pos="284"/>
          <w:tab w:val="left" w:pos="1985"/>
        </w:tabs>
        <w:ind w:left="879"/>
      </w:pPr>
      <w:r>
        <w:t xml:space="preserve">and </w:t>
      </w:r>
      <m:oMath>
        <m:d>
          <m:dPr>
            <m:ctrlPr>
              <w:rPr>
                <w:rFonts w:ascii="Cambria Math" w:hAnsi="Cambria Math"/>
              </w:rPr>
            </m:ctrlPr>
          </m:dPr>
          <m:e>
            <m:r>
              <m:rPr>
                <m:sty m:val="b"/>
              </m:rPr>
              <w:rPr>
                <w:rFonts w:ascii="Cambria Math" w:hAnsi="Cambria Math"/>
              </w:rPr>
              <m:t>F</m:t>
            </m:r>
            <m:r>
              <m:rPr>
                <m:sty m:val="p"/>
              </m:rPr>
              <w:rPr>
                <w:rFonts w:ascii="Cambria Math" w:hAnsi="Cambria Math"/>
              </w:rPr>
              <m:t>×</m:t>
            </m:r>
            <m:r>
              <m:rPr>
                <m:sty m:val="b"/>
              </m:rPr>
              <w:rPr>
                <w:rFonts w:ascii="Cambria Math" w:hAnsi="Cambria Math"/>
              </w:rPr>
              <m:t>G</m:t>
            </m:r>
          </m:e>
        </m:d>
        <m:r>
          <m:rPr>
            <m:sty m:val="p"/>
          </m:rPr>
          <w:rPr>
            <w:rFonts w:ascii="Cambria Math" w:hAnsi="Cambria Math"/>
          </w:rPr>
          <m:t>-</m:t>
        </m:r>
        <m:r>
          <m:rPr>
            <m:sty m:val="b"/>
          </m:rPr>
          <w:rPr>
            <w:rFonts w:ascii="Cambria Math" w:hAnsi="Cambria Math"/>
          </w:rPr>
          <m:t>H</m:t>
        </m:r>
      </m:oMath>
      <w:r>
        <w:t xml:space="preserve"> is rounded down to the nearest whole number.</w:t>
      </w:r>
    </w:p>
    <w:p>
      <w:pPr>
        <w:pStyle w:val="zyHeading5"/>
      </w:pPr>
      <w:bookmarkStart w:id="301" w:name="_Toc201235774"/>
      <w:bookmarkStart w:id="302" w:name="_Toc201661685"/>
      <w:r>
        <w:t>29.</w:t>
      </w:r>
      <w:r>
        <w:tab/>
        <w:t>Discharge allowance</w:t>
      </w:r>
      <w:bookmarkEnd w:id="301"/>
      <w:bookmarkEnd w:id="302"/>
    </w:p>
    <w:p>
      <w:pPr>
        <w:pStyle w:val="ySubsection"/>
      </w:pPr>
      <w:r>
        <w:tab/>
        <w:t>(1)</w:t>
      </w:r>
      <w:r>
        <w:tab/>
        <w:t>The discharge allowance for the current discharge year is —</w:t>
      </w:r>
    </w:p>
    <w:p>
      <w:pPr>
        <w:pStyle w:val="yIndenta"/>
      </w:pPr>
      <w:r>
        <w:tab/>
        <w:t>(a)</w:t>
      </w:r>
      <w:r>
        <w:tab/>
        <w:t>for land to which item 22 applies that is not covered by paragraph (e) — 200 kL;</w:t>
      </w:r>
    </w:p>
    <w:p>
      <w:pPr>
        <w:pStyle w:val="yIndenta"/>
      </w:pPr>
      <w:r>
        <w:tab/>
        <w:t>(b)</w:t>
      </w:r>
      <w:r>
        <w:tab/>
        <w:t>for land held by a government trading organisation or by a public authority that holds non</w:t>
      </w:r>
      <w:r>
        <w:noBreakHyphen/>
        <w:t>commercial government property — 200 kL;</w:t>
      </w:r>
    </w:p>
    <w:p>
      <w:pPr>
        <w:pStyle w:val="yIndenta"/>
      </w:pPr>
      <w:r>
        <w:tab/>
        <w:t>(c)</w:t>
      </w:r>
      <w:r>
        <w:tab/>
        <w:t>for a caravan park referred to in item 23 — the amount (in kL) calculated in accordance with the formula in sub</w:t>
      </w:r>
      <w:r>
        <w:noBreakHyphen/>
        <w:t>item (2);</w:t>
      </w:r>
    </w:p>
    <w:p>
      <w:pPr>
        <w:pStyle w:val="yIndenta"/>
      </w:pPr>
      <w:r>
        <w:tab/>
        <w:t>(d)</w:t>
      </w:r>
      <w:r>
        <w:tab/>
        <w:t>for a nursing home referred to in item 24 — 75 kL per bed;</w:t>
      </w:r>
    </w:p>
    <w:p>
      <w:pPr>
        <w:pStyle w:val="yIndenta"/>
      </w:pPr>
      <w:r>
        <w:tab/>
        <w:t>(e)</w:t>
      </w:r>
      <w:r>
        <w:tab/>
        <w:t>for properties that share a metered property water supply connection — 200 kL for each property.</w:t>
      </w:r>
    </w:p>
    <w:p>
      <w:pPr>
        <w:pStyle w:val="ySubsection"/>
        <w:keepNext/>
      </w:pPr>
      <w:r>
        <w:tab/>
        <w:t>(2)</w:t>
      </w:r>
      <w:r>
        <w:tab/>
        <w:t>The formula for the purposes of sub</w:t>
      </w:r>
      <w:r>
        <w:noBreakHyphen/>
        <w:t>item (1)(c) is —</w:t>
      </w:r>
    </w:p>
    <w:p>
      <w:pPr>
        <w:pStyle w:val="Equation"/>
        <w:spacing w:before="120"/>
        <w:ind w:left="879"/>
        <w:rPr>
          <w:b/>
          <w:sz w:val="22"/>
        </w:rPr>
      </w:pPr>
      <m:oMathPara>
        <m:oMathParaPr>
          <m:jc m:val="left"/>
        </m:oMathParaPr>
        <m:oMath>
          <m:r>
            <m:rPr>
              <m:sty m:val="b"/>
            </m:rPr>
            <w:rPr>
              <w:rFonts w:ascii="Cambria Math" w:hAnsi="Cambria Math"/>
              <w:sz w:val="22"/>
            </w:rPr>
            <m:t>200 kL</m:t>
          </m:r>
          <m:r>
            <m:rPr>
              <m:sty m:val="p"/>
            </m:rPr>
            <w:rPr>
              <w:rFonts w:ascii="Cambria Math" w:hAnsi="Cambria Math"/>
              <w:sz w:val="22"/>
            </w:rPr>
            <m:t>+</m:t>
          </m:r>
          <m:r>
            <m:rPr>
              <m:sty m:val="b"/>
            </m:rPr>
            <w:rPr>
              <w:rFonts w:ascii="Cambria Math" w:hAnsi="Cambria Math"/>
              <w:sz w:val="22"/>
            </w:rPr>
            <m:t>M</m:t>
          </m:r>
        </m:oMath>
      </m:oMathPara>
    </w:p>
    <w:p>
      <w:pPr>
        <w:pStyle w:val="yMiscellaneousBody"/>
        <w:tabs>
          <w:tab w:val="left" w:pos="284"/>
          <w:tab w:val="right" w:leader="dot" w:pos="6804"/>
        </w:tabs>
        <w:ind w:left="1021" w:hanging="142"/>
      </w:pPr>
      <w:r>
        <w:t xml:space="preserve">where — </w:t>
      </w:r>
    </w:p>
    <w:p>
      <w:pPr>
        <w:pStyle w:val="yMiscellaneousBody"/>
        <w:tabs>
          <w:tab w:val="left" w:pos="284"/>
          <w:tab w:val="right" w:leader="dot" w:pos="6804"/>
        </w:tabs>
        <w:ind w:left="1304" w:hanging="425"/>
      </w:pPr>
      <w:r>
        <w:rPr>
          <w:b/>
        </w:rPr>
        <w:t>M</w:t>
      </w:r>
      <w:r>
        <w:tab/>
        <w:t>is 75 kL of water for each long</w:t>
      </w:r>
      <w:r>
        <w:noBreakHyphen/>
        <w:t>term residential caravan bay.</w:t>
      </w:r>
    </w:p>
    <w:p>
      <w:pPr>
        <w:pStyle w:val="zyHeading5"/>
      </w:pPr>
      <w:bookmarkStart w:id="303" w:name="_Toc201235775"/>
      <w:bookmarkStart w:id="304" w:name="_Toc201661686"/>
      <w:r>
        <w:lastRenderedPageBreak/>
        <w:t>30.</w:t>
      </w:r>
      <w:r>
        <w:tab/>
        <w:t>Maximum charge</w:t>
      </w:r>
      <w:bookmarkEnd w:id="303"/>
      <w:bookmarkEnd w:id="304"/>
    </w:p>
    <w:p>
      <w:pPr>
        <w:pStyle w:val="ySubsection"/>
        <w:keepNext/>
      </w:pPr>
      <w:r>
        <w:tab/>
      </w:r>
      <w:r>
        <w:tab/>
        <w:t>The maximum charge (</w:t>
      </w:r>
      <w:r>
        <w:rPr>
          <w:b/>
          <w:i/>
        </w:rPr>
        <w:t>R</w:t>
      </w:r>
      <w:r>
        <w:t>) is —</w:t>
      </w:r>
    </w:p>
    <w:p>
      <w:pPr>
        <w:pStyle w:val="yMiscellaneousBody"/>
        <w:tabs>
          <w:tab w:val="left" w:pos="284"/>
          <w:tab w:val="right" w:leader="dot" w:pos="6804"/>
        </w:tabs>
        <w:ind w:left="1282" w:hanging="142"/>
      </w:pPr>
      <w:r>
        <w:t xml:space="preserve">if </w:t>
      </w:r>
      <m:oMath>
        <m:d>
          <m:dPr>
            <m:ctrlPr>
              <w:rPr>
                <w:rFonts w:ascii="Cambria Math" w:hAnsi="Cambria Math"/>
              </w:rPr>
            </m:ctrlPr>
          </m:dPr>
          <m:e>
            <m:r>
              <m:rPr>
                <m:sty m:val="b"/>
              </m:rPr>
              <w:rPr>
                <w:rFonts w:ascii="Cambria Math" w:hAnsi="Cambria Math"/>
              </w:rPr>
              <m:t>P</m:t>
            </m:r>
            <m:r>
              <m:rPr>
                <m:sty m:val="p"/>
              </m:rPr>
              <w:rPr>
                <w:rFonts w:ascii="Cambria Math" w:hAnsi="Cambria Math"/>
              </w:rPr>
              <m:t>+</m:t>
            </m:r>
            <m:r>
              <m:rPr>
                <m:sty m:val="b"/>
              </m:rPr>
              <w:rPr>
                <w:rFonts w:ascii="Cambria Math" w:hAnsi="Cambria Math"/>
              </w:rPr>
              <m:t>Q</m:t>
            </m:r>
          </m:e>
        </m:d>
        <m:r>
          <m:rPr>
            <m:sty m:val="p"/>
          </m:rPr>
          <w:rPr>
            <w:rFonts w:ascii="Cambria Math" w:hAnsi="Cambria Math"/>
          </w:rPr>
          <m:t>-</m:t>
        </m:r>
        <m:r>
          <m:rPr>
            <m:sty m:val="b"/>
          </m:rPr>
          <w:rPr>
            <w:rFonts w:ascii="Cambria Math" w:hAnsi="Cambria Math"/>
          </w:rPr>
          <m:t>A</m:t>
        </m:r>
        <m:r>
          <m:rPr>
            <m:sty m:val="p"/>
          </m:rPr>
          <w:rPr>
            <w:rFonts w:ascii="Cambria Math" w:hAnsi="Cambria Math"/>
          </w:rPr>
          <m:t>&gt;</m:t>
        </m:r>
        <m:r>
          <m:rPr>
            <m:sty m:val="b"/>
          </m:rPr>
          <w:rPr>
            <w:rFonts w:ascii="Cambria Math" w:hAnsi="Cambria Math"/>
          </w:rPr>
          <m:t>B</m:t>
        </m:r>
      </m:oMath>
      <w:r>
        <w:t>,</w:t>
      </w:r>
    </w:p>
    <w:p>
      <w:pPr>
        <w:pStyle w:val="yMiscellaneousBody"/>
        <w:tabs>
          <w:tab w:val="left" w:pos="284"/>
          <w:tab w:val="left" w:pos="1985"/>
          <w:tab w:val="right" w:leader="dot" w:pos="6804"/>
        </w:tabs>
        <w:ind w:left="1282" w:hanging="142"/>
      </w:pPr>
      <w:r>
        <w:tab/>
        <w:t xml:space="preserve">then — </w:t>
      </w:r>
    </w:p>
    <w:p>
      <w:pPr>
        <w:pStyle w:val="yMiscellaneousBody"/>
        <w:tabs>
          <w:tab w:val="left" w:pos="284"/>
          <w:tab w:val="right" w:leader="dot" w:pos="6804"/>
        </w:tabs>
        <w:ind w:left="1282" w:hanging="142"/>
      </w:pPr>
      <w:r>
        <w:t xml:space="preserve">if </w:t>
      </w:r>
      <m:oMath>
        <m:r>
          <m:rPr>
            <m:sty m:val="p"/>
          </m:rPr>
          <w:rPr>
            <w:rFonts w:ascii="Cambria Math" w:hAnsi="Cambria Math"/>
          </w:rPr>
          <m:t>(</m:t>
        </m:r>
        <m:r>
          <m:rPr>
            <m:sty m:val="b"/>
          </m:rPr>
          <w:rPr>
            <w:rFonts w:ascii="Cambria Math" w:hAnsi="Cambria Math"/>
          </w:rPr>
          <m:t>A</m:t>
        </m:r>
        <m:r>
          <m:rPr>
            <m:sty m:val="p"/>
          </m:rPr>
          <w:rPr>
            <w:rFonts w:ascii="Cambria Math" w:hAnsi="Cambria Math"/>
          </w:rPr>
          <m:t>×</m:t>
        </m:r>
        <m:r>
          <m:rPr>
            <m:sty m:val="b"/>
          </m:rPr>
          <w:rPr>
            <w:rFonts w:ascii="Cambria Math" w:hAnsi="Cambria Math"/>
          </w:rPr>
          <m:t>S</m:t>
        </m:r>
        <m:r>
          <m:rPr>
            <m:sty m:val="p"/>
          </m:rPr>
          <w:rPr>
            <w:rFonts w:ascii="Cambria Math" w:hAnsi="Cambria Math"/>
          </w:rPr>
          <m:t>)&gt;(</m:t>
        </m:r>
        <m:r>
          <m:rPr>
            <m:sty m:val="b"/>
          </m:rPr>
          <w:rPr>
            <w:rFonts w:ascii="Cambria Math" w:hAnsi="Cambria Math"/>
          </w:rPr>
          <m:t>A</m:t>
        </m:r>
        <m:r>
          <m:rPr>
            <m:sty m:val="p"/>
          </m:rPr>
          <w:rPr>
            <w:rFonts w:ascii="Cambria Math" w:hAnsi="Cambria Math"/>
          </w:rPr>
          <m:t>+</m:t>
        </m:r>
        <m:r>
          <m:rPr>
            <m:sty m:val="b"/>
          </m:rPr>
          <w:rPr>
            <w:rFonts w:ascii="Cambria Math" w:hAnsi="Cambria Math"/>
          </w:rPr>
          <m:t>B</m:t>
        </m:r>
        <m:r>
          <m:rPr>
            <m:sty m:val="p"/>
          </m:rPr>
          <w:rPr>
            <w:rFonts w:ascii="Cambria Math" w:hAnsi="Cambria Math"/>
          </w:rPr>
          <m:t>)</m:t>
        </m:r>
      </m:oMath>
      <w:r>
        <w:t>,</w:t>
      </w:r>
    </w:p>
    <w:p>
      <w:pPr>
        <w:pStyle w:val="yMiscellaneousBody"/>
        <w:tabs>
          <w:tab w:val="left" w:pos="284"/>
          <w:tab w:val="left" w:pos="1985"/>
          <w:tab w:val="right" w:leader="dot" w:pos="6804"/>
        </w:tabs>
        <w:ind w:left="1282" w:hanging="142"/>
      </w:pPr>
      <w:r>
        <w:tab/>
        <w:t xml:space="preserve">then </w:t>
      </w:r>
      <m:oMath>
        <m:r>
          <m:rPr>
            <m:sty m:val="p"/>
          </m:rPr>
          <w:rPr>
            <w:rFonts w:ascii="Cambria Math" w:hAnsi="Cambria Math"/>
          </w:rPr>
          <m:t>(</m:t>
        </m:r>
        <m:r>
          <m:rPr>
            <m:sty m:val="b"/>
          </m:rPr>
          <w:rPr>
            <w:rFonts w:ascii="Cambria Math" w:hAnsi="Cambria Math"/>
          </w:rPr>
          <m:t>A</m:t>
        </m:r>
        <m:r>
          <m:rPr>
            <m:sty m:val="p"/>
          </m:rPr>
          <w:rPr>
            <w:rFonts w:ascii="Cambria Math" w:hAnsi="Cambria Math"/>
          </w:rPr>
          <m:t>×</m:t>
        </m:r>
        <m:r>
          <m:rPr>
            <m:sty m:val="b"/>
          </m:rPr>
          <w:rPr>
            <w:rFonts w:ascii="Cambria Math" w:hAnsi="Cambria Math"/>
          </w:rPr>
          <m:t>S</m:t>
        </m:r>
        <m:r>
          <m:rPr>
            <m:sty m:val="p"/>
          </m:rPr>
          <w:rPr>
            <w:rFonts w:ascii="Cambria Math" w:hAnsi="Cambria Math"/>
          </w:rPr>
          <m:t>)</m:t>
        </m:r>
      </m:oMath>
    </w:p>
    <w:p>
      <w:pPr>
        <w:pStyle w:val="yMiscellaneousBody"/>
        <w:tabs>
          <w:tab w:val="left" w:pos="284"/>
          <w:tab w:val="right" w:leader="dot" w:pos="6804"/>
        </w:tabs>
        <w:ind w:left="1282" w:hanging="142"/>
      </w:pPr>
      <w:r>
        <w:t xml:space="preserve">or if </w:t>
      </w:r>
      <m:oMath>
        <m:r>
          <m:rPr>
            <m:sty m:val="p"/>
          </m:rPr>
          <w:rPr>
            <w:rFonts w:ascii="Cambria Math" w:hAnsi="Cambria Math"/>
          </w:rPr>
          <m:t>(</m:t>
        </m:r>
        <m:r>
          <m:rPr>
            <m:sty m:val="b"/>
          </m:rPr>
          <w:rPr>
            <w:rFonts w:ascii="Cambria Math" w:hAnsi="Cambria Math"/>
          </w:rPr>
          <m:t>A</m:t>
        </m:r>
        <m:r>
          <m:rPr>
            <m:sty m:val="p"/>
          </m:rPr>
          <w:rPr>
            <w:rFonts w:ascii="Cambria Math" w:hAnsi="Cambria Math"/>
          </w:rPr>
          <m:t>×</m:t>
        </m:r>
        <m:r>
          <m:rPr>
            <m:sty m:val="b"/>
          </m:rPr>
          <w:rPr>
            <w:rFonts w:ascii="Cambria Math" w:hAnsi="Cambria Math"/>
          </w:rPr>
          <m:t>S</m:t>
        </m:r>
        <m:r>
          <m:rPr>
            <m:sty m:val="p"/>
          </m:rPr>
          <w:rPr>
            <w:rFonts w:ascii="Cambria Math" w:hAnsi="Cambria Math"/>
          </w:rPr>
          <m:t>)≤(</m:t>
        </m:r>
        <m:r>
          <m:rPr>
            <m:sty m:val="b"/>
          </m:rPr>
          <w:rPr>
            <w:rFonts w:ascii="Cambria Math" w:hAnsi="Cambria Math"/>
          </w:rPr>
          <m:t>A</m:t>
        </m:r>
        <m:r>
          <m:rPr>
            <m:sty m:val="p"/>
          </m:rPr>
          <w:rPr>
            <w:rFonts w:ascii="Cambria Math" w:hAnsi="Cambria Math"/>
          </w:rPr>
          <m:t>+</m:t>
        </m:r>
        <m:r>
          <m:rPr>
            <m:sty m:val="b"/>
          </m:rPr>
          <w:rPr>
            <w:rFonts w:ascii="Cambria Math" w:hAnsi="Cambria Math"/>
          </w:rPr>
          <m:t>B</m:t>
        </m:r>
        <m:r>
          <m:rPr>
            <m:sty m:val="p"/>
          </m:rPr>
          <w:rPr>
            <w:rFonts w:ascii="Cambria Math" w:hAnsi="Cambria Math"/>
          </w:rPr>
          <m:t>)</m:t>
        </m:r>
      </m:oMath>
      <w:r>
        <w:t>,</w:t>
      </w:r>
    </w:p>
    <w:p>
      <w:pPr>
        <w:pStyle w:val="yMiscellaneousBody"/>
        <w:tabs>
          <w:tab w:val="left" w:pos="284"/>
          <w:tab w:val="left" w:pos="1985"/>
          <w:tab w:val="right" w:leader="dot" w:pos="6804"/>
        </w:tabs>
        <w:ind w:left="1282" w:hanging="142"/>
      </w:pPr>
      <w:r>
        <w:tab/>
        <w:t xml:space="preserve">then </w:t>
      </w:r>
      <m:oMath>
        <m:r>
          <m:rPr>
            <m:sty m:val="p"/>
          </m:rPr>
          <w:rPr>
            <w:rFonts w:ascii="Cambria Math" w:hAnsi="Cambria Math"/>
          </w:rPr>
          <m:t>(</m:t>
        </m:r>
        <m:r>
          <m:rPr>
            <m:sty m:val="b"/>
          </m:rPr>
          <w:rPr>
            <w:rFonts w:ascii="Cambria Math" w:hAnsi="Cambria Math"/>
          </w:rPr>
          <m:t>A</m:t>
        </m:r>
        <m:r>
          <m:rPr>
            <m:sty m:val="p"/>
          </m:rPr>
          <w:rPr>
            <w:rFonts w:ascii="Cambria Math" w:hAnsi="Cambria Math"/>
          </w:rPr>
          <m:t>+</m:t>
        </m:r>
        <m:r>
          <m:rPr>
            <m:sty m:val="b"/>
          </m:rPr>
          <w:rPr>
            <w:rFonts w:ascii="Cambria Math" w:hAnsi="Cambria Math"/>
          </w:rPr>
          <m:t>B</m:t>
        </m:r>
        <m:r>
          <m:rPr>
            <m:sty m:val="p"/>
          </m:rPr>
          <w:rPr>
            <w:rFonts w:ascii="Cambria Math" w:hAnsi="Cambria Math"/>
          </w:rPr>
          <m:t>)</m:t>
        </m:r>
      </m:oMath>
    </w:p>
    <w:p>
      <w:pPr>
        <w:pStyle w:val="yMiscellaneousBody"/>
        <w:tabs>
          <w:tab w:val="left" w:pos="284"/>
          <w:tab w:val="right" w:leader="dot" w:pos="6804"/>
        </w:tabs>
        <w:ind w:left="1282" w:hanging="142"/>
      </w:pPr>
      <w:r>
        <w:t xml:space="preserve">or if </w:t>
      </w:r>
      <m:oMath>
        <m:d>
          <m:dPr>
            <m:ctrlPr>
              <w:rPr>
                <w:rFonts w:ascii="Cambria Math" w:hAnsi="Cambria Math"/>
              </w:rPr>
            </m:ctrlPr>
          </m:dPr>
          <m:e>
            <m:r>
              <m:rPr>
                <m:sty m:val="b"/>
              </m:rPr>
              <w:rPr>
                <w:rFonts w:ascii="Cambria Math" w:hAnsi="Cambria Math"/>
              </w:rPr>
              <m:t>P</m:t>
            </m:r>
            <m:r>
              <m:rPr>
                <m:sty m:val="p"/>
              </m:rPr>
              <w:rPr>
                <w:rFonts w:ascii="Cambria Math" w:hAnsi="Cambria Math"/>
              </w:rPr>
              <m:t>+</m:t>
            </m:r>
            <m:r>
              <m:rPr>
                <m:sty m:val="b"/>
              </m:rPr>
              <w:rPr>
                <w:rFonts w:ascii="Cambria Math" w:hAnsi="Cambria Math"/>
              </w:rPr>
              <m:t>Q</m:t>
            </m:r>
          </m:e>
        </m:d>
        <m:r>
          <m:rPr>
            <m:sty m:val="p"/>
          </m:rPr>
          <w:rPr>
            <w:rFonts w:ascii="Cambria Math" w:hAnsi="Cambria Math"/>
          </w:rPr>
          <m:t>-</m:t>
        </m:r>
        <m:r>
          <m:rPr>
            <m:sty m:val="b"/>
          </m:rPr>
          <w:rPr>
            <w:rFonts w:ascii="Cambria Math" w:hAnsi="Cambria Math"/>
          </w:rPr>
          <m:t>A</m:t>
        </m:r>
        <m:r>
          <m:rPr>
            <m:sty m:val="p"/>
          </m:rPr>
          <w:rPr>
            <w:rFonts w:ascii="Cambria Math" w:hAnsi="Cambria Math"/>
          </w:rPr>
          <m:t>≤</m:t>
        </m:r>
        <m:r>
          <m:rPr>
            <m:sty m:val="b"/>
          </m:rPr>
          <w:rPr>
            <w:rFonts w:ascii="Cambria Math" w:hAnsi="Cambria Math"/>
          </w:rPr>
          <m:t>B</m:t>
        </m:r>
      </m:oMath>
      <w:r>
        <w:t>,</w:t>
      </w:r>
    </w:p>
    <w:p>
      <w:pPr>
        <w:pStyle w:val="yMiscellaneousBody"/>
        <w:tabs>
          <w:tab w:val="left" w:pos="284"/>
          <w:tab w:val="left" w:pos="1985"/>
          <w:tab w:val="right" w:leader="dot" w:pos="6804"/>
        </w:tabs>
        <w:ind w:left="1282" w:hanging="142"/>
      </w:pPr>
      <w:r>
        <w:tab/>
        <w:t xml:space="preserve">then </w:t>
      </w:r>
      <m:oMath>
        <m:d>
          <m:dPr>
            <m:ctrlPr>
              <w:rPr>
                <w:rFonts w:ascii="Cambria Math" w:hAnsi="Cambria Math"/>
              </w:rPr>
            </m:ctrlPr>
          </m:dPr>
          <m:e>
            <m:r>
              <m:rPr>
                <m:sty m:val="b"/>
              </m:rPr>
              <w:rPr>
                <w:rFonts w:ascii="Cambria Math" w:hAnsi="Cambria Math"/>
              </w:rPr>
              <m:t>P</m:t>
            </m:r>
            <m:r>
              <m:rPr>
                <m:sty m:val="p"/>
              </m:rPr>
              <w:rPr>
                <w:rFonts w:ascii="Cambria Math" w:hAnsi="Cambria Math"/>
              </w:rPr>
              <m:t>+</m:t>
            </m:r>
            <m:r>
              <m:rPr>
                <m:sty m:val="b"/>
              </m:rPr>
              <w:rPr>
                <w:rFonts w:ascii="Cambria Math" w:hAnsi="Cambria Math"/>
              </w:rPr>
              <m:t>Q</m:t>
            </m:r>
          </m:e>
        </m:d>
      </m:oMath>
    </w:p>
    <w:p>
      <w:pPr>
        <w:pStyle w:val="yMiscellaneousBody"/>
        <w:tabs>
          <w:tab w:val="left" w:pos="284"/>
          <w:tab w:val="left" w:pos="1985"/>
        </w:tabs>
        <w:ind w:left="1305" w:hanging="425"/>
      </w:pPr>
      <w:r>
        <w:t xml:space="preserve">where — </w:t>
      </w:r>
    </w:p>
    <w:p>
      <w:pPr>
        <w:pStyle w:val="yMiscellaneousBody"/>
        <w:tabs>
          <w:tab w:val="left" w:pos="284"/>
          <w:tab w:val="left" w:pos="1985"/>
        </w:tabs>
        <w:ind w:left="1305" w:hanging="425"/>
      </w:pPr>
      <w:r>
        <w:rPr>
          <w:b/>
        </w:rPr>
        <w:t>P</w:t>
      </w:r>
      <w:r>
        <w:rPr>
          <w:b/>
        </w:rPr>
        <w:tab/>
      </w:r>
      <w:r>
        <w:t>is the service charge calculated in accordance with item 27;</w:t>
      </w:r>
    </w:p>
    <w:p>
      <w:pPr>
        <w:pStyle w:val="yMiscellaneousBody"/>
        <w:tabs>
          <w:tab w:val="left" w:pos="284"/>
          <w:tab w:val="left" w:pos="1985"/>
        </w:tabs>
        <w:ind w:left="1305" w:hanging="425"/>
      </w:pPr>
      <w:r>
        <w:rPr>
          <w:b/>
        </w:rPr>
        <w:t>Q</w:t>
      </w:r>
      <w:r>
        <w:rPr>
          <w:b/>
        </w:rPr>
        <w:tab/>
      </w:r>
      <w:r>
        <w:t>is the discharge charge calculated in accordance with item 28;</w:t>
      </w:r>
    </w:p>
    <w:p>
      <w:pPr>
        <w:pStyle w:val="yMiscellaneousBody"/>
        <w:tabs>
          <w:tab w:val="left" w:pos="284"/>
          <w:tab w:val="left" w:pos="1985"/>
        </w:tabs>
        <w:ind w:left="1305" w:hanging="425"/>
      </w:pPr>
      <w:r>
        <w:rPr>
          <w:b/>
        </w:rPr>
        <w:t>A</w:t>
      </w:r>
      <w:r>
        <w:rPr>
          <w:b/>
        </w:rPr>
        <w:tab/>
      </w:r>
      <w:r>
        <w:t>is the charge payable, for the previous financial year, under the item in Subdivision 4 for which this item is being applied;</w:t>
      </w:r>
    </w:p>
    <w:p>
      <w:pPr>
        <w:pStyle w:val="yMiscellaneousBody"/>
        <w:tabs>
          <w:tab w:val="left" w:pos="284"/>
          <w:tab w:val="left" w:pos="1985"/>
        </w:tabs>
        <w:ind w:left="1305" w:hanging="425"/>
      </w:pPr>
      <w:r>
        <w:rPr>
          <w:b/>
        </w:rPr>
        <w:t>S</w:t>
      </w:r>
      <w:r>
        <w:rPr>
          <w:b/>
        </w:rPr>
        <w:tab/>
      </w:r>
      <w:r>
        <w:t>is 1.1250;</w:t>
      </w:r>
    </w:p>
    <w:p>
      <w:pPr>
        <w:pStyle w:val="yMiscellaneousBody"/>
        <w:tabs>
          <w:tab w:val="left" w:pos="284"/>
          <w:tab w:val="left" w:pos="1985"/>
        </w:tabs>
        <w:ind w:left="1305" w:hanging="425"/>
      </w:pPr>
      <w:r>
        <w:rPr>
          <w:b/>
        </w:rPr>
        <w:t>B</w:t>
      </w:r>
      <w:r>
        <w:rPr>
          <w:b/>
        </w:rPr>
        <w:tab/>
      </w:r>
      <w:r>
        <w:t>is $166.67.</w:t>
      </w:r>
    </w:p>
    <w:p>
      <w:pPr>
        <w:pStyle w:val="zyHeading3"/>
      </w:pPr>
      <w:bookmarkStart w:id="305" w:name="_Toc201235776"/>
      <w:bookmarkStart w:id="306" w:name="_Toc201236027"/>
      <w:bookmarkStart w:id="307" w:name="_Toc201236183"/>
      <w:bookmarkStart w:id="308" w:name="_Toc201661687"/>
      <w:r>
        <w:t>Division 3 — Discharge charges: trade waste and effluent</w:t>
      </w:r>
      <w:bookmarkEnd w:id="305"/>
      <w:bookmarkEnd w:id="306"/>
      <w:bookmarkEnd w:id="307"/>
      <w:bookmarkEnd w:id="308"/>
    </w:p>
    <w:p>
      <w:pPr>
        <w:pStyle w:val="zyHeading5"/>
      </w:pPr>
      <w:bookmarkStart w:id="309" w:name="_Toc201235777"/>
      <w:bookmarkStart w:id="310" w:name="_Toc201661688"/>
      <w:r>
        <w:t>31.</w:t>
      </w:r>
      <w:r>
        <w:tab/>
        <w:t>Discharge charges for 2025/26 and subsequent years</w:t>
      </w:r>
      <w:bookmarkEnd w:id="309"/>
      <w:bookmarkEnd w:id="310"/>
    </w:p>
    <w:p>
      <w:pPr>
        <w:pStyle w:val="ySubsection"/>
      </w:pPr>
      <w:r>
        <w:tab/>
      </w:r>
      <w:r>
        <w:tab/>
        <w:t>The charges set out in this Division apply for trade waste or effluent discharged in the 2025/26 financial year and each subsequent year.</w:t>
      </w:r>
    </w:p>
    <w:p>
      <w:pPr>
        <w:pStyle w:val="zyHeading5"/>
      </w:pPr>
      <w:bookmarkStart w:id="311" w:name="_Toc201235778"/>
      <w:bookmarkStart w:id="312" w:name="_Toc201661689"/>
      <w:r>
        <w:t>32.</w:t>
      </w:r>
      <w:r>
        <w:tab/>
        <w:t>Trade waste discharged into sewer under approval</w:t>
      </w:r>
      <w:bookmarkEnd w:id="311"/>
      <w:bookmarkEnd w:id="312"/>
    </w:p>
    <w:p>
      <w:pPr>
        <w:pStyle w:val="ySubsection"/>
      </w:pPr>
      <w:r>
        <w:tab/>
        <w:t>(1)</w:t>
      </w:r>
      <w:r>
        <w:tab/>
        <w:t xml:space="preserve">In this item — </w:t>
      </w:r>
    </w:p>
    <w:p>
      <w:pPr>
        <w:pStyle w:val="yDefstart"/>
      </w:pPr>
      <w:r>
        <w:tab/>
      </w:r>
      <w:r>
        <w:rPr>
          <w:rStyle w:val="CharDefText"/>
        </w:rPr>
        <w:t>B.O.D.</w:t>
      </w:r>
      <w:r>
        <w:t xml:space="preserve"> means biochemical oxygen demand;</w:t>
      </w:r>
    </w:p>
    <w:p>
      <w:pPr>
        <w:pStyle w:val="yDefstart"/>
      </w:pPr>
      <w:r>
        <w:tab/>
      </w:r>
      <w:r>
        <w:rPr>
          <w:rStyle w:val="CharDefText"/>
        </w:rPr>
        <w:t>c/kg</w:t>
      </w:r>
      <w:r>
        <w:t xml:space="preserve"> means cents </w:t>
      </w:r>
      <w:r>
        <w:rPr>
          <w:szCs w:val="22"/>
        </w:rPr>
        <w:t>per</w:t>
      </w:r>
      <w:r>
        <w:t xml:space="preserve"> kilogram;</w:t>
      </w:r>
    </w:p>
    <w:p>
      <w:pPr>
        <w:pStyle w:val="yDefstart"/>
      </w:pPr>
      <w:r>
        <w:lastRenderedPageBreak/>
        <w:tab/>
      </w:r>
      <w:r>
        <w:rPr>
          <w:rStyle w:val="CharDefText"/>
        </w:rPr>
        <w:t>c/kL</w:t>
      </w:r>
      <w:r>
        <w:t xml:space="preserve"> means cents </w:t>
      </w:r>
      <w:r>
        <w:rPr>
          <w:szCs w:val="22"/>
        </w:rPr>
        <w:t>per</w:t>
      </w:r>
      <w:r>
        <w:t xml:space="preserve"> kilolitre.</w:t>
      </w:r>
    </w:p>
    <w:p>
      <w:pPr>
        <w:pStyle w:val="ySubsection"/>
      </w:pPr>
      <w:r>
        <w:tab/>
        <w:t>(2)</w:t>
      </w:r>
      <w:r>
        <w:tab/>
        <w:t>For trade waste discharged into a sewer of the Water Corporation under an approval of the Water Corporation, the charge is —</w:t>
      </w:r>
    </w:p>
    <w:p>
      <w:pPr>
        <w:pStyle w:val="yIndenta"/>
        <w:tabs>
          <w:tab w:val="right" w:leader="dot" w:pos="6804"/>
        </w:tabs>
      </w:pPr>
      <w:r>
        <w:tab/>
        <w:t>(a)</w:t>
      </w:r>
      <w:r>
        <w:tab/>
        <w:t xml:space="preserve">for volume </w:t>
      </w:r>
      <w:r>
        <w:tab/>
        <w:t>168.6 c/kL</w:t>
      </w:r>
    </w:p>
    <w:p>
      <w:pPr>
        <w:pStyle w:val="yIndenta"/>
        <w:tabs>
          <w:tab w:val="right" w:leader="dot" w:pos="6804"/>
        </w:tabs>
      </w:pPr>
      <w:r>
        <w:tab/>
        <w:t>(b)</w:t>
      </w:r>
      <w:r>
        <w:tab/>
        <w:t>for B.O.D. with a concentration of —</w:t>
      </w:r>
    </w:p>
    <w:p>
      <w:pPr>
        <w:pStyle w:val="yIndenti0"/>
        <w:tabs>
          <w:tab w:val="right" w:leader="dot" w:pos="6804"/>
        </w:tabs>
      </w:pPr>
      <w:r>
        <w:tab/>
        <w:t>(i)</w:t>
      </w:r>
      <w:r>
        <w:tab/>
        <w:t xml:space="preserve">up to 5 kg/kL </w:t>
      </w:r>
      <w:r>
        <w:tab/>
        <w:t>140.7 c/kg</w:t>
      </w:r>
    </w:p>
    <w:p>
      <w:pPr>
        <w:pStyle w:val="yIndenti0"/>
        <w:tabs>
          <w:tab w:val="right" w:leader="dot" w:pos="6804"/>
        </w:tabs>
      </w:pPr>
      <w:r>
        <w:tab/>
        <w:t>(ii)</w:t>
      </w:r>
      <w:r>
        <w:tab/>
        <w:t xml:space="preserve">over 5 kg/kL </w:t>
      </w:r>
      <w:r>
        <w:tab/>
        <w:t>287.2 c/kg</w:t>
      </w:r>
    </w:p>
    <w:p>
      <w:pPr>
        <w:pStyle w:val="yIndenta"/>
        <w:tabs>
          <w:tab w:val="right" w:leader="dot" w:pos="6804"/>
        </w:tabs>
      </w:pPr>
      <w:r>
        <w:tab/>
        <w:t>(c)</w:t>
      </w:r>
      <w:r>
        <w:tab/>
        <w:t>for suspended solids with a concentration of —</w:t>
      </w:r>
    </w:p>
    <w:p>
      <w:pPr>
        <w:pStyle w:val="yIndenti0"/>
        <w:tabs>
          <w:tab w:val="right" w:leader="dot" w:pos="6804"/>
        </w:tabs>
      </w:pPr>
      <w:r>
        <w:tab/>
        <w:t>(i)</w:t>
      </w:r>
      <w:r>
        <w:tab/>
        <w:t xml:space="preserve">up to 2 kg/kL </w:t>
      </w:r>
      <w:r>
        <w:tab/>
        <w:t>191.9 c/kg</w:t>
      </w:r>
    </w:p>
    <w:p>
      <w:pPr>
        <w:pStyle w:val="yIndenti0"/>
        <w:tabs>
          <w:tab w:val="right" w:leader="dot" w:pos="6804"/>
        </w:tabs>
      </w:pPr>
      <w:r>
        <w:tab/>
        <w:t>(ii)</w:t>
      </w:r>
      <w:r>
        <w:tab/>
        <w:t xml:space="preserve">over 2 kg/kL </w:t>
      </w:r>
      <w:r>
        <w:tab/>
        <w:t>386.1 c/kg</w:t>
      </w:r>
    </w:p>
    <w:p>
      <w:pPr>
        <w:pStyle w:val="yIndenta"/>
        <w:tabs>
          <w:tab w:val="right" w:leader="dot" w:pos="6804"/>
        </w:tabs>
      </w:pPr>
      <w:r>
        <w:tab/>
        <w:t>(d)</w:t>
      </w:r>
      <w:r>
        <w:tab/>
        <w:t>for oil and grease with a concentration of —</w:t>
      </w:r>
    </w:p>
    <w:p>
      <w:pPr>
        <w:pStyle w:val="yIndenti0"/>
        <w:tabs>
          <w:tab w:val="right" w:leader="dot" w:pos="6804"/>
        </w:tabs>
      </w:pPr>
      <w:r>
        <w:tab/>
        <w:t>(i)</w:t>
      </w:r>
      <w:r>
        <w:tab/>
        <w:t xml:space="preserve">up to 0.3 kg/kL </w:t>
      </w:r>
      <w:r>
        <w:tab/>
        <w:t>173.3 c/kg</w:t>
      </w:r>
    </w:p>
    <w:p>
      <w:pPr>
        <w:pStyle w:val="yIndenti0"/>
        <w:tabs>
          <w:tab w:val="right" w:leader="dot" w:pos="6804"/>
        </w:tabs>
      </w:pPr>
      <w:r>
        <w:tab/>
        <w:t>(ii)</w:t>
      </w:r>
      <w:r>
        <w:tab/>
        <w:t xml:space="preserve">over 0.3 kg/kL but </w:t>
      </w:r>
      <w:r>
        <w:br/>
        <w:t xml:space="preserve">not over 0.6 kg/kL </w:t>
      </w:r>
      <w:r>
        <w:tab/>
        <w:t>339.5 c/kg</w:t>
      </w:r>
    </w:p>
    <w:p>
      <w:pPr>
        <w:pStyle w:val="yIndenti0"/>
        <w:tabs>
          <w:tab w:val="right" w:leader="dot" w:pos="6804"/>
        </w:tabs>
      </w:pPr>
      <w:r>
        <w:tab/>
        <w:t>(iii)</w:t>
      </w:r>
      <w:r>
        <w:tab/>
        <w:t xml:space="preserve">over 0.6 kg/kL </w:t>
      </w:r>
      <w:r>
        <w:tab/>
        <w:t>684.9 c/kg</w:t>
      </w:r>
    </w:p>
    <w:p>
      <w:pPr>
        <w:pStyle w:val="yIndenta"/>
        <w:tabs>
          <w:tab w:val="right" w:leader="dot" w:pos="6804"/>
        </w:tabs>
      </w:pPr>
      <w:r>
        <w:tab/>
        <w:t>(e)</w:t>
      </w:r>
      <w:r>
        <w:tab/>
        <w:t>for acidity to pH 6 (expressed as calcium carbonate) —</w:t>
      </w:r>
    </w:p>
    <w:p>
      <w:pPr>
        <w:pStyle w:val="yIndenti0"/>
        <w:tabs>
          <w:tab w:val="right" w:leader="dot" w:pos="6804"/>
        </w:tabs>
      </w:pPr>
      <w:r>
        <w:tab/>
        <w:t>(i)</w:t>
      </w:r>
      <w:r>
        <w:tab/>
        <w:t xml:space="preserve">up to 0.1 kg/kL </w:t>
      </w:r>
      <w:r>
        <w:tab/>
        <w:t>47.7 c/kg</w:t>
      </w:r>
    </w:p>
    <w:p>
      <w:pPr>
        <w:pStyle w:val="yIndenti0"/>
        <w:tabs>
          <w:tab w:val="right" w:leader="dot" w:pos="6804"/>
        </w:tabs>
      </w:pPr>
      <w:r>
        <w:tab/>
        <w:t>(ii)</w:t>
      </w:r>
      <w:r>
        <w:tab/>
        <w:t xml:space="preserve">over 0.1 kg/kL but </w:t>
      </w:r>
      <w:r>
        <w:br/>
        <w:t xml:space="preserve">not over 0.3 kg/kL </w:t>
      </w:r>
      <w:r>
        <w:tab/>
        <w:t>100.0 c/kg</w:t>
      </w:r>
    </w:p>
    <w:p>
      <w:pPr>
        <w:pStyle w:val="yIndenti0"/>
        <w:tabs>
          <w:tab w:val="right" w:leader="dot" w:pos="6804"/>
        </w:tabs>
      </w:pPr>
      <w:r>
        <w:tab/>
        <w:t>(iii)</w:t>
      </w:r>
      <w:r>
        <w:tab/>
        <w:t xml:space="preserve">over 0.3 kg/kL </w:t>
      </w:r>
      <w:r>
        <w:tab/>
        <w:t>198.8 c/kg</w:t>
      </w:r>
    </w:p>
    <w:p>
      <w:pPr>
        <w:pStyle w:val="yIndenta"/>
        <w:tabs>
          <w:tab w:val="right" w:leader="dot" w:pos="6804"/>
        </w:tabs>
      </w:pPr>
      <w:r>
        <w:tab/>
        <w:t>(f)</w:t>
      </w:r>
      <w:r>
        <w:tab/>
        <w:t>for alkalinity to pH 10 (expressed as calcium carbonate) —</w:t>
      </w:r>
    </w:p>
    <w:p>
      <w:pPr>
        <w:pStyle w:val="yIndenti0"/>
        <w:tabs>
          <w:tab w:val="right" w:leader="dot" w:pos="6804"/>
        </w:tabs>
      </w:pPr>
      <w:r>
        <w:tab/>
        <w:t>(i)</w:t>
      </w:r>
      <w:r>
        <w:tab/>
        <w:t xml:space="preserve">up to 0.1 kg/kL </w:t>
      </w:r>
      <w:r>
        <w:tab/>
        <w:t>15.1 c/kg</w:t>
      </w:r>
    </w:p>
    <w:p>
      <w:pPr>
        <w:pStyle w:val="yIndenti0"/>
        <w:tabs>
          <w:tab w:val="right" w:leader="dot" w:pos="6804"/>
        </w:tabs>
      </w:pPr>
      <w:r>
        <w:tab/>
        <w:t>(ii)</w:t>
      </w:r>
      <w:r>
        <w:tab/>
        <w:t xml:space="preserve">over 0.1 kg/kL but </w:t>
      </w:r>
      <w:r>
        <w:br/>
        <w:t xml:space="preserve">not over 0.2 kg/kL </w:t>
      </w:r>
      <w:r>
        <w:tab/>
        <w:t>36.0 c/kg</w:t>
      </w:r>
    </w:p>
    <w:p>
      <w:pPr>
        <w:pStyle w:val="yIndenti0"/>
        <w:tabs>
          <w:tab w:val="right" w:leader="dot" w:pos="6804"/>
        </w:tabs>
      </w:pPr>
      <w:r>
        <w:tab/>
        <w:t>(iii)</w:t>
      </w:r>
      <w:r>
        <w:tab/>
        <w:t xml:space="preserve">over 0.2 kg/kL </w:t>
      </w:r>
      <w:r>
        <w:tab/>
        <w:t>72.1 c/kg</w:t>
      </w:r>
    </w:p>
    <w:p>
      <w:pPr>
        <w:pStyle w:val="yIndenta"/>
        <w:tabs>
          <w:tab w:val="right" w:leader="dot" w:pos="6804"/>
        </w:tabs>
      </w:pPr>
      <w:r>
        <w:tab/>
        <w:t>(g)</w:t>
      </w:r>
      <w:r>
        <w:tab/>
        <w:t xml:space="preserve">for nitrogen </w:t>
      </w:r>
      <w:r>
        <w:tab/>
        <w:t>153.5 c/kg</w:t>
      </w:r>
    </w:p>
    <w:p>
      <w:pPr>
        <w:pStyle w:val="yIndenta"/>
        <w:tabs>
          <w:tab w:val="right" w:leader="dot" w:pos="6804"/>
        </w:tabs>
      </w:pPr>
      <w:r>
        <w:tab/>
        <w:t>(h)</w:t>
      </w:r>
      <w:r>
        <w:tab/>
        <w:t xml:space="preserve">for phosphorus </w:t>
      </w:r>
      <w:r>
        <w:tab/>
        <w:t>43.0 c/kg</w:t>
      </w:r>
    </w:p>
    <w:p>
      <w:pPr>
        <w:pStyle w:val="yIndenta"/>
        <w:tabs>
          <w:tab w:val="right" w:leader="dot" w:pos="6804"/>
        </w:tabs>
        <w:rPr>
          <w:szCs w:val="22"/>
        </w:rPr>
      </w:pPr>
      <w:r>
        <w:tab/>
        <w:t>(i)</w:t>
      </w:r>
      <w:r>
        <w:tab/>
        <w:t>for sulphate</w:t>
      </w:r>
      <w:r>
        <w:rPr>
          <w:szCs w:val="22"/>
        </w:rPr>
        <w:t xml:space="preserve"> with a concentration of —</w:t>
      </w:r>
    </w:p>
    <w:p>
      <w:pPr>
        <w:pStyle w:val="yIndenti0"/>
        <w:tabs>
          <w:tab w:val="right" w:leader="dot" w:pos="6804"/>
        </w:tabs>
      </w:pPr>
      <w:r>
        <w:tab/>
        <w:t>(i)</w:t>
      </w:r>
      <w:r>
        <w:tab/>
        <w:t xml:space="preserve">up to 0.05 kg/kL </w:t>
      </w:r>
      <w:r>
        <w:tab/>
        <w:t>no charge</w:t>
      </w:r>
    </w:p>
    <w:p>
      <w:pPr>
        <w:pStyle w:val="yIndenti0"/>
        <w:tabs>
          <w:tab w:val="right" w:leader="dot" w:pos="6804"/>
        </w:tabs>
      </w:pPr>
      <w:r>
        <w:tab/>
        <w:t>(ii)</w:t>
      </w:r>
      <w:r>
        <w:tab/>
        <w:t xml:space="preserve">over 0.05 kg/kL </w:t>
      </w:r>
      <w:r>
        <w:tab/>
        <w:t>81.4 c/kg</w:t>
      </w:r>
    </w:p>
    <w:p>
      <w:pPr>
        <w:pStyle w:val="yIndenta"/>
        <w:keepNext/>
        <w:tabs>
          <w:tab w:val="right" w:leader="dot" w:pos="6804"/>
        </w:tabs>
      </w:pPr>
      <w:r>
        <w:rPr>
          <w:szCs w:val="22"/>
        </w:rPr>
        <w:lastRenderedPageBreak/>
        <w:tab/>
        <w:t>(j)</w:t>
      </w:r>
      <w:r>
        <w:rPr>
          <w:szCs w:val="22"/>
        </w:rPr>
        <w:tab/>
        <w:t xml:space="preserve">for </w:t>
      </w:r>
      <w:r>
        <w:t>total</w:t>
      </w:r>
      <w:r>
        <w:rPr>
          <w:szCs w:val="22"/>
        </w:rPr>
        <w:t xml:space="preserve"> </w:t>
      </w:r>
      <w:r>
        <w:t>dissolved</w:t>
      </w:r>
      <w:r>
        <w:rPr>
          <w:szCs w:val="22"/>
        </w:rPr>
        <w:t xml:space="preserve"> </w:t>
      </w:r>
      <w:r>
        <w:t>salts</w:t>
      </w:r>
      <w:r>
        <w:rPr>
          <w:szCs w:val="22"/>
        </w:rPr>
        <w:t xml:space="preserve"> with a </w:t>
      </w:r>
      <w:r>
        <w:t>concentration</w:t>
      </w:r>
      <w:r>
        <w:rPr>
          <w:szCs w:val="22"/>
        </w:rPr>
        <w:t xml:space="preserve"> of —</w:t>
      </w:r>
    </w:p>
    <w:p>
      <w:pPr>
        <w:pStyle w:val="yIndenti0"/>
        <w:tabs>
          <w:tab w:val="right" w:leader="dot" w:pos="6804"/>
        </w:tabs>
      </w:pPr>
      <w:r>
        <w:tab/>
        <w:t>(i)</w:t>
      </w:r>
      <w:r>
        <w:tab/>
        <w:t xml:space="preserve">up to 1 kg/kL </w:t>
      </w:r>
      <w:r>
        <w:tab/>
        <w:t>no charge</w:t>
      </w:r>
    </w:p>
    <w:p>
      <w:pPr>
        <w:pStyle w:val="yIndenti0"/>
        <w:tabs>
          <w:tab w:val="right" w:leader="dot" w:pos="6804"/>
        </w:tabs>
      </w:pPr>
      <w:r>
        <w:tab/>
        <w:t>(ii)</w:t>
      </w:r>
      <w:r>
        <w:tab/>
        <w:t xml:space="preserve">over 1 kg/kL but not </w:t>
      </w:r>
      <w:r>
        <w:br/>
        <w:t xml:space="preserve">over 3 kg/kL </w:t>
      </w:r>
      <w:r>
        <w:tab/>
        <w:t>0.1 c/kg</w:t>
      </w:r>
    </w:p>
    <w:p>
      <w:pPr>
        <w:pStyle w:val="yIndenti0"/>
        <w:tabs>
          <w:tab w:val="right" w:leader="dot" w:pos="6804"/>
        </w:tabs>
      </w:pPr>
      <w:r>
        <w:tab/>
        <w:t>(iii)</w:t>
      </w:r>
      <w:r>
        <w:tab/>
        <w:t xml:space="preserve">over 3 kg/kL but not </w:t>
      </w:r>
      <w:r>
        <w:br/>
        <w:t xml:space="preserve">over 6 kg/kL </w:t>
      </w:r>
      <w:r>
        <w:tab/>
        <w:t>4.5 c/kg</w:t>
      </w:r>
    </w:p>
    <w:p>
      <w:pPr>
        <w:pStyle w:val="yIndenti0"/>
        <w:tabs>
          <w:tab w:val="right" w:leader="dot" w:pos="6804"/>
        </w:tabs>
      </w:pPr>
      <w:r>
        <w:tab/>
        <w:t>(iv)</w:t>
      </w:r>
      <w:r>
        <w:tab/>
        <w:t xml:space="preserve">over 6 kg/kL </w:t>
      </w:r>
      <w:r>
        <w:tab/>
        <w:t>16.2 c/kg</w:t>
      </w:r>
    </w:p>
    <w:p>
      <w:pPr>
        <w:pStyle w:val="yIndenta"/>
        <w:tabs>
          <w:tab w:val="right" w:leader="dot" w:pos="6804"/>
        </w:tabs>
      </w:pPr>
      <w:r>
        <w:rPr>
          <w:szCs w:val="22"/>
        </w:rPr>
        <w:tab/>
        <w:t>(k)</w:t>
      </w:r>
      <w:r>
        <w:rPr>
          <w:szCs w:val="22"/>
        </w:rPr>
        <w:tab/>
        <w:t xml:space="preserve">for chromium </w:t>
      </w:r>
      <w:r>
        <w:t>with</w:t>
      </w:r>
      <w:r>
        <w:rPr>
          <w:szCs w:val="22"/>
        </w:rPr>
        <w:t xml:space="preserve"> a discharge rate of —</w:t>
      </w:r>
    </w:p>
    <w:p>
      <w:pPr>
        <w:pStyle w:val="yIndenti0"/>
        <w:tabs>
          <w:tab w:val="right" w:leader="dot" w:pos="6804"/>
        </w:tabs>
      </w:pPr>
      <w:r>
        <w:tab/>
        <w:t>(i)</w:t>
      </w:r>
      <w:r>
        <w:tab/>
        <w:t xml:space="preserve">up to 0.03 kg/day </w:t>
      </w:r>
      <w:r>
        <w:tab/>
        <w:t>1 274.4 c/kg</w:t>
      </w:r>
    </w:p>
    <w:p>
      <w:pPr>
        <w:pStyle w:val="yIndenti0"/>
        <w:tabs>
          <w:tab w:val="right" w:leader="dot" w:pos="6804"/>
        </w:tabs>
      </w:pPr>
      <w:r>
        <w:tab/>
        <w:t>(ii)</w:t>
      </w:r>
      <w:r>
        <w:tab/>
        <w:t xml:space="preserve">over 0.03 kg/day but not </w:t>
      </w:r>
      <w:r>
        <w:br/>
        <w:t xml:space="preserve">over 1 kg/day </w:t>
      </w:r>
      <w:r>
        <w:tab/>
        <w:t>2 541.9 c/kg</w:t>
      </w:r>
    </w:p>
    <w:p>
      <w:pPr>
        <w:pStyle w:val="yIndenti0"/>
        <w:tabs>
          <w:tab w:val="right" w:leader="dot" w:pos="6804"/>
        </w:tabs>
      </w:pPr>
      <w:r>
        <w:tab/>
        <w:t>(iii)</w:t>
      </w:r>
      <w:r>
        <w:tab/>
        <w:t xml:space="preserve">over 1 kg/day </w:t>
      </w:r>
      <w:r>
        <w:tab/>
        <w:t>10 185.0 c/kg</w:t>
      </w:r>
    </w:p>
    <w:p>
      <w:pPr>
        <w:pStyle w:val="yIndenta"/>
        <w:tabs>
          <w:tab w:val="right" w:leader="dot" w:pos="6804"/>
        </w:tabs>
      </w:pPr>
      <w:r>
        <w:rPr>
          <w:szCs w:val="22"/>
        </w:rPr>
        <w:tab/>
        <w:t>(l)</w:t>
      </w:r>
      <w:r>
        <w:rPr>
          <w:szCs w:val="22"/>
        </w:rPr>
        <w:tab/>
        <w:t xml:space="preserve">for </w:t>
      </w:r>
      <w:r>
        <w:t>copper</w:t>
      </w:r>
      <w:r>
        <w:rPr>
          <w:szCs w:val="22"/>
        </w:rPr>
        <w:t xml:space="preserve"> with a discharge rate of —</w:t>
      </w:r>
    </w:p>
    <w:p>
      <w:pPr>
        <w:pStyle w:val="yIndenti0"/>
        <w:tabs>
          <w:tab w:val="right" w:leader="dot" w:pos="6804"/>
        </w:tabs>
      </w:pPr>
      <w:r>
        <w:tab/>
        <w:t>(i)</w:t>
      </w:r>
      <w:r>
        <w:tab/>
        <w:t xml:space="preserve">up to 0.03 kg/day </w:t>
      </w:r>
      <w:r>
        <w:tab/>
        <w:t>1 274.4 c/kg</w:t>
      </w:r>
    </w:p>
    <w:p>
      <w:pPr>
        <w:pStyle w:val="yIndenti0"/>
        <w:tabs>
          <w:tab w:val="right" w:leader="dot" w:pos="6804"/>
        </w:tabs>
      </w:pPr>
      <w:r>
        <w:tab/>
        <w:t>(ii)</w:t>
      </w:r>
      <w:r>
        <w:tab/>
        <w:t xml:space="preserve">over 0.03 kg/day but </w:t>
      </w:r>
      <w:r>
        <w:br/>
        <w:t xml:space="preserve">not over 0.12 kg/day </w:t>
      </w:r>
      <w:r>
        <w:tab/>
        <w:t>2 541.9 c/kg</w:t>
      </w:r>
    </w:p>
    <w:p>
      <w:pPr>
        <w:pStyle w:val="yIndenti0"/>
        <w:tabs>
          <w:tab w:val="right" w:leader="dot" w:pos="6804"/>
        </w:tabs>
      </w:pPr>
      <w:r>
        <w:tab/>
        <w:t>(iii)</w:t>
      </w:r>
      <w:r>
        <w:tab/>
        <w:t xml:space="preserve">over 0.12 kg/day </w:t>
      </w:r>
      <w:r>
        <w:tab/>
        <w:t>10 185.0 c/kg</w:t>
      </w:r>
    </w:p>
    <w:p>
      <w:pPr>
        <w:pStyle w:val="yIndenta"/>
        <w:tabs>
          <w:tab w:val="right" w:leader="dot" w:pos="6804"/>
        </w:tabs>
      </w:pPr>
      <w:r>
        <w:rPr>
          <w:szCs w:val="22"/>
        </w:rPr>
        <w:tab/>
        <w:t>(m)</w:t>
      </w:r>
      <w:r>
        <w:rPr>
          <w:szCs w:val="22"/>
        </w:rPr>
        <w:tab/>
        <w:t>for lead with a discharge rate of —</w:t>
      </w:r>
    </w:p>
    <w:p>
      <w:pPr>
        <w:pStyle w:val="yIndenti0"/>
        <w:tabs>
          <w:tab w:val="right" w:leader="dot" w:pos="6804"/>
        </w:tabs>
      </w:pPr>
      <w:r>
        <w:tab/>
        <w:t>(i)</w:t>
      </w:r>
      <w:r>
        <w:tab/>
        <w:t xml:space="preserve">up to 0.03 kg/day </w:t>
      </w:r>
      <w:r>
        <w:tab/>
        <w:t>1 274.4 c/kg</w:t>
      </w:r>
    </w:p>
    <w:p>
      <w:pPr>
        <w:pStyle w:val="yIndenti0"/>
        <w:tabs>
          <w:tab w:val="right" w:leader="dot" w:pos="6804"/>
        </w:tabs>
      </w:pPr>
      <w:r>
        <w:tab/>
        <w:t>(ii)</w:t>
      </w:r>
      <w:r>
        <w:tab/>
        <w:t xml:space="preserve">over 0.03 kg/day but </w:t>
      </w:r>
      <w:r>
        <w:br/>
        <w:t xml:space="preserve">not over 0.3 kg/day </w:t>
      </w:r>
      <w:r>
        <w:tab/>
        <w:t>2 541.9 c/kg</w:t>
      </w:r>
    </w:p>
    <w:p>
      <w:pPr>
        <w:pStyle w:val="yIndenti0"/>
        <w:tabs>
          <w:tab w:val="right" w:leader="dot" w:pos="6804"/>
        </w:tabs>
      </w:pPr>
      <w:r>
        <w:tab/>
        <w:t>(iii)</w:t>
      </w:r>
      <w:r>
        <w:tab/>
        <w:t xml:space="preserve">over 0.3 kg/day </w:t>
      </w:r>
      <w:r>
        <w:tab/>
        <w:t>10 185.0 c/kg</w:t>
      </w:r>
    </w:p>
    <w:p>
      <w:pPr>
        <w:pStyle w:val="yIndenta"/>
        <w:tabs>
          <w:tab w:val="right" w:leader="dot" w:pos="6804"/>
        </w:tabs>
      </w:pPr>
      <w:r>
        <w:tab/>
        <w:t>(n)</w:t>
      </w:r>
      <w:r>
        <w:tab/>
        <w:t xml:space="preserve">for nickel with a </w:t>
      </w:r>
      <w:r>
        <w:rPr>
          <w:szCs w:val="22"/>
        </w:rPr>
        <w:t>discharge</w:t>
      </w:r>
      <w:r>
        <w:t xml:space="preserve"> rate of —</w:t>
      </w:r>
    </w:p>
    <w:p>
      <w:pPr>
        <w:pStyle w:val="yIndenti0"/>
        <w:tabs>
          <w:tab w:val="right" w:leader="dot" w:pos="6804"/>
        </w:tabs>
      </w:pPr>
      <w:r>
        <w:tab/>
        <w:t>(i)</w:t>
      </w:r>
      <w:r>
        <w:tab/>
        <w:t xml:space="preserve">up to 0.006 kg/day </w:t>
      </w:r>
      <w:r>
        <w:tab/>
        <w:t>1 274.4 c/kg</w:t>
      </w:r>
    </w:p>
    <w:p>
      <w:pPr>
        <w:pStyle w:val="yIndenti0"/>
        <w:tabs>
          <w:tab w:val="right" w:leader="dot" w:pos="6804"/>
        </w:tabs>
      </w:pPr>
      <w:r>
        <w:tab/>
        <w:t>(ii)</w:t>
      </w:r>
      <w:r>
        <w:tab/>
        <w:t xml:space="preserve">over 0.006 kg/day but </w:t>
      </w:r>
      <w:r>
        <w:br/>
        <w:t xml:space="preserve">not over 0.15 kg/day </w:t>
      </w:r>
      <w:r>
        <w:tab/>
        <w:t>2 541.9 c/kg</w:t>
      </w:r>
    </w:p>
    <w:p>
      <w:pPr>
        <w:pStyle w:val="yIndenti0"/>
        <w:tabs>
          <w:tab w:val="right" w:leader="dot" w:pos="6804"/>
        </w:tabs>
      </w:pPr>
      <w:r>
        <w:tab/>
        <w:t>(iii)</w:t>
      </w:r>
      <w:r>
        <w:tab/>
        <w:t xml:space="preserve">over 0.15 kg/day </w:t>
      </w:r>
      <w:r>
        <w:tab/>
        <w:t>10 185.0 c/kg</w:t>
      </w:r>
    </w:p>
    <w:p>
      <w:pPr>
        <w:pStyle w:val="yIndenta"/>
        <w:keepNext/>
        <w:tabs>
          <w:tab w:val="right" w:leader="dot" w:pos="6804"/>
        </w:tabs>
      </w:pPr>
      <w:r>
        <w:tab/>
        <w:t>(o)</w:t>
      </w:r>
      <w:r>
        <w:tab/>
        <w:t xml:space="preserve">for zinc </w:t>
      </w:r>
      <w:r>
        <w:rPr>
          <w:szCs w:val="22"/>
        </w:rPr>
        <w:t>with</w:t>
      </w:r>
      <w:r>
        <w:t xml:space="preserve"> a discharge rate of —</w:t>
      </w:r>
    </w:p>
    <w:p>
      <w:pPr>
        <w:pStyle w:val="yIndenti0"/>
        <w:keepNext/>
        <w:tabs>
          <w:tab w:val="right" w:leader="dot" w:pos="6804"/>
        </w:tabs>
      </w:pPr>
      <w:r>
        <w:tab/>
        <w:t>(i)</w:t>
      </w:r>
      <w:r>
        <w:tab/>
        <w:t xml:space="preserve">up to 0.05 kg/day </w:t>
      </w:r>
      <w:r>
        <w:tab/>
        <w:t>1 274.4 c/kg</w:t>
      </w:r>
    </w:p>
    <w:p>
      <w:pPr>
        <w:pStyle w:val="yIndenti0"/>
        <w:tabs>
          <w:tab w:val="right" w:leader="dot" w:pos="6804"/>
        </w:tabs>
      </w:pPr>
      <w:r>
        <w:tab/>
        <w:t>(ii)</w:t>
      </w:r>
      <w:r>
        <w:tab/>
        <w:t xml:space="preserve">over 0.05 kg/day but </w:t>
      </w:r>
      <w:r>
        <w:br/>
        <w:t xml:space="preserve">not over 0.5 kg/day </w:t>
      </w:r>
      <w:r>
        <w:tab/>
        <w:t>2 541.9 c/kg</w:t>
      </w:r>
    </w:p>
    <w:p>
      <w:pPr>
        <w:pStyle w:val="yIndenti0"/>
        <w:tabs>
          <w:tab w:val="right" w:leader="dot" w:pos="6804"/>
        </w:tabs>
      </w:pPr>
      <w:r>
        <w:tab/>
        <w:t>(iii)</w:t>
      </w:r>
      <w:r>
        <w:tab/>
        <w:t xml:space="preserve">over 0.5 kg/day </w:t>
      </w:r>
      <w:r>
        <w:tab/>
        <w:t>10 185.0 c/kg</w:t>
      </w:r>
    </w:p>
    <w:p>
      <w:pPr>
        <w:pStyle w:val="yIndenta"/>
      </w:pPr>
      <w:r>
        <w:lastRenderedPageBreak/>
        <w:tab/>
        <w:t>(p)</w:t>
      </w:r>
      <w:r>
        <w:tab/>
        <w:t xml:space="preserve">for arsenic </w:t>
      </w:r>
      <w:r>
        <w:rPr>
          <w:szCs w:val="22"/>
        </w:rPr>
        <w:t>with</w:t>
      </w:r>
      <w:r>
        <w:t xml:space="preserve"> a discharge rate of —</w:t>
      </w:r>
    </w:p>
    <w:p>
      <w:pPr>
        <w:pStyle w:val="yIndenti0"/>
        <w:tabs>
          <w:tab w:val="right" w:leader="dot" w:pos="6804"/>
        </w:tabs>
      </w:pPr>
      <w:r>
        <w:tab/>
        <w:t>(i)</w:t>
      </w:r>
      <w:r>
        <w:tab/>
        <w:t xml:space="preserve">up to 0.001 kg/day </w:t>
      </w:r>
      <w:r>
        <w:tab/>
        <w:t>1 274.4 c/kg</w:t>
      </w:r>
    </w:p>
    <w:p>
      <w:pPr>
        <w:pStyle w:val="yIndenti0"/>
        <w:tabs>
          <w:tab w:val="right" w:leader="dot" w:pos="6804"/>
        </w:tabs>
      </w:pPr>
      <w:r>
        <w:tab/>
        <w:t>(ii)</w:t>
      </w:r>
      <w:r>
        <w:tab/>
        <w:t xml:space="preserve">over 0.001 kg/day but </w:t>
      </w:r>
      <w:r>
        <w:br/>
        <w:t xml:space="preserve">not over 0.04 kg/day </w:t>
      </w:r>
      <w:r>
        <w:tab/>
        <w:t>12 728.1 c/kg</w:t>
      </w:r>
    </w:p>
    <w:p>
      <w:pPr>
        <w:pStyle w:val="yIndenti0"/>
        <w:tabs>
          <w:tab w:val="right" w:leader="dot" w:pos="6804"/>
        </w:tabs>
      </w:pPr>
      <w:r>
        <w:tab/>
        <w:t>(iii)</w:t>
      </w:r>
      <w:r>
        <w:tab/>
        <w:t xml:space="preserve">over 0.04 kg/day </w:t>
      </w:r>
      <w:r>
        <w:tab/>
        <w:t>127 278.2 c/kg</w:t>
      </w:r>
    </w:p>
    <w:p>
      <w:pPr>
        <w:pStyle w:val="yIndenta"/>
        <w:tabs>
          <w:tab w:val="right" w:leader="dot" w:pos="6804"/>
        </w:tabs>
      </w:pPr>
      <w:r>
        <w:tab/>
        <w:t>(q)</w:t>
      </w:r>
      <w:r>
        <w:tab/>
        <w:t>for cadmium with a discharge rate of —</w:t>
      </w:r>
    </w:p>
    <w:p>
      <w:pPr>
        <w:pStyle w:val="yIndenti0"/>
        <w:tabs>
          <w:tab w:val="right" w:leader="dot" w:pos="6804"/>
        </w:tabs>
      </w:pPr>
      <w:r>
        <w:tab/>
        <w:t>(i)</w:t>
      </w:r>
      <w:r>
        <w:tab/>
        <w:t xml:space="preserve">up to 0.001 kg/day </w:t>
      </w:r>
      <w:r>
        <w:tab/>
        <w:t>1 274.4 c/kg</w:t>
      </w:r>
    </w:p>
    <w:p>
      <w:pPr>
        <w:pStyle w:val="yIndenti0"/>
        <w:tabs>
          <w:tab w:val="right" w:leader="dot" w:pos="6804"/>
        </w:tabs>
      </w:pPr>
      <w:r>
        <w:tab/>
        <w:t>(ii)</w:t>
      </w:r>
      <w:r>
        <w:tab/>
        <w:t xml:space="preserve">over 0.001 kg/day but </w:t>
      </w:r>
      <w:r>
        <w:br/>
        <w:t xml:space="preserve">not over 0.015 kg/day </w:t>
      </w:r>
      <w:r>
        <w:tab/>
        <w:t>12 728.1 c/kg</w:t>
      </w:r>
    </w:p>
    <w:p>
      <w:pPr>
        <w:pStyle w:val="yIndenti0"/>
        <w:tabs>
          <w:tab w:val="right" w:leader="dot" w:pos="6804"/>
        </w:tabs>
      </w:pPr>
      <w:r>
        <w:tab/>
        <w:t>(iii)</w:t>
      </w:r>
      <w:r>
        <w:tab/>
        <w:t xml:space="preserve">over 0.015 kg/day </w:t>
      </w:r>
      <w:r>
        <w:tab/>
        <w:t>127 278.2 c/kg</w:t>
      </w:r>
    </w:p>
    <w:p>
      <w:pPr>
        <w:pStyle w:val="yIndenta"/>
        <w:tabs>
          <w:tab w:val="right" w:leader="dot" w:pos="6804"/>
        </w:tabs>
      </w:pPr>
      <w:r>
        <w:tab/>
        <w:t>(r)</w:t>
      </w:r>
      <w:r>
        <w:tab/>
        <w:t>for molybdenum or selenium with a discharge rate of —</w:t>
      </w:r>
    </w:p>
    <w:p>
      <w:pPr>
        <w:pStyle w:val="yIndenti0"/>
        <w:tabs>
          <w:tab w:val="right" w:leader="dot" w:pos="6804"/>
        </w:tabs>
      </w:pPr>
      <w:r>
        <w:tab/>
        <w:t>(i)</w:t>
      </w:r>
      <w:r>
        <w:tab/>
        <w:t xml:space="preserve">up to 0.001 kg/day </w:t>
      </w:r>
      <w:r>
        <w:tab/>
        <w:t>1 274.4 c/kg</w:t>
      </w:r>
    </w:p>
    <w:p>
      <w:pPr>
        <w:pStyle w:val="yIndenti0"/>
        <w:tabs>
          <w:tab w:val="right" w:leader="dot" w:pos="6804"/>
        </w:tabs>
      </w:pPr>
      <w:r>
        <w:tab/>
        <w:t>(ii)</w:t>
      </w:r>
      <w:r>
        <w:tab/>
        <w:t xml:space="preserve">over 0.001 kg/day but </w:t>
      </w:r>
      <w:r>
        <w:br/>
        <w:t xml:space="preserve">not over 0.02 kg/day </w:t>
      </w:r>
      <w:r>
        <w:tab/>
        <w:t>12 728.1 c/kg</w:t>
      </w:r>
    </w:p>
    <w:p>
      <w:pPr>
        <w:pStyle w:val="yIndenti0"/>
        <w:tabs>
          <w:tab w:val="right" w:leader="dot" w:pos="6804"/>
        </w:tabs>
      </w:pPr>
      <w:r>
        <w:tab/>
        <w:t>(iii)</w:t>
      </w:r>
      <w:r>
        <w:tab/>
        <w:t xml:space="preserve">over 0.02 kg/day </w:t>
      </w:r>
      <w:r>
        <w:tab/>
        <w:t>127 278.2 c/kg</w:t>
      </w:r>
    </w:p>
    <w:p>
      <w:pPr>
        <w:pStyle w:val="yIndenta"/>
        <w:keepNext/>
        <w:tabs>
          <w:tab w:val="right" w:leader="dot" w:pos="6804"/>
        </w:tabs>
      </w:pPr>
      <w:r>
        <w:tab/>
        <w:t>(s)</w:t>
      </w:r>
      <w:r>
        <w:tab/>
        <w:t>for silver with a discharge rate of —</w:t>
      </w:r>
    </w:p>
    <w:p>
      <w:pPr>
        <w:pStyle w:val="yIndenti0"/>
        <w:tabs>
          <w:tab w:val="right" w:leader="dot" w:pos="6804"/>
        </w:tabs>
      </w:pPr>
      <w:r>
        <w:tab/>
        <w:t>(i)</w:t>
      </w:r>
      <w:r>
        <w:tab/>
        <w:t xml:space="preserve">up to 0.002 kg/day </w:t>
      </w:r>
      <w:r>
        <w:tab/>
        <w:t>1 274.4 c/kg</w:t>
      </w:r>
    </w:p>
    <w:p>
      <w:pPr>
        <w:pStyle w:val="yIndenti0"/>
        <w:tabs>
          <w:tab w:val="right" w:leader="dot" w:pos="6804"/>
        </w:tabs>
      </w:pPr>
      <w:r>
        <w:tab/>
        <w:t>(ii)</w:t>
      </w:r>
      <w:r>
        <w:tab/>
        <w:t xml:space="preserve">over 0.002 kg/day but </w:t>
      </w:r>
      <w:r>
        <w:br/>
        <w:t xml:space="preserve">not over 0.01 kg/day </w:t>
      </w:r>
      <w:r>
        <w:tab/>
        <w:t>12 728.1 c/kg</w:t>
      </w:r>
    </w:p>
    <w:p>
      <w:pPr>
        <w:pStyle w:val="yIndenti0"/>
        <w:tabs>
          <w:tab w:val="right" w:leader="dot" w:pos="6804"/>
        </w:tabs>
      </w:pPr>
      <w:r>
        <w:tab/>
        <w:t>(iii)</w:t>
      </w:r>
      <w:r>
        <w:tab/>
        <w:t xml:space="preserve">over 0.01 kg/day </w:t>
      </w:r>
      <w:r>
        <w:tab/>
        <w:t>127 278.2 c/kg</w:t>
      </w:r>
    </w:p>
    <w:p>
      <w:pPr>
        <w:pStyle w:val="yIndenta"/>
        <w:tabs>
          <w:tab w:val="right" w:leader="dot" w:pos="6804"/>
        </w:tabs>
      </w:pPr>
      <w:r>
        <w:tab/>
        <w:t>(t)</w:t>
      </w:r>
      <w:r>
        <w:tab/>
        <w:t>for mercury with a discharge rate of —</w:t>
      </w:r>
    </w:p>
    <w:p>
      <w:pPr>
        <w:pStyle w:val="yIndenti0"/>
        <w:tabs>
          <w:tab w:val="right" w:leader="dot" w:pos="6804"/>
        </w:tabs>
      </w:pPr>
      <w:r>
        <w:tab/>
        <w:t>(i)</w:t>
      </w:r>
      <w:r>
        <w:tab/>
        <w:t xml:space="preserve">up to 0.0001 kg/day </w:t>
      </w:r>
      <w:r>
        <w:tab/>
        <w:t>1 274.4 c/kg</w:t>
      </w:r>
    </w:p>
    <w:p>
      <w:pPr>
        <w:pStyle w:val="yIndenti0"/>
        <w:tabs>
          <w:tab w:val="right" w:leader="dot" w:pos="6804"/>
        </w:tabs>
      </w:pPr>
      <w:r>
        <w:tab/>
        <w:t>(ii)</w:t>
      </w:r>
      <w:r>
        <w:tab/>
        <w:t xml:space="preserve">over 0.0001 kg/day but </w:t>
      </w:r>
      <w:r>
        <w:br/>
        <w:t xml:space="preserve">not over 0.001 kg/day </w:t>
      </w:r>
      <w:r>
        <w:tab/>
        <w:t>127 278.2 c/kg</w:t>
      </w:r>
    </w:p>
    <w:p>
      <w:pPr>
        <w:pStyle w:val="yIndenti0"/>
        <w:tabs>
          <w:tab w:val="right" w:leader="dot" w:pos="6804"/>
        </w:tabs>
      </w:pPr>
      <w:r>
        <w:tab/>
        <w:t>(iii)</w:t>
      </w:r>
      <w:r>
        <w:tab/>
        <w:t xml:space="preserve">over 0.001 kg/day </w:t>
      </w:r>
      <w:r>
        <w:tab/>
        <w:t>954 622.6 c/kg</w:t>
      </w:r>
    </w:p>
    <w:p>
      <w:pPr>
        <w:pStyle w:val="zyHeading5"/>
      </w:pPr>
      <w:bookmarkStart w:id="313" w:name="_Toc201235779"/>
      <w:bookmarkStart w:id="314" w:name="_Toc201661690"/>
      <w:r>
        <w:t>33.</w:t>
      </w:r>
      <w:r>
        <w:tab/>
        <w:t>Effluent discharged from septic tank effluent pumping system into sewer</w:t>
      </w:r>
      <w:bookmarkEnd w:id="313"/>
      <w:bookmarkEnd w:id="314"/>
    </w:p>
    <w:p>
      <w:pPr>
        <w:pStyle w:val="ySubsection"/>
        <w:tabs>
          <w:tab w:val="right" w:leader="dot" w:pos="6804"/>
        </w:tabs>
      </w:pPr>
      <w:r>
        <w:tab/>
      </w:r>
      <w:r>
        <w:tab/>
        <w:t xml:space="preserve">For effluent discharged from a </w:t>
      </w:r>
      <w:r>
        <w:br/>
        <w:t xml:space="preserve">septic tank effluent pumping system </w:t>
      </w:r>
      <w:r>
        <w:br/>
        <w:t xml:space="preserve">into a sewer of the Water Corporation, </w:t>
      </w:r>
      <w:r>
        <w:br/>
        <w:t xml:space="preserve">the charge is </w:t>
      </w:r>
      <w:r>
        <w:tab/>
        <w:t>193.0 cents/kL</w:t>
      </w:r>
    </w:p>
    <w:p>
      <w:pPr>
        <w:pStyle w:val="zyHeading2"/>
      </w:pPr>
      <w:bookmarkStart w:id="315" w:name="_Toc201235780"/>
      <w:bookmarkStart w:id="316" w:name="_Toc201236031"/>
      <w:bookmarkStart w:id="317" w:name="_Toc201236187"/>
      <w:bookmarkStart w:id="318" w:name="_Toc201661691"/>
      <w:r>
        <w:lastRenderedPageBreak/>
        <w:t>Schedule 5 — Drainage charges for Water Corporation</w:t>
      </w:r>
      <w:bookmarkEnd w:id="315"/>
      <w:bookmarkEnd w:id="316"/>
      <w:bookmarkEnd w:id="317"/>
      <w:bookmarkEnd w:id="318"/>
    </w:p>
    <w:p>
      <w:pPr>
        <w:pStyle w:val="yShoulderClause"/>
      </w:pPr>
      <w:r>
        <w:t>[r. 24 and 47]</w:t>
      </w:r>
    </w:p>
    <w:p>
      <w:pPr>
        <w:pStyle w:val="zyHeading5"/>
      </w:pPr>
      <w:bookmarkStart w:id="319" w:name="_Toc201235781"/>
      <w:bookmarkStart w:id="320" w:name="_Toc201661692"/>
      <w:r>
        <w:t>1.</w:t>
      </w:r>
      <w:r>
        <w:tab/>
        <w:t>Drainage charges for 2025/26 and subsequent years</w:t>
      </w:r>
      <w:bookmarkEnd w:id="319"/>
      <w:bookmarkEnd w:id="320"/>
    </w:p>
    <w:p>
      <w:pPr>
        <w:pStyle w:val="ySubsection"/>
      </w:pPr>
      <w:r>
        <w:tab/>
      </w:r>
      <w:r>
        <w:tab/>
      </w:r>
      <w:r>
        <w:rPr>
          <w:szCs w:val="22"/>
        </w:rPr>
        <w:t>The</w:t>
      </w:r>
      <w:r>
        <w:t xml:space="preserve"> charges set out in this Schedule apply for drainage </w:t>
      </w:r>
      <w:r>
        <w:rPr>
          <w:szCs w:val="22"/>
        </w:rPr>
        <w:t>services</w:t>
      </w:r>
      <w:r>
        <w:t xml:space="preserve"> provided in the 2025/26</w:t>
      </w:r>
      <w:r>
        <w:rPr>
          <w:szCs w:val="22"/>
        </w:rPr>
        <w:t xml:space="preserve"> </w:t>
      </w:r>
      <w:r>
        <w:t>financial year and each subsequent year.</w:t>
      </w:r>
    </w:p>
    <w:p>
      <w:pPr>
        <w:pStyle w:val="zyHeading5"/>
      </w:pPr>
      <w:bookmarkStart w:id="321" w:name="_Toc201235782"/>
      <w:bookmarkStart w:id="322" w:name="_Toc201661693"/>
      <w:r>
        <w:t>2.</w:t>
      </w:r>
      <w:r>
        <w:tab/>
        <w:t>Strata</w:t>
      </w:r>
      <w:r>
        <w:noBreakHyphen/>
        <w:t>titled long</w:t>
      </w:r>
      <w:r>
        <w:noBreakHyphen/>
        <w:t>term residential caravan bays and park homes</w:t>
      </w:r>
      <w:bookmarkEnd w:id="321"/>
      <w:bookmarkEnd w:id="322"/>
    </w:p>
    <w:p>
      <w:pPr>
        <w:pStyle w:val="ySubsection"/>
        <w:tabs>
          <w:tab w:val="right" w:leader="dot" w:pos="6804"/>
        </w:tabs>
      </w:pPr>
      <w:r>
        <w:tab/>
      </w:r>
      <w:r>
        <w:tab/>
        <w:t>For a strata</w:t>
      </w:r>
      <w:r>
        <w:noBreakHyphen/>
        <w:t>titled caravan bay, a long</w:t>
      </w:r>
      <w:r>
        <w:noBreakHyphen/>
        <w:t xml:space="preserve">term </w:t>
      </w:r>
      <w:r>
        <w:br/>
        <w:t xml:space="preserve">residential caravan bay or a park home, the </w:t>
      </w:r>
      <w:r>
        <w:br/>
        <w:t xml:space="preserve">charge is </w:t>
      </w:r>
      <w:r>
        <w:tab/>
        <w:t>$42.05</w:t>
      </w:r>
    </w:p>
    <w:p>
      <w:pPr>
        <w:pStyle w:val="zyHeading5"/>
      </w:pPr>
      <w:bookmarkStart w:id="323" w:name="_Toc201235783"/>
      <w:bookmarkStart w:id="324" w:name="_Toc201661694"/>
      <w:r>
        <w:t>3.</w:t>
      </w:r>
      <w:r>
        <w:tab/>
        <w:t>Storage units or parking bays in strata titles scheme or community titles scheme</w:t>
      </w:r>
      <w:bookmarkEnd w:id="323"/>
      <w:bookmarkEnd w:id="324"/>
      <w:r>
        <w:t xml:space="preserve"> </w:t>
      </w:r>
    </w:p>
    <w:p>
      <w:pPr>
        <w:pStyle w:val="ySubsection"/>
        <w:tabs>
          <w:tab w:val="right" w:leader="dot" w:pos="6804"/>
        </w:tabs>
      </w:pPr>
      <w:r>
        <w:tab/>
      </w:r>
      <w:r>
        <w:tab/>
        <w:t xml:space="preserve">For a lot that is used for storage purposes or as a </w:t>
      </w:r>
      <w:r>
        <w:br/>
        <w:t>parking bay, in a strata titles scheme or a</w:t>
      </w:r>
      <w:r>
        <w:br/>
        <w:t xml:space="preserve">community titles scheme, the charge is </w:t>
      </w:r>
      <w:r>
        <w:tab/>
        <w:t>$16.20</w:t>
      </w:r>
    </w:p>
    <w:p>
      <w:pPr>
        <w:pStyle w:val="zyHeading5"/>
      </w:pPr>
      <w:bookmarkStart w:id="325" w:name="_Toc201235784"/>
      <w:bookmarkStart w:id="326" w:name="_Toc201661695"/>
      <w:r>
        <w:t>4.</w:t>
      </w:r>
      <w:r>
        <w:tab/>
        <w:t>Residential or semi</w:t>
      </w:r>
      <w:r>
        <w:noBreakHyphen/>
        <w:t>rural residential</w:t>
      </w:r>
      <w:bookmarkEnd w:id="325"/>
      <w:bookmarkEnd w:id="326"/>
    </w:p>
    <w:p>
      <w:pPr>
        <w:pStyle w:val="ySubsection"/>
        <w:tabs>
          <w:tab w:val="right" w:leader="dot" w:pos="6804"/>
        </w:tabs>
      </w:pPr>
      <w:r>
        <w:tab/>
        <w:t>(1)</w:t>
      </w:r>
      <w:r>
        <w:tab/>
        <w:t xml:space="preserve">For land that is classified as residential or </w:t>
      </w:r>
      <w:r>
        <w:br/>
        <w:t>semi</w:t>
      </w:r>
      <w:r>
        <w:noBreakHyphen/>
        <w:t xml:space="preserve">rural residential, the charge, per </w:t>
      </w:r>
      <w:r>
        <w:br/>
        <w:t xml:space="preserve">dwelling on the land, is </w:t>
      </w:r>
      <w:r>
        <w:tab/>
        <w:t>0.603 cents/$</w:t>
      </w:r>
    </w:p>
    <w:p>
      <w:pPr>
        <w:pStyle w:val="yMiscellaneousBody"/>
        <w:spacing w:before="0"/>
        <w:ind w:left="2183" w:right="284" w:hanging="851"/>
        <w:jc w:val="right"/>
      </w:pPr>
      <w:r>
        <w:t>of GRV</w:t>
      </w:r>
    </w:p>
    <w:p>
      <w:pPr>
        <w:pStyle w:val="ySubsection"/>
        <w:tabs>
          <w:tab w:val="right" w:leader="dot" w:pos="6804"/>
        </w:tabs>
      </w:pPr>
      <w:r>
        <w:tab/>
        <w:t>(2)</w:t>
      </w:r>
      <w:r>
        <w:tab/>
        <w:t xml:space="preserve">The minimum charge per dwelling under </w:t>
      </w:r>
      <w:r>
        <w:br/>
        <w:t xml:space="preserve">this item is </w:t>
      </w:r>
      <w:r>
        <w:tab/>
      </w:r>
      <w:r>
        <w:rPr>
          <w:szCs w:val="22"/>
        </w:rPr>
        <w:t>$139.04</w:t>
      </w:r>
    </w:p>
    <w:p>
      <w:pPr>
        <w:pStyle w:val="zyHeading5"/>
      </w:pPr>
      <w:bookmarkStart w:id="327" w:name="_Toc201235785"/>
      <w:bookmarkStart w:id="328" w:name="_Toc201661696"/>
      <w:r>
        <w:t>5.</w:t>
      </w:r>
      <w:r>
        <w:tab/>
        <w:t>Vacant land</w:t>
      </w:r>
      <w:bookmarkEnd w:id="327"/>
      <w:bookmarkEnd w:id="328"/>
    </w:p>
    <w:p>
      <w:pPr>
        <w:pStyle w:val="ySubsection"/>
        <w:tabs>
          <w:tab w:val="right" w:leader="dot" w:pos="6804"/>
        </w:tabs>
      </w:pPr>
      <w:r>
        <w:tab/>
        <w:t>(1)</w:t>
      </w:r>
      <w:r>
        <w:tab/>
      </w:r>
      <w:r>
        <w:rPr>
          <w:szCs w:val="22"/>
        </w:rPr>
        <w:t xml:space="preserve">For </w:t>
      </w:r>
      <w:r>
        <w:t>land</w:t>
      </w:r>
      <w:r>
        <w:rPr>
          <w:szCs w:val="22"/>
        </w:rPr>
        <w:t xml:space="preserve"> </w:t>
      </w:r>
      <w:r>
        <w:t>that</w:t>
      </w:r>
      <w:r>
        <w:rPr>
          <w:szCs w:val="22"/>
        </w:rPr>
        <w:t xml:space="preserve"> is </w:t>
      </w:r>
      <w:r>
        <w:t>classified</w:t>
      </w:r>
      <w:r>
        <w:rPr>
          <w:szCs w:val="22"/>
        </w:rPr>
        <w:t xml:space="preserve"> as vacant land, </w:t>
      </w:r>
      <w:r>
        <w:rPr>
          <w:szCs w:val="22"/>
        </w:rPr>
        <w:br/>
        <w:t xml:space="preserve">the </w:t>
      </w:r>
      <w:r>
        <w:t>charge</w:t>
      </w:r>
      <w:r>
        <w:rPr>
          <w:szCs w:val="22"/>
        </w:rPr>
        <w:t xml:space="preserve"> is </w:t>
      </w:r>
      <w:r>
        <w:rPr>
          <w:szCs w:val="22"/>
        </w:rPr>
        <w:tab/>
      </w:r>
      <w:r>
        <w:t>0.741 cents/$</w:t>
      </w:r>
    </w:p>
    <w:p>
      <w:pPr>
        <w:pStyle w:val="yMiscellaneousBody"/>
        <w:spacing w:before="0"/>
        <w:ind w:left="2183" w:right="284" w:hanging="851"/>
        <w:jc w:val="right"/>
      </w:pPr>
      <w:r>
        <w:t>of GRV</w:t>
      </w:r>
    </w:p>
    <w:p>
      <w:pPr>
        <w:pStyle w:val="ySubsection"/>
        <w:tabs>
          <w:tab w:val="right" w:leader="dot" w:pos="6804"/>
        </w:tabs>
      </w:pPr>
      <w:r>
        <w:tab/>
        <w:t>(2)</w:t>
      </w:r>
      <w:r>
        <w:tab/>
        <w:t xml:space="preserve">The minimum charge under this item is </w:t>
      </w:r>
      <w:r>
        <w:tab/>
      </w:r>
      <w:r>
        <w:rPr>
          <w:szCs w:val="22"/>
        </w:rPr>
        <w:t>$139.04</w:t>
      </w:r>
    </w:p>
    <w:p>
      <w:pPr>
        <w:pStyle w:val="zyHeading5"/>
      </w:pPr>
      <w:bookmarkStart w:id="329" w:name="_Toc201235786"/>
      <w:bookmarkStart w:id="330" w:name="_Toc201661697"/>
      <w:r>
        <w:lastRenderedPageBreak/>
        <w:t>6.</w:t>
      </w:r>
      <w:r>
        <w:tab/>
        <w:t>Non</w:t>
      </w:r>
      <w:r>
        <w:noBreakHyphen/>
        <w:t>residential (except strata titled caravan bays and storage units or parking bays in strata titles scheme or community titles scheme)</w:t>
      </w:r>
      <w:bookmarkEnd w:id="329"/>
      <w:bookmarkEnd w:id="330"/>
    </w:p>
    <w:p>
      <w:pPr>
        <w:pStyle w:val="ySubsection"/>
        <w:tabs>
          <w:tab w:val="right" w:leader="dot" w:pos="6804"/>
        </w:tabs>
      </w:pPr>
      <w:r>
        <w:tab/>
        <w:t>(1)</w:t>
      </w:r>
      <w:r>
        <w:tab/>
      </w:r>
      <w:r>
        <w:rPr>
          <w:szCs w:val="22"/>
        </w:rPr>
        <w:t xml:space="preserve">For land that </w:t>
      </w:r>
      <w:r>
        <w:t>is</w:t>
      </w:r>
      <w:r>
        <w:rPr>
          <w:szCs w:val="22"/>
        </w:rPr>
        <w:t xml:space="preserve"> </w:t>
      </w:r>
      <w:r>
        <w:t>classified</w:t>
      </w:r>
      <w:r>
        <w:rPr>
          <w:szCs w:val="22"/>
        </w:rPr>
        <w:t xml:space="preserve"> as </w:t>
      </w:r>
      <w:r>
        <w:rPr>
          <w:szCs w:val="22"/>
        </w:rPr>
        <w:br/>
        <w:t>non</w:t>
      </w:r>
      <w:r>
        <w:rPr>
          <w:szCs w:val="22"/>
        </w:rPr>
        <w:noBreakHyphen/>
      </w:r>
      <w:r>
        <w:t>residential</w:t>
      </w:r>
      <w:r>
        <w:rPr>
          <w:szCs w:val="22"/>
        </w:rPr>
        <w:t xml:space="preserve"> and not covered by </w:t>
      </w:r>
      <w:r>
        <w:rPr>
          <w:szCs w:val="22"/>
        </w:rPr>
        <w:br/>
        <w:t xml:space="preserve">item 2 or 3, the charge is </w:t>
      </w:r>
      <w:r>
        <w:rPr>
          <w:szCs w:val="22"/>
        </w:rPr>
        <w:tab/>
      </w:r>
      <w:r>
        <w:t>0.385 cents/$</w:t>
      </w:r>
    </w:p>
    <w:p>
      <w:pPr>
        <w:pStyle w:val="yMiscellaneousBody"/>
        <w:spacing w:before="0"/>
        <w:ind w:left="2183" w:right="284" w:hanging="851"/>
        <w:jc w:val="right"/>
      </w:pPr>
      <w:r>
        <w:t>of GRV</w:t>
      </w:r>
    </w:p>
    <w:p>
      <w:pPr>
        <w:pStyle w:val="ySubsection"/>
        <w:tabs>
          <w:tab w:val="right" w:leader="dot" w:pos="6804"/>
        </w:tabs>
        <w:rPr>
          <w:szCs w:val="22"/>
        </w:rPr>
      </w:pPr>
      <w:r>
        <w:tab/>
        <w:t>(2)</w:t>
      </w:r>
      <w:r>
        <w:tab/>
        <w:t xml:space="preserve">The minimum </w:t>
      </w:r>
      <w:r>
        <w:rPr>
          <w:szCs w:val="22"/>
        </w:rPr>
        <w:t>charge</w:t>
      </w:r>
      <w:r>
        <w:t xml:space="preserve"> under this item is </w:t>
      </w:r>
      <w:r>
        <w:tab/>
      </w:r>
      <w:r>
        <w:rPr>
          <w:szCs w:val="22"/>
        </w:rPr>
        <w:t>$140.05</w:t>
      </w:r>
    </w:p>
    <w:p>
      <w:pPr>
        <w:pStyle w:val="zyHeading5"/>
      </w:pPr>
      <w:bookmarkStart w:id="331" w:name="_Toc201235787"/>
      <w:bookmarkStart w:id="332" w:name="_Toc201661698"/>
      <w:r>
        <w:t>7.</w:t>
      </w:r>
      <w:r>
        <w:tab/>
        <w:t>Concessional land</w:t>
      </w:r>
      <w:bookmarkEnd w:id="331"/>
      <w:bookmarkEnd w:id="332"/>
    </w:p>
    <w:p>
      <w:pPr>
        <w:pStyle w:val="ySubsection"/>
      </w:pPr>
      <w:r>
        <w:tab/>
      </w:r>
      <w:r>
        <w:tab/>
        <w:t>For concessional land, the charge is the charge set out in item 6, less a discount of 100%.</w:t>
      </w:r>
    </w:p>
    <w:p>
      <w:pPr>
        <w:pStyle w:val="zyHeading2"/>
      </w:pPr>
      <w:bookmarkStart w:id="333" w:name="_Toc201235788"/>
      <w:bookmarkStart w:id="334" w:name="_Toc201236039"/>
      <w:bookmarkStart w:id="335" w:name="_Toc201236195"/>
      <w:bookmarkStart w:id="336" w:name="_Toc201661699"/>
      <w:r>
        <w:t>Schedule 6 — Irrigation charges for Water Corporation (Ord Irrigation District)</w:t>
      </w:r>
      <w:bookmarkEnd w:id="333"/>
      <w:bookmarkEnd w:id="334"/>
      <w:bookmarkEnd w:id="335"/>
      <w:bookmarkEnd w:id="336"/>
    </w:p>
    <w:p>
      <w:pPr>
        <w:pStyle w:val="zyShoulderClause"/>
      </w:pPr>
      <w:r>
        <w:t>[r. 50]</w:t>
      </w:r>
    </w:p>
    <w:p>
      <w:pPr>
        <w:pStyle w:val="zyHeading5"/>
      </w:pPr>
      <w:bookmarkStart w:id="337" w:name="_Toc201235789"/>
      <w:bookmarkStart w:id="338" w:name="_Toc201661700"/>
      <w:r>
        <w:t>1.</w:t>
      </w:r>
      <w:r>
        <w:tab/>
        <w:t>Irrigation charges for 2025/26 and subsequent years</w:t>
      </w:r>
      <w:bookmarkEnd w:id="337"/>
      <w:bookmarkEnd w:id="338"/>
    </w:p>
    <w:p>
      <w:pPr>
        <w:pStyle w:val="ySubsection"/>
      </w:pPr>
      <w:r>
        <w:tab/>
      </w:r>
      <w:r>
        <w:tab/>
        <w:t>The charges set out in this Schedule apply for irrigation services provided in the</w:t>
      </w:r>
      <w:r>
        <w:rPr>
          <w:szCs w:val="22"/>
        </w:rPr>
        <w:t xml:space="preserve"> </w:t>
      </w:r>
      <w:r>
        <w:t>2025/26 financial year and each subsequent year.</w:t>
      </w:r>
    </w:p>
    <w:p>
      <w:pPr>
        <w:pStyle w:val="zyHeading5"/>
      </w:pPr>
      <w:bookmarkStart w:id="339" w:name="_Toc201235790"/>
      <w:bookmarkStart w:id="340" w:name="_Toc201661701"/>
      <w:r>
        <w:t>2.</w:t>
      </w:r>
      <w:r>
        <w:tab/>
        <w:t>Water provided as irrigation service</w:t>
      </w:r>
      <w:bookmarkEnd w:id="339"/>
      <w:bookmarkEnd w:id="340"/>
    </w:p>
    <w:p>
      <w:pPr>
        <w:pStyle w:val="ySubsection"/>
      </w:pPr>
      <w:r>
        <w:tab/>
      </w:r>
      <w:r>
        <w:tab/>
        <w:t>For land to which water is supplied from irrigation works of the Water Corporation in the Ord Irrigation District, the charge is —</w:t>
      </w:r>
    </w:p>
    <w:p>
      <w:pPr>
        <w:pStyle w:val="yIndenta"/>
        <w:tabs>
          <w:tab w:val="right" w:leader="dot" w:pos="6804"/>
        </w:tabs>
      </w:pPr>
      <w:r>
        <w:tab/>
        <w:t>(a)</w:t>
      </w:r>
      <w:r>
        <w:tab/>
        <w:t>if the maximum area of</w:t>
      </w:r>
      <w:r>
        <w:br/>
        <w:t>land is not more than</w:t>
      </w:r>
      <w:r>
        <w:br/>
        <w:t xml:space="preserve">1 hectare </w:t>
      </w:r>
      <w:r>
        <w:tab/>
        <w:t>$338.40</w:t>
      </w:r>
    </w:p>
    <w:p>
      <w:pPr>
        <w:pStyle w:val="yIndenta"/>
        <w:tabs>
          <w:tab w:val="right" w:leader="dot" w:pos="6804"/>
        </w:tabs>
      </w:pPr>
      <w:r>
        <w:tab/>
        <w:t>(b)</w:t>
      </w:r>
      <w:r>
        <w:tab/>
        <w:t>if the maximum area of</w:t>
      </w:r>
      <w:r>
        <w:br/>
        <w:t>land is more than</w:t>
      </w:r>
      <w:r>
        <w:br/>
        <w:t xml:space="preserve">1 hectare </w:t>
      </w:r>
      <w:r>
        <w:tab/>
        <w:t>$338.40 per ha (pro rata)</w:t>
      </w:r>
    </w:p>
    <w:p>
      <w:pPr>
        <w:pStyle w:val="zyHeading2"/>
      </w:pPr>
      <w:bookmarkStart w:id="341" w:name="_Toc201235791"/>
      <w:bookmarkStart w:id="342" w:name="_Toc201236042"/>
      <w:bookmarkStart w:id="343" w:name="_Toc201236198"/>
      <w:bookmarkStart w:id="344" w:name="_Toc201661702"/>
      <w:r>
        <w:lastRenderedPageBreak/>
        <w:t>Schedule 7 — Miscellaneous charges for Water Corporation</w:t>
      </w:r>
      <w:bookmarkEnd w:id="341"/>
      <w:bookmarkEnd w:id="342"/>
      <w:bookmarkEnd w:id="343"/>
      <w:bookmarkEnd w:id="344"/>
    </w:p>
    <w:p>
      <w:pPr>
        <w:pStyle w:val="yShoulderClause"/>
        <w:keepNext/>
      </w:pPr>
      <w:r>
        <w:t>[r. 51]</w:t>
      </w:r>
    </w:p>
    <w:p>
      <w:pPr>
        <w:pStyle w:val="zyHeading5"/>
      </w:pPr>
      <w:bookmarkStart w:id="345" w:name="_Toc201235792"/>
      <w:bookmarkStart w:id="346" w:name="_Toc201661703"/>
      <w:r>
        <w:t>1.</w:t>
      </w:r>
      <w:r>
        <w:tab/>
        <w:t>Requests for sub</w:t>
      </w:r>
      <w:r>
        <w:noBreakHyphen/>
        <w:t>meter installations: multi</w:t>
      </w:r>
      <w:r>
        <w:noBreakHyphen/>
        <w:t>unit developments</w:t>
      </w:r>
      <w:bookmarkEnd w:id="345"/>
      <w:bookmarkEnd w:id="346"/>
    </w:p>
    <w:p>
      <w:pPr>
        <w:pStyle w:val="ySubsection"/>
        <w:tabs>
          <w:tab w:val="right" w:leader="dot" w:pos="6804"/>
        </w:tabs>
      </w:pPr>
      <w:r>
        <w:tab/>
      </w:r>
      <w:r>
        <w:tab/>
        <w:t>For assessing a request to supply and connect</w:t>
      </w:r>
      <w:r>
        <w:br/>
        <w:t>1 or more sub</w:t>
      </w:r>
      <w:r>
        <w:noBreakHyphen/>
        <w:t>meters to a pipe supplying</w:t>
      </w:r>
      <w:r>
        <w:br/>
        <w:t>water to a unit in a multi</w:t>
      </w:r>
      <w:r>
        <w:noBreakHyphen/>
        <w:t>unit development</w:t>
      </w:r>
      <w:r>
        <w:br/>
        <w:t xml:space="preserve">under the </w:t>
      </w:r>
      <w:r>
        <w:rPr>
          <w:i/>
        </w:rPr>
        <w:t>Water Services Regulations 2013</w:t>
      </w:r>
      <w:r>
        <w:t xml:space="preserve"> </w:t>
      </w:r>
      <w:r>
        <w:br/>
        <w:t xml:space="preserve">regulation 23A(2), the charge is </w:t>
      </w:r>
      <w:r>
        <w:tab/>
      </w:r>
      <w:r>
        <w:rPr>
          <w:szCs w:val="22"/>
        </w:rPr>
        <w:t>$130.39</w:t>
      </w:r>
    </w:p>
    <w:p>
      <w:pPr>
        <w:pStyle w:val="zyHeading5"/>
      </w:pPr>
      <w:bookmarkStart w:id="347" w:name="_Toc201235793"/>
      <w:bookmarkStart w:id="348" w:name="_Toc201661704"/>
      <w:r>
        <w:t>2.</w:t>
      </w:r>
      <w:r>
        <w:tab/>
        <w:t>Sub</w:t>
      </w:r>
      <w:r>
        <w:noBreakHyphen/>
        <w:t>meter installations: multi</w:t>
      </w:r>
      <w:r>
        <w:noBreakHyphen/>
        <w:t>unit developments</w:t>
      </w:r>
      <w:bookmarkEnd w:id="347"/>
      <w:bookmarkEnd w:id="348"/>
    </w:p>
    <w:p>
      <w:pPr>
        <w:pStyle w:val="ySubsection"/>
        <w:tabs>
          <w:tab w:val="right" w:leader="dot" w:pos="6804"/>
        </w:tabs>
      </w:pPr>
      <w:r>
        <w:tab/>
      </w:r>
      <w:r>
        <w:tab/>
        <w:t>For supplying and connecting a sub</w:t>
      </w:r>
      <w:r>
        <w:noBreakHyphen/>
        <w:t xml:space="preserve">meter to </w:t>
      </w:r>
      <w:r>
        <w:br/>
        <w:t xml:space="preserve">a pipe supplying water to a unit in a </w:t>
      </w:r>
      <w:r>
        <w:br/>
        <w:t>multi</w:t>
      </w:r>
      <w:r>
        <w:noBreakHyphen/>
        <w:t xml:space="preserve">unit development under the </w:t>
      </w:r>
      <w:r>
        <w:br/>
      </w:r>
      <w:r>
        <w:rPr>
          <w:i/>
        </w:rPr>
        <w:t>Water Services Regulations 2013</w:t>
      </w:r>
      <w:r>
        <w:t xml:space="preserve"> </w:t>
      </w:r>
      <w:r>
        <w:br/>
      </w:r>
      <w:r>
        <w:rPr>
          <w:szCs w:val="22"/>
        </w:rPr>
        <w:t>regulation 23A(3)</w:t>
      </w:r>
      <w:r>
        <w:t xml:space="preserve">, the charge is </w:t>
      </w:r>
      <w:r>
        <w:tab/>
      </w:r>
      <w:r>
        <w:rPr>
          <w:szCs w:val="22"/>
        </w:rPr>
        <w:t>$203.93</w:t>
      </w:r>
    </w:p>
    <w:p>
      <w:pPr>
        <w:pStyle w:val="zyHeading5"/>
      </w:pPr>
      <w:bookmarkStart w:id="349" w:name="_Toc201235794"/>
      <w:bookmarkStart w:id="350" w:name="_Toc201661705"/>
      <w:r>
        <w:t>3.</w:t>
      </w:r>
      <w:r>
        <w:tab/>
        <w:t>Testing meters</w:t>
      </w:r>
      <w:bookmarkEnd w:id="349"/>
      <w:bookmarkEnd w:id="350"/>
    </w:p>
    <w:p>
      <w:pPr>
        <w:pStyle w:val="ySubsection"/>
      </w:pPr>
      <w:r>
        <w:tab/>
      </w:r>
      <w:r>
        <w:tab/>
        <w:t xml:space="preserve">For testing a meter under the </w:t>
      </w:r>
      <w:r>
        <w:rPr>
          <w:i/>
        </w:rPr>
        <w:t>Water Services Regulations 2013</w:t>
      </w:r>
      <w:r>
        <w:t xml:space="preserve"> regulation 26(3), the charge, according to the size of the meter, is —</w:t>
      </w:r>
    </w:p>
    <w:p>
      <w:pPr>
        <w:pStyle w:val="yMiscellaneousBody"/>
        <w:tabs>
          <w:tab w:val="right" w:leader="dot" w:pos="6804"/>
        </w:tabs>
        <w:ind w:left="993"/>
      </w:pPr>
      <w:r>
        <w:t>20</w:t>
      </w:r>
      <w:r>
        <w:noBreakHyphen/>
        <w:t xml:space="preserve">25 mm </w:t>
      </w:r>
      <w:r>
        <w:tab/>
      </w:r>
      <w:r>
        <w:rPr>
          <w:szCs w:val="22"/>
        </w:rPr>
        <w:t>$129.08</w:t>
      </w:r>
    </w:p>
    <w:p>
      <w:pPr>
        <w:pStyle w:val="yMiscellaneousBody"/>
        <w:tabs>
          <w:tab w:val="right" w:leader="dot" w:pos="6804"/>
        </w:tabs>
        <w:ind w:left="993"/>
      </w:pPr>
      <w:r>
        <w:t xml:space="preserve">more than 25 mm </w:t>
      </w:r>
      <w:r>
        <w:tab/>
        <w:t>an amount</w:t>
      </w:r>
    </w:p>
    <w:p>
      <w:pPr>
        <w:pStyle w:val="yMiscellaneousBody"/>
        <w:spacing w:before="0"/>
        <w:ind w:left="2183" w:right="284" w:hanging="851"/>
        <w:jc w:val="right"/>
      </w:pPr>
      <w:r>
        <w:tab/>
        <w:t>equal to the</w:t>
      </w:r>
      <w:r>
        <w:br/>
        <w:t>cost of testing</w:t>
      </w:r>
    </w:p>
    <w:p>
      <w:pPr>
        <w:pStyle w:val="zyHeading5"/>
      </w:pPr>
      <w:bookmarkStart w:id="351" w:name="_Toc201235795"/>
      <w:bookmarkStart w:id="352" w:name="_Toc201661706"/>
      <w:r>
        <w:t>4.</w:t>
      </w:r>
      <w:r>
        <w:tab/>
        <w:t>Installing water supply connection</w:t>
      </w:r>
      <w:bookmarkEnd w:id="351"/>
      <w:bookmarkEnd w:id="352"/>
    </w:p>
    <w:p>
      <w:pPr>
        <w:pStyle w:val="ySubsection"/>
        <w:keepNext/>
      </w:pPr>
      <w:r>
        <w:tab/>
        <w:t>(1)</w:t>
      </w:r>
      <w:r>
        <w:tab/>
        <w:t>For installing a water supply connection in relation to land in the metropolitan area (other than in the central business districts), the charge, according to the size of the connection, is —</w:t>
      </w:r>
    </w:p>
    <w:p>
      <w:pPr>
        <w:pStyle w:val="yMiscellaneousBody"/>
        <w:tabs>
          <w:tab w:val="right" w:leader="dot" w:pos="6804"/>
        </w:tabs>
        <w:ind w:left="993"/>
      </w:pPr>
      <w:r>
        <w:t xml:space="preserve">20 mm </w:t>
      </w:r>
      <w:r>
        <w:tab/>
        <w:t>$1 826.69</w:t>
      </w:r>
    </w:p>
    <w:p>
      <w:pPr>
        <w:pStyle w:val="yMiscellaneousBody"/>
        <w:tabs>
          <w:tab w:val="right" w:leader="dot" w:pos="6804"/>
        </w:tabs>
        <w:ind w:left="993"/>
      </w:pPr>
      <w:r>
        <w:t xml:space="preserve">25 mm </w:t>
      </w:r>
      <w:r>
        <w:tab/>
        <w:t>$2 340.75</w:t>
      </w:r>
    </w:p>
    <w:p>
      <w:pPr>
        <w:pStyle w:val="yMiscellaneousBody"/>
        <w:tabs>
          <w:tab w:val="right" w:leader="dot" w:pos="6804"/>
        </w:tabs>
        <w:ind w:left="993"/>
      </w:pPr>
      <w:r>
        <w:lastRenderedPageBreak/>
        <w:t xml:space="preserve">40 mm </w:t>
      </w:r>
      <w:r>
        <w:tab/>
        <w:t>$4 139.98</w:t>
      </w:r>
    </w:p>
    <w:p>
      <w:pPr>
        <w:pStyle w:val="yMiscellaneousBody"/>
        <w:tabs>
          <w:tab w:val="right" w:leader="dot" w:pos="6804"/>
        </w:tabs>
        <w:ind w:left="993"/>
      </w:pPr>
      <w:r>
        <w:t xml:space="preserve">50 mm </w:t>
      </w:r>
      <w:r>
        <w:tab/>
        <w:t>$5 572.33</w:t>
      </w:r>
    </w:p>
    <w:p>
      <w:pPr>
        <w:pStyle w:val="yMiscellaneousBody"/>
        <w:tabs>
          <w:tab w:val="right" w:leader="dot" w:pos="6804"/>
        </w:tabs>
        <w:ind w:left="993"/>
      </w:pPr>
      <w:r>
        <w:t>80</w:t>
      </w:r>
      <w:r>
        <w:noBreakHyphen/>
        <w:t xml:space="preserve">100 mm </w:t>
      </w:r>
      <w:r>
        <w:tab/>
        <w:t>$9 508.00</w:t>
      </w:r>
    </w:p>
    <w:p>
      <w:pPr>
        <w:pStyle w:val="yMiscellaneousBody"/>
        <w:tabs>
          <w:tab w:val="right" w:leader="dot" w:pos="6804"/>
        </w:tabs>
        <w:ind w:left="993"/>
      </w:pPr>
      <w:r>
        <w:t xml:space="preserve">150 mm </w:t>
      </w:r>
      <w:r>
        <w:tab/>
        <w:t>$12 497.92</w:t>
      </w:r>
    </w:p>
    <w:p>
      <w:pPr>
        <w:pStyle w:val="yMiscellaneousBody"/>
        <w:tabs>
          <w:tab w:val="right" w:leader="dot" w:pos="6804"/>
        </w:tabs>
        <w:ind w:left="993"/>
      </w:pPr>
      <w:r>
        <w:t xml:space="preserve">more than 150 mm </w:t>
      </w:r>
      <w:r>
        <w:tab/>
        <w:t>an amount</w:t>
      </w:r>
    </w:p>
    <w:p>
      <w:pPr>
        <w:pStyle w:val="yMiscellaneousBody"/>
        <w:tabs>
          <w:tab w:val="right" w:pos="6804"/>
        </w:tabs>
        <w:spacing w:before="0"/>
      </w:pPr>
      <w:r>
        <w:tab/>
        <w:t>equal to the</w:t>
      </w:r>
      <w:r>
        <w:br/>
      </w:r>
      <w:r>
        <w:tab/>
        <w:t>cost of</w:t>
      </w:r>
      <w:r>
        <w:br/>
      </w:r>
      <w:r>
        <w:tab/>
        <w:t>installation</w:t>
      </w:r>
    </w:p>
    <w:p>
      <w:pPr>
        <w:pStyle w:val="yMiscellaneousBody"/>
        <w:tabs>
          <w:tab w:val="left" w:pos="910"/>
          <w:tab w:val="right" w:leader="dot" w:pos="6804"/>
        </w:tabs>
        <w:ind w:left="896" w:hanging="560"/>
      </w:pPr>
      <w:r>
        <w:t>(2)</w:t>
      </w:r>
      <w:r>
        <w:tab/>
        <w:t>For installing a water supply connection in</w:t>
      </w:r>
      <w:r>
        <w:br/>
        <w:t>relation to land in the metropolitan area in</w:t>
      </w:r>
      <w:r>
        <w:br/>
        <w:t xml:space="preserve">the central business districts, the charge is </w:t>
      </w:r>
      <w:r>
        <w:tab/>
        <w:t>an amount</w:t>
      </w:r>
    </w:p>
    <w:p>
      <w:pPr>
        <w:pStyle w:val="yMiscellaneousBody"/>
        <w:tabs>
          <w:tab w:val="right" w:pos="6804"/>
        </w:tabs>
        <w:spacing w:before="0"/>
      </w:pPr>
      <w:r>
        <w:tab/>
        <w:t>equal to the</w:t>
      </w:r>
      <w:r>
        <w:br/>
      </w:r>
      <w:r>
        <w:tab/>
        <w:t>cost of</w:t>
      </w:r>
      <w:r>
        <w:br/>
      </w:r>
      <w:r>
        <w:tab/>
        <w:t>installation</w:t>
      </w:r>
    </w:p>
    <w:p>
      <w:pPr>
        <w:pStyle w:val="yMiscellaneousBody"/>
        <w:tabs>
          <w:tab w:val="left" w:pos="910"/>
          <w:tab w:val="right" w:leader="dot" w:pos="6804"/>
        </w:tabs>
        <w:ind w:left="896" w:hanging="560"/>
      </w:pPr>
      <w:r>
        <w:t>(3)</w:t>
      </w:r>
      <w:r>
        <w:tab/>
        <w:t>For installing a water supply connection in</w:t>
      </w:r>
      <w:r>
        <w:br/>
        <w:t>relation to land in the non</w:t>
      </w:r>
      <w:r>
        <w:noBreakHyphen/>
        <w:t>metropolitan</w:t>
      </w:r>
      <w:r>
        <w:br/>
        <w:t xml:space="preserve">area, the charge is </w:t>
      </w:r>
      <w:r>
        <w:tab/>
        <w:t>an amount</w:t>
      </w:r>
    </w:p>
    <w:p>
      <w:pPr>
        <w:pStyle w:val="yMiscellaneousBody"/>
        <w:tabs>
          <w:tab w:val="right" w:pos="6804"/>
        </w:tabs>
        <w:spacing w:before="0"/>
      </w:pPr>
      <w:r>
        <w:tab/>
        <w:t>equal to the</w:t>
      </w:r>
      <w:r>
        <w:br/>
      </w:r>
      <w:r>
        <w:tab/>
        <w:t>cost of</w:t>
      </w:r>
      <w:r>
        <w:br/>
      </w:r>
      <w:r>
        <w:tab/>
        <w:t>installation</w:t>
      </w:r>
    </w:p>
    <w:p>
      <w:pPr>
        <w:pStyle w:val="zyHeading5"/>
      </w:pPr>
      <w:bookmarkStart w:id="353" w:name="_Toc201235796"/>
      <w:bookmarkStart w:id="354" w:name="_Toc201661707"/>
      <w:r>
        <w:t>5.</w:t>
      </w:r>
      <w:r>
        <w:tab/>
        <w:t>Activating water supply connection</w:t>
      </w:r>
      <w:bookmarkEnd w:id="353"/>
      <w:bookmarkEnd w:id="354"/>
    </w:p>
    <w:p>
      <w:pPr>
        <w:pStyle w:val="ySubsection"/>
        <w:tabs>
          <w:tab w:val="right" w:leader="dot" w:pos="6804"/>
        </w:tabs>
      </w:pPr>
      <w:r>
        <w:tab/>
        <w:t>(1)</w:t>
      </w:r>
      <w:r>
        <w:tab/>
        <w:t xml:space="preserve">For activating a water supply connection </w:t>
      </w:r>
      <w:r>
        <w:br/>
        <w:t xml:space="preserve">to land, whether or not at the same time </w:t>
      </w:r>
      <w:r>
        <w:br/>
        <w:t xml:space="preserve">as installing the connection, the charge is </w:t>
      </w:r>
      <w:r>
        <w:tab/>
      </w:r>
      <w:r>
        <w:rPr>
          <w:szCs w:val="22"/>
        </w:rPr>
        <w:t>$215.30</w:t>
      </w:r>
    </w:p>
    <w:p>
      <w:pPr>
        <w:pStyle w:val="ySubsection"/>
      </w:pPr>
      <w:r>
        <w:tab/>
        <w:t>(2)</w:t>
      </w:r>
      <w:r>
        <w:tab/>
        <w:t>The charge under this item covers the supply of a meter, stopcock and, if required, a temporary standpipe.</w:t>
      </w:r>
    </w:p>
    <w:p>
      <w:pPr>
        <w:pStyle w:val="zyHeading5"/>
      </w:pPr>
      <w:bookmarkStart w:id="355" w:name="_Toc201235797"/>
      <w:bookmarkStart w:id="356" w:name="_Toc201661708"/>
      <w:r>
        <w:t>6.</w:t>
      </w:r>
      <w:r>
        <w:tab/>
        <w:t>Disconnecting water supply connection</w:t>
      </w:r>
      <w:bookmarkEnd w:id="355"/>
      <w:bookmarkEnd w:id="356"/>
    </w:p>
    <w:p>
      <w:pPr>
        <w:pStyle w:val="ySubsection"/>
        <w:tabs>
          <w:tab w:val="right" w:leader="dot" w:pos="6804"/>
        </w:tabs>
      </w:pPr>
      <w:r>
        <w:tab/>
        <w:t>(1)</w:t>
      </w:r>
      <w:r>
        <w:tab/>
        <w:t xml:space="preserve">For disconnecting a water supply connection </w:t>
      </w:r>
      <w:r>
        <w:br/>
        <w:t xml:space="preserve">to land, the charge is </w:t>
      </w:r>
      <w:r>
        <w:tab/>
      </w:r>
      <w:r>
        <w:rPr>
          <w:szCs w:val="22"/>
        </w:rPr>
        <w:t>$1 297.24</w:t>
      </w:r>
    </w:p>
    <w:p>
      <w:pPr>
        <w:pStyle w:val="ySubsection"/>
      </w:pPr>
      <w:r>
        <w:lastRenderedPageBreak/>
        <w:tab/>
        <w:t>(2)</w:t>
      </w:r>
      <w:r>
        <w:tab/>
        <w:t>For the purposes of this item, cutting off or reducing the rate of flow of a supply of water under section 95 of the Act is not disconnecting a water supply connection.</w:t>
      </w:r>
    </w:p>
    <w:p>
      <w:pPr>
        <w:pStyle w:val="zyHeading5"/>
      </w:pPr>
      <w:bookmarkStart w:id="357" w:name="_Toc201235798"/>
      <w:bookmarkStart w:id="358" w:name="_Toc201661709"/>
      <w:r>
        <w:t>7.</w:t>
      </w:r>
      <w:r>
        <w:tab/>
        <w:t>Relocating water supply connection</w:t>
      </w:r>
      <w:bookmarkEnd w:id="357"/>
      <w:bookmarkEnd w:id="358"/>
    </w:p>
    <w:p>
      <w:pPr>
        <w:pStyle w:val="ySubsection"/>
      </w:pPr>
      <w:r>
        <w:tab/>
        <w:t>(1)</w:t>
      </w:r>
      <w:r>
        <w:tab/>
        <w:t>For relocating a water supply connection in relation to land in the metropolitan area (other than in the central business districts) up to 500 mm from its existing position, the charge, according to the size of the connection, is —</w:t>
      </w:r>
    </w:p>
    <w:p>
      <w:pPr>
        <w:pStyle w:val="yMiscellaneousBody"/>
        <w:tabs>
          <w:tab w:val="right" w:leader="dot" w:pos="6804"/>
        </w:tabs>
        <w:ind w:left="993"/>
      </w:pPr>
      <w:r>
        <w:t xml:space="preserve">20 mm </w:t>
      </w:r>
      <w:r>
        <w:tab/>
        <w:t>$797.00</w:t>
      </w:r>
    </w:p>
    <w:p>
      <w:pPr>
        <w:pStyle w:val="yMiscellaneousBody"/>
        <w:tabs>
          <w:tab w:val="right" w:leader="dot" w:pos="6804"/>
        </w:tabs>
        <w:ind w:left="993"/>
      </w:pPr>
      <w:r>
        <w:t xml:space="preserve">25 mm </w:t>
      </w:r>
      <w:r>
        <w:tab/>
        <w:t>$1 300.54</w:t>
      </w:r>
    </w:p>
    <w:p>
      <w:pPr>
        <w:pStyle w:val="yMiscellaneousBody"/>
        <w:tabs>
          <w:tab w:val="right" w:leader="dot" w:pos="6804"/>
        </w:tabs>
        <w:ind w:left="993"/>
      </w:pPr>
      <w:r>
        <w:t xml:space="preserve">40 mm </w:t>
      </w:r>
      <w:r>
        <w:tab/>
        <w:t>$2 286.93</w:t>
      </w:r>
    </w:p>
    <w:p>
      <w:pPr>
        <w:pStyle w:val="yMiscellaneousBody"/>
        <w:tabs>
          <w:tab w:val="right" w:leader="dot" w:pos="6804"/>
        </w:tabs>
        <w:ind w:left="993"/>
      </w:pPr>
      <w:r>
        <w:t xml:space="preserve">50 mm </w:t>
      </w:r>
      <w:r>
        <w:tab/>
        <w:t>$3 072.30</w:t>
      </w:r>
    </w:p>
    <w:p>
      <w:pPr>
        <w:pStyle w:val="yMiscellaneousBody"/>
        <w:tabs>
          <w:tab w:val="right" w:leader="dot" w:pos="6804"/>
        </w:tabs>
        <w:ind w:left="993"/>
      </w:pPr>
      <w:r>
        <w:t xml:space="preserve">more than 50 mm </w:t>
      </w:r>
      <w:r>
        <w:tab/>
        <w:t>an amount</w:t>
      </w:r>
    </w:p>
    <w:p>
      <w:pPr>
        <w:pStyle w:val="yMiscellaneousBody"/>
        <w:tabs>
          <w:tab w:val="right" w:pos="6804"/>
        </w:tabs>
        <w:spacing w:before="0"/>
      </w:pPr>
      <w:r>
        <w:tab/>
        <w:t>equal to</w:t>
      </w:r>
      <w:r>
        <w:br/>
      </w:r>
      <w:r>
        <w:tab/>
        <w:t>the cost of</w:t>
      </w:r>
      <w:r>
        <w:br/>
      </w:r>
      <w:r>
        <w:tab/>
        <w:t>relocation</w:t>
      </w:r>
    </w:p>
    <w:p>
      <w:pPr>
        <w:pStyle w:val="ySubsection"/>
      </w:pPr>
      <w:r>
        <w:tab/>
        <w:t>(2)</w:t>
      </w:r>
      <w:r>
        <w:tab/>
        <w:t>For relocating a water supply connection in relation to land in the metropolitan area (other than in the central business districts) more than 500 mm from its existing position, the charge, according to the size of the connection, is —</w:t>
      </w:r>
    </w:p>
    <w:p>
      <w:pPr>
        <w:pStyle w:val="yMiscellaneousBody"/>
        <w:tabs>
          <w:tab w:val="right" w:leader="dot" w:pos="6804"/>
        </w:tabs>
        <w:ind w:left="993"/>
      </w:pPr>
      <w:r>
        <w:t xml:space="preserve">20 mm </w:t>
      </w:r>
      <w:r>
        <w:tab/>
        <w:t>$2 016.71</w:t>
      </w:r>
    </w:p>
    <w:p>
      <w:pPr>
        <w:pStyle w:val="yMiscellaneousBody"/>
        <w:tabs>
          <w:tab w:val="right" w:leader="dot" w:pos="6804"/>
        </w:tabs>
        <w:ind w:left="993"/>
      </w:pPr>
      <w:r>
        <w:t xml:space="preserve">25 mm </w:t>
      </w:r>
      <w:r>
        <w:tab/>
        <w:t>$2 529.68</w:t>
      </w:r>
    </w:p>
    <w:p>
      <w:pPr>
        <w:pStyle w:val="yMiscellaneousBody"/>
        <w:tabs>
          <w:tab w:val="right" w:leader="dot" w:pos="6804"/>
        </w:tabs>
        <w:ind w:left="993"/>
      </w:pPr>
      <w:r>
        <w:t xml:space="preserve">40 mm </w:t>
      </w:r>
      <w:r>
        <w:tab/>
        <w:t>$4 330.00</w:t>
      </w:r>
    </w:p>
    <w:p>
      <w:pPr>
        <w:pStyle w:val="yMiscellaneousBody"/>
        <w:tabs>
          <w:tab w:val="right" w:leader="dot" w:pos="6804"/>
        </w:tabs>
        <w:ind w:left="993"/>
      </w:pPr>
      <w:r>
        <w:t xml:space="preserve">50 mm </w:t>
      </w:r>
      <w:r>
        <w:tab/>
        <w:t>$5 760.16</w:t>
      </w:r>
    </w:p>
    <w:p>
      <w:pPr>
        <w:pStyle w:val="yMiscellaneousBody"/>
        <w:tabs>
          <w:tab w:val="right" w:leader="dot" w:pos="6804"/>
        </w:tabs>
        <w:ind w:left="993"/>
      </w:pPr>
      <w:r>
        <w:t>80</w:t>
      </w:r>
      <w:r>
        <w:noBreakHyphen/>
        <w:t xml:space="preserve">100 mm </w:t>
      </w:r>
      <w:r>
        <w:tab/>
        <w:t>$9 696.93</w:t>
      </w:r>
    </w:p>
    <w:p>
      <w:pPr>
        <w:pStyle w:val="yMiscellaneousBody"/>
        <w:tabs>
          <w:tab w:val="right" w:leader="dot" w:pos="6804"/>
        </w:tabs>
        <w:ind w:left="993"/>
      </w:pPr>
      <w:r>
        <w:t xml:space="preserve">150 mm </w:t>
      </w:r>
      <w:r>
        <w:tab/>
        <w:t>$12 687.95</w:t>
      </w:r>
    </w:p>
    <w:p>
      <w:pPr>
        <w:pStyle w:val="yMiscellaneousBody"/>
        <w:tabs>
          <w:tab w:val="right" w:leader="dot" w:pos="6804"/>
        </w:tabs>
        <w:ind w:left="993"/>
      </w:pPr>
      <w:r>
        <w:t xml:space="preserve">more than 150 mm </w:t>
      </w:r>
      <w:r>
        <w:tab/>
        <w:t>an amount</w:t>
      </w:r>
    </w:p>
    <w:p>
      <w:pPr>
        <w:pStyle w:val="yMiscellaneousBody"/>
        <w:tabs>
          <w:tab w:val="right" w:pos="6804"/>
        </w:tabs>
        <w:spacing w:before="0"/>
      </w:pPr>
      <w:r>
        <w:tab/>
        <w:t>equal to</w:t>
      </w:r>
      <w:r>
        <w:br/>
      </w:r>
      <w:r>
        <w:tab/>
        <w:t xml:space="preserve"> the cost of</w:t>
      </w:r>
      <w:r>
        <w:br/>
      </w:r>
      <w:r>
        <w:tab/>
        <w:t xml:space="preserve"> relocation</w:t>
      </w:r>
    </w:p>
    <w:p>
      <w:pPr>
        <w:pStyle w:val="ySubsection"/>
        <w:keepNext/>
        <w:tabs>
          <w:tab w:val="right" w:leader="dot" w:pos="6804"/>
        </w:tabs>
      </w:pPr>
      <w:r>
        <w:lastRenderedPageBreak/>
        <w:tab/>
        <w:t>(3)</w:t>
      </w:r>
      <w:r>
        <w:tab/>
        <w:t xml:space="preserve">For relocating a water supply connection </w:t>
      </w:r>
      <w:r>
        <w:br/>
        <w:t xml:space="preserve">in relation to land in the central business </w:t>
      </w:r>
      <w:r>
        <w:br/>
        <w:t xml:space="preserve">districts, the charge is </w:t>
      </w:r>
      <w:r>
        <w:tab/>
        <w:t>an amount</w:t>
      </w:r>
    </w:p>
    <w:p>
      <w:pPr>
        <w:pStyle w:val="yMiscellaneousBody"/>
        <w:tabs>
          <w:tab w:val="right" w:pos="6804"/>
        </w:tabs>
        <w:spacing w:before="0"/>
      </w:pPr>
      <w:r>
        <w:tab/>
        <w:t>equal to the</w:t>
      </w:r>
      <w:r>
        <w:br/>
      </w:r>
      <w:r>
        <w:tab/>
        <w:t>cost of</w:t>
      </w:r>
      <w:r>
        <w:br/>
      </w:r>
      <w:r>
        <w:tab/>
        <w:t>installation</w:t>
      </w:r>
    </w:p>
    <w:p>
      <w:pPr>
        <w:pStyle w:val="ySubsection"/>
        <w:tabs>
          <w:tab w:val="right" w:leader="dot" w:pos="6804"/>
        </w:tabs>
      </w:pPr>
      <w:r>
        <w:tab/>
        <w:t>(4)</w:t>
      </w:r>
      <w:r>
        <w:tab/>
        <w:t xml:space="preserve">For relocating a water supply connection </w:t>
      </w:r>
      <w:r>
        <w:br/>
        <w:t>in relation to land in the non</w:t>
      </w:r>
      <w:r>
        <w:noBreakHyphen/>
        <w:t>metropolitan</w:t>
      </w:r>
      <w:r>
        <w:br/>
        <w:t xml:space="preserve">area, the charge is </w:t>
      </w:r>
      <w:r>
        <w:tab/>
        <w:t>an amount</w:t>
      </w:r>
    </w:p>
    <w:p>
      <w:pPr>
        <w:pStyle w:val="yMiscellaneousBody"/>
        <w:tabs>
          <w:tab w:val="right" w:pos="6804"/>
        </w:tabs>
        <w:spacing w:before="0"/>
      </w:pPr>
      <w:r>
        <w:tab/>
        <w:t>equal to the</w:t>
      </w:r>
      <w:r>
        <w:br/>
      </w:r>
      <w:r>
        <w:tab/>
        <w:t>cost of</w:t>
      </w:r>
      <w:r>
        <w:br/>
      </w:r>
      <w:r>
        <w:tab/>
        <w:t>installation</w:t>
      </w:r>
    </w:p>
    <w:p>
      <w:pPr>
        <w:pStyle w:val="zyHeading5"/>
      </w:pPr>
      <w:bookmarkStart w:id="359" w:name="_Toc201235799"/>
      <w:bookmarkStart w:id="360" w:name="_Toc201661710"/>
      <w:r>
        <w:t>8.</w:t>
      </w:r>
      <w:r>
        <w:tab/>
        <w:t>Proposal to connect to sewer</w:t>
      </w:r>
      <w:bookmarkEnd w:id="359"/>
      <w:bookmarkEnd w:id="360"/>
    </w:p>
    <w:p>
      <w:pPr>
        <w:pStyle w:val="ySubsection"/>
        <w:tabs>
          <w:tab w:val="right" w:leader="dot" w:pos="6804"/>
        </w:tabs>
      </w:pPr>
      <w:r>
        <w:tab/>
      </w:r>
      <w:r>
        <w:tab/>
        <w:t xml:space="preserve">For assessing a proposal to connect a </w:t>
      </w:r>
      <w:r>
        <w:br/>
        <w:t xml:space="preserve">wastewater inlet on land to a sewer, the </w:t>
      </w:r>
      <w:r>
        <w:br/>
        <w:t xml:space="preserve">charge is </w:t>
      </w:r>
      <w:r>
        <w:tab/>
      </w:r>
      <w:r>
        <w:rPr>
          <w:szCs w:val="22"/>
        </w:rPr>
        <w:t>$37.08</w:t>
      </w:r>
    </w:p>
    <w:p>
      <w:pPr>
        <w:pStyle w:val="zyHeading5"/>
      </w:pPr>
      <w:bookmarkStart w:id="361" w:name="_Toc201235800"/>
      <w:bookmarkStart w:id="362" w:name="_Toc201661711"/>
      <w:r>
        <w:t>9.</w:t>
      </w:r>
      <w:r>
        <w:tab/>
        <w:t>Installing sewer junction</w:t>
      </w:r>
      <w:bookmarkEnd w:id="361"/>
      <w:bookmarkEnd w:id="362"/>
    </w:p>
    <w:p>
      <w:pPr>
        <w:pStyle w:val="ySubsection"/>
      </w:pPr>
      <w:r>
        <w:tab/>
      </w:r>
      <w:r>
        <w:tab/>
        <w:t xml:space="preserve">For </w:t>
      </w:r>
      <w:r>
        <w:rPr>
          <w:szCs w:val="22"/>
        </w:rPr>
        <w:t>installing</w:t>
      </w:r>
      <w:r>
        <w:t xml:space="preserve"> a sewer junction for land, the charge, according to the size of the sewer, is —</w:t>
      </w:r>
    </w:p>
    <w:p>
      <w:pPr>
        <w:pStyle w:val="yMiscellaneousBody"/>
        <w:tabs>
          <w:tab w:val="right" w:leader="dot" w:pos="6804"/>
        </w:tabs>
        <w:ind w:left="993"/>
      </w:pPr>
      <w:r>
        <w:t xml:space="preserve">100 mm </w:t>
      </w:r>
      <w:r>
        <w:tab/>
        <w:t>$950.43</w:t>
      </w:r>
    </w:p>
    <w:p>
      <w:pPr>
        <w:pStyle w:val="yMiscellaneousBody"/>
        <w:tabs>
          <w:tab w:val="right" w:leader="dot" w:pos="6804"/>
        </w:tabs>
        <w:ind w:left="993"/>
      </w:pPr>
      <w:r>
        <w:t xml:space="preserve">150 mm </w:t>
      </w:r>
      <w:r>
        <w:tab/>
        <w:t>$1 164.81</w:t>
      </w:r>
    </w:p>
    <w:p>
      <w:pPr>
        <w:pStyle w:val="zyHeading5"/>
      </w:pPr>
      <w:bookmarkStart w:id="363" w:name="_Toc201235801"/>
      <w:bookmarkStart w:id="364" w:name="_Toc201661712"/>
      <w:r>
        <w:t>10.</w:t>
      </w:r>
      <w:r>
        <w:tab/>
        <w:t>Hire of standpipe for fire hydrant</w:t>
      </w:r>
      <w:bookmarkEnd w:id="363"/>
      <w:bookmarkEnd w:id="364"/>
    </w:p>
    <w:p>
      <w:pPr>
        <w:pStyle w:val="ySubsection"/>
        <w:tabs>
          <w:tab w:val="right" w:leader="dot" w:pos="6804"/>
        </w:tabs>
      </w:pPr>
      <w:r>
        <w:tab/>
        <w:t>(1)</w:t>
      </w:r>
      <w:r>
        <w:tab/>
        <w:t xml:space="preserve">For an application to hire a standpipe from </w:t>
      </w:r>
      <w:r>
        <w:br/>
        <w:t xml:space="preserve">the Water Corporation for attachment to a </w:t>
      </w:r>
      <w:r>
        <w:br/>
        <w:t xml:space="preserve">fire hydrant connected to water supply </w:t>
      </w:r>
      <w:r>
        <w:br/>
        <w:t xml:space="preserve">works of the Water Corporation in the </w:t>
      </w:r>
      <w:r>
        <w:br/>
        <w:t xml:space="preserve">metropolitan area, the charge is </w:t>
      </w:r>
      <w:r>
        <w:tab/>
      </w:r>
      <w:r>
        <w:rPr>
          <w:szCs w:val="22"/>
        </w:rPr>
        <w:t>$132.44</w:t>
      </w:r>
    </w:p>
    <w:p>
      <w:pPr>
        <w:pStyle w:val="ySubsection"/>
        <w:keepNext/>
      </w:pPr>
      <w:r>
        <w:tab/>
        <w:t>(2)</w:t>
      </w:r>
      <w:r>
        <w:tab/>
        <w:t xml:space="preserve">For the hire of a standpipe from the Water </w:t>
      </w:r>
      <w:r>
        <w:br/>
        <w:t xml:space="preserve">Corporation for attachment to a fire hydrant </w:t>
      </w:r>
      <w:r>
        <w:br/>
        <w:t xml:space="preserve">connected to water supply works of the Water </w:t>
      </w:r>
      <w:r>
        <w:br/>
      </w:r>
      <w:r>
        <w:lastRenderedPageBreak/>
        <w:t xml:space="preserve">Corporation in the metropolitan area, the charge, </w:t>
      </w:r>
      <w:r>
        <w:br/>
        <w:t>according to the size of the standpipe’s meter, is —</w:t>
      </w:r>
    </w:p>
    <w:p>
      <w:pPr>
        <w:pStyle w:val="yMiscellaneousBody"/>
        <w:keepNext/>
        <w:tabs>
          <w:tab w:val="right" w:leader="dot" w:pos="6804"/>
        </w:tabs>
        <w:ind w:left="993"/>
      </w:pPr>
      <w:r>
        <w:t xml:space="preserve">25 mm or less </w:t>
      </w:r>
      <w:r>
        <w:tab/>
      </w:r>
      <w:r>
        <w:rPr>
          <w:szCs w:val="22"/>
        </w:rPr>
        <w:t>$272.38</w:t>
      </w:r>
      <w:r>
        <w:t>/month</w:t>
      </w:r>
    </w:p>
    <w:p>
      <w:pPr>
        <w:pStyle w:val="yMiscellaneousBody"/>
        <w:tabs>
          <w:tab w:val="right" w:pos="6804"/>
        </w:tabs>
        <w:spacing w:before="0"/>
      </w:pPr>
      <w:r>
        <w:tab/>
        <w:t>pro </w:t>
      </w:r>
      <w:r>
        <w:rPr>
          <w:szCs w:val="22"/>
        </w:rPr>
        <w:t>rata</w:t>
      </w:r>
    </w:p>
    <w:p>
      <w:pPr>
        <w:pStyle w:val="yMiscellaneousBody"/>
        <w:tabs>
          <w:tab w:val="right" w:leader="dot" w:pos="6804"/>
        </w:tabs>
        <w:ind w:left="993"/>
      </w:pPr>
      <w:r>
        <w:t xml:space="preserve">more than 25 mm </w:t>
      </w:r>
      <w:r>
        <w:tab/>
      </w:r>
      <w:r>
        <w:rPr>
          <w:szCs w:val="22"/>
        </w:rPr>
        <w:t>$455.81</w:t>
      </w:r>
      <w:r>
        <w:t>/month</w:t>
      </w:r>
    </w:p>
    <w:p>
      <w:pPr>
        <w:pStyle w:val="yMiscellaneousBody"/>
        <w:tabs>
          <w:tab w:val="right" w:pos="6804"/>
        </w:tabs>
        <w:spacing w:before="0"/>
      </w:pPr>
      <w:r>
        <w:tab/>
        <w:t>pro </w:t>
      </w:r>
      <w:r>
        <w:rPr>
          <w:szCs w:val="22"/>
        </w:rPr>
        <w:t>rata</w:t>
      </w:r>
    </w:p>
    <w:p>
      <w:pPr>
        <w:pStyle w:val="zyHeading5"/>
      </w:pPr>
      <w:bookmarkStart w:id="365" w:name="_Toc201235802"/>
      <w:bookmarkStart w:id="366" w:name="_Toc201661713"/>
      <w:r>
        <w:t>11.</w:t>
      </w:r>
      <w:r>
        <w:tab/>
        <w:t>Trade waste: services in relation to discharge</w:t>
      </w:r>
      <w:bookmarkEnd w:id="365"/>
      <w:bookmarkEnd w:id="366"/>
    </w:p>
    <w:p>
      <w:pPr>
        <w:pStyle w:val="ySubsection"/>
      </w:pPr>
      <w:r>
        <w:tab/>
        <w:t>(1)</w:t>
      </w:r>
      <w:r>
        <w:tab/>
        <w:t xml:space="preserve">In this item — </w:t>
      </w:r>
    </w:p>
    <w:p>
      <w:pPr>
        <w:pStyle w:val="yDefstart"/>
      </w:pPr>
      <w:r>
        <w:tab/>
      </w:r>
      <w:r>
        <w:rPr>
          <w:rStyle w:val="CharDefText"/>
        </w:rPr>
        <w:t>additional analysis</w:t>
      </w:r>
      <w:r>
        <w:t xml:space="preserve"> means the analysis of samples for water quality parameters, other than the analysis normally conducted by the Water Corporation in relation to the discharge of trade waste into a sewer of the Water Corporation.</w:t>
      </w:r>
    </w:p>
    <w:p>
      <w:pPr>
        <w:pStyle w:val="ySubsection"/>
      </w:pPr>
      <w:r>
        <w:tab/>
        <w:t>(2)</w:t>
      </w:r>
      <w:r>
        <w:tab/>
        <w:t>For the following services in relation to the discharge of trade waste into a sewer of the Water Corporation, the charge is —</w:t>
      </w:r>
    </w:p>
    <w:p>
      <w:pPr>
        <w:pStyle w:val="yIndenta"/>
        <w:tabs>
          <w:tab w:val="right" w:leader="dot" w:pos="6804"/>
        </w:tabs>
      </w:pPr>
      <w:r>
        <w:tab/>
        <w:t>(a)</w:t>
      </w:r>
      <w:r>
        <w:tab/>
        <w:t xml:space="preserve">for inspection </w:t>
      </w:r>
      <w:r>
        <w:tab/>
        <w:t>$169.18/hour</w:t>
      </w:r>
    </w:p>
    <w:p>
      <w:pPr>
        <w:pStyle w:val="yIndenta"/>
        <w:tabs>
          <w:tab w:val="right" w:leader="dot" w:pos="6804"/>
        </w:tabs>
      </w:pPr>
      <w:r>
        <w:tab/>
        <w:t>(b)</w:t>
      </w:r>
      <w:r>
        <w:tab/>
        <w:t xml:space="preserve">for a meter reading </w:t>
      </w:r>
      <w:r>
        <w:tab/>
        <w:t>$46.16</w:t>
      </w:r>
    </w:p>
    <w:p>
      <w:pPr>
        <w:pStyle w:val="yIndenta"/>
        <w:tabs>
          <w:tab w:val="right" w:leader="dot" w:pos="6804"/>
        </w:tabs>
      </w:pPr>
      <w:r>
        <w:tab/>
        <w:t>(c)</w:t>
      </w:r>
      <w:r>
        <w:tab/>
        <w:t xml:space="preserve">for a grab sample </w:t>
      </w:r>
      <w:r>
        <w:tab/>
        <w:t>$521.73</w:t>
      </w:r>
    </w:p>
    <w:p>
      <w:pPr>
        <w:pStyle w:val="yIndenta"/>
        <w:tabs>
          <w:tab w:val="right" w:leader="dot" w:pos="6804"/>
        </w:tabs>
      </w:pPr>
      <w:r>
        <w:tab/>
        <w:t>(d)</w:t>
      </w:r>
      <w:r>
        <w:tab/>
        <w:t xml:space="preserve">for a composite sample </w:t>
      </w:r>
      <w:r>
        <w:tab/>
        <w:t>$826.43</w:t>
      </w:r>
    </w:p>
    <w:p>
      <w:pPr>
        <w:pStyle w:val="yIndenta"/>
        <w:tabs>
          <w:tab w:val="right" w:leader="dot" w:pos="6804"/>
        </w:tabs>
        <w:rPr>
          <w:szCs w:val="22"/>
        </w:rPr>
      </w:pPr>
      <w:r>
        <w:tab/>
        <w:t>(e)</w:t>
      </w:r>
      <w:r>
        <w:tab/>
        <w:t xml:space="preserve">for additional analysis </w:t>
      </w:r>
      <w:r>
        <w:tab/>
      </w:r>
      <w:r>
        <w:rPr>
          <w:szCs w:val="22"/>
        </w:rPr>
        <w:t xml:space="preserve">an amount equal to </w:t>
      </w:r>
    </w:p>
    <w:p>
      <w:pPr>
        <w:pStyle w:val="yMiscellaneousBody"/>
        <w:spacing w:before="0"/>
        <w:ind w:left="2183" w:right="284" w:hanging="851"/>
        <w:jc w:val="right"/>
      </w:pPr>
      <w:r>
        <w:t xml:space="preserve">the actual cost to the </w:t>
      </w:r>
      <w:r>
        <w:br/>
        <w:t xml:space="preserve">Water Corporation </w:t>
      </w:r>
      <w:r>
        <w:br/>
        <w:t xml:space="preserve">of conducting the </w:t>
      </w:r>
      <w:r>
        <w:br/>
        <w:t>additional analysis</w:t>
      </w:r>
    </w:p>
    <w:p>
      <w:pPr>
        <w:pStyle w:val="yIndenta"/>
        <w:tabs>
          <w:tab w:val="right" w:leader="dot" w:pos="6804"/>
        </w:tabs>
      </w:pPr>
      <w:r>
        <w:tab/>
        <w:t>(f)</w:t>
      </w:r>
      <w:r>
        <w:tab/>
        <w:t>for assessing an application to</w:t>
      </w:r>
      <w:r>
        <w:br/>
        <w:t xml:space="preserve">discharge </w:t>
      </w:r>
      <w:r>
        <w:tab/>
      </w:r>
      <w:r>
        <w:rPr>
          <w:szCs w:val="22"/>
        </w:rPr>
        <w:t>$153.88/hour</w:t>
      </w:r>
    </w:p>
    <w:p>
      <w:pPr>
        <w:pStyle w:val="zyHeading5"/>
      </w:pPr>
      <w:bookmarkStart w:id="367" w:name="_Toc201235803"/>
      <w:bookmarkStart w:id="368" w:name="_Toc201661714"/>
      <w:r>
        <w:t>12.</w:t>
      </w:r>
      <w:r>
        <w:tab/>
        <w:t>Trade waste: product evaluation services</w:t>
      </w:r>
      <w:bookmarkEnd w:id="367"/>
      <w:bookmarkEnd w:id="368"/>
    </w:p>
    <w:p>
      <w:pPr>
        <w:pStyle w:val="ySubsection"/>
      </w:pPr>
      <w:r>
        <w:tab/>
        <w:t>(1)</w:t>
      </w:r>
      <w:r>
        <w:tab/>
        <w:t xml:space="preserve">In this item — </w:t>
      </w:r>
    </w:p>
    <w:p>
      <w:pPr>
        <w:pStyle w:val="yDefstart"/>
      </w:pPr>
      <w:r>
        <w:tab/>
      </w:r>
      <w:r>
        <w:rPr>
          <w:rStyle w:val="CharDefText"/>
        </w:rPr>
        <w:t>product evaluation</w:t>
      </w:r>
      <w:r>
        <w:t xml:space="preserve"> means reviewing a fitting, fixture or substance to determine whether it can be appropriately used in relation to the discharge of trade waste.</w:t>
      </w:r>
    </w:p>
    <w:p>
      <w:pPr>
        <w:pStyle w:val="ySubsection"/>
        <w:tabs>
          <w:tab w:val="right" w:leader="dot" w:pos="6804"/>
        </w:tabs>
      </w:pPr>
      <w:r>
        <w:lastRenderedPageBreak/>
        <w:tab/>
        <w:t>(2)</w:t>
      </w:r>
      <w:r>
        <w:tab/>
        <w:t>For product evaluation in relation to the</w:t>
      </w:r>
      <w:r>
        <w:br/>
        <w:t>discharge of trade waste into a sewer of</w:t>
      </w:r>
      <w:r>
        <w:br/>
        <w:t xml:space="preserve">the Water Corporation, the charge is </w:t>
      </w:r>
      <w:r>
        <w:tab/>
      </w:r>
      <w:r>
        <w:rPr>
          <w:szCs w:val="22"/>
        </w:rPr>
        <w:t>$201.97</w:t>
      </w:r>
      <w:r>
        <w:t>/hour</w:t>
      </w:r>
    </w:p>
    <w:p>
      <w:pPr>
        <w:pStyle w:val="zyHeading5"/>
      </w:pPr>
      <w:bookmarkStart w:id="369" w:name="_Toc201235804"/>
      <w:bookmarkStart w:id="370" w:name="_Toc201661715"/>
      <w:r>
        <w:t>13.</w:t>
      </w:r>
      <w:r>
        <w:tab/>
        <w:t>Trade waste: one</w:t>
      </w:r>
      <w:r>
        <w:noBreakHyphen/>
        <w:t>off discharge services</w:t>
      </w:r>
      <w:bookmarkEnd w:id="369"/>
      <w:bookmarkEnd w:id="370"/>
    </w:p>
    <w:p>
      <w:pPr>
        <w:pStyle w:val="ySubsection"/>
        <w:tabs>
          <w:tab w:val="right" w:leader="dot" w:pos="6804"/>
        </w:tabs>
      </w:pPr>
      <w:r>
        <w:tab/>
      </w:r>
      <w:r>
        <w:tab/>
        <w:t>For a one</w:t>
      </w:r>
      <w:r>
        <w:noBreakHyphen/>
        <w:t xml:space="preserve">off discharge of trade waste </w:t>
      </w:r>
      <w:r>
        <w:br/>
        <w:t xml:space="preserve">into a sewer of the Water Corporation, </w:t>
      </w:r>
      <w:r>
        <w:br/>
        <w:t xml:space="preserve">the charge is </w:t>
      </w:r>
      <w:r>
        <w:tab/>
      </w:r>
      <w:r>
        <w:rPr>
          <w:szCs w:val="22"/>
        </w:rPr>
        <w:t>$153.88</w:t>
      </w:r>
      <w:r>
        <w:t>/hour</w:t>
      </w:r>
    </w:p>
    <w:p>
      <w:pPr>
        <w:pStyle w:val="zyHeading5"/>
      </w:pPr>
      <w:bookmarkStart w:id="371" w:name="_Toc201235805"/>
      <w:bookmarkStart w:id="372" w:name="_Toc201661716"/>
      <w:r>
        <w:t>14.</w:t>
      </w:r>
      <w:r>
        <w:tab/>
        <w:t>Meter reading and other information</w:t>
      </w:r>
      <w:bookmarkEnd w:id="371"/>
      <w:bookmarkEnd w:id="372"/>
    </w:p>
    <w:p>
      <w:pPr>
        <w:pStyle w:val="ySubsection"/>
      </w:pPr>
      <w:r>
        <w:tab/>
      </w:r>
      <w:r>
        <w:tab/>
        <w:t xml:space="preserve">For — </w:t>
      </w:r>
    </w:p>
    <w:p>
      <w:pPr>
        <w:pStyle w:val="yIndenta"/>
        <w:tabs>
          <w:tab w:val="right" w:leader="dot" w:pos="6804"/>
        </w:tabs>
      </w:pPr>
      <w:r>
        <w:tab/>
        <w:t>(a)</w:t>
      </w:r>
      <w:r>
        <w:tab/>
        <w:t xml:space="preserve">a meter reading, the charge is </w:t>
      </w:r>
      <w:r>
        <w:tab/>
        <w:t>$24.63</w:t>
      </w:r>
    </w:p>
    <w:p>
      <w:pPr>
        <w:pStyle w:val="yIndenta"/>
        <w:tabs>
          <w:tab w:val="right" w:leader="dot" w:pos="6804"/>
        </w:tabs>
      </w:pPr>
      <w:r>
        <w:tab/>
        <w:t>(b)</w:t>
      </w:r>
      <w:r>
        <w:tab/>
        <w:t xml:space="preserve">an urgent meter reading, the charge is </w:t>
      </w:r>
      <w:r>
        <w:tab/>
        <w:t>$37.79</w:t>
      </w:r>
    </w:p>
    <w:p>
      <w:pPr>
        <w:pStyle w:val="yIndenta"/>
        <w:tabs>
          <w:tab w:val="right" w:leader="dot" w:pos="6804"/>
        </w:tabs>
      </w:pPr>
      <w:r>
        <w:tab/>
        <w:t>(c)</w:t>
      </w:r>
      <w:r>
        <w:tab/>
        <w:t xml:space="preserve">the provision of information in relation </w:t>
      </w:r>
      <w:r>
        <w:br/>
        <w:t xml:space="preserve">to water services for land and a meter </w:t>
      </w:r>
      <w:r>
        <w:br/>
        <w:t xml:space="preserve">reading, the charge is </w:t>
      </w:r>
      <w:r>
        <w:tab/>
        <w:t>$33.73</w:t>
      </w:r>
    </w:p>
    <w:p>
      <w:pPr>
        <w:pStyle w:val="yIndenta"/>
        <w:tabs>
          <w:tab w:val="right" w:leader="dot" w:pos="6804"/>
        </w:tabs>
      </w:pPr>
      <w:r>
        <w:tab/>
        <w:t>(d)</w:t>
      </w:r>
      <w:r>
        <w:tab/>
        <w:t xml:space="preserve">the provision of information in relation </w:t>
      </w:r>
      <w:r>
        <w:br/>
        <w:t xml:space="preserve">to water services for land and an urgent </w:t>
      </w:r>
      <w:r>
        <w:br/>
        <w:t xml:space="preserve">meter reading, the charge is </w:t>
      </w:r>
      <w:r>
        <w:tab/>
        <w:t>$46.88</w:t>
      </w:r>
    </w:p>
    <w:p>
      <w:pPr>
        <w:pStyle w:val="yIndenta"/>
        <w:tabs>
          <w:tab w:val="right" w:leader="dot" w:pos="6804"/>
        </w:tabs>
      </w:pPr>
      <w:r>
        <w:tab/>
        <w:t>(e)</w:t>
      </w:r>
      <w:r>
        <w:tab/>
        <w:t xml:space="preserve">the provision of information not </w:t>
      </w:r>
      <w:r>
        <w:br/>
        <w:t xml:space="preserve">covered by paragraphs (a) to (d), </w:t>
      </w:r>
      <w:r>
        <w:br/>
        <w:t xml:space="preserve">involving research or investigation </w:t>
      </w:r>
      <w:r>
        <w:br/>
        <w:t xml:space="preserve">of more than 15 minutes, the </w:t>
      </w:r>
      <w:r>
        <w:br/>
        <w:t xml:space="preserve">charge is </w:t>
      </w:r>
      <w:r>
        <w:tab/>
      </w:r>
      <w:r>
        <w:rPr>
          <w:szCs w:val="22"/>
        </w:rPr>
        <w:t>$105.28</w:t>
      </w:r>
      <w:r>
        <w:t>/hour</w:t>
      </w:r>
    </w:p>
    <w:p>
      <w:pPr>
        <w:pStyle w:val="yIndenta"/>
        <w:spacing w:before="0"/>
        <w:ind w:right="284"/>
        <w:jc w:val="right"/>
      </w:pPr>
      <w:r>
        <w:t>or part hour</w:t>
      </w:r>
    </w:p>
    <w:p>
      <w:pPr>
        <w:pStyle w:val="zyHeading5"/>
      </w:pPr>
      <w:bookmarkStart w:id="373" w:name="_Toc201235806"/>
      <w:bookmarkStart w:id="374" w:name="_Toc201661717"/>
      <w:r>
        <w:t>15.</w:t>
      </w:r>
      <w:r>
        <w:tab/>
        <w:t>Copies of records</w:t>
      </w:r>
      <w:bookmarkEnd w:id="373"/>
      <w:bookmarkEnd w:id="374"/>
    </w:p>
    <w:p>
      <w:pPr>
        <w:pStyle w:val="ySubsection"/>
        <w:tabs>
          <w:tab w:val="right" w:leader="dot" w:pos="6804"/>
        </w:tabs>
      </w:pPr>
      <w:r>
        <w:tab/>
      </w:r>
      <w:r>
        <w:tab/>
        <w:t xml:space="preserve">For a copy of records under the </w:t>
      </w:r>
      <w:r>
        <w:br/>
      </w:r>
      <w:r>
        <w:rPr>
          <w:i/>
          <w:iCs/>
        </w:rPr>
        <w:t>Water Services Regulations 2013</w:t>
      </w:r>
      <w:r>
        <w:t xml:space="preserve"> </w:t>
      </w:r>
      <w:r>
        <w:br/>
        <w:t xml:space="preserve">regulation 65(4)(b), the charge is </w:t>
      </w:r>
      <w:r>
        <w:tab/>
        <w:t>$20.35 per record</w:t>
      </w:r>
    </w:p>
    <w:p>
      <w:pPr>
        <w:pStyle w:val="BlankClose"/>
      </w:pPr>
    </w:p>
    <w:p>
      <w:pPr>
        <w:pStyle w:val="Heading5"/>
      </w:pPr>
      <w:bookmarkStart w:id="375" w:name="_Toc201235807"/>
      <w:bookmarkStart w:id="376" w:name="_Toc201661718"/>
      <w:r>
        <w:rPr>
          <w:rStyle w:val="CharSectno"/>
        </w:rPr>
        <w:lastRenderedPageBreak/>
        <w:t>11</w:t>
      </w:r>
      <w:r>
        <w:t>.</w:t>
      </w:r>
      <w:r>
        <w:tab/>
        <w:t>Schedule 11 amended</w:t>
      </w:r>
      <w:bookmarkEnd w:id="375"/>
      <w:bookmarkEnd w:id="376"/>
    </w:p>
    <w:p>
      <w:pPr>
        <w:pStyle w:val="Subsection"/>
        <w:keepNext/>
      </w:pPr>
      <w:r>
        <w:tab/>
      </w:r>
      <w:r>
        <w:tab/>
        <w:t>In Schedule 11 in the Table:</w:t>
      </w:r>
    </w:p>
    <w:p>
      <w:pPr>
        <w:pStyle w:val="Indenta"/>
        <w:keepNext/>
      </w:pPr>
      <w:r>
        <w:tab/>
        <w:t>(a)</w:t>
      </w:r>
      <w:r>
        <w:tab/>
        <w:t>in the row relating to Porongurup delete “</w:t>
      </w:r>
      <w:r>
        <w:rPr>
          <w:sz w:val="22"/>
          <w:szCs w:val="18"/>
        </w:rPr>
        <w:t>14</w:t>
      </w:r>
      <w:r>
        <w:t>” and insert:</w:t>
      </w:r>
    </w:p>
    <w:p>
      <w:pPr>
        <w:pStyle w:val="BlankOpen"/>
      </w:pPr>
    </w:p>
    <w:p>
      <w:pPr>
        <w:pStyle w:val="Indenta"/>
      </w:pPr>
      <w:r>
        <w:tab/>
      </w:r>
      <w:r>
        <w:tab/>
      </w:r>
      <w:r>
        <w:rPr>
          <w:sz w:val="22"/>
          <w:szCs w:val="18"/>
        </w:rPr>
        <w:t>15</w:t>
      </w:r>
    </w:p>
    <w:p>
      <w:pPr>
        <w:pStyle w:val="BlankClose"/>
      </w:pPr>
    </w:p>
    <w:p>
      <w:pPr>
        <w:pStyle w:val="Indenta"/>
      </w:pPr>
      <w:r>
        <w:tab/>
        <w:t>(b)</w:t>
      </w:r>
      <w:r>
        <w:tab/>
        <w:t>in the row relating to Yarloop/Wagerup delete “</w:t>
      </w:r>
      <w:r>
        <w:rPr>
          <w:sz w:val="22"/>
          <w:szCs w:val="18"/>
        </w:rPr>
        <w:t>14</w:t>
      </w:r>
      <w:r>
        <w:t>” and insert:</w:t>
      </w:r>
    </w:p>
    <w:p>
      <w:pPr>
        <w:pStyle w:val="BlankOpen"/>
      </w:pPr>
    </w:p>
    <w:p>
      <w:pPr>
        <w:pStyle w:val="Indenta"/>
      </w:pPr>
      <w:r>
        <w:tab/>
      </w:r>
      <w:r>
        <w:tab/>
      </w:r>
      <w:r>
        <w:rPr>
          <w:sz w:val="22"/>
          <w:szCs w:val="18"/>
        </w:rPr>
        <w:t>15</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607D62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E8C8841" w14:textId="47E102BC" w:rsidR="004347F9" w:rsidRDefault="004347F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078C9">
                        <w:rPr>
                          <w:sz w:val="16"/>
                        </w:rPr>
                        <w:t>2025</w:t>
                      </w:r>
                      <w:r>
                        <w:rPr>
                          <w:sz w:val="16"/>
                        </w:rPr>
                        <w:fldChar w:fldCharType="end"/>
                      </w:r>
                      <w:r>
                        <w:rPr>
                          <w:sz w:val="16"/>
                        </w:rPr>
                        <w:t>.</w:t>
                      </w:r>
                    </w:p>
                    <w:p w14:paraId="6053F9D5" w14:textId="77777777" w:rsidR="004347F9" w:rsidRDefault="004347F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0A44084" w14:textId="535A4656" w:rsidR="004347F9" w:rsidRDefault="004347F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078C9">
                        <w:rPr>
                          <w:sz w:val="16"/>
                        </w:rPr>
                        <w:t>2025</w:t>
                      </w:r>
                      <w:r>
                        <w:rPr>
                          <w:sz w:val="16"/>
                        </w:rPr>
                        <w:fldChar w:fldCharType="end"/>
                      </w:r>
                      <w:r>
                        <w:rPr>
                          <w:sz w:val="16"/>
                        </w:rPr>
                        <w:t>.</w:t>
                      </w:r>
                    </w:p>
                    <w:p w14:paraId="084BBD28" w14:textId="77777777" w:rsidR="004347F9" w:rsidRDefault="004347F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2025/101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25 Jun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2025/101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25 Jun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2025/101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25 Jun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2025/101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25 Jun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2025/101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25 Jun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2025/101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25 Jun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Amendment (Fees and Charges)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Amendment (Fees and Charges)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Amendment (Fees and Charges)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Water Services Regulations Amendment (Fees and Charges)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7" w:name="Coversheet"/>
    <w:bookmarkEnd w:id="3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BBA1437"/>
    <w:multiLevelType w:val="singleLevel"/>
    <w:tmpl w:val="0C09000F"/>
    <w:lvl w:ilvl="0">
      <w:start w:val="1"/>
      <w:numFmt w:val="decimal"/>
      <w:lvlText w:val="%1."/>
      <w:lvlJc w:val="left"/>
      <w:pPr>
        <w:ind w:left="720" w:hanging="360"/>
      </w:p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4"/>
  </w:num>
  <w:num w:numId="3">
    <w:abstractNumId w:val="9"/>
  </w:num>
  <w:num w:numId="4">
    <w:abstractNumId w:val="22"/>
  </w:num>
  <w:num w:numId="5">
    <w:abstractNumId w:val="11"/>
  </w:num>
  <w:num w:numId="6">
    <w:abstractNumId w:val="16"/>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21"/>
  </w:num>
  <w:num w:numId="18">
    <w:abstractNumId w:val="17"/>
  </w:num>
  <w:num w:numId="19">
    <w:abstractNumId w:val="24"/>
  </w:num>
  <w:num w:numId="20">
    <w:abstractNumId w:val="23"/>
  </w:num>
  <w:num w:numId="21">
    <w:abstractNumId w:val="27"/>
  </w:num>
  <w:num w:numId="22">
    <w:abstractNumId w:val="12"/>
  </w:num>
  <w:num w:numId="23">
    <w:abstractNumId w:val="20"/>
  </w:num>
  <w:num w:numId="24">
    <w:abstractNumId w:val="25"/>
  </w:num>
  <w:num w:numId="25">
    <w:abstractNumId w:val="10"/>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61914265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5290850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529085013_GUID" w:val="da2d48b1-2f52-4686-88a2-53a83ab30070"/>
    <w:docVar w:name="WAFER_20250529093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529093709_GUID" w:val="73b0163d-78aa-4513-a48b-d1a86a404739"/>
    <w:docVar w:name="WAFER_20250529095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9095002_GUID" w:val="07e08de6-2f27-46c0-9ddb-e87c72c08c57"/>
    <w:docVar w:name="WAFER_20250610152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0152327_GUID" w:val="5a91329d-2e9c-4c87-a95a-7cc1e2b413c9"/>
    <w:docVar w:name="WAFER_20250619142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619142653_GUID" w:val="8d59b768-da1d-4f09-b5ef-b80c5dc258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0D12B14E-003F-4401-8954-40580BFC4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11500</Words>
  <Characters>55894</Characters>
  <Application>Microsoft Office Word</Application>
  <DocSecurity>0</DocSecurity>
  <Lines>2540</Lines>
  <Paragraphs>2106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Amendment (Fees and Charges) Regulations 2025 - 00-00-00</dc:title>
  <dc:subject/>
  <dc:creator/>
  <cp:keywords/>
  <dc:description/>
  <cp:lastModifiedBy>Master Repository Process</cp:lastModifiedBy>
  <cp:revision>4</cp:revision>
  <cp:lastPrinted>2025-06-11T04:40:00Z</cp:lastPrinted>
  <dcterms:created xsi:type="dcterms:W3CDTF">2025-06-24T06:59:00Z</dcterms:created>
  <dcterms:modified xsi:type="dcterms:W3CDTF">2025-06-24T06:59:00Z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55475</vt:lpwstr>
  </property>
  <property fmtid="{D5CDD505-2E9C-101B-9397-08002B2CF9AE}" pid="3" name="DocumentType">
    <vt:lpwstr>Reg</vt:lpwstr>
  </property>
  <property fmtid="{D5CDD505-2E9C-101B-9397-08002B2CF9AE}" pid="4" name="AsAtDate">
    <vt:lpwstr>25 Jun 2025</vt:lpwstr>
  </property>
  <property fmtid="{D5CDD505-2E9C-101B-9397-08002B2CF9AE}" pid="5" name="Suffix">
    <vt:lpwstr>00-00-00</vt:lpwstr>
  </property>
  <property fmtid="{D5CDD505-2E9C-101B-9397-08002B2CF9AE}" pid="6" name="Official">
    <vt:lpwstr/>
  </property>
  <property fmtid="{D5CDD505-2E9C-101B-9397-08002B2CF9AE}" pid="7" name="SLAPId">
    <vt:lpwstr>2025/101</vt:lpwstr>
  </property>
  <property fmtid="{D5CDD505-2E9C-101B-9397-08002B2CF9AE}" pid="8" name="PublishDate">
    <vt:lpwstr>25 Jun 2025</vt:lpwstr>
  </property>
  <property fmtid="{D5CDD505-2E9C-101B-9397-08002B2CF9AE}" pid="9" name="CommencementDate">
    <vt:lpwstr>20250625</vt:lpwstr>
  </property>
  <property fmtid="{D5CDD505-2E9C-101B-9397-08002B2CF9AE}" pid="10" name="CommencementAsAt">
    <vt:filetime>2025-06-24T16:00:00Z</vt:filetime>
  </property>
  <property fmtid="{D5CDD505-2E9C-101B-9397-08002B2CF9AE}" pid="11" name="CommencementYear">
    <vt:lpwstr>2025</vt:lpwstr>
  </property>
</Properties>
</file>