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Operators (Powers) Act 1979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Energy Operators (Electricity Generation and Retail Corporation) (Charges) Amendment By-laws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Operators (Electricity Generation and Retail Corporation) (Charges) Amendment By-laws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_Toc201748420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_Toc201748421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By-laws amended</w:t>
      </w:r>
      <w:r>
        <w:tab/>
      </w:r>
      <w:r>
        <w:fldChar w:fldCharType="begin"/>
      </w:r>
      <w:r>
        <w:instrText xml:space="preserve"> PAGEREF _Toc201748422 \h </w:instrText>
      </w:r>
      <w:r>
        <w:fldChar w:fldCharType="separate"/>
      </w:r>
      <w:r>
        <w:t>1</w:t>
      </w:r>
      <w:r>
        <w:fldChar w:fldCharType="end"/>
      </w:r>
    </w:p>
    <w:p>
      <w:pPr>
        <w:pStyle w:val="TOC8"/>
        <w:rPr>
          <w:rFonts w:asciiTheme="minorHAnsi" w:eastAsiaTheme="minorEastAsia" w:hAnsiTheme="minorHAnsi" w:cstheme="minorBidi"/>
          <w:szCs w:val="22"/>
        </w:rPr>
      </w:pPr>
      <w:r>
        <w:t>4.</w:t>
      </w:r>
      <w:r>
        <w:tab/>
        <w:t>By</w:t>
      </w:r>
      <w:r>
        <w:noBreakHyphen/>
        <w:t>law 9 inserted</w:t>
      </w:r>
      <w:r>
        <w:tab/>
      </w:r>
      <w:r>
        <w:fldChar w:fldCharType="begin"/>
      </w:r>
      <w:r>
        <w:instrText xml:space="preserve"> PAGEREF _Toc201748423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9.</w:t>
      </w:r>
      <w:r>
        <w:rPr>
          <w:noProof/>
        </w:rPr>
        <w:tab/>
        <w:t>Reduced fee for meter testing</w:t>
      </w:r>
      <w:r>
        <w:rPr>
          <w:noProof/>
        </w:rPr>
        <w:tab/>
      </w:r>
      <w:r>
        <w:rPr>
          <w:noProof/>
        </w:rPr>
        <w:fldChar w:fldCharType="begin"/>
      </w:r>
      <w:r>
        <w:rPr>
          <w:noProof/>
        </w:rPr>
        <w:instrText xml:space="preserve"> PAGEREF _Toc201748424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Schedules 1 and 2 replaced</w:t>
      </w:r>
      <w:r>
        <w:tab/>
      </w:r>
      <w:r>
        <w:fldChar w:fldCharType="begin"/>
      </w:r>
      <w:r>
        <w:instrText xml:space="preserve"> PAGEREF _Toc201748425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1 — Supply charges</w:t>
      </w:r>
    </w:p>
    <w:p>
      <w:pPr>
        <w:pStyle w:val="TOC9"/>
        <w:rPr>
          <w:rFonts w:asciiTheme="minorHAnsi" w:eastAsiaTheme="minorEastAsia" w:hAnsiTheme="minorHAnsi" w:cstheme="minorBidi"/>
          <w:noProof/>
          <w:sz w:val="22"/>
          <w:szCs w:val="22"/>
        </w:rPr>
      </w:pPr>
      <w:r>
        <w:rPr>
          <w:noProof/>
        </w:rPr>
        <w:t>1.</w:t>
      </w:r>
      <w:r>
        <w:rPr>
          <w:noProof/>
        </w:rPr>
        <w:tab/>
        <w:t>Tariff L1 (general supply — low/medium voltage tariff)</w:t>
      </w:r>
      <w:r>
        <w:rPr>
          <w:noProof/>
        </w:rPr>
        <w:tab/>
      </w:r>
      <w:r>
        <w:rPr>
          <w:noProof/>
        </w:rPr>
        <w:fldChar w:fldCharType="begin"/>
      </w:r>
      <w:r>
        <w:rPr>
          <w:noProof/>
        </w:rPr>
        <w:instrText xml:space="preserve"> PAGEREF _Toc201748427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Tariff L3 (general supply — low/medium voltage tariff)</w:t>
      </w:r>
      <w:r>
        <w:rPr>
          <w:noProof/>
        </w:rPr>
        <w:tab/>
      </w:r>
      <w:r>
        <w:rPr>
          <w:noProof/>
        </w:rPr>
        <w:fldChar w:fldCharType="begin"/>
      </w:r>
      <w:r>
        <w:rPr>
          <w:noProof/>
        </w:rPr>
        <w:instrText xml:space="preserve"> PAGEREF _Toc201748428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Tariff R1 (time</w:t>
      </w:r>
      <w:r>
        <w:rPr>
          <w:noProof/>
        </w:rPr>
        <w:noBreakHyphen/>
        <w:t>of</w:t>
      </w:r>
      <w:r>
        <w:rPr>
          <w:noProof/>
        </w:rPr>
        <w:noBreakHyphen/>
        <w:t>use tariff — low/medium voltage tariff)</w:t>
      </w:r>
      <w:r>
        <w:rPr>
          <w:noProof/>
        </w:rPr>
        <w:tab/>
      </w:r>
      <w:r>
        <w:rPr>
          <w:noProof/>
        </w:rPr>
        <w:fldChar w:fldCharType="begin"/>
      </w:r>
      <w:r>
        <w:rPr>
          <w:noProof/>
        </w:rPr>
        <w:instrText xml:space="preserve"> PAGEREF _Toc201748429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Tariff R3 (time</w:t>
      </w:r>
      <w:r>
        <w:rPr>
          <w:noProof/>
        </w:rPr>
        <w:noBreakHyphen/>
        <w:t>of</w:t>
      </w:r>
      <w:r>
        <w:rPr>
          <w:noProof/>
        </w:rPr>
        <w:noBreakHyphen/>
        <w:t>use tariff — low/medium voltage tariff)</w:t>
      </w:r>
      <w:r>
        <w:rPr>
          <w:noProof/>
        </w:rPr>
        <w:tab/>
      </w:r>
      <w:r>
        <w:rPr>
          <w:noProof/>
        </w:rPr>
        <w:fldChar w:fldCharType="begin"/>
      </w:r>
      <w:r>
        <w:rPr>
          <w:noProof/>
        </w:rPr>
        <w:instrText xml:space="preserve"> PAGEREF _Toc201748430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Standby charges</w:t>
      </w:r>
      <w:r>
        <w:rPr>
          <w:noProof/>
        </w:rPr>
        <w:tab/>
      </w:r>
      <w:r>
        <w:rPr>
          <w:noProof/>
        </w:rPr>
        <w:fldChar w:fldCharType="begin"/>
      </w:r>
      <w:r>
        <w:rPr>
          <w:noProof/>
        </w:rPr>
        <w:instrText xml:space="preserve"> PAGEREF _Toc201748431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Tariff A1 (residential tariff)</w:t>
      </w:r>
      <w:r>
        <w:rPr>
          <w:noProof/>
        </w:rPr>
        <w:tab/>
      </w:r>
      <w:r>
        <w:rPr>
          <w:noProof/>
        </w:rPr>
        <w:fldChar w:fldCharType="begin"/>
      </w:r>
      <w:r>
        <w:rPr>
          <w:noProof/>
        </w:rPr>
        <w:instrText xml:space="preserve"> PAGEREF _Toc201748432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Tariff B1 (residential water heating tariff)</w:t>
      </w:r>
      <w:r>
        <w:rPr>
          <w:noProof/>
        </w:rPr>
        <w:tab/>
      </w:r>
      <w:r>
        <w:rPr>
          <w:noProof/>
        </w:rPr>
        <w:fldChar w:fldCharType="begin"/>
      </w:r>
      <w:r>
        <w:rPr>
          <w:noProof/>
        </w:rPr>
        <w:instrText xml:space="preserve"> PAGEREF _Toc201748433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Tariff C1 (special community service tariff)</w:t>
      </w:r>
      <w:r>
        <w:rPr>
          <w:noProof/>
        </w:rPr>
        <w:tab/>
      </w:r>
      <w:r>
        <w:rPr>
          <w:noProof/>
        </w:rPr>
        <w:fldChar w:fldCharType="begin"/>
      </w:r>
      <w:r>
        <w:rPr>
          <w:noProof/>
        </w:rPr>
        <w:instrText xml:space="preserve"> PAGEREF _Toc201748434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Tariff D1 (special tariff for certain premises)</w:t>
      </w:r>
      <w:r>
        <w:rPr>
          <w:noProof/>
        </w:rPr>
        <w:tab/>
      </w:r>
      <w:r>
        <w:rPr>
          <w:noProof/>
        </w:rPr>
        <w:fldChar w:fldCharType="begin"/>
      </w:r>
      <w:r>
        <w:rPr>
          <w:noProof/>
        </w:rPr>
        <w:instrText xml:space="preserve"> PAGEREF _Toc201748435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Tariff K1 (general supply with residential tariff)</w:t>
      </w:r>
      <w:r>
        <w:rPr>
          <w:noProof/>
        </w:rPr>
        <w:tab/>
      </w:r>
      <w:r>
        <w:rPr>
          <w:noProof/>
        </w:rPr>
        <w:fldChar w:fldCharType="begin"/>
      </w:r>
      <w:r>
        <w:rPr>
          <w:noProof/>
        </w:rPr>
        <w:instrText xml:space="preserve"> PAGEREF _Toc201748436 \h </w:instrText>
      </w:r>
      <w:r>
        <w:rPr>
          <w:noProof/>
        </w:rPr>
      </w:r>
      <w:r>
        <w:rPr>
          <w:noProof/>
        </w:rPr>
        <w:fldChar w:fldCharType="separate"/>
      </w:r>
      <w:r>
        <w:rPr>
          <w:noProof/>
        </w:rPr>
        <w:t>8</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2 — Unmetered supply</w:t>
      </w:r>
    </w:p>
    <w:p>
      <w:pPr>
        <w:pStyle w:val="TOC5"/>
        <w:tabs>
          <w:tab w:val="right" w:leader="dot" w:pos="7077"/>
        </w:tabs>
        <w:rPr>
          <w:rFonts w:asciiTheme="minorHAnsi" w:eastAsiaTheme="minorEastAsia" w:hAnsiTheme="minorHAnsi" w:cstheme="minorBidi"/>
          <w:b w:val="0"/>
          <w:sz w:val="22"/>
          <w:szCs w:val="22"/>
        </w:rPr>
      </w:pPr>
      <w:r>
        <w:t>Division 1</w:t>
      </w:r>
      <w:r>
        <w:rPr>
          <w:b w:val="0"/>
        </w:rPr>
        <w:t> — </w:t>
      </w:r>
      <w:r>
        <w:t>Street lighting</w:t>
      </w:r>
    </w:p>
    <w:p>
      <w:pPr>
        <w:pStyle w:val="TOC5"/>
        <w:tabs>
          <w:tab w:val="right" w:leader="dot" w:pos="7077"/>
        </w:tabs>
        <w:rPr>
          <w:rFonts w:asciiTheme="minorHAnsi" w:eastAsiaTheme="minorEastAsia" w:hAnsiTheme="minorHAnsi" w:cstheme="minorBidi"/>
          <w:b w:val="0"/>
          <w:sz w:val="22"/>
          <w:szCs w:val="22"/>
        </w:rPr>
      </w:pPr>
      <w:r>
        <w:t>Division 2</w:t>
      </w:r>
      <w:r>
        <w:rPr>
          <w:b w:val="0"/>
        </w:rPr>
        <w:t> — </w:t>
      </w:r>
      <w:r>
        <w:t>Miscellaneous</w:t>
      </w:r>
    </w:p>
    <w:p>
      <w:pPr>
        <w:pStyle w:val="TOC9"/>
        <w:rPr>
          <w:rFonts w:asciiTheme="minorHAnsi" w:eastAsiaTheme="minorEastAsia" w:hAnsiTheme="minorHAnsi" w:cstheme="minorBidi"/>
          <w:noProof/>
          <w:sz w:val="22"/>
          <w:szCs w:val="22"/>
        </w:rPr>
      </w:pPr>
      <w:r>
        <w:rPr>
          <w:noProof/>
        </w:rPr>
        <w:t>1.</w:t>
      </w:r>
      <w:r>
        <w:rPr>
          <w:noProof/>
        </w:rPr>
        <w:tab/>
        <w:t>Traffic light installation</w:t>
      </w:r>
      <w:r>
        <w:rPr>
          <w:noProof/>
        </w:rPr>
        <w:tab/>
      </w:r>
      <w:r>
        <w:rPr>
          <w:noProof/>
        </w:rPr>
        <w:fldChar w:fldCharType="begin"/>
      </w:r>
      <w:r>
        <w:rPr>
          <w:noProof/>
        </w:rPr>
        <w:instrText xml:space="preserve"> PAGEREF _Toc201748440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Public telephone facility</w:t>
      </w:r>
      <w:r>
        <w:rPr>
          <w:noProof/>
        </w:rPr>
        <w:tab/>
      </w:r>
      <w:r>
        <w:rPr>
          <w:noProof/>
        </w:rPr>
        <w:fldChar w:fldCharType="begin"/>
      </w:r>
      <w:r>
        <w:rPr>
          <w:noProof/>
        </w:rPr>
        <w:instrText xml:space="preserve"> PAGEREF _Toc201748441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lastRenderedPageBreak/>
        <w:t>3.</w:t>
      </w:r>
      <w:r>
        <w:rPr>
          <w:noProof/>
        </w:rPr>
        <w:tab/>
        <w:t>Railway crossing</w:t>
      </w:r>
      <w:r>
        <w:rPr>
          <w:noProof/>
        </w:rPr>
        <w:tab/>
      </w:r>
      <w:r>
        <w:rPr>
          <w:noProof/>
        </w:rPr>
        <w:fldChar w:fldCharType="begin"/>
      </w:r>
      <w:r>
        <w:rPr>
          <w:noProof/>
        </w:rPr>
        <w:instrText xml:space="preserve"> PAGEREF _Toc201748442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6</w:t>
      </w:r>
      <w:r>
        <w:rPr>
          <w:snapToGrid w:val="0"/>
        </w:rPr>
        <w:t>.</w:t>
      </w:r>
      <w:r>
        <w:rPr>
          <w:snapToGrid w:val="0"/>
        </w:rPr>
        <w:tab/>
      </w:r>
      <w:r>
        <w:t>Schedule 4 amended</w:t>
      </w:r>
      <w:r>
        <w:tab/>
      </w:r>
      <w:r>
        <w:fldChar w:fldCharType="begin"/>
      </w:r>
      <w:r>
        <w:instrText xml:space="preserve"> PAGEREF _Toc201748443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Operators (Powers) Act 1979</w:t>
      </w:r>
    </w:p>
    <w:p>
      <w:pPr>
        <w:pStyle w:val="NameofActReg"/>
      </w:pPr>
      <w:r>
        <w:t>Energy Operators (Electricity Generation and Retail Corporation) (Charges) Amendment By</w:t>
      </w:r>
      <w:r>
        <w:noBreakHyphen/>
        <w:t>laws 2025</w:t>
      </w:r>
    </w:p>
    <w:p>
      <w:pPr>
        <w:pStyle w:val="MadeBy"/>
      </w:pPr>
      <w:r>
        <w:t>Made by the Electricity Generation and Retail Corporation with the approval of the Governor in Executive Council.</w:t>
      </w:r>
    </w:p>
    <w:p>
      <w:pPr>
        <w:pStyle w:val="Heading5"/>
      </w:pPr>
      <w:bookmarkStart w:id="2" w:name="_Toc201748176"/>
      <w:bookmarkStart w:id="3" w:name="_Toc201748420"/>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by-laws</w:t>
      </w:r>
      <w:r>
        <w:t xml:space="preserve"> are the </w:t>
      </w:r>
      <w:r>
        <w:rPr>
          <w:i/>
        </w:rPr>
        <w:t>Energy Operators (Electricity Generation and Retail Corporation) (Charges) Amendment By</w:t>
      </w:r>
      <w:r>
        <w:rPr>
          <w:i/>
        </w:rPr>
        <w:noBreakHyphen/>
        <w:t>laws 2025</w:t>
      </w:r>
      <w:r>
        <w:t>.</w:t>
      </w:r>
    </w:p>
    <w:p>
      <w:pPr>
        <w:pStyle w:val="Heading5"/>
        <w:rPr>
          <w:spacing w:val="-2"/>
        </w:rPr>
      </w:pPr>
      <w:bookmarkStart w:id="5" w:name="_Toc201748177"/>
      <w:bookmarkStart w:id="6" w:name="_Toc20174842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on the WA legislation website;</w:t>
      </w:r>
    </w:p>
    <w:p>
      <w:pPr>
        <w:pStyle w:val="Indenta"/>
      </w:pPr>
      <w:r>
        <w:tab/>
        <w:t>(b)</w:t>
      </w:r>
      <w:r>
        <w:tab/>
        <w:t xml:space="preserve">the rest of the </w:t>
      </w:r>
      <w:r>
        <w:rPr>
          <w:spacing w:val="-2"/>
        </w:rPr>
        <w:t>by-laws</w:t>
      </w:r>
      <w:r>
        <w:t> — on 1 July 2025.</w:t>
      </w:r>
    </w:p>
    <w:p>
      <w:pPr>
        <w:pStyle w:val="Heading5"/>
        <w:rPr>
          <w:snapToGrid w:val="0"/>
        </w:rPr>
      </w:pPr>
      <w:bookmarkStart w:id="7" w:name="_Toc201748178"/>
      <w:bookmarkStart w:id="8" w:name="_Toc201748422"/>
      <w:r>
        <w:rPr>
          <w:rStyle w:val="CharSectno"/>
        </w:rPr>
        <w:t>3</w:t>
      </w:r>
      <w:r>
        <w:rPr>
          <w:snapToGrid w:val="0"/>
        </w:rPr>
        <w:t>.</w:t>
      </w:r>
      <w:r>
        <w:rPr>
          <w:snapToGrid w:val="0"/>
        </w:rPr>
        <w:tab/>
        <w:t>By-laws amended</w:t>
      </w:r>
      <w:bookmarkEnd w:id="7"/>
      <w:bookmarkEnd w:id="8"/>
    </w:p>
    <w:p>
      <w:pPr>
        <w:pStyle w:val="Subsection"/>
      </w:pPr>
      <w:r>
        <w:tab/>
      </w:r>
      <w:r>
        <w:tab/>
        <w:t xml:space="preserve">These </w:t>
      </w:r>
      <w:r>
        <w:rPr>
          <w:spacing w:val="-2"/>
        </w:rPr>
        <w:t>by-laws amend</w:t>
      </w:r>
      <w:r>
        <w:t xml:space="preserve"> the </w:t>
      </w:r>
      <w:r>
        <w:rPr>
          <w:i/>
        </w:rPr>
        <w:t>Energy Operators (Electricity Generation and Retail Corporation) (Charges) By</w:t>
      </w:r>
      <w:r>
        <w:rPr>
          <w:i/>
        </w:rPr>
        <w:noBreakHyphen/>
        <w:t>laws 2006</w:t>
      </w:r>
      <w:r>
        <w:t>.</w:t>
      </w:r>
    </w:p>
    <w:p>
      <w:pPr>
        <w:pStyle w:val="Heading5"/>
        <w:keepLines w:val="0"/>
      </w:pPr>
      <w:bookmarkStart w:id="9" w:name="_Toc201748179"/>
      <w:bookmarkStart w:id="10" w:name="_Toc201748423"/>
      <w:r>
        <w:rPr>
          <w:rStyle w:val="CharSectno"/>
        </w:rPr>
        <w:lastRenderedPageBreak/>
        <w:t>4</w:t>
      </w:r>
      <w:r>
        <w:t>.</w:t>
      </w:r>
      <w:r>
        <w:tab/>
        <w:t>By</w:t>
      </w:r>
      <w:r>
        <w:noBreakHyphen/>
        <w:t>law 9 inserted</w:t>
      </w:r>
      <w:bookmarkEnd w:id="9"/>
      <w:bookmarkEnd w:id="10"/>
    </w:p>
    <w:p>
      <w:pPr>
        <w:pStyle w:val="Subsection"/>
        <w:keepNext/>
        <w:keepLines/>
      </w:pPr>
      <w:r>
        <w:tab/>
      </w:r>
      <w:r>
        <w:tab/>
        <w:t>After by</w:t>
      </w:r>
      <w:r>
        <w:noBreakHyphen/>
        <w:t>law 8 insert:</w:t>
      </w:r>
    </w:p>
    <w:p>
      <w:pPr>
        <w:pStyle w:val="BlankOpen"/>
      </w:pPr>
    </w:p>
    <w:p>
      <w:pPr>
        <w:pStyle w:val="zHeading5"/>
      </w:pPr>
      <w:bookmarkStart w:id="11" w:name="_Toc201748180"/>
      <w:bookmarkStart w:id="12" w:name="_Toc201748424"/>
      <w:r>
        <w:t>9.</w:t>
      </w:r>
      <w:r>
        <w:tab/>
        <w:t>Reduced fee for meter testing</w:t>
      </w:r>
      <w:bookmarkEnd w:id="11"/>
      <w:bookmarkEnd w:id="12"/>
    </w:p>
    <w:p>
      <w:pPr>
        <w:pStyle w:val="zSubsection"/>
        <w:keepNext/>
      </w:pPr>
      <w:r>
        <w:tab/>
        <w:t>(1)</w:t>
      </w:r>
      <w:r>
        <w:tab/>
        <w:t>In this by</w:t>
      </w:r>
      <w:r>
        <w:noBreakHyphen/>
        <w:t xml:space="preserve">law — </w:t>
      </w:r>
    </w:p>
    <w:p>
      <w:pPr>
        <w:pStyle w:val="zDefstart"/>
      </w:pPr>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p>
    <w:p>
      <w:pPr>
        <w:pStyle w:val="zDefstart"/>
      </w:pPr>
      <w:r>
        <w:tab/>
      </w:r>
      <w:r>
        <w:rPr>
          <w:rStyle w:val="CharDefText"/>
        </w:rPr>
        <w:t>eligible individual</w:t>
      </w:r>
      <w:r>
        <w:t xml:space="preserve"> means an individual who satisfies the corporation that the individual —</w:t>
      </w:r>
    </w:p>
    <w:p>
      <w:pPr>
        <w:pStyle w:val="zDefpara"/>
      </w:pPr>
      <w:r>
        <w:tab/>
        <w:t>(a)</w:t>
      </w:r>
      <w:r>
        <w:tab/>
        <w:t>holds either or both of the following cards issued by Centrelink —</w:t>
      </w:r>
    </w:p>
    <w:p>
      <w:pPr>
        <w:pStyle w:val="zDefsubpara"/>
      </w:pPr>
      <w:r>
        <w:tab/>
        <w:t>(i)</w:t>
      </w:r>
      <w:r>
        <w:tab/>
        <w:t>a health care card;</w:t>
      </w:r>
    </w:p>
    <w:p>
      <w:pPr>
        <w:pStyle w:val="zDefsubpara"/>
      </w:pPr>
      <w:r>
        <w:tab/>
        <w:t>(ii)</w:t>
      </w:r>
      <w:r>
        <w:tab/>
        <w:t>a pensioner concession card;</w:t>
      </w:r>
    </w:p>
    <w:p>
      <w:pPr>
        <w:pStyle w:val="zDefpara"/>
      </w:pPr>
      <w:r>
        <w:tab/>
      </w:r>
      <w:r>
        <w:tab/>
        <w:t>or</w:t>
      </w:r>
    </w:p>
    <w:p>
      <w:pPr>
        <w:pStyle w:val="zDefpara"/>
      </w:pPr>
      <w:r>
        <w:tab/>
        <w:t>(b)</w:t>
      </w:r>
      <w:r>
        <w:tab/>
        <w:t xml:space="preserve">holds either or both of the following cards issued by the Department of Veterans’ Affairs of the Commonwealth — </w:t>
      </w:r>
    </w:p>
    <w:p>
      <w:pPr>
        <w:pStyle w:val="zDefsubpara"/>
      </w:pPr>
      <w:r>
        <w:tab/>
        <w:t>(i)</w:t>
      </w:r>
      <w:r>
        <w:tab/>
        <w:t>a gold card;</w:t>
      </w:r>
    </w:p>
    <w:p>
      <w:pPr>
        <w:pStyle w:val="zDefsubpara"/>
      </w:pPr>
      <w:r>
        <w:tab/>
        <w:t>(ii)</w:t>
      </w:r>
      <w:r>
        <w:tab/>
        <w:t>a pensioner concession card;</w:t>
      </w:r>
    </w:p>
    <w:p>
      <w:pPr>
        <w:pStyle w:val="zDefstart"/>
      </w:pPr>
      <w:r>
        <w:tab/>
      </w:r>
      <w:r>
        <w:rPr>
          <w:rStyle w:val="CharDefText"/>
        </w:rPr>
        <w:t>gold card</w:t>
      </w:r>
      <w:r>
        <w:t xml:space="preserve"> has the meaning given in the </w:t>
      </w:r>
      <w:r>
        <w:rPr>
          <w:i/>
          <w:iCs/>
        </w:rPr>
        <w:t>Veterans’ Entitlements Act 1986</w:t>
      </w:r>
      <w:r>
        <w:t xml:space="preserve"> (Commonwealth) section 118P(3).</w:t>
      </w:r>
    </w:p>
    <w:p>
      <w:pPr>
        <w:pStyle w:val="zSubsection"/>
      </w:pPr>
      <w:r>
        <w:tab/>
        <w:t>(2)</w:t>
      </w:r>
      <w:r>
        <w:tab/>
        <w:t>An eligible individual is entitled to pay the reduced meter testing fee specified in Schedule 4 item 4(b).</w:t>
      </w:r>
    </w:p>
    <w:p>
      <w:pPr>
        <w:pStyle w:val="BlankClose"/>
      </w:pPr>
    </w:p>
    <w:p>
      <w:pPr>
        <w:pStyle w:val="Heading5"/>
      </w:pPr>
      <w:bookmarkStart w:id="13" w:name="_Toc201748181"/>
      <w:bookmarkStart w:id="14" w:name="_Toc201748425"/>
      <w:r>
        <w:rPr>
          <w:rStyle w:val="CharSectno"/>
        </w:rPr>
        <w:lastRenderedPageBreak/>
        <w:t>5</w:t>
      </w:r>
      <w:r>
        <w:rPr>
          <w:snapToGrid w:val="0"/>
        </w:rPr>
        <w:t>.</w:t>
      </w:r>
      <w:r>
        <w:rPr>
          <w:snapToGrid w:val="0"/>
        </w:rPr>
        <w:tab/>
      </w:r>
      <w:r>
        <w:t>Schedules 1 and 2 replaced</w:t>
      </w:r>
      <w:bookmarkEnd w:id="13"/>
      <w:bookmarkEnd w:id="14"/>
    </w:p>
    <w:p>
      <w:pPr>
        <w:pStyle w:val="Subsection"/>
        <w:keepNext/>
      </w:pPr>
      <w:r>
        <w:tab/>
      </w:r>
      <w:r>
        <w:tab/>
        <w:t>Delete Schedules 1 and 2 and insert:</w:t>
      </w:r>
    </w:p>
    <w:p>
      <w:pPr>
        <w:pStyle w:val="BlankOpen"/>
      </w:pPr>
    </w:p>
    <w:p>
      <w:pPr>
        <w:pStyle w:val="zyHeading2"/>
      </w:pPr>
      <w:bookmarkStart w:id="15" w:name="_Toc201748182"/>
      <w:bookmarkStart w:id="16" w:name="_Toc201748237"/>
      <w:bookmarkStart w:id="17" w:name="_Toc201748426"/>
      <w:r>
        <w:t>Schedule 1 — Supply charges</w:t>
      </w:r>
      <w:bookmarkEnd w:id="15"/>
      <w:bookmarkEnd w:id="16"/>
      <w:bookmarkEnd w:id="17"/>
    </w:p>
    <w:p>
      <w:pPr>
        <w:pStyle w:val="zyShoulderClause"/>
        <w:keepNext/>
      </w:pPr>
      <w:r>
        <w:t>[bl. 3, 4(1) and 10(1)]</w:t>
      </w:r>
    </w:p>
    <w:p>
      <w:pPr>
        <w:pStyle w:val="zyHeading5"/>
      </w:pPr>
      <w:bookmarkStart w:id="18" w:name="_Toc201748183"/>
      <w:bookmarkStart w:id="19" w:name="_Toc201748427"/>
      <w:r>
        <w:t>1.</w:t>
      </w:r>
      <w:r>
        <w:tab/>
        <w:t>Tariff L1 (general supply — low/medium voltage tariff)</w:t>
      </w:r>
      <w:bookmarkEnd w:id="18"/>
      <w:bookmarkEnd w:id="19"/>
    </w:p>
    <w:p>
      <w:pPr>
        <w:pStyle w:val="zySubsection"/>
      </w:pPr>
      <w:r>
        <w:tab/>
        <w:t>(1)</w:t>
      </w:r>
      <w:r>
        <w:tab/>
        <w:t>Tariff L1 is available for low/medium voltage supply.</w:t>
      </w:r>
    </w:p>
    <w:p>
      <w:pPr>
        <w:pStyle w:val="zySubsection"/>
      </w:pPr>
      <w:r>
        <w:tab/>
        <w:t>(2)</w:t>
      </w:r>
      <w:r>
        <w:tab/>
        <w:t xml:space="preserve">Tariff L1 comprises — </w:t>
      </w:r>
    </w:p>
    <w:p>
      <w:pPr>
        <w:pStyle w:val="zyIndenta"/>
      </w:pPr>
      <w:r>
        <w:tab/>
        <w:t>(a)</w:t>
      </w:r>
      <w:r>
        <w:tab/>
        <w:t>a fixed charge at the rate of $2.0718 per day; and</w:t>
      </w:r>
    </w:p>
    <w:p>
      <w:pPr>
        <w:pStyle w:val="zyIndenta"/>
      </w:pPr>
      <w:r>
        <w:tab/>
        <w:t>(b)</w:t>
      </w:r>
      <w:r>
        <w:tab/>
        <w:t xml:space="preserve">a charge for metered consumption at the rate of — </w:t>
      </w:r>
    </w:p>
    <w:p>
      <w:pPr>
        <w:pStyle w:val="zyIndenti"/>
      </w:pPr>
      <w:r>
        <w:tab/>
        <w:t>(i)</w:t>
      </w:r>
      <w:r>
        <w:tab/>
        <w:t>32.2412 cents per unit for the first 1 650 units per day; and</w:t>
      </w:r>
    </w:p>
    <w:p>
      <w:pPr>
        <w:pStyle w:val="zyIndenti"/>
      </w:pPr>
      <w:r>
        <w:tab/>
        <w:t>(ii)</w:t>
      </w:r>
      <w:r>
        <w:tab/>
        <w:t>36.3508 cents per unit for all units exceeding 1 650 units per day.</w:t>
      </w:r>
    </w:p>
    <w:p>
      <w:pPr>
        <w:pStyle w:val="zySubsection"/>
      </w:pPr>
      <w:r>
        <w:tab/>
        <w:t>(3)</w:t>
      </w:r>
      <w:r>
        <w:tab/>
        <w:t>Tariff L1 is available subject to the condition that the consumer satisfies the corporation that the amount of electricity supplied to the consumer’s premises will be less than 50 MW hours per annum.</w:t>
      </w:r>
    </w:p>
    <w:p>
      <w:pPr>
        <w:pStyle w:val="zyHeading5"/>
      </w:pPr>
      <w:bookmarkStart w:id="20" w:name="_Toc201748184"/>
      <w:bookmarkStart w:id="21" w:name="_Toc201748428"/>
      <w:r>
        <w:t>2.</w:t>
      </w:r>
      <w:r>
        <w:tab/>
        <w:t>Tariff L3 (general supply — low/medium voltage tariff)</w:t>
      </w:r>
      <w:bookmarkEnd w:id="20"/>
      <w:bookmarkEnd w:id="21"/>
      <w:r>
        <w:t xml:space="preserve"> </w:t>
      </w:r>
    </w:p>
    <w:p>
      <w:pPr>
        <w:pStyle w:val="zySubsection"/>
      </w:pPr>
      <w:r>
        <w:tab/>
        <w:t>(1)</w:t>
      </w:r>
      <w:r>
        <w:tab/>
        <w:t>Tariff L3 is available for low/medium voltage supply.</w:t>
      </w:r>
    </w:p>
    <w:p>
      <w:pPr>
        <w:pStyle w:val="zySubsection"/>
        <w:keepNext/>
      </w:pPr>
      <w:r>
        <w:tab/>
        <w:t>(2)</w:t>
      </w:r>
      <w:r>
        <w:tab/>
        <w:t xml:space="preserve">Tariff L3 comprises — </w:t>
      </w:r>
    </w:p>
    <w:p>
      <w:pPr>
        <w:pStyle w:val="zyIndenta"/>
      </w:pPr>
      <w:r>
        <w:tab/>
        <w:t>(a)</w:t>
      </w:r>
      <w:r>
        <w:tab/>
        <w:t>a fixed charge at the rate of $1.8796 per day; and</w:t>
      </w:r>
    </w:p>
    <w:p>
      <w:pPr>
        <w:pStyle w:val="zyIndenta"/>
      </w:pPr>
      <w:r>
        <w:tab/>
        <w:t>(b)</w:t>
      </w:r>
      <w:r>
        <w:tab/>
        <w:t xml:space="preserve">a charge for metered consumption at the rate of — </w:t>
      </w:r>
    </w:p>
    <w:p>
      <w:pPr>
        <w:pStyle w:val="zyIndenti"/>
      </w:pPr>
      <w:r>
        <w:tab/>
        <w:t>(i)</w:t>
      </w:r>
      <w:r>
        <w:tab/>
        <w:t>38.1783</w:t>
      </w:r>
      <w:r>
        <w:rPr>
          <w:szCs w:val="22"/>
        </w:rPr>
        <w:t xml:space="preserve"> </w:t>
      </w:r>
      <w:r>
        <w:t>cents per unit for the first 1 650 units per day; and</w:t>
      </w:r>
    </w:p>
    <w:p>
      <w:pPr>
        <w:pStyle w:val="zyIndenti"/>
      </w:pPr>
      <w:r>
        <w:tab/>
        <w:t>(ii)</w:t>
      </w:r>
      <w:r>
        <w:tab/>
        <w:t>32.3956</w:t>
      </w:r>
      <w:r>
        <w:rPr>
          <w:szCs w:val="22"/>
        </w:rPr>
        <w:t xml:space="preserve"> </w:t>
      </w:r>
      <w:r>
        <w:t>cents per unit for all units exceeding 1 650 units per day.</w:t>
      </w:r>
    </w:p>
    <w:p>
      <w:pPr>
        <w:pStyle w:val="zySubsection"/>
        <w:keepNext/>
        <w:keepLines/>
      </w:pPr>
      <w:r>
        <w:lastRenderedPageBreak/>
        <w:tab/>
        <w:t>(3)</w:t>
      </w:r>
      <w:r>
        <w:tab/>
        <w:t>Tariff L3 is available subject to the condition that the consumer satisfies the corporation that the amount of electricity supplied to the consumer’s premises will be 50 MW hours or more per annum.</w:t>
      </w:r>
    </w:p>
    <w:p>
      <w:pPr>
        <w:pStyle w:val="zyHeading5"/>
      </w:pPr>
      <w:bookmarkStart w:id="22" w:name="_Toc201748185"/>
      <w:bookmarkStart w:id="23" w:name="_Toc201748429"/>
      <w:r>
        <w:t>3.</w:t>
      </w:r>
      <w:r>
        <w:tab/>
        <w:t>Tariff R1 (time</w:t>
      </w:r>
      <w:r>
        <w:noBreakHyphen/>
        <w:t>of</w:t>
      </w:r>
      <w:r>
        <w:noBreakHyphen/>
        <w:t>use tariff — low/medium voltage tariff)</w:t>
      </w:r>
      <w:bookmarkEnd w:id="22"/>
      <w:bookmarkEnd w:id="23"/>
    </w:p>
    <w:p>
      <w:pPr>
        <w:pStyle w:val="zySubsection"/>
      </w:pPr>
      <w:r>
        <w:tab/>
        <w:t>(1)</w:t>
      </w:r>
      <w:r>
        <w:tab/>
        <w:t>Tariff R1 is available for low/medium voltage supply.</w:t>
      </w:r>
    </w:p>
    <w:p>
      <w:pPr>
        <w:pStyle w:val="zySubsection"/>
      </w:pPr>
      <w:r>
        <w:tab/>
        <w:t>(2)</w:t>
      </w:r>
      <w:r>
        <w:tab/>
        <w:t>Tariff R1 comprises —</w:t>
      </w:r>
    </w:p>
    <w:p>
      <w:pPr>
        <w:pStyle w:val="zyIndenta"/>
      </w:pPr>
      <w:r>
        <w:tab/>
        <w:t>(a)</w:t>
      </w:r>
      <w:r>
        <w:tab/>
        <w:t>a fixed charge at the rate of $3.8741 per day; and</w:t>
      </w:r>
    </w:p>
    <w:p>
      <w:pPr>
        <w:pStyle w:val="zyIndenta"/>
      </w:pPr>
      <w:r>
        <w:tab/>
        <w:t>(b)</w:t>
      </w:r>
      <w:r>
        <w:tab/>
        <w:t>an energy charge consisting of — </w:t>
      </w:r>
    </w:p>
    <w:p>
      <w:pPr>
        <w:pStyle w:val="zyIndenti"/>
      </w:pPr>
      <w:r>
        <w:tab/>
        <w:t>(i)</w:t>
      </w:r>
      <w:r>
        <w:tab/>
        <w:t>an on peak energy charge at the rate of 42.0178 cents per unit; and</w:t>
      </w:r>
    </w:p>
    <w:p>
      <w:pPr>
        <w:pStyle w:val="zyIndenti"/>
      </w:pPr>
      <w:r>
        <w:tab/>
        <w:t>(ii)</w:t>
      </w:r>
      <w:r>
        <w:tab/>
        <w:t>an off peak energy charge at the rate of 12.6052 cents per unit.</w:t>
      </w:r>
    </w:p>
    <w:p>
      <w:pPr>
        <w:pStyle w:val="zySubsection"/>
      </w:pPr>
      <w:r>
        <w:tab/>
        <w:t>(3)</w:t>
      </w:r>
      <w:r>
        <w:tab/>
        <w:t>Tariff R1 is available subject to the following conditions —</w:t>
      </w:r>
    </w:p>
    <w:p>
      <w:pPr>
        <w:pStyle w:val="zyIndenta"/>
      </w:pPr>
      <w:r>
        <w:tab/>
        <w:t>(a)</w:t>
      </w:r>
      <w:r>
        <w:tab/>
        <w:t>the consumer agrees to take the tariff for a minimum period of 12 months;</w:t>
      </w:r>
    </w:p>
    <w:p>
      <w:pPr>
        <w:pStyle w:val="zyIndenta"/>
      </w:pPr>
      <w:r>
        <w:tab/>
        <w:t>(b)</w:t>
      </w:r>
      <w:r>
        <w:tab/>
        <w:t>the consumer pays the fee set out in Schedule 4 item 10;</w:t>
      </w:r>
    </w:p>
    <w:p>
      <w:pPr>
        <w:pStyle w:val="zyIndenta"/>
      </w:pPr>
      <w:r>
        <w:tab/>
        <w:t>(c)</w:t>
      </w:r>
      <w:r>
        <w:tab/>
        <w:t>the consumer satisfies the corporation that the amount of electricity supplied to the consumer’s premises will be less than 50 MW hours per annum.</w:t>
      </w:r>
    </w:p>
    <w:p>
      <w:pPr>
        <w:pStyle w:val="zyHeading5"/>
      </w:pPr>
      <w:bookmarkStart w:id="24" w:name="_Toc201748186"/>
      <w:bookmarkStart w:id="25" w:name="_Toc201748430"/>
      <w:r>
        <w:t>4.</w:t>
      </w:r>
      <w:r>
        <w:tab/>
        <w:t>Tariff R3 (time</w:t>
      </w:r>
      <w:r>
        <w:noBreakHyphen/>
        <w:t>of</w:t>
      </w:r>
      <w:r>
        <w:noBreakHyphen/>
        <w:t>use tariff — low/medium voltage tariff)</w:t>
      </w:r>
      <w:bookmarkEnd w:id="24"/>
      <w:bookmarkEnd w:id="25"/>
    </w:p>
    <w:p>
      <w:pPr>
        <w:pStyle w:val="zySubsection"/>
      </w:pPr>
      <w:r>
        <w:tab/>
        <w:t>(1)</w:t>
      </w:r>
      <w:r>
        <w:tab/>
        <w:t>Tariff R3 is available for low/medium voltage supply.</w:t>
      </w:r>
    </w:p>
    <w:p>
      <w:pPr>
        <w:pStyle w:val="zySubsection"/>
      </w:pPr>
      <w:r>
        <w:tab/>
        <w:t>(2)</w:t>
      </w:r>
      <w:r>
        <w:tab/>
        <w:t>Tariff R3 comprises —</w:t>
      </w:r>
    </w:p>
    <w:p>
      <w:pPr>
        <w:pStyle w:val="zyIndenta"/>
      </w:pPr>
      <w:r>
        <w:tab/>
        <w:t>(a)</w:t>
      </w:r>
      <w:r>
        <w:tab/>
        <w:t xml:space="preserve">a fixed charge at the rate of </w:t>
      </w:r>
      <w:r>
        <w:rPr>
          <w:szCs w:val="22"/>
        </w:rPr>
        <w:t>$4.0735</w:t>
      </w:r>
      <w:r>
        <w:t xml:space="preserve"> per day; and</w:t>
      </w:r>
    </w:p>
    <w:p>
      <w:pPr>
        <w:pStyle w:val="zyIndenta"/>
        <w:keepNext/>
      </w:pPr>
      <w:r>
        <w:tab/>
        <w:t>(b)</w:t>
      </w:r>
      <w:r>
        <w:tab/>
        <w:t>an energy charge consisting of — </w:t>
      </w:r>
    </w:p>
    <w:p>
      <w:pPr>
        <w:pStyle w:val="zyIndenti"/>
      </w:pPr>
      <w:r>
        <w:tab/>
        <w:t>(i)</w:t>
      </w:r>
      <w:r>
        <w:tab/>
        <w:t>an on peak energy charge at the rate of 59.4193</w:t>
      </w:r>
      <w:r>
        <w:rPr>
          <w:szCs w:val="22"/>
        </w:rPr>
        <w:t xml:space="preserve"> </w:t>
      </w:r>
      <w:r>
        <w:t>cents per unit; and</w:t>
      </w:r>
    </w:p>
    <w:p>
      <w:pPr>
        <w:pStyle w:val="zyIndenti"/>
      </w:pPr>
      <w:r>
        <w:tab/>
        <w:t>(ii)</w:t>
      </w:r>
      <w:r>
        <w:tab/>
        <w:t>an off peak energy charge at the rate of 17.8496</w:t>
      </w:r>
      <w:r>
        <w:rPr>
          <w:szCs w:val="22"/>
        </w:rPr>
        <w:t xml:space="preserve"> </w:t>
      </w:r>
      <w:r>
        <w:t>cents per unit.</w:t>
      </w:r>
    </w:p>
    <w:p>
      <w:pPr>
        <w:pStyle w:val="zySubsection"/>
      </w:pPr>
      <w:r>
        <w:lastRenderedPageBreak/>
        <w:tab/>
        <w:t>(3)</w:t>
      </w:r>
      <w:r>
        <w:tab/>
        <w:t>Tariff R3 is available subject to the following conditions —</w:t>
      </w:r>
    </w:p>
    <w:p>
      <w:pPr>
        <w:pStyle w:val="zyIndenta"/>
      </w:pPr>
      <w:r>
        <w:tab/>
        <w:t>(a)</w:t>
      </w:r>
      <w:r>
        <w:tab/>
        <w:t>the consumer agrees to take the tariff for a minimum period of 12 months;</w:t>
      </w:r>
    </w:p>
    <w:p>
      <w:pPr>
        <w:pStyle w:val="zyIndenta"/>
      </w:pPr>
      <w:r>
        <w:tab/>
        <w:t>(b)</w:t>
      </w:r>
      <w:r>
        <w:tab/>
        <w:t>the consumer pays the fee set out in Schedule 4 item 10;</w:t>
      </w:r>
    </w:p>
    <w:p>
      <w:pPr>
        <w:pStyle w:val="zyIndenta"/>
      </w:pPr>
      <w:r>
        <w:tab/>
        <w:t>(c)</w:t>
      </w:r>
      <w:r>
        <w:tab/>
        <w:t>the consumer satisfies the corporation that the amount of electricity supplied to the consumer’s premises will be 50 MW hours or more per annum.</w:t>
      </w:r>
    </w:p>
    <w:p>
      <w:pPr>
        <w:pStyle w:val="zyHeading5"/>
      </w:pPr>
      <w:bookmarkStart w:id="26" w:name="_Toc201748187"/>
      <w:bookmarkStart w:id="27" w:name="_Toc201748431"/>
      <w:r>
        <w:t>5.</w:t>
      </w:r>
      <w:r>
        <w:tab/>
        <w:t>Standby charges</w:t>
      </w:r>
      <w:bookmarkEnd w:id="26"/>
      <w:bookmarkEnd w:id="27"/>
    </w:p>
    <w:p>
      <w:pPr>
        <w:pStyle w:val="zySubsection"/>
      </w:pPr>
      <w:r>
        <w:tab/>
        <w:t>(1)</w:t>
      </w:r>
      <w:r>
        <w:tab/>
        <w:t>Standby charges are applicable to consumers with their own generation and supplied on Tariff L1, L3, R1 or R3 and are payable in addition to those tariffs.</w:t>
      </w:r>
    </w:p>
    <w:p>
      <w:pPr>
        <w:pStyle w:val="zySubsection"/>
      </w:pPr>
      <w:r>
        <w:tab/>
        <w:t>(2)</w:t>
      </w:r>
      <w:r>
        <w:tab/>
        <w:t>In the case of Tariff L1, L3, R1 or R3, the standby charge is 5.7200 cents per day per kW based on the difference between total half</w:t>
      </w:r>
      <w:r>
        <w:noBreakHyphen/>
        <w:t>hourly maximum demand and normal half</w:t>
      </w:r>
      <w:r>
        <w:noBreakHyphen/>
        <w:t>hourly maximum demand.</w:t>
      </w:r>
    </w:p>
    <w:p>
      <w:pPr>
        <w:pStyle w:val="zySubsection"/>
      </w:pPr>
      <w:r>
        <w:tab/>
        <w:t>(3)</w:t>
      </w:r>
      <w:r>
        <w:tab/>
        <w:t>The normal half</w:t>
      </w:r>
      <w:r>
        <w:noBreakHyphen/>
        <w:t>hourly maximum demand must be assessed by the corporation and based on loading normally supplied from the corporation’s supply.</w:t>
      </w:r>
    </w:p>
    <w:p>
      <w:pPr>
        <w:pStyle w:val="zySubsection"/>
      </w:pPr>
      <w:r>
        <w:tab/>
        <w:t>(4)</w:t>
      </w:r>
      <w:r>
        <w:tab/>
        <w:t>Notwithstanding the corporation’s assessment, in any accounting period the normal half</w:t>
      </w:r>
      <w:r>
        <w:noBreakHyphen/>
        <w:t>hourly maximum demand is taken to be not less than — </w:t>
      </w:r>
    </w:p>
    <w:p>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pPr>
        <w:pStyle w:val="zySubsection"/>
      </w:pPr>
      <w:r>
        <w:tab/>
        <w:t>(5)</w:t>
      </w:r>
      <w:r>
        <w:tab/>
        <w:t>The total half</w:t>
      </w:r>
      <w:r>
        <w:noBreakHyphen/>
        <w:t>hourly maximum demand must be assessed by the corporation as the consumer’s expected half</w:t>
      </w:r>
      <w:r>
        <w:noBreakHyphen/>
        <w:t>hourly minimum demand on the corporation’s system without the consumer’s generation equipment in operation.</w:t>
      </w:r>
    </w:p>
    <w:p>
      <w:pPr>
        <w:pStyle w:val="zySubsection"/>
      </w:pPr>
      <w:r>
        <w:tab/>
        <w:t>(6)</w:t>
      </w:r>
      <w:r>
        <w:tab/>
        <w:t>The difference between total half</w:t>
      </w:r>
      <w:r>
        <w:noBreakHyphen/>
        <w:t>hourly maximum demand and normal half</w:t>
      </w:r>
      <w:r>
        <w:noBreakHyphen/>
        <w:t>hourly maximum demand must not exceed —</w:t>
      </w:r>
    </w:p>
    <w:p>
      <w:pPr>
        <w:pStyle w:val="zyIndenta"/>
      </w:pPr>
      <w:r>
        <w:tab/>
        <w:t>(a)</w:t>
      </w:r>
      <w:r>
        <w:tab/>
        <w:t>the capacity of the consumer’s generation equipment; or</w:t>
      </w:r>
    </w:p>
    <w:p>
      <w:pPr>
        <w:pStyle w:val="zyIndenta"/>
      </w:pPr>
      <w:r>
        <w:lastRenderedPageBreak/>
        <w:tab/>
        <w:t>(b)</w:t>
      </w:r>
      <w:r>
        <w:tab/>
        <w:t>the expected maximum loading of such generation equipment, as assessed by the corporation.</w:t>
      </w:r>
    </w:p>
    <w:p>
      <w:pPr>
        <w:pStyle w:val="zySubsection"/>
        <w:keepNext/>
      </w:pPr>
      <w:r>
        <w:tab/>
        <w:t>(7)</w:t>
      </w:r>
      <w:r>
        <w:tab/>
        <w:t xml:space="preserve">The provision of a standby service is subject to the following conditions — </w:t>
      </w:r>
    </w:p>
    <w:p>
      <w:pPr>
        <w:pStyle w:val="zyIndenta"/>
      </w:pPr>
      <w:r>
        <w:tab/>
        <w:t>(a)</w:t>
      </w:r>
      <w:r>
        <w:tab/>
        <w:t>the consumer must pay for the cost of all additional mains and equipment necessary to provide the standby service;</w:t>
      </w:r>
    </w:p>
    <w:p>
      <w:pPr>
        <w:pStyle w:val="zyIndenta"/>
      </w:pPr>
      <w:r>
        <w:tab/>
        <w:t>(b)</w:t>
      </w:r>
      <w:r>
        <w:tab/>
        <w:t>the standby service agreement must be for a minimum period of 12 months;</w:t>
      </w:r>
    </w:p>
    <w:p>
      <w:pPr>
        <w:pStyle w:val="zyIndenta"/>
      </w:pPr>
      <w:r>
        <w:tab/>
        <w:t>(c)</w:t>
      </w:r>
      <w:r>
        <w:tab/>
        <w:t>the consumer must give 6 months’ notice in writing to the corporation of intention to terminate the standby service agreement.</w:t>
      </w:r>
    </w:p>
    <w:p>
      <w:pPr>
        <w:pStyle w:val="zyHeading5"/>
      </w:pPr>
      <w:bookmarkStart w:id="28" w:name="_Toc201748188"/>
      <w:bookmarkStart w:id="29" w:name="_Toc201748432"/>
      <w:r>
        <w:t>6.</w:t>
      </w:r>
      <w:r>
        <w:tab/>
        <w:t>Tariff A1 (residential tariff)</w:t>
      </w:r>
      <w:bookmarkEnd w:id="28"/>
      <w:bookmarkEnd w:id="29"/>
    </w:p>
    <w:p>
      <w:pPr>
        <w:pStyle w:val="zySubsection"/>
      </w:pPr>
      <w:r>
        <w:tab/>
        <w:t>(1)</w:t>
      </w:r>
      <w:r>
        <w:tab/>
        <w:t>Tariff A1 is available for residential use only.</w:t>
      </w:r>
    </w:p>
    <w:p>
      <w:pPr>
        <w:pStyle w:val="zySubsection"/>
      </w:pPr>
      <w:r>
        <w:tab/>
        <w:t>(2)</w:t>
      </w:r>
      <w:r>
        <w:tab/>
        <w:t xml:space="preserve">Tariff A1 comprises — </w:t>
      </w:r>
    </w:p>
    <w:p>
      <w:pPr>
        <w:pStyle w:val="zyIndenta"/>
      </w:pPr>
      <w:r>
        <w:tab/>
        <w:t>(a)</w:t>
      </w:r>
      <w:r>
        <w:tab/>
        <w:t>a fixed charge at the rate of $1.1605 per day or, for multiple dwellings supplied through 1 metered supply point, a fixed charge at the rate of —</w:t>
      </w:r>
    </w:p>
    <w:p>
      <w:pPr>
        <w:pStyle w:val="zyIndenti"/>
      </w:pPr>
      <w:r>
        <w:tab/>
        <w:t>(i)</w:t>
      </w:r>
      <w:r>
        <w:tab/>
        <w:t>$1.1605 per day for the first dwelling; and</w:t>
      </w:r>
    </w:p>
    <w:p>
      <w:pPr>
        <w:pStyle w:val="zyIndenti"/>
      </w:pPr>
      <w:r>
        <w:tab/>
        <w:t>(ii)</w:t>
      </w:r>
      <w:r>
        <w:tab/>
        <w:t>46.1412 cents per day for each additional dwelling;</w:t>
      </w:r>
    </w:p>
    <w:p>
      <w:pPr>
        <w:pStyle w:val="zyIndenta"/>
      </w:pPr>
      <w:r>
        <w:tab/>
      </w:r>
      <w:r>
        <w:tab/>
        <w:t>and</w:t>
      </w:r>
    </w:p>
    <w:p>
      <w:pPr>
        <w:pStyle w:val="zyIndenta"/>
      </w:pPr>
      <w:r>
        <w:tab/>
        <w:t>(b)</w:t>
      </w:r>
      <w:r>
        <w:tab/>
        <w:t>a charge for metered consumption at the rate of 32.3719 cents per unit.</w:t>
      </w:r>
    </w:p>
    <w:p>
      <w:pPr>
        <w:pStyle w:val="zyHeading5"/>
      </w:pPr>
      <w:bookmarkStart w:id="30" w:name="_Toc201748189"/>
      <w:bookmarkStart w:id="31" w:name="_Toc201748433"/>
      <w:r>
        <w:t>7.</w:t>
      </w:r>
      <w:r>
        <w:tab/>
        <w:t>Tariff B1 (residential water heating tariff)</w:t>
      </w:r>
      <w:bookmarkEnd w:id="30"/>
      <w:bookmarkEnd w:id="31"/>
    </w:p>
    <w:p>
      <w:pPr>
        <w:pStyle w:val="zySubsection"/>
      </w:pPr>
      <w:r>
        <w:tab/>
        <w:t>(1)</w:t>
      </w:r>
      <w:r>
        <w:tab/>
        <w:t>Tariff B1 is available for residential water heating during a 6 hour period between the hours of 11 pm and 6 am for installations approved by the corporation. Other single phase hardwired appliances may be connected in conjunction with the water heater.</w:t>
      </w:r>
    </w:p>
    <w:p>
      <w:pPr>
        <w:pStyle w:val="zySubsection"/>
        <w:keepNext/>
        <w:keepLines/>
      </w:pPr>
      <w:r>
        <w:lastRenderedPageBreak/>
        <w:tab/>
        <w:t>(2)</w:t>
      </w:r>
      <w:r>
        <w:tab/>
        <w:t xml:space="preserve">Tariff B1 comprises — </w:t>
      </w:r>
    </w:p>
    <w:p>
      <w:pPr>
        <w:pStyle w:val="zyIndenta"/>
      </w:pPr>
      <w:r>
        <w:tab/>
        <w:t>(a)</w:t>
      </w:r>
      <w:r>
        <w:tab/>
        <w:t>a fixed charge at the rate of 24.4511 cents per day or, for multiple dwellings supplied through 1 metered supply point, a fixed charge at the rate of 24.4511 cents per day for each dwelling; and</w:t>
      </w:r>
    </w:p>
    <w:p>
      <w:pPr>
        <w:pStyle w:val="zyIndenta"/>
      </w:pPr>
      <w:r>
        <w:tab/>
        <w:t>(b)</w:t>
      </w:r>
      <w:r>
        <w:tab/>
        <w:t>a charge for metered consumption at the rate of 13.5078 cents per unit.</w:t>
      </w:r>
    </w:p>
    <w:p>
      <w:pPr>
        <w:pStyle w:val="zyHeading5"/>
      </w:pPr>
      <w:bookmarkStart w:id="32" w:name="_Toc201748190"/>
      <w:bookmarkStart w:id="33" w:name="_Toc201748434"/>
      <w:r>
        <w:t>8.</w:t>
      </w:r>
      <w:r>
        <w:tab/>
        <w:t>Tariff C1 (special community service tariff)</w:t>
      </w:r>
      <w:bookmarkEnd w:id="32"/>
      <w:bookmarkEnd w:id="33"/>
    </w:p>
    <w:p>
      <w:pPr>
        <w:pStyle w:val="zySubsection"/>
      </w:pPr>
      <w:r>
        <w:tab/>
        <w:t>(1)</w:t>
      </w:r>
      <w:r>
        <w:tab/>
        <w:t>Tariff C1 is available for voluntary and charitable organisations, subject to the conditions listed in subclause (3).</w:t>
      </w:r>
    </w:p>
    <w:p>
      <w:pPr>
        <w:pStyle w:val="zySubsection"/>
      </w:pPr>
      <w:r>
        <w:tab/>
        <w:t>(2)</w:t>
      </w:r>
      <w:r>
        <w:tab/>
        <w:t xml:space="preserve">Tariff C1 comprises — </w:t>
      </w:r>
    </w:p>
    <w:p>
      <w:pPr>
        <w:pStyle w:val="zyIndenta"/>
      </w:pPr>
      <w:r>
        <w:tab/>
        <w:t>(a)</w:t>
      </w:r>
      <w:r>
        <w:tab/>
        <w:t>a fixed charge at the rate of $1.1200 per day; and</w:t>
      </w:r>
    </w:p>
    <w:p>
      <w:pPr>
        <w:pStyle w:val="zyIndenta"/>
      </w:pPr>
      <w:r>
        <w:tab/>
        <w:t>(b)</w:t>
      </w:r>
      <w:r>
        <w:tab/>
        <w:t xml:space="preserve">a charge for metered consumption at the rate of — </w:t>
      </w:r>
    </w:p>
    <w:p>
      <w:pPr>
        <w:pStyle w:val="zyIndenti"/>
      </w:pPr>
      <w:r>
        <w:tab/>
        <w:t>(i)</w:t>
      </w:r>
      <w:r>
        <w:tab/>
        <w:t>26.1643 cents per unit for the first 20 units per day; and</w:t>
      </w:r>
    </w:p>
    <w:p>
      <w:pPr>
        <w:pStyle w:val="zyIndenti"/>
      </w:pPr>
      <w:r>
        <w:tab/>
        <w:t>(ii)</w:t>
      </w:r>
      <w:r>
        <w:tab/>
        <w:t>27.9156 cents per unit for the next 1 630 units per day; and</w:t>
      </w:r>
    </w:p>
    <w:p>
      <w:pPr>
        <w:pStyle w:val="zyIndenti"/>
      </w:pPr>
      <w:r>
        <w:tab/>
        <w:t>(iii)</w:t>
      </w:r>
      <w:r>
        <w:tab/>
        <w:t>26.6273 cents per unit for all units exceeding 1 650 units per day.</w:t>
      </w:r>
    </w:p>
    <w:p>
      <w:pPr>
        <w:pStyle w:val="zySubsection"/>
      </w:pPr>
      <w:r>
        <w:tab/>
        <w:t>(3)</w:t>
      </w:r>
      <w:r>
        <w:tab/>
        <w:t xml:space="preserve">Tariff C1 is available subject to the following conditions — </w:t>
      </w:r>
    </w:p>
    <w:p>
      <w:pPr>
        <w:pStyle w:val="zyIndenta"/>
      </w:pPr>
      <w:r>
        <w:tab/>
        <w:t>(a)</w:t>
      </w:r>
      <w:r>
        <w:tab/>
        <w:t>the consumer must be a direct customer of the corporation;</w:t>
      </w:r>
    </w:p>
    <w:p>
      <w:pPr>
        <w:pStyle w:val="zyIndenta"/>
      </w:pPr>
      <w:r>
        <w:tab/>
        <w:t>(b)</w:t>
      </w:r>
      <w:r>
        <w:tab/>
        <w:t>the consumer must be a voluntary, non</w:t>
      </w:r>
      <w:r>
        <w:noBreakHyphen/>
        <w:t>profit making organisation;</w:t>
      </w:r>
    </w:p>
    <w:p>
      <w:pPr>
        <w:pStyle w:val="zyIndenta"/>
      </w:pPr>
      <w:r>
        <w:tab/>
        <w:t>(c)</w:t>
      </w:r>
      <w:r>
        <w:tab/>
        <w:t xml:space="preserve">the consumer must be endorsed as exempt from income tax under the </w:t>
      </w:r>
      <w:r>
        <w:rPr>
          <w:i/>
        </w:rPr>
        <w:t>Income Tax Assessment Act 1997</w:t>
      </w:r>
      <w:r>
        <w:rPr>
          <w:iCs/>
        </w:rPr>
        <w:t xml:space="preserve"> </w:t>
      </w:r>
      <w:r>
        <w:t>(Commonwealth) Subdivision 50</w:t>
      </w:r>
      <w:r>
        <w:noBreakHyphen/>
        <w:t>B;</w:t>
      </w:r>
    </w:p>
    <w:p>
      <w:pPr>
        <w:pStyle w:val="zyIndenta"/>
        <w:keepLines/>
      </w:pPr>
      <w:r>
        <w:tab/>
        <w:t>(d)</w:t>
      </w:r>
      <w:r>
        <w:tab/>
        <w:t>the consumer must provide a public service, which is available to any member of the public without discrimination;</w:t>
      </w:r>
    </w:p>
    <w:p>
      <w:pPr>
        <w:pStyle w:val="zyIndenta"/>
      </w:pPr>
      <w:r>
        <w:lastRenderedPageBreak/>
        <w:tab/>
        <w:t>(e)</w:t>
      </w:r>
      <w:r>
        <w:tab/>
        <w:t>the consumer must not be a Commonwealth, State or local government department, instrumentality or agency;</w:t>
      </w:r>
    </w:p>
    <w:p>
      <w:pPr>
        <w:pStyle w:val="zyIndenta"/>
      </w:pPr>
      <w:r>
        <w:tab/>
        <w:t>(f)</w:t>
      </w:r>
      <w:r>
        <w:tab/>
        <w:t>the consumer must not receive the major part of its funding from any entity mentioned in paragraph (e).</w:t>
      </w:r>
    </w:p>
    <w:p>
      <w:pPr>
        <w:pStyle w:val="z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zyHeading5"/>
      </w:pPr>
      <w:bookmarkStart w:id="34" w:name="_Toc201748191"/>
      <w:bookmarkStart w:id="35" w:name="_Toc201748435"/>
      <w:r>
        <w:t>9.</w:t>
      </w:r>
      <w:r>
        <w:tab/>
        <w:t>Tariff D1 (special tariff for certain premises)</w:t>
      </w:r>
      <w:bookmarkEnd w:id="34"/>
      <w:bookmarkEnd w:id="35"/>
    </w:p>
    <w:p>
      <w:pPr>
        <w:pStyle w:val="z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zySubsection"/>
      </w:pPr>
      <w:r>
        <w:tab/>
        <w:t>(2)</w:t>
      </w:r>
      <w:r>
        <w:tab/>
        <w:t xml:space="preserve">Tariff D1 comprises — </w:t>
      </w:r>
    </w:p>
    <w:p>
      <w:pPr>
        <w:pStyle w:val="zyIndenta"/>
      </w:pPr>
      <w:r>
        <w:tab/>
        <w:t>(a)</w:t>
      </w:r>
      <w:r>
        <w:tab/>
        <w:t>a fixed charge at the rate of $1.1045 per day; and</w:t>
      </w:r>
    </w:p>
    <w:p>
      <w:pPr>
        <w:pStyle w:val="zyIndenta"/>
      </w:pPr>
      <w:r>
        <w:tab/>
        <w:t>(b)</w:t>
      </w:r>
      <w:r>
        <w:tab/>
        <w:t>if under subclause (3) there is taken to be more than 1 equivalent domestic residence in the premises, a charge of 40.9524 cents per day for each equivalent domestic residence except the first that is taken to be in the premises; and</w:t>
      </w:r>
    </w:p>
    <w:p>
      <w:pPr>
        <w:pStyle w:val="zyIndenta"/>
      </w:pPr>
      <w:r>
        <w:tab/>
        <w:t>(c)</w:t>
      </w:r>
      <w:r>
        <w:tab/>
        <w:t>a charge for metered consumption at the rate of 28.0643 cents per unit.</w:t>
      </w:r>
    </w:p>
    <w:p>
      <w:pPr>
        <w:pStyle w:val="zySubsection"/>
      </w:pPr>
      <w:r>
        <w:tab/>
        <w:t>(3)</w:t>
      </w:r>
      <w:r>
        <w:tab/>
        <w:t>The number of equivalent domestic residences taken to be in particular premises is ascertained by dividing the facility’s total bed capacity by 5 and, where the quotient is not a whole number, by increasing it to the next highest whole number.</w:t>
      </w:r>
    </w:p>
    <w:p>
      <w:pPr>
        <w:pStyle w:val="zyHeading5"/>
      </w:pPr>
      <w:bookmarkStart w:id="36" w:name="_Toc201748192"/>
      <w:bookmarkStart w:id="37" w:name="_Toc201748436"/>
      <w:r>
        <w:t>10.</w:t>
      </w:r>
      <w:r>
        <w:tab/>
        <w:t>Tariff K1 (general supply with residential tariff)</w:t>
      </w:r>
      <w:bookmarkEnd w:id="36"/>
      <w:bookmarkEnd w:id="37"/>
    </w:p>
    <w:p>
      <w:pPr>
        <w:pStyle w:val="zySubsection"/>
      </w:pPr>
      <w:r>
        <w:tab/>
        <w:t>(1)</w:t>
      </w:r>
      <w:r>
        <w:tab/>
        <w:t>Tariff K1 is available for premises where the circuit wiring is not separate and the electricity is used partly for general purposes and partly for residential purposes.</w:t>
      </w:r>
    </w:p>
    <w:p>
      <w:pPr>
        <w:pStyle w:val="zySubsection"/>
        <w:keepNext/>
      </w:pPr>
      <w:r>
        <w:lastRenderedPageBreak/>
        <w:tab/>
        <w:t>(2)</w:t>
      </w:r>
      <w:r>
        <w:tab/>
        <w:t xml:space="preserve">Tariff K1 comprises — </w:t>
      </w:r>
    </w:p>
    <w:p>
      <w:pPr>
        <w:pStyle w:val="zyIndenta"/>
      </w:pPr>
      <w:r>
        <w:tab/>
        <w:t>(a)</w:t>
      </w:r>
      <w:r>
        <w:tab/>
        <w:t>a fixed charge at the rate of $2.0478 per day; and</w:t>
      </w:r>
    </w:p>
    <w:p>
      <w:pPr>
        <w:pStyle w:val="zyIndenta"/>
      </w:pPr>
      <w:r>
        <w:tab/>
        <w:t>(b)</w:t>
      </w:r>
      <w:r>
        <w:tab/>
        <w:t>a charge for metered consumption at the rate of —</w:t>
      </w:r>
    </w:p>
    <w:p>
      <w:pPr>
        <w:pStyle w:val="zyIndenti"/>
      </w:pPr>
      <w:r>
        <w:tab/>
        <w:t>(i)</w:t>
      </w:r>
      <w:r>
        <w:tab/>
        <w:t>33.8181 cents per unit for the first 20 units per day; and</w:t>
      </w:r>
    </w:p>
    <w:p>
      <w:pPr>
        <w:pStyle w:val="zyIndenti"/>
      </w:pPr>
      <w:r>
        <w:tab/>
        <w:t>(ii)</w:t>
      </w:r>
      <w:r>
        <w:tab/>
        <w:t>31.8691 cents per unit for the next 1 630 units per day; and</w:t>
      </w:r>
    </w:p>
    <w:p>
      <w:pPr>
        <w:pStyle w:val="zyIndenti"/>
      </w:pPr>
      <w:r>
        <w:tab/>
        <w:t>(iii)</w:t>
      </w:r>
      <w:r>
        <w:tab/>
        <w:t>35.9313 cents per unit for all units exceeding 1 650 units per day.</w:t>
      </w:r>
    </w:p>
    <w:p>
      <w:pPr>
        <w:pStyle w:val="zyHeading2"/>
      </w:pPr>
      <w:bookmarkStart w:id="38" w:name="_Toc201748193"/>
      <w:bookmarkStart w:id="39" w:name="_Toc201748248"/>
      <w:bookmarkStart w:id="40" w:name="_Toc201748437"/>
      <w:r>
        <w:t>Schedule 2 — Unmetered supply</w:t>
      </w:r>
      <w:bookmarkEnd w:id="38"/>
      <w:bookmarkEnd w:id="39"/>
      <w:bookmarkEnd w:id="40"/>
    </w:p>
    <w:p>
      <w:pPr>
        <w:pStyle w:val="zyShoulderClause"/>
      </w:pPr>
      <w:r>
        <w:t>[bl. 4(2) and (3)]</w:t>
      </w:r>
    </w:p>
    <w:p>
      <w:pPr>
        <w:pStyle w:val="zyHeading3"/>
        <w:spacing w:after="120"/>
      </w:pPr>
      <w:bookmarkStart w:id="41" w:name="_Toc201748194"/>
      <w:bookmarkStart w:id="42" w:name="_Toc201748249"/>
      <w:bookmarkStart w:id="43" w:name="_Toc201748438"/>
      <w:r>
        <w:t>Division 1</w:t>
      </w:r>
      <w:r>
        <w:rPr>
          <w:b w:val="0"/>
        </w:rPr>
        <w:t> — </w:t>
      </w:r>
      <w:r>
        <w:t>Street lighting</w:t>
      </w:r>
      <w:bookmarkEnd w:id="41"/>
      <w:bookmarkEnd w:id="42"/>
      <w:bookmarkEnd w:id="43"/>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trPr>
          <w:cantSplit/>
          <w:tblHeader/>
        </w:trPr>
        <w:tc>
          <w:tcPr>
            <w:tcW w:w="567" w:type="dxa"/>
            <w:tcBorders>
              <w:top w:val="single" w:sz="4" w:space="0" w:color="auto"/>
              <w:bottom w:val="single" w:sz="4" w:space="0" w:color="auto"/>
            </w:tcBorders>
            <w:noWrap/>
          </w:tcPr>
          <w:p>
            <w:pPr>
              <w:pStyle w:val="zyTableNAm"/>
            </w:pPr>
            <w:r>
              <w:rPr>
                <w:b/>
                <w:bCs/>
                <w:sz w:val="16"/>
                <w:szCs w:val="16"/>
              </w:rPr>
              <w:t>Item</w:t>
            </w:r>
          </w:p>
        </w:tc>
        <w:tc>
          <w:tcPr>
            <w:tcW w:w="851" w:type="dxa"/>
            <w:gridSpan w:val="2"/>
            <w:tcBorders>
              <w:top w:val="single" w:sz="4" w:space="0" w:color="auto"/>
              <w:bottom w:val="single" w:sz="4" w:space="0" w:color="auto"/>
            </w:tcBorders>
            <w:noWrap/>
          </w:tcPr>
          <w:p>
            <w:pPr>
              <w:pStyle w:val="zyTableNAm"/>
            </w:pPr>
            <w:r>
              <w:rPr>
                <w:b/>
                <w:bCs/>
                <w:sz w:val="16"/>
                <w:szCs w:val="16"/>
              </w:rPr>
              <w:t>Wattage</w:t>
            </w:r>
          </w:p>
        </w:tc>
        <w:tc>
          <w:tcPr>
            <w:tcW w:w="1142" w:type="dxa"/>
            <w:tcBorders>
              <w:top w:val="single" w:sz="4" w:space="0" w:color="auto"/>
              <w:bottom w:val="single" w:sz="4" w:space="0" w:color="auto"/>
            </w:tcBorders>
            <w:noWrap/>
          </w:tcPr>
          <w:p>
            <w:pPr>
              <w:pStyle w:val="zyTableNAm"/>
            </w:pPr>
            <w:r>
              <w:rPr>
                <w:b/>
                <w:bCs/>
                <w:sz w:val="16"/>
                <w:szCs w:val="16"/>
              </w:rPr>
              <w:t>Type</w:t>
            </w:r>
          </w:p>
        </w:tc>
        <w:tc>
          <w:tcPr>
            <w:tcW w:w="1362" w:type="dxa"/>
            <w:gridSpan w:val="3"/>
            <w:tcBorders>
              <w:top w:val="single" w:sz="4" w:space="0" w:color="auto"/>
              <w:bottom w:val="single" w:sz="4" w:space="0" w:color="auto"/>
            </w:tcBorders>
            <w:noWrap/>
          </w:tcPr>
          <w:p>
            <w:pPr>
              <w:pStyle w:val="z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noWrap/>
          </w:tcPr>
          <w:p>
            <w:pPr>
              <w:pStyle w:val="z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noWrap/>
          </w:tcPr>
          <w:p>
            <w:pPr>
              <w:pStyle w:val="zyTableNAm"/>
            </w:pPr>
            <w:r>
              <w:rPr>
                <w:b/>
                <w:bCs/>
                <w:spacing w:val="-8"/>
                <w:sz w:val="16"/>
                <w:szCs w:val="16"/>
              </w:rPr>
              <w:t>Dawn Switch</w:t>
            </w:r>
            <w:r>
              <w:rPr>
                <w:b/>
                <w:bCs/>
                <w:spacing w:val="-8"/>
                <w:sz w:val="16"/>
                <w:szCs w:val="16"/>
              </w:rPr>
              <w:noBreakHyphen/>
              <w:t>off cents per day</w:t>
            </w:r>
          </w:p>
        </w:tc>
      </w:tr>
      <w:tr>
        <w:trPr>
          <w:cantSplit/>
        </w:trPr>
        <w:tc>
          <w:tcPr>
            <w:tcW w:w="6804" w:type="dxa"/>
            <w:gridSpan w:val="9"/>
            <w:noWrap/>
          </w:tcPr>
          <w:p>
            <w:pPr>
              <w:pStyle w:val="zyTableNAm"/>
            </w:pPr>
            <w:r>
              <w:rPr>
                <w:b/>
                <w:i/>
                <w:iCs/>
                <w:sz w:val="16"/>
                <w:szCs w:val="16"/>
              </w:rPr>
              <w:t>Street lighting on current offer and for existing services</w:t>
            </w:r>
          </w:p>
        </w:tc>
      </w:tr>
      <w:tr>
        <w:trPr>
          <w:cantSplit/>
        </w:trPr>
        <w:tc>
          <w:tcPr>
            <w:tcW w:w="567" w:type="dxa"/>
            <w:noWrap/>
          </w:tcPr>
          <w:p>
            <w:pPr>
              <w:pStyle w:val="zyTableNAm"/>
              <w:rPr>
                <w:sz w:val="18"/>
                <w:szCs w:val="18"/>
              </w:rPr>
            </w:pPr>
            <w:r>
              <w:rPr>
                <w:sz w:val="18"/>
                <w:szCs w:val="18"/>
              </w:rPr>
              <w:t>Z.01</w:t>
            </w:r>
          </w:p>
        </w:tc>
        <w:tc>
          <w:tcPr>
            <w:tcW w:w="709" w:type="dxa"/>
            <w:noWrap/>
          </w:tcPr>
          <w:p>
            <w:pPr>
              <w:pStyle w:val="zyTableNAm"/>
              <w:rPr>
                <w:sz w:val="18"/>
                <w:szCs w:val="18"/>
              </w:rPr>
            </w:pPr>
            <w:r>
              <w:rPr>
                <w:sz w:val="18"/>
                <w:szCs w:val="18"/>
              </w:rPr>
              <w:t>50</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37.4034</w:t>
            </w:r>
          </w:p>
        </w:tc>
        <w:tc>
          <w:tcPr>
            <w:tcW w:w="1512" w:type="dxa"/>
            <w:noWrap/>
          </w:tcPr>
          <w:p>
            <w:pPr>
              <w:pStyle w:val="zyTableNAm"/>
              <w:jc w:val="right"/>
              <w:rPr>
                <w:sz w:val="18"/>
                <w:szCs w:val="18"/>
              </w:rPr>
            </w:pPr>
            <w:r>
              <w:rPr>
                <w:sz w:val="18"/>
                <w:szCs w:val="18"/>
              </w:rPr>
              <w:t>38.6560</w:t>
            </w:r>
          </w:p>
        </w:tc>
        <w:tc>
          <w:tcPr>
            <w:tcW w:w="1370" w:type="dxa"/>
            <w:noWrap/>
          </w:tcPr>
          <w:p>
            <w:pPr>
              <w:pStyle w:val="zyTableNAm"/>
              <w:jc w:val="right"/>
              <w:rPr>
                <w:sz w:val="18"/>
                <w:szCs w:val="18"/>
              </w:rPr>
            </w:pPr>
            <w:r>
              <w:rPr>
                <w:sz w:val="18"/>
                <w:szCs w:val="18"/>
              </w:rPr>
              <w:t>43.4162</w:t>
            </w:r>
          </w:p>
        </w:tc>
      </w:tr>
      <w:tr>
        <w:trPr>
          <w:cantSplit/>
        </w:trPr>
        <w:tc>
          <w:tcPr>
            <w:tcW w:w="567" w:type="dxa"/>
            <w:noWrap/>
          </w:tcPr>
          <w:p>
            <w:pPr>
              <w:pStyle w:val="zyTableNAm"/>
              <w:rPr>
                <w:sz w:val="18"/>
                <w:szCs w:val="18"/>
              </w:rPr>
            </w:pPr>
            <w:r>
              <w:rPr>
                <w:sz w:val="18"/>
                <w:szCs w:val="18"/>
              </w:rPr>
              <w:t>Z.02</w:t>
            </w:r>
          </w:p>
        </w:tc>
        <w:tc>
          <w:tcPr>
            <w:tcW w:w="709" w:type="dxa"/>
            <w:noWrap/>
          </w:tcPr>
          <w:p>
            <w:pPr>
              <w:pStyle w:val="zyTableNAm"/>
              <w:rPr>
                <w:sz w:val="18"/>
                <w:szCs w:val="18"/>
              </w:rPr>
            </w:pPr>
            <w:r>
              <w:rPr>
                <w:sz w:val="18"/>
                <w:szCs w:val="18"/>
              </w:rPr>
              <w:t>80</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48.3181</w:t>
            </w:r>
          </w:p>
        </w:tc>
        <w:tc>
          <w:tcPr>
            <w:tcW w:w="1512" w:type="dxa"/>
            <w:noWrap/>
          </w:tcPr>
          <w:p>
            <w:pPr>
              <w:pStyle w:val="zyTableNAm"/>
              <w:jc w:val="right"/>
              <w:rPr>
                <w:sz w:val="18"/>
                <w:szCs w:val="18"/>
              </w:rPr>
            </w:pPr>
            <w:r>
              <w:rPr>
                <w:sz w:val="18"/>
                <w:szCs w:val="18"/>
              </w:rPr>
              <w:t>50.3224</w:t>
            </w:r>
          </w:p>
        </w:tc>
        <w:tc>
          <w:tcPr>
            <w:tcW w:w="1370" w:type="dxa"/>
            <w:noWrap/>
          </w:tcPr>
          <w:p>
            <w:pPr>
              <w:pStyle w:val="zyTableNAm"/>
              <w:jc w:val="right"/>
              <w:rPr>
                <w:sz w:val="18"/>
                <w:szCs w:val="18"/>
              </w:rPr>
            </w:pPr>
            <w:r>
              <w:rPr>
                <w:sz w:val="18"/>
                <w:szCs w:val="18"/>
              </w:rPr>
              <w:t>57.9387</w:t>
            </w:r>
          </w:p>
        </w:tc>
      </w:tr>
      <w:tr>
        <w:trPr>
          <w:cantSplit/>
        </w:trPr>
        <w:tc>
          <w:tcPr>
            <w:tcW w:w="567" w:type="dxa"/>
            <w:noWrap/>
          </w:tcPr>
          <w:p>
            <w:pPr>
              <w:pStyle w:val="zyTableNAm"/>
              <w:rPr>
                <w:sz w:val="18"/>
                <w:szCs w:val="18"/>
              </w:rPr>
            </w:pPr>
            <w:r>
              <w:rPr>
                <w:sz w:val="18"/>
                <w:szCs w:val="18"/>
              </w:rPr>
              <w:t>Z.03</w:t>
            </w:r>
          </w:p>
        </w:tc>
        <w:tc>
          <w:tcPr>
            <w:tcW w:w="709" w:type="dxa"/>
            <w:noWrap/>
          </w:tcPr>
          <w:p>
            <w:pPr>
              <w:pStyle w:val="zyTableNAm"/>
              <w:rPr>
                <w:sz w:val="18"/>
                <w:szCs w:val="18"/>
              </w:rPr>
            </w:pPr>
            <w:r>
              <w:rPr>
                <w:sz w:val="18"/>
                <w:szCs w:val="18"/>
              </w:rPr>
              <w:t>125</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59.3581</w:t>
            </w:r>
          </w:p>
        </w:tc>
        <w:tc>
          <w:tcPr>
            <w:tcW w:w="1512" w:type="dxa"/>
            <w:noWrap/>
          </w:tcPr>
          <w:p>
            <w:pPr>
              <w:pStyle w:val="zyTableNAm"/>
              <w:jc w:val="right"/>
              <w:rPr>
                <w:sz w:val="18"/>
                <w:szCs w:val="18"/>
              </w:rPr>
            </w:pPr>
            <w:r>
              <w:rPr>
                <w:sz w:val="18"/>
                <w:szCs w:val="18"/>
              </w:rPr>
              <w:t>62.4898</w:t>
            </w:r>
          </w:p>
        </w:tc>
        <w:tc>
          <w:tcPr>
            <w:tcW w:w="1370" w:type="dxa"/>
            <w:noWrap/>
          </w:tcPr>
          <w:p>
            <w:pPr>
              <w:pStyle w:val="zyTableNAm"/>
              <w:jc w:val="right"/>
              <w:rPr>
                <w:sz w:val="18"/>
                <w:szCs w:val="18"/>
              </w:rPr>
            </w:pPr>
            <w:r>
              <w:rPr>
                <w:sz w:val="18"/>
                <w:szCs w:val="18"/>
              </w:rPr>
              <w:t>74.3903</w:t>
            </w:r>
          </w:p>
        </w:tc>
      </w:tr>
      <w:tr>
        <w:trPr>
          <w:cantSplit/>
        </w:trPr>
        <w:tc>
          <w:tcPr>
            <w:tcW w:w="567" w:type="dxa"/>
            <w:noWrap/>
          </w:tcPr>
          <w:p>
            <w:pPr>
              <w:pStyle w:val="zyTableNAm"/>
              <w:rPr>
                <w:sz w:val="18"/>
                <w:szCs w:val="18"/>
              </w:rPr>
            </w:pPr>
            <w:r>
              <w:rPr>
                <w:sz w:val="18"/>
                <w:szCs w:val="18"/>
              </w:rPr>
              <w:t>Z.07</w:t>
            </w:r>
          </w:p>
        </w:tc>
        <w:tc>
          <w:tcPr>
            <w:tcW w:w="709" w:type="dxa"/>
            <w:noWrap/>
          </w:tcPr>
          <w:p>
            <w:pPr>
              <w:pStyle w:val="zyTableNAm"/>
              <w:rPr>
                <w:sz w:val="18"/>
                <w:szCs w:val="18"/>
              </w:rPr>
            </w:pPr>
            <w:r>
              <w:rPr>
                <w:sz w:val="18"/>
                <w:szCs w:val="18"/>
              </w:rPr>
              <w:t>250</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85.0927</w:t>
            </w:r>
          </w:p>
        </w:tc>
        <w:tc>
          <w:tcPr>
            <w:tcW w:w="1512" w:type="dxa"/>
            <w:noWrap/>
          </w:tcPr>
          <w:p>
            <w:pPr>
              <w:pStyle w:val="zyTableNAm"/>
              <w:jc w:val="right"/>
              <w:rPr>
                <w:sz w:val="18"/>
                <w:szCs w:val="18"/>
              </w:rPr>
            </w:pPr>
            <w:r>
              <w:rPr>
                <w:sz w:val="18"/>
                <w:szCs w:val="18"/>
              </w:rPr>
              <w:t>91.3562</w:t>
            </w:r>
          </w:p>
        </w:tc>
        <w:tc>
          <w:tcPr>
            <w:tcW w:w="1370" w:type="dxa"/>
            <w:noWrap/>
          </w:tcPr>
          <w:p>
            <w:pPr>
              <w:pStyle w:val="zyTableNAm"/>
              <w:jc w:val="right"/>
              <w:rPr>
                <w:sz w:val="18"/>
                <w:szCs w:val="18"/>
              </w:rPr>
            </w:pPr>
            <w:r>
              <w:rPr>
                <w:sz w:val="18"/>
                <w:szCs w:val="18"/>
              </w:rPr>
              <w:t>115.1571</w:t>
            </w:r>
          </w:p>
        </w:tc>
      </w:tr>
      <w:tr>
        <w:trPr>
          <w:cantSplit/>
        </w:trPr>
        <w:tc>
          <w:tcPr>
            <w:tcW w:w="567" w:type="dxa"/>
            <w:noWrap/>
          </w:tcPr>
          <w:p>
            <w:pPr>
              <w:pStyle w:val="zyTableNAm"/>
              <w:rPr>
                <w:sz w:val="18"/>
                <w:szCs w:val="18"/>
              </w:rPr>
            </w:pPr>
            <w:r>
              <w:rPr>
                <w:sz w:val="18"/>
                <w:szCs w:val="18"/>
              </w:rPr>
              <w:t>Z.10</w:t>
            </w:r>
          </w:p>
        </w:tc>
        <w:tc>
          <w:tcPr>
            <w:tcW w:w="709" w:type="dxa"/>
            <w:noWrap/>
          </w:tcPr>
          <w:p>
            <w:pPr>
              <w:pStyle w:val="zyTableNAm"/>
              <w:rPr>
                <w:sz w:val="18"/>
                <w:szCs w:val="18"/>
              </w:rPr>
            </w:pPr>
            <w:r>
              <w:rPr>
                <w:sz w:val="18"/>
                <w:szCs w:val="18"/>
              </w:rPr>
              <w:t>400</w:t>
            </w:r>
          </w:p>
        </w:tc>
        <w:tc>
          <w:tcPr>
            <w:tcW w:w="1417" w:type="dxa"/>
            <w:gridSpan w:val="4"/>
            <w:noWrap/>
          </w:tcPr>
          <w:p>
            <w:pPr>
              <w:pStyle w:val="zyTableNAm"/>
              <w:rPr>
                <w:sz w:val="18"/>
                <w:szCs w:val="18"/>
              </w:rPr>
            </w:pPr>
            <w:r>
              <w:rPr>
                <w:sz w:val="18"/>
                <w:szCs w:val="18"/>
              </w:rPr>
              <w:t>Mercury vapour</w:t>
            </w:r>
          </w:p>
        </w:tc>
        <w:tc>
          <w:tcPr>
            <w:tcW w:w="1229" w:type="dxa"/>
            <w:noWrap/>
          </w:tcPr>
          <w:p>
            <w:pPr>
              <w:pStyle w:val="zyTableNAm"/>
              <w:jc w:val="right"/>
              <w:rPr>
                <w:sz w:val="18"/>
                <w:szCs w:val="18"/>
              </w:rPr>
            </w:pPr>
            <w:r>
              <w:rPr>
                <w:sz w:val="18"/>
                <w:szCs w:val="18"/>
              </w:rPr>
              <w:t>98.6546</w:t>
            </w:r>
          </w:p>
        </w:tc>
        <w:tc>
          <w:tcPr>
            <w:tcW w:w="1512" w:type="dxa"/>
            <w:noWrap/>
          </w:tcPr>
          <w:p>
            <w:pPr>
              <w:pStyle w:val="zyTableNAm"/>
              <w:jc w:val="right"/>
              <w:rPr>
                <w:sz w:val="18"/>
                <w:szCs w:val="18"/>
              </w:rPr>
            </w:pPr>
            <w:r>
              <w:rPr>
                <w:sz w:val="18"/>
                <w:szCs w:val="18"/>
              </w:rPr>
              <w:t>102.6814</w:t>
            </w:r>
          </w:p>
        </w:tc>
        <w:tc>
          <w:tcPr>
            <w:tcW w:w="1370" w:type="dxa"/>
            <w:noWrap/>
          </w:tcPr>
          <w:p>
            <w:pPr>
              <w:pStyle w:val="zyTableNAm"/>
              <w:jc w:val="right"/>
              <w:rPr>
                <w:sz w:val="18"/>
                <w:szCs w:val="18"/>
              </w:rPr>
            </w:pPr>
            <w:r>
              <w:rPr>
                <w:sz w:val="18"/>
                <w:szCs w:val="18"/>
              </w:rPr>
              <w:t>151.5933</w:t>
            </w:r>
          </w:p>
        </w:tc>
      </w:tr>
      <w:tr>
        <w:trPr>
          <w:cantSplit/>
        </w:trPr>
        <w:tc>
          <w:tcPr>
            <w:tcW w:w="567" w:type="dxa"/>
            <w:noWrap/>
          </w:tcPr>
          <w:p>
            <w:pPr>
              <w:pStyle w:val="zyTableNAm"/>
              <w:rPr>
                <w:sz w:val="18"/>
                <w:szCs w:val="18"/>
              </w:rPr>
            </w:pPr>
            <w:r>
              <w:rPr>
                <w:sz w:val="18"/>
                <w:szCs w:val="18"/>
              </w:rPr>
              <w:t>Z.13</w:t>
            </w:r>
          </w:p>
        </w:tc>
        <w:tc>
          <w:tcPr>
            <w:tcW w:w="709" w:type="dxa"/>
            <w:noWrap/>
          </w:tcPr>
          <w:p>
            <w:pPr>
              <w:pStyle w:val="zyTableNAm"/>
              <w:rPr>
                <w:sz w:val="18"/>
                <w:szCs w:val="18"/>
              </w:rPr>
            </w:pPr>
            <w:r>
              <w:rPr>
                <w:sz w:val="18"/>
                <w:szCs w:val="18"/>
              </w:rPr>
              <w:t>150</w:t>
            </w:r>
          </w:p>
        </w:tc>
        <w:tc>
          <w:tcPr>
            <w:tcW w:w="1417" w:type="dxa"/>
            <w:gridSpan w:val="4"/>
            <w:noWrap/>
          </w:tcPr>
          <w:p>
            <w:pPr>
              <w:pStyle w:val="zyTableNAm"/>
              <w:rPr>
                <w:sz w:val="18"/>
                <w:szCs w:val="18"/>
              </w:rPr>
            </w:pPr>
            <w:r>
              <w:rPr>
                <w:sz w:val="18"/>
                <w:szCs w:val="18"/>
              </w:rPr>
              <w:t>High pressure sodium</w:t>
            </w:r>
          </w:p>
        </w:tc>
        <w:tc>
          <w:tcPr>
            <w:tcW w:w="1229" w:type="dxa"/>
            <w:noWrap/>
          </w:tcPr>
          <w:p>
            <w:pPr>
              <w:pStyle w:val="zyTableNAm"/>
              <w:jc w:val="right"/>
              <w:rPr>
                <w:sz w:val="18"/>
                <w:szCs w:val="18"/>
              </w:rPr>
            </w:pPr>
            <w:r>
              <w:rPr>
                <w:sz w:val="18"/>
                <w:szCs w:val="18"/>
              </w:rPr>
              <w:t>65.1689</w:t>
            </w:r>
          </w:p>
        </w:tc>
        <w:tc>
          <w:tcPr>
            <w:tcW w:w="1512" w:type="dxa"/>
            <w:noWrap/>
          </w:tcPr>
          <w:p>
            <w:pPr>
              <w:pStyle w:val="zyTableNAm"/>
              <w:jc w:val="right"/>
              <w:rPr>
                <w:sz w:val="18"/>
                <w:szCs w:val="18"/>
              </w:rPr>
            </w:pPr>
            <w:r>
              <w:rPr>
                <w:sz w:val="18"/>
                <w:szCs w:val="18"/>
              </w:rPr>
              <w:t>68.9271</w:t>
            </w:r>
          </w:p>
        </w:tc>
        <w:tc>
          <w:tcPr>
            <w:tcW w:w="1370" w:type="dxa"/>
            <w:noWrap/>
          </w:tcPr>
          <w:p>
            <w:pPr>
              <w:pStyle w:val="zyTableNAm"/>
              <w:jc w:val="right"/>
              <w:rPr>
                <w:sz w:val="18"/>
                <w:szCs w:val="18"/>
              </w:rPr>
            </w:pPr>
            <w:r>
              <w:rPr>
                <w:sz w:val="18"/>
                <w:szCs w:val="18"/>
              </w:rPr>
              <w:t>83.2074</w:t>
            </w:r>
          </w:p>
        </w:tc>
      </w:tr>
      <w:tr>
        <w:trPr>
          <w:cantSplit/>
        </w:trPr>
        <w:tc>
          <w:tcPr>
            <w:tcW w:w="567" w:type="dxa"/>
            <w:noWrap/>
          </w:tcPr>
          <w:p>
            <w:pPr>
              <w:pStyle w:val="zyTableNAm"/>
              <w:rPr>
                <w:sz w:val="18"/>
                <w:szCs w:val="18"/>
              </w:rPr>
            </w:pPr>
            <w:r>
              <w:rPr>
                <w:sz w:val="18"/>
                <w:szCs w:val="18"/>
              </w:rPr>
              <w:t>Z.15</w:t>
            </w:r>
          </w:p>
        </w:tc>
        <w:tc>
          <w:tcPr>
            <w:tcW w:w="709" w:type="dxa"/>
            <w:noWrap/>
          </w:tcPr>
          <w:p>
            <w:pPr>
              <w:pStyle w:val="zyTableNAm"/>
              <w:rPr>
                <w:sz w:val="18"/>
                <w:szCs w:val="18"/>
              </w:rPr>
            </w:pPr>
            <w:r>
              <w:rPr>
                <w:sz w:val="18"/>
                <w:szCs w:val="18"/>
              </w:rPr>
              <w:t>250</w:t>
            </w:r>
          </w:p>
        </w:tc>
        <w:tc>
          <w:tcPr>
            <w:tcW w:w="1417" w:type="dxa"/>
            <w:gridSpan w:val="4"/>
            <w:noWrap/>
          </w:tcPr>
          <w:p>
            <w:pPr>
              <w:pStyle w:val="zyTableNAm"/>
              <w:rPr>
                <w:sz w:val="18"/>
                <w:szCs w:val="18"/>
              </w:rPr>
            </w:pPr>
            <w:r>
              <w:rPr>
                <w:sz w:val="18"/>
                <w:szCs w:val="18"/>
              </w:rPr>
              <w:t>High pressure sodium</w:t>
            </w:r>
          </w:p>
        </w:tc>
        <w:tc>
          <w:tcPr>
            <w:tcW w:w="1229" w:type="dxa"/>
            <w:noWrap/>
          </w:tcPr>
          <w:p>
            <w:pPr>
              <w:pStyle w:val="zyTableNAm"/>
              <w:jc w:val="right"/>
              <w:rPr>
                <w:sz w:val="18"/>
                <w:szCs w:val="18"/>
              </w:rPr>
            </w:pPr>
            <w:r>
              <w:rPr>
                <w:sz w:val="18"/>
                <w:szCs w:val="18"/>
              </w:rPr>
              <w:t>75.8117</w:t>
            </w:r>
          </w:p>
        </w:tc>
        <w:tc>
          <w:tcPr>
            <w:tcW w:w="1512" w:type="dxa"/>
            <w:noWrap/>
          </w:tcPr>
          <w:p>
            <w:pPr>
              <w:pStyle w:val="zyTableNAm"/>
              <w:jc w:val="right"/>
              <w:rPr>
                <w:sz w:val="18"/>
                <w:szCs w:val="18"/>
              </w:rPr>
            </w:pPr>
            <w:r>
              <w:rPr>
                <w:sz w:val="18"/>
                <w:szCs w:val="18"/>
              </w:rPr>
              <w:t>82.0752</w:t>
            </w:r>
          </w:p>
        </w:tc>
        <w:tc>
          <w:tcPr>
            <w:tcW w:w="1370" w:type="dxa"/>
            <w:noWrap/>
          </w:tcPr>
          <w:p>
            <w:pPr>
              <w:pStyle w:val="zyTableNAm"/>
              <w:jc w:val="right"/>
              <w:rPr>
                <w:sz w:val="18"/>
                <w:szCs w:val="18"/>
              </w:rPr>
            </w:pPr>
            <w:r>
              <w:rPr>
                <w:sz w:val="18"/>
                <w:szCs w:val="18"/>
              </w:rPr>
              <w:t>105.8761</w:t>
            </w:r>
          </w:p>
        </w:tc>
      </w:tr>
      <w:tr>
        <w:trPr>
          <w:cantSplit/>
        </w:trPr>
        <w:tc>
          <w:tcPr>
            <w:tcW w:w="567" w:type="dxa"/>
            <w:noWrap/>
          </w:tcPr>
          <w:p>
            <w:pPr>
              <w:pStyle w:val="zyTableNAm"/>
              <w:rPr>
                <w:sz w:val="18"/>
                <w:szCs w:val="18"/>
              </w:rPr>
            </w:pPr>
            <w:r>
              <w:rPr>
                <w:sz w:val="18"/>
                <w:szCs w:val="18"/>
              </w:rPr>
              <w:t>Z.18</w:t>
            </w:r>
          </w:p>
        </w:tc>
        <w:tc>
          <w:tcPr>
            <w:tcW w:w="709" w:type="dxa"/>
            <w:noWrap/>
          </w:tcPr>
          <w:p>
            <w:pPr>
              <w:pStyle w:val="zyTableNAm"/>
              <w:rPr>
                <w:sz w:val="18"/>
                <w:szCs w:val="18"/>
              </w:rPr>
            </w:pPr>
            <w:r>
              <w:rPr>
                <w:sz w:val="18"/>
                <w:szCs w:val="18"/>
              </w:rPr>
              <w:t>per kW</w:t>
            </w:r>
          </w:p>
        </w:tc>
        <w:tc>
          <w:tcPr>
            <w:tcW w:w="1417" w:type="dxa"/>
            <w:gridSpan w:val="4"/>
            <w:noWrap/>
          </w:tcPr>
          <w:p>
            <w:pPr>
              <w:pStyle w:val="zyTableNAm"/>
              <w:rPr>
                <w:sz w:val="18"/>
                <w:szCs w:val="18"/>
              </w:rPr>
            </w:pPr>
            <w:r>
              <w:rPr>
                <w:sz w:val="18"/>
                <w:szCs w:val="18"/>
              </w:rPr>
              <w:t>Auxiliary lighting in public places</w:t>
            </w:r>
          </w:p>
        </w:tc>
        <w:tc>
          <w:tcPr>
            <w:tcW w:w="1229" w:type="dxa"/>
            <w:noWrap/>
          </w:tcPr>
          <w:p>
            <w:pPr>
              <w:pStyle w:val="zyTableNAm"/>
              <w:jc w:val="right"/>
              <w:rPr>
                <w:sz w:val="18"/>
                <w:szCs w:val="18"/>
              </w:rPr>
            </w:pPr>
            <w:r>
              <w:rPr>
                <w:sz w:val="18"/>
                <w:szCs w:val="18"/>
              </w:rPr>
              <w:t>Not applicable</w:t>
            </w:r>
          </w:p>
        </w:tc>
        <w:tc>
          <w:tcPr>
            <w:tcW w:w="1512" w:type="dxa"/>
            <w:noWrap/>
          </w:tcPr>
          <w:p>
            <w:pPr>
              <w:pStyle w:val="zyTableNAm"/>
              <w:jc w:val="right"/>
              <w:rPr>
                <w:sz w:val="18"/>
                <w:szCs w:val="18"/>
              </w:rPr>
            </w:pPr>
            <w:r>
              <w:rPr>
                <w:sz w:val="18"/>
                <w:szCs w:val="18"/>
              </w:rPr>
              <w:t>Not applicable</w:t>
            </w:r>
          </w:p>
        </w:tc>
        <w:tc>
          <w:tcPr>
            <w:tcW w:w="1370" w:type="dxa"/>
            <w:noWrap/>
          </w:tcPr>
          <w:p>
            <w:pPr>
              <w:pStyle w:val="zyTableNAm"/>
              <w:jc w:val="right"/>
              <w:rPr>
                <w:sz w:val="18"/>
                <w:szCs w:val="18"/>
              </w:rPr>
            </w:pPr>
            <w:r>
              <w:rPr>
                <w:sz w:val="18"/>
                <w:szCs w:val="18"/>
              </w:rPr>
              <w:t>331.7407</w:t>
            </w:r>
          </w:p>
        </w:tc>
      </w:tr>
      <w:tr>
        <w:trPr>
          <w:cantSplit/>
        </w:trPr>
        <w:tc>
          <w:tcPr>
            <w:tcW w:w="6804" w:type="dxa"/>
            <w:gridSpan w:val="9"/>
            <w:noWrap/>
          </w:tcPr>
          <w:p>
            <w:pPr>
              <w:pStyle w:val="zyTableNAm"/>
              <w:keepNext/>
              <w:keepLines/>
            </w:pPr>
            <w:r>
              <w:rPr>
                <w:b/>
                <w:i/>
                <w:iCs/>
                <w:sz w:val="16"/>
                <w:szCs w:val="16"/>
              </w:rPr>
              <w:lastRenderedPageBreak/>
              <w:t>Street lighting for existing services only</w:t>
            </w:r>
          </w:p>
        </w:tc>
      </w:tr>
      <w:tr>
        <w:trPr>
          <w:cantSplit/>
        </w:trPr>
        <w:tc>
          <w:tcPr>
            <w:tcW w:w="567" w:type="dxa"/>
            <w:noWrap/>
          </w:tcPr>
          <w:p>
            <w:pPr>
              <w:pStyle w:val="zyTableNAm"/>
              <w:keepNext/>
              <w:rPr>
                <w:sz w:val="18"/>
                <w:szCs w:val="18"/>
              </w:rPr>
            </w:pPr>
            <w:r>
              <w:rPr>
                <w:sz w:val="18"/>
                <w:szCs w:val="18"/>
              </w:rPr>
              <w:t>Z.52</w:t>
            </w:r>
          </w:p>
        </w:tc>
        <w:tc>
          <w:tcPr>
            <w:tcW w:w="851" w:type="dxa"/>
            <w:gridSpan w:val="2"/>
            <w:noWrap/>
          </w:tcPr>
          <w:p>
            <w:pPr>
              <w:pStyle w:val="zyTableNAm"/>
              <w:keepNext/>
              <w:rPr>
                <w:sz w:val="18"/>
                <w:szCs w:val="18"/>
              </w:rPr>
            </w:pPr>
            <w:r>
              <w:rPr>
                <w:sz w:val="18"/>
                <w:szCs w:val="18"/>
              </w:rPr>
              <w:t>100</w:t>
            </w:r>
          </w:p>
        </w:tc>
        <w:tc>
          <w:tcPr>
            <w:tcW w:w="1205" w:type="dxa"/>
            <w:gridSpan w:val="2"/>
            <w:noWrap/>
          </w:tcPr>
          <w:p>
            <w:pPr>
              <w:pStyle w:val="zyTableNAm"/>
              <w:keepNext/>
              <w:rPr>
                <w:sz w:val="18"/>
                <w:szCs w:val="18"/>
              </w:rPr>
            </w:pPr>
            <w:r>
              <w:rPr>
                <w:sz w:val="18"/>
                <w:szCs w:val="18"/>
              </w:rPr>
              <w:t>Incandescent</w:t>
            </w:r>
          </w:p>
        </w:tc>
        <w:tc>
          <w:tcPr>
            <w:tcW w:w="1299" w:type="dxa"/>
            <w:gridSpan w:val="2"/>
            <w:noWrap/>
          </w:tcPr>
          <w:p>
            <w:pPr>
              <w:pStyle w:val="zyTableNAm"/>
              <w:keepNext/>
              <w:jc w:val="right"/>
              <w:rPr>
                <w:sz w:val="18"/>
                <w:szCs w:val="18"/>
              </w:rPr>
            </w:pPr>
            <w:r>
              <w:rPr>
                <w:sz w:val="18"/>
                <w:szCs w:val="18"/>
              </w:rPr>
              <w:t>42.7247</w:t>
            </w:r>
          </w:p>
        </w:tc>
        <w:tc>
          <w:tcPr>
            <w:tcW w:w="1512" w:type="dxa"/>
            <w:noWrap/>
          </w:tcPr>
          <w:p>
            <w:pPr>
              <w:pStyle w:val="zyTableNAm"/>
              <w:keepNext/>
              <w:jc w:val="right"/>
              <w:rPr>
                <w:sz w:val="18"/>
                <w:szCs w:val="18"/>
              </w:rPr>
            </w:pPr>
            <w:r>
              <w:rPr>
                <w:sz w:val="18"/>
                <w:szCs w:val="18"/>
              </w:rPr>
              <w:t>44.5035</w:t>
            </w:r>
          </w:p>
        </w:tc>
        <w:tc>
          <w:tcPr>
            <w:tcW w:w="1370" w:type="dxa"/>
            <w:noWrap/>
          </w:tcPr>
          <w:p>
            <w:pPr>
              <w:pStyle w:val="zyTableNAm"/>
              <w:keepNext/>
              <w:jc w:val="right"/>
              <w:rPr>
                <w:sz w:val="18"/>
                <w:szCs w:val="18"/>
              </w:rPr>
            </w:pPr>
            <w:r>
              <w:rPr>
                <w:sz w:val="18"/>
                <w:szCs w:val="18"/>
              </w:rPr>
              <w:t>49.4720</w:t>
            </w:r>
          </w:p>
        </w:tc>
      </w:tr>
      <w:tr>
        <w:trPr>
          <w:cantSplit/>
        </w:trPr>
        <w:tc>
          <w:tcPr>
            <w:tcW w:w="567" w:type="dxa"/>
            <w:tcBorders>
              <w:bottom w:val="single" w:sz="4" w:space="0" w:color="auto"/>
            </w:tcBorders>
            <w:noWrap/>
          </w:tcPr>
          <w:p>
            <w:pPr>
              <w:pStyle w:val="zyTableNAm"/>
              <w:keepNext/>
              <w:rPr>
                <w:sz w:val="18"/>
                <w:szCs w:val="18"/>
              </w:rPr>
            </w:pPr>
            <w:r>
              <w:rPr>
                <w:sz w:val="18"/>
                <w:szCs w:val="18"/>
              </w:rPr>
              <w:t>Z.56</w:t>
            </w:r>
          </w:p>
        </w:tc>
        <w:tc>
          <w:tcPr>
            <w:tcW w:w="851" w:type="dxa"/>
            <w:gridSpan w:val="2"/>
            <w:tcBorders>
              <w:bottom w:val="single" w:sz="4" w:space="0" w:color="auto"/>
            </w:tcBorders>
            <w:noWrap/>
          </w:tcPr>
          <w:p>
            <w:pPr>
              <w:pStyle w:val="zyTableNAm"/>
              <w:keepNext/>
              <w:rPr>
                <w:sz w:val="18"/>
                <w:szCs w:val="18"/>
              </w:rPr>
            </w:pPr>
            <w:r>
              <w:rPr>
                <w:sz w:val="18"/>
                <w:szCs w:val="18"/>
              </w:rPr>
              <w:t>40</w:t>
            </w:r>
          </w:p>
        </w:tc>
        <w:tc>
          <w:tcPr>
            <w:tcW w:w="1205" w:type="dxa"/>
            <w:gridSpan w:val="2"/>
            <w:tcBorders>
              <w:bottom w:val="single" w:sz="4" w:space="0" w:color="auto"/>
            </w:tcBorders>
            <w:noWrap/>
          </w:tcPr>
          <w:p>
            <w:pPr>
              <w:pStyle w:val="zyTableNAm"/>
              <w:keepNext/>
              <w:rPr>
                <w:sz w:val="18"/>
                <w:szCs w:val="18"/>
              </w:rPr>
            </w:pPr>
            <w:r>
              <w:rPr>
                <w:sz w:val="18"/>
                <w:szCs w:val="18"/>
              </w:rPr>
              <w:t>Fluorescent</w:t>
            </w:r>
          </w:p>
        </w:tc>
        <w:tc>
          <w:tcPr>
            <w:tcW w:w="1299" w:type="dxa"/>
            <w:gridSpan w:val="2"/>
            <w:tcBorders>
              <w:bottom w:val="single" w:sz="4" w:space="0" w:color="auto"/>
            </w:tcBorders>
            <w:noWrap/>
          </w:tcPr>
          <w:p>
            <w:pPr>
              <w:pStyle w:val="zyTableNAm"/>
              <w:keepNext/>
              <w:jc w:val="right"/>
              <w:rPr>
                <w:sz w:val="18"/>
                <w:szCs w:val="18"/>
              </w:rPr>
            </w:pPr>
            <w:r>
              <w:rPr>
                <w:sz w:val="18"/>
                <w:szCs w:val="18"/>
              </w:rPr>
              <w:t>36.3391</w:t>
            </w:r>
          </w:p>
        </w:tc>
        <w:tc>
          <w:tcPr>
            <w:tcW w:w="1512" w:type="dxa"/>
            <w:tcBorders>
              <w:bottom w:val="single" w:sz="4" w:space="0" w:color="auto"/>
            </w:tcBorders>
            <w:noWrap/>
          </w:tcPr>
          <w:p>
            <w:pPr>
              <w:pStyle w:val="zyTableNAm"/>
              <w:keepNext/>
              <w:jc w:val="right"/>
              <w:rPr>
                <w:sz w:val="18"/>
                <w:szCs w:val="18"/>
              </w:rPr>
            </w:pPr>
            <w:r>
              <w:rPr>
                <w:sz w:val="18"/>
                <w:szCs w:val="18"/>
              </w:rPr>
              <w:t>37.3411</w:t>
            </w:r>
          </w:p>
        </w:tc>
        <w:tc>
          <w:tcPr>
            <w:tcW w:w="1370" w:type="dxa"/>
            <w:tcBorders>
              <w:bottom w:val="single" w:sz="4" w:space="0" w:color="auto"/>
            </w:tcBorders>
            <w:noWrap/>
          </w:tcPr>
          <w:p>
            <w:pPr>
              <w:pStyle w:val="zyTableNAm"/>
              <w:keepNext/>
              <w:jc w:val="right"/>
              <w:rPr>
                <w:sz w:val="18"/>
                <w:szCs w:val="18"/>
              </w:rPr>
            </w:pPr>
            <w:r>
              <w:rPr>
                <w:sz w:val="18"/>
                <w:szCs w:val="18"/>
              </w:rPr>
              <w:t>41.1493</w:t>
            </w:r>
          </w:p>
        </w:tc>
      </w:tr>
    </w:tbl>
    <w:p>
      <w:pPr>
        <w:pStyle w:val="zyHeading3"/>
      </w:pPr>
      <w:bookmarkStart w:id="44" w:name="_Toc201748195"/>
      <w:bookmarkStart w:id="45" w:name="_Toc201748250"/>
      <w:bookmarkStart w:id="46" w:name="_Toc201748439"/>
      <w:r>
        <w:t>Division 2</w:t>
      </w:r>
      <w:r>
        <w:rPr>
          <w:b w:val="0"/>
        </w:rPr>
        <w:t> — </w:t>
      </w:r>
      <w:r>
        <w:t>Miscellaneous</w:t>
      </w:r>
      <w:bookmarkEnd w:id="44"/>
      <w:bookmarkEnd w:id="45"/>
      <w:bookmarkEnd w:id="46"/>
    </w:p>
    <w:p>
      <w:pPr>
        <w:pStyle w:val="zyHeading5"/>
      </w:pPr>
      <w:bookmarkStart w:id="47" w:name="_Toc201748196"/>
      <w:bookmarkStart w:id="48" w:name="_Toc201748440"/>
      <w:r>
        <w:t>1.</w:t>
      </w:r>
      <w:r>
        <w:tab/>
        <w:t>Traffic light installation</w:t>
      </w:r>
      <w:bookmarkEnd w:id="47"/>
      <w:bookmarkEnd w:id="48"/>
    </w:p>
    <w:p>
      <w:pPr>
        <w:pStyle w:val="zySubsection"/>
      </w:pPr>
      <w:r>
        <w:tab/>
      </w:r>
      <w:r>
        <w:tab/>
        <w:t xml:space="preserve">Supply of electricity to traffic light installations comprises a charge of </w:t>
      </w:r>
      <w:r>
        <w:rPr>
          <w:szCs w:val="22"/>
        </w:rPr>
        <w:t xml:space="preserve">$9.4598 </w:t>
      </w:r>
      <w:r>
        <w:t>per day per kW of installed wattage.</w:t>
      </w:r>
    </w:p>
    <w:p>
      <w:pPr>
        <w:pStyle w:val="zyHeading5"/>
      </w:pPr>
      <w:bookmarkStart w:id="49" w:name="_Toc201748197"/>
      <w:bookmarkStart w:id="50" w:name="_Toc201748441"/>
      <w:r>
        <w:t>2.</w:t>
      </w:r>
      <w:r>
        <w:tab/>
        <w:t>Public telephone facility</w:t>
      </w:r>
      <w:bookmarkEnd w:id="49"/>
      <w:bookmarkEnd w:id="50"/>
    </w:p>
    <w:p>
      <w:pPr>
        <w:pStyle w:val="zySubsection"/>
      </w:pPr>
      <w:r>
        <w:tab/>
      </w:r>
      <w:r>
        <w:tab/>
        <w:t>Supply of electricity to a standard public telephone facility where supply is not independently metered comprises a charge of 76.3441 cents per day.</w:t>
      </w:r>
    </w:p>
    <w:p>
      <w:pPr>
        <w:pStyle w:val="zyHeading5"/>
      </w:pPr>
      <w:bookmarkStart w:id="51" w:name="_Toc201748198"/>
      <w:bookmarkStart w:id="52" w:name="_Toc201748442"/>
      <w:r>
        <w:t>3.</w:t>
      </w:r>
      <w:r>
        <w:tab/>
        <w:t>Railway crossing</w:t>
      </w:r>
      <w:bookmarkEnd w:id="51"/>
      <w:bookmarkEnd w:id="52"/>
    </w:p>
    <w:p>
      <w:pPr>
        <w:pStyle w:val="zySubsection"/>
      </w:pPr>
      <w:r>
        <w:tab/>
      </w:r>
      <w:r>
        <w:tab/>
        <w:t xml:space="preserve">Supply of electricity to standard railway crossing lights comprises a charge of </w:t>
      </w:r>
      <w:r>
        <w:rPr>
          <w:szCs w:val="22"/>
        </w:rPr>
        <w:t xml:space="preserve">97.5627 </w:t>
      </w:r>
      <w:r>
        <w:t>cents per day.</w:t>
      </w:r>
    </w:p>
    <w:p>
      <w:pPr>
        <w:pStyle w:val="BlankClose"/>
      </w:pPr>
    </w:p>
    <w:p>
      <w:pPr>
        <w:pStyle w:val="Heading5"/>
      </w:pPr>
      <w:bookmarkStart w:id="53" w:name="_Toc201748199"/>
      <w:bookmarkStart w:id="54" w:name="_Toc201748443"/>
      <w:r>
        <w:rPr>
          <w:rStyle w:val="CharSectno"/>
        </w:rPr>
        <w:t>6</w:t>
      </w:r>
      <w:r>
        <w:rPr>
          <w:snapToGrid w:val="0"/>
        </w:rPr>
        <w:t>.</w:t>
      </w:r>
      <w:r>
        <w:rPr>
          <w:snapToGrid w:val="0"/>
        </w:rPr>
        <w:tab/>
      </w:r>
      <w:r>
        <w:t>Schedule 4 amended</w:t>
      </w:r>
      <w:bookmarkEnd w:id="53"/>
      <w:bookmarkEnd w:id="54"/>
    </w:p>
    <w:p>
      <w:pPr>
        <w:pStyle w:val="Subsection"/>
        <w:rPr>
          <w:bCs/>
        </w:rPr>
      </w:pPr>
      <w:r>
        <w:tab/>
        <w:t>(1)</w:t>
      </w:r>
      <w:r>
        <w:tab/>
        <w:t>Delete the reference after the heading to Schedule </w:t>
      </w:r>
      <w:r>
        <w:rPr>
          <w:bCs/>
        </w:rPr>
        <w:t>4 and insert:</w:t>
      </w:r>
    </w:p>
    <w:p>
      <w:pPr>
        <w:pStyle w:val="BlankOpen"/>
      </w:pPr>
    </w:p>
    <w:p>
      <w:pPr>
        <w:pStyle w:val="Subsection"/>
      </w:pPr>
      <w:r>
        <w:tab/>
      </w:r>
      <w:r>
        <w:tab/>
      </w:r>
      <w:r>
        <w:rPr>
          <w:sz w:val="22"/>
          <w:szCs w:val="18"/>
        </w:rPr>
        <w:t>[bl. 7 and 9(2)]</w:t>
      </w:r>
    </w:p>
    <w:p>
      <w:pPr>
        <w:pStyle w:val="BlankClose"/>
      </w:pPr>
    </w:p>
    <w:p>
      <w:pPr>
        <w:pStyle w:val="Subsection"/>
      </w:pPr>
      <w:r>
        <w:tab/>
        <w:t>(2)</w:t>
      </w:r>
      <w:r>
        <w:tab/>
        <w:t>In Schedule 4:</w:t>
      </w:r>
    </w:p>
    <w:p>
      <w:pPr>
        <w:pStyle w:val="Indenta"/>
      </w:pPr>
      <w:r>
        <w:tab/>
        <w:t>(a)</w:t>
      </w:r>
      <w:r>
        <w:tab/>
        <w:t>in item 1 delete “</w:t>
      </w:r>
      <w:r>
        <w:rPr>
          <w:sz w:val="22"/>
        </w:rPr>
        <w:t>$26.84</w:t>
      </w:r>
      <w:r>
        <w:t>” and insert:</w:t>
      </w:r>
    </w:p>
    <w:p>
      <w:pPr>
        <w:pStyle w:val="BlankOpen"/>
      </w:pPr>
    </w:p>
    <w:p>
      <w:pPr>
        <w:pStyle w:val="Indenta"/>
      </w:pPr>
      <w:r>
        <w:tab/>
      </w:r>
      <w:r>
        <w:tab/>
      </w:r>
      <w:r>
        <w:rPr>
          <w:sz w:val="22"/>
        </w:rPr>
        <w:t>$22.51</w:t>
      </w:r>
    </w:p>
    <w:p>
      <w:pPr>
        <w:pStyle w:val="BlankClose"/>
      </w:pPr>
    </w:p>
    <w:p>
      <w:pPr>
        <w:pStyle w:val="Indenta"/>
        <w:keepNext/>
      </w:pPr>
      <w:r>
        <w:lastRenderedPageBreak/>
        <w:tab/>
        <w:t>(b)</w:t>
      </w:r>
      <w:r>
        <w:tab/>
        <w:t>in item 2(a) delete “</w:t>
      </w:r>
      <w:r>
        <w:rPr>
          <w:sz w:val="22"/>
        </w:rPr>
        <w:t>$208.01</w:t>
      </w:r>
      <w:r>
        <w:t>” and insert:</w:t>
      </w:r>
    </w:p>
    <w:p>
      <w:pPr>
        <w:pStyle w:val="BlankOpen"/>
      </w:pPr>
    </w:p>
    <w:p>
      <w:pPr>
        <w:pStyle w:val="Indenta"/>
      </w:pPr>
      <w:r>
        <w:tab/>
      </w:r>
      <w:r>
        <w:tab/>
      </w:r>
      <w:r>
        <w:rPr>
          <w:sz w:val="22"/>
        </w:rPr>
        <w:t>$212.49</w:t>
      </w:r>
    </w:p>
    <w:p>
      <w:pPr>
        <w:pStyle w:val="BlankClose"/>
      </w:pPr>
    </w:p>
    <w:p>
      <w:pPr>
        <w:pStyle w:val="Indenta"/>
        <w:keepNext/>
      </w:pPr>
      <w:r>
        <w:tab/>
        <w:t>(c)</w:t>
      </w:r>
      <w:r>
        <w:tab/>
        <w:t>in item 5 delete “</w:t>
      </w:r>
      <w:r>
        <w:rPr>
          <w:sz w:val="22"/>
        </w:rPr>
        <w:t>$105.93</w:t>
      </w:r>
      <w:r>
        <w:t>” and insert:</w:t>
      </w:r>
    </w:p>
    <w:p>
      <w:pPr>
        <w:pStyle w:val="BlankOpen"/>
      </w:pPr>
    </w:p>
    <w:p>
      <w:pPr>
        <w:pStyle w:val="Indenta"/>
        <w:keepNext/>
      </w:pPr>
      <w:r>
        <w:tab/>
      </w:r>
      <w:r>
        <w:tab/>
      </w:r>
      <w:r>
        <w:rPr>
          <w:sz w:val="22"/>
        </w:rPr>
        <w:t>$108.08</w:t>
      </w:r>
    </w:p>
    <w:p>
      <w:pPr>
        <w:pStyle w:val="BlankClose"/>
      </w:pPr>
    </w:p>
    <w:p>
      <w:pPr>
        <w:pStyle w:val="Indenta"/>
        <w:rPr>
          <w:rStyle w:val="DraftersNotes"/>
          <w:b w:val="0"/>
          <w:i w:val="0"/>
          <w:sz w:val="24"/>
        </w:rPr>
      </w:pPr>
      <w:r>
        <w:tab/>
        <w:t>(d)</w:t>
      </w:r>
      <w:r>
        <w:tab/>
        <w:t>in item 7 delete “</w:t>
      </w:r>
      <w:r>
        <w:rPr>
          <w:sz w:val="22"/>
          <w:szCs w:val="18"/>
        </w:rPr>
        <w:t>$25.96</w:t>
      </w:r>
      <w:r>
        <w:t>” and insert:</w:t>
      </w:r>
    </w:p>
    <w:p>
      <w:pPr>
        <w:pStyle w:val="BlankOpen"/>
      </w:pPr>
    </w:p>
    <w:p>
      <w:pPr>
        <w:pStyle w:val="Indenta"/>
        <w:rPr>
          <w:sz w:val="22"/>
          <w:szCs w:val="18"/>
        </w:rPr>
      </w:pPr>
      <w:r>
        <w:rPr>
          <w:sz w:val="22"/>
          <w:szCs w:val="18"/>
        </w:rPr>
        <w:tab/>
      </w:r>
      <w:r>
        <w:rPr>
          <w:sz w:val="22"/>
          <w:szCs w:val="18"/>
        </w:rPr>
        <w:tab/>
        <w:t>$38.66</w:t>
      </w:r>
    </w:p>
    <w:p>
      <w:pPr>
        <w:pStyle w:val="BlankClose"/>
      </w:pPr>
    </w:p>
    <w:p>
      <w:pPr>
        <w:pStyle w:val="Indenta"/>
      </w:pPr>
      <w:r>
        <w:tab/>
        <w:t>(e)</w:t>
      </w:r>
      <w:r>
        <w:tab/>
        <w:t>in item 8 delete “</w:t>
      </w:r>
      <w:r>
        <w:rPr>
          <w:sz w:val="22"/>
          <w:szCs w:val="22"/>
        </w:rPr>
        <w:t>$20.46</w:t>
      </w:r>
      <w:r>
        <w:t>” and insert:</w:t>
      </w:r>
    </w:p>
    <w:p>
      <w:pPr>
        <w:pStyle w:val="BlankOpen"/>
      </w:pPr>
    </w:p>
    <w:p>
      <w:pPr>
        <w:pStyle w:val="Indenta"/>
        <w:rPr>
          <w:sz w:val="22"/>
          <w:szCs w:val="22"/>
        </w:rPr>
      </w:pPr>
      <w:r>
        <w:tab/>
      </w:r>
      <w:r>
        <w:tab/>
      </w:r>
      <w:r>
        <w:rPr>
          <w:sz w:val="22"/>
          <w:szCs w:val="22"/>
        </w:rPr>
        <w:t>$17.40</w:t>
      </w:r>
    </w:p>
    <w:p>
      <w:pPr>
        <w:pStyle w:val="BlankClose"/>
      </w:pPr>
    </w:p>
    <w:p>
      <w:pPr>
        <w:pStyle w:val="Indenta"/>
      </w:pPr>
      <w:r>
        <w:tab/>
        <w:t>(f)</w:t>
      </w:r>
      <w:r>
        <w:tab/>
        <w:t>in item 9 delete “</w:t>
      </w:r>
      <w:r>
        <w:rPr>
          <w:sz w:val="22"/>
          <w:szCs w:val="18"/>
        </w:rPr>
        <w:t>$5.72</w:t>
      </w:r>
      <w:r>
        <w:t>” and insert:</w:t>
      </w:r>
    </w:p>
    <w:p>
      <w:pPr>
        <w:pStyle w:val="BlankOpen"/>
      </w:pPr>
    </w:p>
    <w:p>
      <w:pPr>
        <w:pStyle w:val="Indenta"/>
        <w:rPr>
          <w:sz w:val="22"/>
          <w:szCs w:val="18"/>
        </w:rPr>
      </w:pPr>
      <w:r>
        <w:rPr>
          <w:sz w:val="22"/>
          <w:szCs w:val="18"/>
        </w:rPr>
        <w:tab/>
      </w:r>
      <w:r>
        <w:rPr>
          <w:sz w:val="22"/>
          <w:szCs w:val="18"/>
        </w:rPr>
        <w:tab/>
        <w:t>$4.78</w:t>
      </w:r>
    </w:p>
    <w:p>
      <w:pPr>
        <w:pStyle w:val="BlankClose"/>
      </w:pPr>
    </w:p>
    <w:p>
      <w:pPr>
        <w:pStyle w:val="Indenta"/>
      </w:pPr>
      <w:r>
        <w:tab/>
        <w:t>(g)</w:t>
      </w:r>
      <w:r>
        <w:tab/>
        <w:t>in item 11 delete “</w:t>
      </w:r>
      <w:r>
        <w:rPr>
          <w:sz w:val="22"/>
          <w:szCs w:val="22"/>
        </w:rPr>
        <w:t>$419.54</w:t>
      </w:r>
      <w:r>
        <w:t>” and insert:</w:t>
      </w:r>
    </w:p>
    <w:p>
      <w:pPr>
        <w:pStyle w:val="BlankOpen"/>
      </w:pPr>
    </w:p>
    <w:p>
      <w:pPr>
        <w:pStyle w:val="Indenta"/>
        <w:rPr>
          <w:sz w:val="22"/>
          <w:szCs w:val="22"/>
        </w:rPr>
      </w:pPr>
      <w:r>
        <w:tab/>
      </w:r>
      <w:r>
        <w:tab/>
      </w:r>
      <w:r>
        <w:rPr>
          <w:sz w:val="22"/>
          <w:szCs w:val="22"/>
        </w:rPr>
        <w:t>$428.26</w:t>
      </w:r>
    </w:p>
    <w:p>
      <w:pPr>
        <w:pStyle w:val="BlankClose"/>
      </w:pPr>
    </w:p>
    <w:p>
      <w:pPr>
        <w:pStyle w:val="Indenta"/>
      </w:pPr>
      <w:r>
        <w:tab/>
        <w:t>(h)</w:t>
      </w:r>
      <w:r>
        <w:tab/>
        <w:t>in item 13 delete “</w:t>
      </w:r>
      <w:r>
        <w:rPr>
          <w:sz w:val="22"/>
          <w:szCs w:val="22"/>
        </w:rPr>
        <w:t>$1.54</w:t>
      </w:r>
      <w:r>
        <w:t>” and insert:</w:t>
      </w:r>
    </w:p>
    <w:p>
      <w:pPr>
        <w:pStyle w:val="BlankOpen"/>
      </w:pPr>
    </w:p>
    <w:p>
      <w:pPr>
        <w:pStyle w:val="Indenta"/>
        <w:rPr>
          <w:sz w:val="22"/>
          <w:szCs w:val="22"/>
        </w:rPr>
      </w:pPr>
      <w:r>
        <w:tab/>
      </w:r>
      <w:r>
        <w:tab/>
      </w:r>
      <w:r>
        <w:rPr>
          <w:sz w:val="22"/>
          <w:szCs w:val="22"/>
        </w:rPr>
        <w:t>$1.63</w:t>
      </w:r>
    </w:p>
    <w:p>
      <w:pPr>
        <w:pStyle w:val="BlankClos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9"/>
        <w:gridCol w:w="1211"/>
        <w:gridCol w:w="2147"/>
      </w:tblGrid>
      <w:tr>
        <w:tc>
          <w:tcPr>
            <w:tcW w:w="3729" w:type="dxa"/>
          </w:tcPr>
          <w:p>
            <w:pPr>
              <w:pStyle w:val="MiscellaneousBody"/>
              <w:keepNext/>
              <w:keepLines/>
              <w:tabs>
                <w:tab w:val="left" w:pos="3402"/>
              </w:tabs>
              <w:spacing w:before="0"/>
            </w:pPr>
          </w:p>
          <w:p>
            <w:pPr>
              <w:pStyle w:val="MiscellaneousBody"/>
              <w:keepNext/>
              <w:keepLines/>
              <w:tabs>
                <w:tab w:val="left" w:pos="3402"/>
              </w:tabs>
              <w:spacing w:before="0"/>
            </w:pPr>
            <w:r>
              <w:t>The Common Seal of the</w:t>
            </w:r>
            <w:r>
              <w:tab/>
              <w:t>)</w:t>
            </w:r>
          </w:p>
          <w:p>
            <w:pPr>
              <w:pStyle w:val="MiscellaneousBody"/>
              <w:keepNext/>
              <w:keepLines/>
              <w:tabs>
                <w:tab w:val="left" w:pos="3402"/>
              </w:tabs>
              <w:spacing w:before="0"/>
            </w:pPr>
            <w:r>
              <w:t>Electricity Generation and Retail</w:t>
            </w:r>
            <w:r>
              <w:tab/>
              <w:t>)</w:t>
            </w:r>
          </w:p>
          <w:p>
            <w:pPr>
              <w:pStyle w:val="MiscellaneousBody"/>
              <w:keepNext/>
              <w:keepLines/>
              <w:tabs>
                <w:tab w:val="left" w:pos="3402"/>
              </w:tabs>
              <w:spacing w:before="0"/>
            </w:pPr>
            <w:r>
              <w:t xml:space="preserve">Corporation was affixed to these </w:t>
            </w:r>
            <w:r>
              <w:tab/>
              <w:t>)</w:t>
            </w:r>
          </w:p>
          <w:p>
            <w:pPr>
              <w:pStyle w:val="MiscellaneousBody"/>
              <w:keepNext/>
              <w:keepLines/>
              <w:tabs>
                <w:tab w:val="left" w:pos="3402"/>
              </w:tabs>
              <w:spacing w:before="0"/>
            </w:pPr>
            <w:r>
              <w:t>by</w:t>
            </w:r>
            <w:r>
              <w:noBreakHyphen/>
              <w:t>laws in the presence of —</w:t>
            </w:r>
            <w:r>
              <w:tab/>
              <w:t>)</w:t>
            </w:r>
          </w:p>
        </w:tc>
        <w:tc>
          <w:tcPr>
            <w:tcW w:w="1211" w:type="dxa"/>
          </w:tcPr>
          <w:p>
            <w:pPr>
              <w:pStyle w:val="MiscellaneousBody"/>
              <w:keepNext/>
              <w:spacing w:before="0"/>
              <w:ind w:left="1026"/>
            </w:pPr>
          </w:p>
        </w:tc>
        <w:tc>
          <w:tcPr>
            <w:tcW w:w="2147" w:type="dxa"/>
            <w:vAlign w:val="center"/>
          </w:tcPr>
          <w:p>
            <w:pPr>
              <w:pStyle w:val="MiscellaneousBody"/>
              <w:keepNext/>
              <w:spacing w:before="0"/>
              <w:ind w:left="1026" w:hanging="963"/>
              <w:jc w:val="both"/>
            </w:pPr>
            <w:r>
              <w:t>[LS]</w:t>
            </w:r>
          </w:p>
        </w:tc>
      </w:tr>
      <w:tr>
        <w:tc>
          <w:tcPr>
            <w:tcW w:w="3729" w:type="dxa"/>
          </w:tcPr>
          <w:p>
            <w:pPr>
              <w:pStyle w:val="MiscellaneousBody"/>
              <w:keepNext/>
              <w:keepLines/>
              <w:spacing w:before="0"/>
            </w:pPr>
          </w:p>
          <w:p>
            <w:pPr>
              <w:pStyle w:val="MiscellaneousBody"/>
              <w:keepNext/>
              <w:keepLines/>
              <w:spacing w:before="0"/>
            </w:pPr>
          </w:p>
          <w:p>
            <w:pPr>
              <w:pStyle w:val="MiscellaneousBody"/>
              <w:keepNext/>
              <w:keepLines/>
              <w:spacing w:before="0"/>
            </w:pPr>
          </w:p>
          <w:p>
            <w:pPr>
              <w:pStyle w:val="MiscellaneousBody"/>
              <w:keepNext/>
              <w:keepLines/>
              <w:spacing w:before="0"/>
            </w:pPr>
            <w:r>
              <w:t>P. CLOUGH</w:t>
            </w:r>
          </w:p>
          <w:p>
            <w:pPr>
              <w:pStyle w:val="MiscellaneousBody"/>
              <w:keepNext/>
              <w:keepLines/>
              <w:spacing w:before="0" w:line="240" w:lineRule="auto"/>
            </w:pPr>
            <w:r>
              <w:t>.......................................................</w:t>
            </w:r>
          </w:p>
          <w:p>
            <w:pPr>
              <w:pStyle w:val="MiscellaneousBody"/>
              <w:keepNext/>
              <w:keepLines/>
              <w:spacing w:before="0"/>
            </w:pPr>
            <w:r>
              <w:t>Director</w:t>
            </w:r>
          </w:p>
        </w:tc>
        <w:tc>
          <w:tcPr>
            <w:tcW w:w="1211" w:type="dxa"/>
          </w:tcPr>
          <w:p>
            <w:pPr>
              <w:pStyle w:val="MiscellaneousBody"/>
              <w:keepNext/>
              <w:spacing w:before="0"/>
              <w:ind w:left="1026" w:hanging="963"/>
              <w:jc w:val="both"/>
            </w:pPr>
          </w:p>
        </w:tc>
        <w:tc>
          <w:tcPr>
            <w:tcW w:w="2147" w:type="dxa"/>
          </w:tcPr>
          <w:p>
            <w:pPr>
              <w:pStyle w:val="MiscellaneousBody"/>
              <w:keepNext/>
              <w:spacing w:before="0"/>
              <w:ind w:left="1026" w:hanging="963"/>
              <w:jc w:val="both"/>
            </w:pPr>
          </w:p>
        </w:tc>
      </w:tr>
      <w:tr>
        <w:tc>
          <w:tcPr>
            <w:tcW w:w="3729" w:type="dxa"/>
          </w:tcPr>
          <w:p>
            <w:pPr>
              <w:pStyle w:val="MiscellaneousBody"/>
              <w:spacing w:before="0"/>
            </w:pPr>
          </w:p>
          <w:p>
            <w:pPr>
              <w:pStyle w:val="MiscellaneousBody"/>
              <w:spacing w:before="0"/>
            </w:pPr>
          </w:p>
          <w:p>
            <w:pPr>
              <w:pStyle w:val="MiscellaneousBody"/>
              <w:spacing w:before="0"/>
            </w:pPr>
          </w:p>
          <w:p>
            <w:pPr>
              <w:pStyle w:val="MiscellaneousBody"/>
              <w:spacing w:before="0"/>
            </w:pPr>
            <w:r>
              <w:t>P. MARANDO</w:t>
            </w:r>
          </w:p>
          <w:p>
            <w:pPr>
              <w:pStyle w:val="MiscellaneousBody"/>
              <w:spacing w:before="0"/>
            </w:pPr>
            <w:r>
              <w:t>.......................................................</w:t>
            </w:r>
          </w:p>
          <w:p>
            <w:pPr>
              <w:pStyle w:val="MiscellaneousBody"/>
              <w:spacing w:before="0"/>
            </w:pPr>
            <w:r>
              <w:t>Executive Officer</w:t>
            </w:r>
          </w:p>
        </w:tc>
        <w:tc>
          <w:tcPr>
            <w:tcW w:w="1211" w:type="dxa"/>
          </w:tcPr>
          <w:p>
            <w:pPr>
              <w:pStyle w:val="MiscellaneousBody"/>
              <w:keepNext/>
              <w:spacing w:before="0"/>
              <w:ind w:left="1026" w:hanging="963"/>
              <w:jc w:val="both"/>
            </w:pPr>
          </w:p>
        </w:tc>
        <w:tc>
          <w:tcPr>
            <w:tcW w:w="2147" w:type="dxa"/>
          </w:tcPr>
          <w:p>
            <w:pPr>
              <w:pStyle w:val="MiscellaneousBody"/>
              <w:keepNext/>
              <w:spacing w:before="0"/>
              <w:ind w:left="1026" w:hanging="963"/>
              <w:jc w:val="both"/>
            </w:pPr>
          </w:p>
        </w:tc>
      </w:tr>
    </w:tbl>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66D32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C19186" w14:textId="4C03B926" w:rsidR="0056166E" w:rsidRDefault="005616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079D">
                        <w:rPr>
                          <w:sz w:val="16"/>
                        </w:rPr>
                        <w:t>2025</w:t>
                      </w:r>
                      <w:r>
                        <w:rPr>
                          <w:sz w:val="16"/>
                        </w:rPr>
                        <w:fldChar w:fldCharType="end"/>
                      </w:r>
                      <w:r>
                        <w:rPr>
                          <w:sz w:val="16"/>
                        </w:rPr>
                        <w:t>.</w:t>
                      </w:r>
                    </w:p>
                    <w:p w14:paraId="0DF899B9" w14:textId="77777777" w:rsidR="0056166E" w:rsidRDefault="005616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2E1218" w14:textId="256A3E1C" w:rsidR="0056166E" w:rsidRDefault="005616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079D">
                        <w:rPr>
                          <w:sz w:val="16"/>
                        </w:rPr>
                        <w:t>2025</w:t>
                      </w:r>
                      <w:r>
                        <w:rPr>
                          <w:sz w:val="16"/>
                        </w:rPr>
                        <w:fldChar w:fldCharType="end"/>
                      </w:r>
                      <w:r>
                        <w:rPr>
                          <w:sz w:val="16"/>
                        </w:rPr>
                        <w:t>.</w:t>
                      </w:r>
                    </w:p>
                    <w:p w14:paraId="2378EBED" w14:textId="77777777" w:rsidR="0056166E" w:rsidRDefault="0056166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2025/124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2025/124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Amendment By-laws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Amendment By-laws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Amendment By-laws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Amendment By-laws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 w:name="Coversheet"/>
    <w:bookmarkEnd w:id="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2512483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501105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01105525_GUID" w:val="e7a50bbe-ac7c-4fc3-b630-341653e80840"/>
    <w:docVar w:name="WAFER_20250522090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090554_GUID" w:val="3d285834-2f9f-436f-943f-ab342d01e849"/>
    <w:docVar w:name="WAFER_20250625124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25124832_GUID" w:val="963b1b30-cdc2-4cfc-98f9-d7577921cc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5EF54F52-719C-44BA-BE0B-8A4AE88E7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719807">
      <w:bodyDiv w:val="1"/>
      <w:marLeft w:val="0"/>
      <w:marRight w:val="0"/>
      <w:marTop w:val="0"/>
      <w:marBottom w:val="0"/>
      <w:divBdr>
        <w:top w:val="none" w:sz="0" w:space="0" w:color="auto"/>
        <w:left w:val="none" w:sz="0" w:space="0" w:color="auto"/>
        <w:bottom w:val="none" w:sz="0" w:space="0" w:color="auto"/>
        <w:right w:val="none" w:sz="0" w:space="0" w:color="auto"/>
      </w:divBdr>
    </w:div>
    <w:div w:id="1890533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2380</Words>
  <Characters>12095</Characters>
  <Application>Microsoft Office Word</Application>
  <DocSecurity>0</DocSecurity>
  <Lines>483</Lines>
  <Paragraphs>344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Amendment By-laws 2025 - 00-00-00</dc:title>
  <dc:subject/>
  <dc:creator/>
  <cp:keywords/>
  <dc:description/>
  <cp:lastModifiedBy>Master Repository Process</cp:lastModifiedBy>
  <cp:revision>4</cp:revision>
  <cp:lastPrinted>2021-03-14T07:59:00Z</cp:lastPrinted>
  <dcterms:created xsi:type="dcterms:W3CDTF">2025-06-25T06:56:00Z</dcterms:created>
  <dcterms:modified xsi:type="dcterms:W3CDTF">2025-06-25T06:56:00Z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55431</vt:lpwstr>
  </property>
  <property fmtid="{D5CDD505-2E9C-101B-9397-08002B2CF9AE}" pid="3" name="DocumentType">
    <vt:lpwstr>Reg</vt:lpwstr>
  </property>
  <property fmtid="{D5CDD505-2E9C-101B-9397-08002B2CF9AE}" pid="4" name="AsAtDate">
    <vt:lpwstr>26 Jun 2025</vt:lpwstr>
  </property>
  <property fmtid="{D5CDD505-2E9C-101B-9397-08002B2CF9AE}" pid="5" name="Suffix">
    <vt:lpwstr>00-00-00</vt:lpwstr>
  </property>
  <property fmtid="{D5CDD505-2E9C-101B-9397-08002B2CF9AE}" pid="6" name="Official">
    <vt:lpwstr/>
  </property>
  <property fmtid="{D5CDD505-2E9C-101B-9397-08002B2CF9AE}" pid="7" name="SLAPId">
    <vt:lpwstr>2025/124</vt:lpwstr>
  </property>
  <property fmtid="{D5CDD505-2E9C-101B-9397-08002B2CF9AE}" pid="8" name="PublishDate">
    <vt:lpwstr>26 Jun 2025</vt:lpwstr>
  </property>
  <property fmtid="{D5CDD505-2E9C-101B-9397-08002B2CF9AE}" pid="9" name="CommencementDate">
    <vt:lpwstr>20250626</vt:lpwstr>
  </property>
  <property fmtid="{D5CDD505-2E9C-101B-9397-08002B2CF9AE}" pid="10" name="CommencementAsAt">
    <vt:filetime>2025-06-25T16:00:00Z</vt:filetime>
  </property>
  <property fmtid="{D5CDD505-2E9C-101B-9397-08002B2CF9AE}" pid="11" name="CommencementYear">
    <vt:lpwstr>2025</vt:lpwstr>
  </property>
</Properties>
</file>