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_Toc201762557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_Toc201762558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_Toc201762559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_Toc201762560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_Toc201762561 \h </w:instrText>
      </w:r>
      <w:r>
        <w:fldChar w:fldCharType="separate"/>
      </w:r>
      <w:r>
        <w:t>3</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_Toc201762562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_Toc201762563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_Toc201762564 \h </w:instrText>
      </w:r>
      <w:r>
        <w:fldChar w:fldCharType="separate"/>
      </w:r>
      <w:r>
        <w:t>4</w:t>
      </w:r>
      <w:r>
        <w:fldChar w:fldCharType="end"/>
      </w:r>
    </w:p>
    <w:p>
      <w:pPr>
        <w:pStyle w:val="TOC8"/>
        <w:rPr>
          <w:rFonts w:asciiTheme="minorHAnsi" w:eastAsiaTheme="minorEastAsia" w:hAnsiTheme="minorHAnsi" w:cstheme="minorBidi"/>
          <w:szCs w:val="22"/>
        </w:rPr>
      </w:pPr>
      <w:r>
        <w:t>9.</w:t>
      </w:r>
      <w:r>
        <w:tab/>
        <w:t>Reduced fee for meter testing</w:t>
      </w:r>
      <w:r>
        <w:tab/>
      </w:r>
      <w:r>
        <w:fldChar w:fldCharType="begin"/>
      </w:r>
      <w:r>
        <w:instrText xml:space="preserve"> PAGEREF _Toc201762565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_Toc201762566 \h </w:instrText>
      </w:r>
      <w:r>
        <w:fldChar w:fldCharType="separate"/>
      </w:r>
      <w:r>
        <w:t>5</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_Toc201762567 \h </w:instrText>
      </w:r>
      <w:r>
        <w:fldChar w:fldCharType="separate"/>
      </w:r>
      <w:r>
        <w:t>5</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_Toc201762568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_Toc201762570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_Toc201762571 \h </w:instrText>
      </w:r>
      <w:r>
        <w:fldChar w:fldCharType="separate"/>
      </w:r>
      <w:r>
        <w:t>7</w:t>
      </w:r>
      <w:r>
        <w:fldChar w:fldCharType="end"/>
      </w:r>
    </w:p>
    <w:p>
      <w:pPr>
        <w:pStyle w:val="TOC8"/>
        <w:rPr>
          <w:rFonts w:asciiTheme="minorHAnsi" w:eastAsiaTheme="minorEastAsia" w:hAnsiTheme="minorHAnsi" w:cstheme="minorBidi"/>
          <w:szCs w:val="22"/>
        </w:rPr>
      </w:pPr>
      <w:r>
        <w:t>3.</w:t>
      </w:r>
      <w:r>
        <w:tab/>
        <w:t>Tariff R1 (time</w:t>
      </w:r>
      <w:r>
        <w:noBreakHyphen/>
        <w:t>of</w:t>
      </w:r>
      <w:r>
        <w:noBreakHyphen/>
        <w:t>use tariff — low/medium voltage tariff)</w:t>
      </w:r>
      <w:r>
        <w:tab/>
      </w:r>
      <w:r>
        <w:fldChar w:fldCharType="begin"/>
      </w:r>
      <w:r>
        <w:instrText xml:space="preserve"> PAGEREF _Toc201762572 \h </w:instrText>
      </w:r>
      <w:r>
        <w:fldChar w:fldCharType="separate"/>
      </w:r>
      <w:r>
        <w:t>8</w:t>
      </w:r>
      <w:r>
        <w:fldChar w:fldCharType="end"/>
      </w:r>
    </w:p>
    <w:p>
      <w:pPr>
        <w:pStyle w:val="TOC8"/>
        <w:rPr>
          <w:rFonts w:asciiTheme="minorHAnsi" w:eastAsiaTheme="minorEastAsia" w:hAnsiTheme="minorHAnsi" w:cstheme="minorBidi"/>
          <w:szCs w:val="22"/>
        </w:rPr>
      </w:pPr>
      <w:r>
        <w:t>4.</w:t>
      </w:r>
      <w:r>
        <w:tab/>
        <w:t>Tariff R3 (time</w:t>
      </w:r>
      <w:r>
        <w:noBreakHyphen/>
        <w:t>of</w:t>
      </w:r>
      <w:r>
        <w:noBreakHyphen/>
        <w:t>use tariff — low/medium voltage tariff)</w:t>
      </w:r>
      <w:r>
        <w:tab/>
      </w:r>
      <w:r>
        <w:fldChar w:fldCharType="begin"/>
      </w:r>
      <w:r>
        <w:instrText xml:space="preserve"> PAGEREF _Toc201762573 \h </w:instrText>
      </w:r>
      <w:r>
        <w:fldChar w:fldCharType="separate"/>
      </w:r>
      <w:r>
        <w:t>8</w:t>
      </w:r>
      <w:r>
        <w:fldChar w:fldCharType="end"/>
      </w:r>
    </w:p>
    <w:p>
      <w:pPr>
        <w:pStyle w:val="TOC8"/>
        <w:rPr>
          <w:rFonts w:asciiTheme="minorHAnsi" w:eastAsiaTheme="minorEastAsia" w:hAnsiTheme="minorHAnsi" w:cstheme="minorBidi"/>
          <w:szCs w:val="22"/>
        </w:rPr>
      </w:pPr>
      <w:r>
        <w:t>5.</w:t>
      </w:r>
      <w:r>
        <w:tab/>
        <w:t>Standby charges</w:t>
      </w:r>
      <w:r>
        <w:tab/>
      </w:r>
      <w:r>
        <w:fldChar w:fldCharType="begin"/>
      </w:r>
      <w:r>
        <w:instrText xml:space="preserve"> PAGEREF _Toc201762574 \h </w:instrText>
      </w:r>
      <w:r>
        <w:fldChar w:fldCharType="separate"/>
      </w:r>
      <w:r>
        <w:t>9</w:t>
      </w:r>
      <w:r>
        <w:fldChar w:fldCharType="end"/>
      </w:r>
    </w:p>
    <w:p>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_Toc201762575 \h </w:instrText>
      </w:r>
      <w:r>
        <w:fldChar w:fldCharType="separate"/>
      </w:r>
      <w:r>
        <w:t>10</w:t>
      </w:r>
      <w:r>
        <w:fldChar w:fldCharType="end"/>
      </w:r>
    </w:p>
    <w:p>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_Toc201762576 \h </w:instrText>
      </w:r>
      <w:r>
        <w:fldChar w:fldCharType="separate"/>
      </w:r>
      <w:r>
        <w:t>10</w:t>
      </w:r>
      <w:r>
        <w:fldChar w:fldCharType="end"/>
      </w:r>
    </w:p>
    <w:p>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_Toc201762577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w:t>
      </w:r>
      <w:r>
        <w:tab/>
        <w:t>Tariff D1 (special tariff for certain premises)</w:t>
      </w:r>
      <w:r>
        <w:tab/>
      </w:r>
      <w:r>
        <w:fldChar w:fldCharType="begin"/>
      </w:r>
      <w:r>
        <w:instrText xml:space="preserve"> PAGEREF _Toc201762578 \h </w:instrText>
      </w:r>
      <w:r>
        <w:fldChar w:fldCharType="separate"/>
      </w:r>
      <w:r>
        <w:t>12</w:t>
      </w:r>
      <w:r>
        <w:fldChar w:fldCharType="end"/>
      </w:r>
    </w:p>
    <w:p>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_Toc201762579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w:t>
      </w:r>
      <w:r>
        <w:rPr>
          <w:b w:val="0"/>
        </w:rPr>
        <w:t> — </w:t>
      </w:r>
      <w:r>
        <w:t>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_Toc201762583 \h </w:instrText>
      </w:r>
      <w:r>
        <w:fldChar w:fldCharType="separate"/>
      </w:r>
      <w:r>
        <w:t>13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_Toc201762584 \h </w:instrText>
      </w:r>
      <w:r>
        <w:fldChar w:fldCharType="separate"/>
      </w:r>
      <w:r>
        <w:t>14</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_Toc201762585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_Toc201762589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_Toc201762590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(Electricity Generation and Retail Corporation) (Charges) By</w:t>
      </w:r>
      <w:r>
        <w:noBreakHyphen/>
        <w:t>laws 2006</w:t>
      </w:r>
    </w:p>
    <w:p>
      <w:pPr>
        <w:pStyle w:val="Heading5"/>
      </w:pPr>
      <w:bookmarkStart w:id="2" w:name="_Toc201762557"/>
      <w:r>
        <w:rPr>
          <w:rStyle w:val="CharSectno"/>
        </w:rPr>
        <w:t>1</w:t>
      </w:r>
      <w:r>
        <w:t>.</w:t>
      </w:r>
      <w:r>
        <w:tab/>
        <w:t>Citation</w:t>
      </w:r>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pPr>
        <w:pStyle w:val="Footnotesection"/>
      </w:pPr>
      <w:r>
        <w:tab/>
        <w:t>[By-law 1 amended: Gazette 27 Dec 2013 p. 6477.]</w:t>
      </w:r>
    </w:p>
    <w:p>
      <w:pPr>
        <w:pStyle w:val="Heading5"/>
      </w:pPr>
      <w:bookmarkStart w:id="3" w:name="_Toc201762558"/>
      <w:r>
        <w:rPr>
          <w:rStyle w:val="CharSectno"/>
        </w:rPr>
        <w:t>2</w:t>
      </w:r>
      <w:r>
        <w:t>.</w:t>
      </w:r>
      <w:r>
        <w:tab/>
        <w:t>Commencement</w:t>
      </w:r>
      <w:bookmarkEnd w:id="3"/>
    </w:p>
    <w:p>
      <w:pPr>
        <w:pStyle w:val="Subsection"/>
      </w:pPr>
      <w:r>
        <w:tab/>
      </w:r>
      <w:r>
        <w:tab/>
        <w:t>These by</w:t>
      </w:r>
      <w:r>
        <w:noBreakHyphen/>
        <w:t>laws come into operation on 1 April 2006.</w:t>
      </w:r>
    </w:p>
    <w:p>
      <w:pPr>
        <w:pStyle w:val="Heading5"/>
        <w:rPr>
          <w:snapToGrid w:val="0"/>
        </w:rPr>
      </w:pPr>
      <w:bookmarkStart w:id="4" w:name="_Toc201762559"/>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pPr>
        <w:pStyle w:val="Defstart"/>
      </w:pPr>
      <w:r>
        <w:rPr>
          <w:b/>
        </w:rPr>
        <w:tab/>
      </w:r>
      <w:r>
        <w:rPr>
          <w:rStyle w:val="CharDefText"/>
        </w:rPr>
        <w:t>off peak</w:t>
      </w:r>
      <w:r>
        <w:t xml:space="preserve"> means any period other than on peak;</w:t>
      </w:r>
    </w:p>
    <w:p>
      <w:pPr>
        <w:pStyle w:val="Defstart"/>
      </w:pPr>
      <w:r>
        <w:rPr>
          <w:b/>
        </w:rPr>
        <w:lastRenderedPageBreak/>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 21 Jun 2019 p. 2119.]</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5" w:name="_Toc201762560"/>
      <w:r>
        <w:rPr>
          <w:rStyle w:val="CharSectno"/>
        </w:rPr>
        <w:t>4</w:t>
      </w:r>
      <w:r>
        <w:t>.</w:t>
      </w:r>
      <w:r>
        <w:tab/>
      </w:r>
      <w:r>
        <w:rPr>
          <w:snapToGrid w:val="0"/>
        </w:rPr>
        <w:t>Electricity charges payable by consumers (Sch. 1, Sch. 2)</w:t>
      </w:r>
      <w:bookmarkEnd w:id="5"/>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6" w:name="_Toc201762561"/>
      <w:r>
        <w:rPr>
          <w:rStyle w:val="CharSectno"/>
        </w:rPr>
        <w:t>5</w:t>
      </w:r>
      <w:r>
        <w:t>.</w:t>
      </w:r>
      <w:r>
        <w:tab/>
        <w:t>Residential tariffs, when applicable</w:t>
      </w:r>
      <w:bookmarkEnd w:id="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7" w:name="_Toc201762562"/>
      <w:r>
        <w:rPr>
          <w:rStyle w:val="CharSectno"/>
        </w:rPr>
        <w:t>6</w:t>
      </w:r>
      <w:r>
        <w:t>.</w:t>
      </w:r>
      <w:r>
        <w:tab/>
        <w:t>Subsidiary meters, rental for (Sch. 3)</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8" w:name="_Toc201762563"/>
      <w:r>
        <w:rPr>
          <w:rStyle w:val="CharSectno"/>
        </w:rPr>
        <w:t>7</w:t>
      </w:r>
      <w:r>
        <w:t>.</w:t>
      </w:r>
      <w:r>
        <w:tab/>
        <w:t>Fees (Sch. 4)</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201762564"/>
      <w:r>
        <w:rPr>
          <w:rStyle w:val="CharSectno"/>
        </w:rPr>
        <w:lastRenderedPageBreak/>
        <w:t>8</w:t>
      </w:r>
      <w:r>
        <w:t>.</w:t>
      </w:r>
      <w:r>
        <w:tab/>
        <w:t>When charges payable; interest on unpaid charges</w:t>
      </w:r>
      <w:bookmarkEnd w:id="9"/>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Heading5"/>
      </w:pPr>
      <w:bookmarkStart w:id="10" w:name="_Toc201748180"/>
      <w:bookmarkStart w:id="11" w:name="_Toc201748424"/>
      <w:bookmarkStart w:id="12" w:name="_Toc201762565"/>
      <w:bookmarkStart w:id="13" w:name="_Hlk201753178"/>
      <w:r>
        <w:rPr>
          <w:rStyle w:val="CharSectno"/>
        </w:rPr>
        <w:t>9</w:t>
      </w:r>
      <w:r>
        <w:t>.</w:t>
      </w:r>
      <w:r>
        <w:tab/>
        <w:t>Reduced fee for meter testing</w:t>
      </w:r>
      <w:bookmarkEnd w:id="10"/>
      <w:bookmarkEnd w:id="11"/>
      <w:bookmarkEnd w:id="12"/>
    </w:p>
    <w:p>
      <w:pPr>
        <w:pStyle w:val="Subsection"/>
      </w:pPr>
      <w:r>
        <w:tab/>
        <w:t>(1)</w:t>
      </w:r>
      <w:r>
        <w:tab/>
        <w:t>In this by</w:t>
      </w:r>
      <w:r>
        <w:noBreakHyphen/>
        <w:t xml:space="preserve">law — </w:t>
      </w:r>
    </w:p>
    <w:p>
      <w:pPr>
        <w:pStyle w:val="Defstart"/>
      </w:pPr>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pPr>
        <w:pStyle w:val="Defstart"/>
      </w:pPr>
      <w:r>
        <w:tab/>
      </w:r>
      <w:r>
        <w:rPr>
          <w:rStyle w:val="CharDefText"/>
        </w:rPr>
        <w:t>eligible individual</w:t>
      </w:r>
      <w:r>
        <w:t xml:space="preserve"> means an individual who satisfies the corporation that the individual —</w:t>
      </w:r>
    </w:p>
    <w:p>
      <w:pPr>
        <w:pStyle w:val="Defpara"/>
      </w:pPr>
      <w:r>
        <w:tab/>
        <w:t>(a)</w:t>
      </w:r>
      <w:r>
        <w:tab/>
        <w:t>holds either or both of the following cards issued by Centrelink —</w:t>
      </w:r>
    </w:p>
    <w:p>
      <w:pPr>
        <w:pStyle w:val="Defsubpara"/>
      </w:pPr>
      <w:r>
        <w:lastRenderedPageBreak/>
        <w:tab/>
        <w:t>(i)</w:t>
      </w:r>
      <w:r>
        <w:tab/>
        <w:t>a health care card;</w:t>
      </w:r>
    </w:p>
    <w:p>
      <w:pPr>
        <w:pStyle w:val="Defsubpara"/>
      </w:pPr>
      <w:r>
        <w:tab/>
        <w:t>(ii)</w:t>
      </w:r>
      <w:r>
        <w:tab/>
        <w:t>a pensioner concession card;</w:t>
      </w:r>
    </w:p>
    <w:p>
      <w:pPr>
        <w:pStyle w:val="Defpara"/>
      </w:pPr>
      <w:r>
        <w:tab/>
      </w:r>
      <w:r>
        <w:tab/>
        <w:t>or</w:t>
      </w:r>
    </w:p>
    <w:p>
      <w:pPr>
        <w:pStyle w:val="Defpara"/>
      </w:pPr>
      <w:r>
        <w:tab/>
        <w:t>(b)</w:t>
      </w:r>
      <w:r>
        <w:tab/>
        <w:t xml:space="preserve">holds either or both of the following cards issued by the Department of Veterans’ Affairs of the Commonwealth — </w:t>
      </w:r>
    </w:p>
    <w:p>
      <w:pPr>
        <w:pStyle w:val="Defsubpara"/>
      </w:pPr>
      <w:r>
        <w:tab/>
        <w:t>(i)</w:t>
      </w:r>
      <w:r>
        <w:tab/>
        <w:t>a gold card;</w:t>
      </w:r>
    </w:p>
    <w:p>
      <w:pPr>
        <w:pStyle w:val="Defsubpara"/>
      </w:pPr>
      <w:r>
        <w:tab/>
        <w:t>(ii)</w:t>
      </w:r>
      <w:r>
        <w:tab/>
        <w:t>a pensioner concession card;</w:t>
      </w:r>
    </w:p>
    <w:p>
      <w:pPr>
        <w:pStyle w:val="Defstart"/>
      </w:pPr>
      <w:r>
        <w:tab/>
      </w:r>
      <w:r>
        <w:rPr>
          <w:rStyle w:val="CharDefText"/>
        </w:rPr>
        <w:t>gold card</w:t>
      </w:r>
      <w:r>
        <w:t xml:space="preserve"> has the meaning given in the </w:t>
      </w:r>
      <w:r>
        <w:rPr>
          <w:i/>
          <w:iCs/>
        </w:rPr>
        <w:t>Veterans’ Entitlements Act 1986</w:t>
      </w:r>
      <w:r>
        <w:t xml:space="preserve"> (Commonwealth) section 118P(3).</w:t>
      </w:r>
    </w:p>
    <w:p>
      <w:pPr>
        <w:pStyle w:val="Subsection"/>
      </w:pPr>
      <w:r>
        <w:tab/>
        <w:t>(2)</w:t>
      </w:r>
      <w:r>
        <w:tab/>
        <w:t>An eligible individual is entitled to pay the reduced meter testing fee specified in Schedule 4 item 4(b).</w:t>
      </w:r>
    </w:p>
    <w:bookmarkEnd w:id="13"/>
    <w:p>
      <w:pPr>
        <w:pStyle w:val="Footnotesection"/>
      </w:pPr>
      <w:r>
        <w:tab/>
        <w:t>[By</w:t>
      </w:r>
      <w:r>
        <w:noBreakHyphen/>
        <w:t>law 9 inserted: SL 2025/124 bl. 4.]</w:t>
      </w:r>
    </w:p>
    <w:p>
      <w:pPr>
        <w:pStyle w:val="Heading5"/>
      </w:pPr>
      <w:bookmarkStart w:id="14" w:name="_Toc201762566"/>
      <w:r>
        <w:rPr>
          <w:rStyle w:val="CharSectno"/>
        </w:rPr>
        <w:t>10</w:t>
      </w:r>
      <w:r>
        <w:t>.</w:t>
      </w:r>
      <w:r>
        <w:tab/>
        <w:t>Calculation of charges</w:t>
      </w:r>
      <w:bookmarkEnd w:id="14"/>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Footnotesection"/>
      </w:pPr>
      <w:r>
        <w:tab/>
        <w:t>[By</w:t>
      </w:r>
      <w:r>
        <w:noBreakHyphen/>
        <w:t>law 10 amended: Gazette 21 Jun 2019 p. 2120.]</w:t>
      </w:r>
    </w:p>
    <w:p>
      <w:pPr>
        <w:pStyle w:val="Heading5"/>
      </w:pPr>
      <w:bookmarkStart w:id="15" w:name="_Toc201762567"/>
      <w:r>
        <w:rPr>
          <w:rStyle w:val="CharSectno"/>
        </w:rPr>
        <w:t>11</w:t>
      </w:r>
      <w:r>
        <w:t>.</w:t>
      </w:r>
      <w:r>
        <w:tab/>
        <w:t>Changes to rate of charges, adjustment for</w:t>
      </w:r>
      <w:bookmarkEnd w:id="15"/>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6" w:name="_Toc201762568"/>
      <w:r>
        <w:rPr>
          <w:rStyle w:val="CharSectno"/>
        </w:rPr>
        <w:lastRenderedPageBreak/>
        <w:t>12</w:t>
      </w:r>
      <w:r>
        <w:t>.</w:t>
      </w:r>
      <w:r>
        <w:tab/>
        <w:t>Interest rate prescribed (Act s. 62(16))</w:t>
      </w:r>
      <w:bookmarkEnd w:id="16"/>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7" w:name="_Toc201748182"/>
      <w:bookmarkStart w:id="18" w:name="_Toc201748237"/>
      <w:bookmarkStart w:id="19" w:name="_Toc201748426"/>
      <w:bookmarkStart w:id="20" w:name="_Toc201755158"/>
      <w:bookmarkStart w:id="21" w:name="_Toc201755448"/>
      <w:bookmarkStart w:id="22" w:name="_Toc201762569"/>
      <w:bookmarkStart w:id="23" w:name="_Hlk201753513"/>
      <w:r>
        <w:rPr>
          <w:rStyle w:val="CharSchNo"/>
        </w:rPr>
        <w:lastRenderedPageBreak/>
        <w:t>Schedule 1</w:t>
      </w:r>
      <w:r>
        <w:t> — </w:t>
      </w:r>
      <w:r>
        <w:rPr>
          <w:rStyle w:val="CharSchText"/>
        </w:rPr>
        <w:t>Supply charges</w:t>
      </w:r>
      <w:bookmarkEnd w:id="17"/>
      <w:bookmarkEnd w:id="18"/>
      <w:bookmarkEnd w:id="19"/>
      <w:bookmarkEnd w:id="20"/>
      <w:bookmarkEnd w:id="21"/>
      <w:bookmarkEnd w:id="22"/>
    </w:p>
    <w:p>
      <w:pPr>
        <w:pStyle w:val="yShoulderClause"/>
      </w:pPr>
      <w:bookmarkStart w:id="24" w:name="_Hlk201753396"/>
      <w:r>
        <w:t>[bl. 3, 4(1) and 10(1)]</w:t>
      </w:r>
      <w:bookmarkEnd w:id="24"/>
    </w:p>
    <w:p>
      <w:pPr>
        <w:pStyle w:val="yFootnoteheading"/>
      </w:pPr>
      <w:bookmarkStart w:id="25" w:name="_Toc201748183"/>
      <w:bookmarkStart w:id="26" w:name="_Toc201748427"/>
      <w:bookmarkStart w:id="27" w:name="_Hlk201753437"/>
      <w:r>
        <w:tab/>
        <w:t>[Heading inserted: SL 2025/124 bl. 5.]</w:t>
      </w:r>
    </w:p>
    <w:p>
      <w:pPr>
        <w:pStyle w:val="yHeading5"/>
      </w:pPr>
      <w:bookmarkStart w:id="28" w:name="_Toc201762570"/>
      <w:r>
        <w:rPr>
          <w:rStyle w:val="CharSClsNo"/>
        </w:rPr>
        <w:t>1</w:t>
      </w:r>
      <w:r>
        <w:t>.</w:t>
      </w:r>
      <w:r>
        <w:tab/>
        <w:t>Tariff L1 (general supply — low/medium voltage tariff)</w:t>
      </w:r>
      <w:bookmarkEnd w:id="25"/>
      <w:bookmarkEnd w:id="26"/>
      <w:bookmarkEnd w:id="28"/>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$2.0718 per day; and</w:t>
      </w:r>
    </w:p>
    <w:p>
      <w:pPr>
        <w:pStyle w:val="yIndenta"/>
      </w:pPr>
      <w:r>
        <w:tab/>
        <w:t>(b)</w:t>
      </w:r>
      <w:r>
        <w:tab/>
        <w:t xml:space="preserve">a charge for metered consumption at the rate of — </w:t>
      </w:r>
    </w:p>
    <w:p>
      <w:pPr>
        <w:pStyle w:val="yIndenti0"/>
      </w:pPr>
      <w:r>
        <w:tab/>
        <w:t>(i)</w:t>
      </w:r>
      <w:r>
        <w:tab/>
        <w:t>32.2412 cents per unit for the first 1 650 units per day; and</w:t>
      </w:r>
    </w:p>
    <w:p>
      <w:pPr>
        <w:pStyle w:val="yIndenti0"/>
      </w:pPr>
      <w:r>
        <w:tab/>
        <w:t>(ii)</w:t>
      </w:r>
      <w:r>
        <w:tab/>
        <w:t>36.3508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29" w:name="_Toc201748184"/>
      <w:bookmarkStart w:id="30" w:name="_Toc201748428"/>
      <w:r>
        <w:tab/>
        <w:t>[Clause 1 inserted: SL 2025/124 bl. 5.]</w:t>
      </w:r>
    </w:p>
    <w:p>
      <w:pPr>
        <w:pStyle w:val="yHeading5"/>
      </w:pPr>
      <w:bookmarkStart w:id="31" w:name="_Toc201762571"/>
      <w:r>
        <w:rPr>
          <w:rStyle w:val="CharSClsNo"/>
        </w:rPr>
        <w:t>2</w:t>
      </w:r>
      <w:r>
        <w:t>.</w:t>
      </w:r>
      <w:r>
        <w:tab/>
        <w:t>Tariff L3 (general supply — low/medium voltage tariff)</w:t>
      </w:r>
      <w:bookmarkEnd w:id="29"/>
      <w:bookmarkEnd w:id="30"/>
      <w:bookmarkEnd w:id="31"/>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$1.8796 per day; and</w:t>
      </w:r>
    </w:p>
    <w:p>
      <w:pPr>
        <w:pStyle w:val="yIndenta"/>
      </w:pPr>
      <w:r>
        <w:tab/>
        <w:t>(b)</w:t>
      </w:r>
      <w:r>
        <w:tab/>
        <w:t xml:space="preserve">a charge for metered consumption at the rate of — </w:t>
      </w:r>
    </w:p>
    <w:p>
      <w:pPr>
        <w:pStyle w:val="yIndenti0"/>
      </w:pPr>
      <w:r>
        <w:tab/>
        <w:t>(i)</w:t>
      </w:r>
      <w:r>
        <w:tab/>
        <w:t>38.1783</w:t>
      </w:r>
      <w:r>
        <w:rPr>
          <w:szCs w:val="22"/>
        </w:rPr>
        <w:t xml:space="preserve"> </w:t>
      </w:r>
      <w:r>
        <w:t>cents per unit for the first 1 650 units per day; and</w:t>
      </w:r>
    </w:p>
    <w:p>
      <w:pPr>
        <w:pStyle w:val="yIndenti0"/>
      </w:pPr>
      <w:r>
        <w:tab/>
        <w:t>(ii)</w:t>
      </w:r>
      <w:r>
        <w:tab/>
        <w:t>32.3956</w:t>
      </w:r>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32" w:name="_Toc201748185"/>
      <w:bookmarkStart w:id="33" w:name="_Toc201748429"/>
      <w:r>
        <w:tab/>
        <w:t>[Clause 2 inserted: SL 2025/124 bl. 5.]</w:t>
      </w:r>
    </w:p>
    <w:p>
      <w:pPr>
        <w:pStyle w:val="yHeading5"/>
      </w:pPr>
      <w:bookmarkStart w:id="34" w:name="_Toc201762572"/>
      <w:r>
        <w:rPr>
          <w:rStyle w:val="CharSClsNo"/>
        </w:rPr>
        <w:lastRenderedPageBreak/>
        <w:t>3</w:t>
      </w:r>
      <w:r>
        <w:t>.</w:t>
      </w:r>
      <w:r>
        <w:tab/>
        <w:t>Tariff R1 (time</w:t>
      </w:r>
      <w:r>
        <w:noBreakHyphen/>
        <w:t>of</w:t>
      </w:r>
      <w:r>
        <w:noBreakHyphen/>
        <w:t>use tariff — low/medium voltage tariff)</w:t>
      </w:r>
      <w:bookmarkEnd w:id="32"/>
      <w:bookmarkEnd w:id="33"/>
      <w:bookmarkEnd w:id="34"/>
    </w:p>
    <w:p>
      <w:pPr>
        <w:pStyle w:val="ySubsection"/>
      </w:pPr>
      <w:r>
        <w:tab/>
        <w:t>(1)</w:t>
      </w:r>
      <w:r>
        <w:tab/>
        <w:t>Tariff R1 is available for low/medium voltage supply.</w:t>
      </w:r>
    </w:p>
    <w:p>
      <w:pPr>
        <w:pStyle w:val="ySubsection"/>
      </w:pPr>
      <w:r>
        <w:tab/>
        <w:t>(2)</w:t>
      </w:r>
      <w:r>
        <w:tab/>
        <w:t>Tariff R1 comprises —</w:t>
      </w:r>
    </w:p>
    <w:p>
      <w:pPr>
        <w:pStyle w:val="yIndenta"/>
      </w:pPr>
      <w:r>
        <w:tab/>
        <w:t>(a)</w:t>
      </w:r>
      <w:r>
        <w:tab/>
        <w:t>a fixed charge at the rate of $3.8741 per day; and</w:t>
      </w:r>
    </w:p>
    <w:p>
      <w:pPr>
        <w:pStyle w:val="yIndenta"/>
      </w:pPr>
      <w:r>
        <w:tab/>
        <w:t>(b)</w:t>
      </w:r>
      <w:r>
        <w:tab/>
        <w:t>an energy charge consisting of — </w:t>
      </w:r>
    </w:p>
    <w:p>
      <w:pPr>
        <w:pStyle w:val="yIndenti0"/>
      </w:pPr>
      <w:r>
        <w:tab/>
        <w:t>(i)</w:t>
      </w:r>
      <w:r>
        <w:tab/>
        <w:t>an on peak energy charge at the rate of 42.0178 cents per unit; and</w:t>
      </w:r>
    </w:p>
    <w:p>
      <w:pPr>
        <w:pStyle w:val="yIndenti0"/>
      </w:pPr>
      <w:r>
        <w:tab/>
        <w:t>(ii)</w:t>
      </w:r>
      <w:r>
        <w:tab/>
        <w:t>an off peak energy charge at the rate of 12.6052 cents per unit.</w:t>
      </w:r>
    </w:p>
    <w:p>
      <w:pPr>
        <w:pStyle w:val="ySubsection"/>
      </w:pPr>
      <w:r>
        <w:tab/>
        <w:t>(3)</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35" w:name="_Toc201748186"/>
      <w:bookmarkStart w:id="36" w:name="_Toc201748430"/>
      <w:r>
        <w:tab/>
        <w:t>[Clause 3 inserted: SL 2025/124 bl. 5.]</w:t>
      </w:r>
    </w:p>
    <w:p>
      <w:pPr>
        <w:pStyle w:val="yHeading5"/>
      </w:pPr>
      <w:bookmarkStart w:id="37" w:name="_Toc201762573"/>
      <w:r>
        <w:rPr>
          <w:rStyle w:val="CharSClsNo"/>
        </w:rPr>
        <w:t>4</w:t>
      </w:r>
      <w:r>
        <w:t>.</w:t>
      </w:r>
      <w:r>
        <w:tab/>
        <w:t>Tariff R3 (time</w:t>
      </w:r>
      <w:r>
        <w:noBreakHyphen/>
        <w:t>of</w:t>
      </w:r>
      <w:r>
        <w:noBreakHyphen/>
        <w:t>use tariff — low/medium voltage tariff)</w:t>
      </w:r>
      <w:bookmarkEnd w:id="35"/>
      <w:bookmarkEnd w:id="36"/>
      <w:bookmarkEnd w:id="37"/>
    </w:p>
    <w:p>
      <w:pPr>
        <w:pStyle w:val="ySubsection"/>
      </w:pPr>
      <w:r>
        <w:tab/>
        <w:t>(1)</w:t>
      </w:r>
      <w:r>
        <w:tab/>
        <w:t>Tariff R3 is available for low/medium voltage supply.</w:t>
      </w:r>
    </w:p>
    <w:p>
      <w:pPr>
        <w:pStyle w:val="ySubsection"/>
      </w:pPr>
      <w:r>
        <w:tab/>
        <w:t>(2)</w:t>
      </w:r>
      <w:r>
        <w:tab/>
        <w:t>Tariff R3 comprises —</w:t>
      </w:r>
    </w:p>
    <w:p>
      <w:pPr>
        <w:pStyle w:val="yIndenta"/>
      </w:pPr>
      <w:r>
        <w:tab/>
        <w:t>(a)</w:t>
      </w:r>
      <w:r>
        <w:tab/>
        <w:t xml:space="preserve">a fixed charge at the rate of </w:t>
      </w:r>
      <w:r>
        <w:rPr>
          <w:szCs w:val="22"/>
        </w:rPr>
        <w:t>$4.0735</w:t>
      </w:r>
      <w:r>
        <w:t xml:space="preserve"> per day; and</w:t>
      </w:r>
    </w:p>
    <w:p>
      <w:pPr>
        <w:pStyle w:val="yIndenta"/>
      </w:pPr>
      <w:r>
        <w:tab/>
        <w:t>(b)</w:t>
      </w:r>
      <w:r>
        <w:tab/>
        <w:t>an energy charge consisting of — </w:t>
      </w:r>
    </w:p>
    <w:p>
      <w:pPr>
        <w:pStyle w:val="yIndenti0"/>
      </w:pPr>
      <w:r>
        <w:tab/>
        <w:t>(i)</w:t>
      </w:r>
      <w:r>
        <w:tab/>
        <w:t>an on peak energy charge at the rate of 59.4193</w:t>
      </w:r>
      <w:r>
        <w:rPr>
          <w:szCs w:val="22"/>
        </w:rPr>
        <w:t xml:space="preserve"> </w:t>
      </w:r>
      <w:r>
        <w:t>cents per unit; and</w:t>
      </w:r>
    </w:p>
    <w:p>
      <w:pPr>
        <w:pStyle w:val="yIndenti0"/>
      </w:pPr>
      <w:r>
        <w:tab/>
        <w:t>(ii)</w:t>
      </w:r>
      <w:r>
        <w:tab/>
        <w:t>an off peak energy charge at the rate of 17.8496</w:t>
      </w:r>
      <w:r>
        <w:rPr>
          <w:szCs w:val="22"/>
        </w:rPr>
        <w:t xml:space="preserve"> </w:t>
      </w:r>
      <w:r>
        <w:t>cents per unit.</w:t>
      </w:r>
    </w:p>
    <w:p>
      <w:pPr>
        <w:pStyle w:val="ySubsection"/>
      </w:pPr>
      <w:r>
        <w:tab/>
        <w:t>(3)</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10;</w:t>
      </w:r>
    </w:p>
    <w:p>
      <w:pPr>
        <w:pStyle w:val="yIndenta"/>
      </w:pPr>
      <w:r>
        <w:lastRenderedPageBreak/>
        <w:tab/>
        <w:t>(c)</w:t>
      </w:r>
      <w:r>
        <w:tab/>
        <w:t>the consumer satisfies the corporation that the amount of electricity supplied to the consumer’s premises will be 50 MW hours or more per annum.</w:t>
      </w:r>
    </w:p>
    <w:p>
      <w:pPr>
        <w:pStyle w:val="yFootnotesection"/>
      </w:pPr>
      <w:bookmarkStart w:id="38" w:name="_Toc201748187"/>
      <w:bookmarkStart w:id="39" w:name="_Toc201748431"/>
      <w:r>
        <w:tab/>
        <w:t>[Clause 4 inserted: SL 2025/124 bl. 5.]</w:t>
      </w:r>
    </w:p>
    <w:p>
      <w:pPr>
        <w:pStyle w:val="yHeading5"/>
      </w:pPr>
      <w:bookmarkStart w:id="40" w:name="_Toc201762574"/>
      <w:r>
        <w:rPr>
          <w:rStyle w:val="CharSClsNo"/>
        </w:rPr>
        <w:t>5</w:t>
      </w:r>
      <w:r>
        <w:t>.</w:t>
      </w:r>
      <w:r>
        <w:tab/>
        <w:t>Standby charges</w:t>
      </w:r>
      <w:bookmarkEnd w:id="38"/>
      <w:bookmarkEnd w:id="39"/>
      <w:bookmarkEnd w:id="40"/>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must be assessed by the corporation and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must not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lastRenderedPageBreak/>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41" w:name="_Toc201748188"/>
      <w:bookmarkStart w:id="42" w:name="_Toc201748432"/>
      <w:r>
        <w:tab/>
        <w:t>[Clause 5 inserted: SL 2025/124 bl. 5.]</w:t>
      </w:r>
    </w:p>
    <w:p>
      <w:pPr>
        <w:pStyle w:val="yHeading5"/>
      </w:pPr>
      <w:bookmarkStart w:id="43" w:name="_Toc201762575"/>
      <w:r>
        <w:rPr>
          <w:rStyle w:val="CharSClsNo"/>
        </w:rPr>
        <w:t>6</w:t>
      </w:r>
      <w:r>
        <w:t>.</w:t>
      </w:r>
      <w:r>
        <w:tab/>
        <w:t>Tariff A1 (residential tariff)</w:t>
      </w:r>
      <w:bookmarkEnd w:id="41"/>
      <w:bookmarkEnd w:id="42"/>
      <w:bookmarkEnd w:id="4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$1.1605 per day or, for multiple dwellings supplied through 1 metered supply point, a fixed charge at the rate of —</w:t>
      </w:r>
    </w:p>
    <w:p>
      <w:pPr>
        <w:pStyle w:val="yIndenti0"/>
      </w:pPr>
      <w:r>
        <w:tab/>
        <w:t>(i)</w:t>
      </w:r>
      <w:r>
        <w:tab/>
        <w:t>$1.1605 per day for the first dwelling; and</w:t>
      </w:r>
    </w:p>
    <w:p>
      <w:pPr>
        <w:pStyle w:val="yIndenti0"/>
      </w:pPr>
      <w:r>
        <w:tab/>
        <w:t>(ii)</w:t>
      </w:r>
      <w:r>
        <w:tab/>
        <w:t>46.1412 cents per day for each additional dwelling;</w:t>
      </w:r>
    </w:p>
    <w:p>
      <w:pPr>
        <w:pStyle w:val="yIndenta"/>
      </w:pPr>
      <w:r>
        <w:tab/>
      </w:r>
      <w:r>
        <w:tab/>
        <w:t>and</w:t>
      </w:r>
    </w:p>
    <w:p>
      <w:pPr>
        <w:pStyle w:val="yIndenta"/>
      </w:pPr>
      <w:r>
        <w:tab/>
        <w:t>(b)</w:t>
      </w:r>
      <w:r>
        <w:tab/>
        <w:t>a charge for metered consumption at the rate of 32.3719 cents per unit.</w:t>
      </w:r>
    </w:p>
    <w:p>
      <w:pPr>
        <w:pStyle w:val="yFootnotesection"/>
      </w:pPr>
      <w:bookmarkStart w:id="44" w:name="_Toc201748189"/>
      <w:bookmarkStart w:id="45" w:name="_Toc201748433"/>
      <w:r>
        <w:tab/>
        <w:t>[Clause 6 inserted: SL 2025/124 bl. 5.]</w:t>
      </w:r>
    </w:p>
    <w:p>
      <w:pPr>
        <w:pStyle w:val="yHeading5"/>
      </w:pPr>
      <w:bookmarkStart w:id="46" w:name="_Toc201762576"/>
      <w:r>
        <w:rPr>
          <w:rStyle w:val="CharSClsNo"/>
        </w:rPr>
        <w:t>7</w:t>
      </w:r>
      <w:r>
        <w:t>.</w:t>
      </w:r>
      <w:r>
        <w:tab/>
        <w:t>Tariff B1 (residential water heating tariff)</w:t>
      </w:r>
      <w:bookmarkEnd w:id="44"/>
      <w:bookmarkEnd w:id="45"/>
      <w:bookmarkEnd w:id="46"/>
    </w:p>
    <w:p>
      <w:pPr>
        <w:pStyle w:val="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24.4511 cents per day or, for multiple dwellings supplied through 1 metered supply point, a fixed charge at the rate of 24.4511 cents per day for each dwelling; and</w:t>
      </w:r>
    </w:p>
    <w:p>
      <w:pPr>
        <w:pStyle w:val="yIndenta"/>
      </w:pPr>
      <w:r>
        <w:tab/>
        <w:t>(b)</w:t>
      </w:r>
      <w:r>
        <w:tab/>
        <w:t>a charge for metered consumption at the rate of 13.5078 cents per unit.</w:t>
      </w:r>
    </w:p>
    <w:p>
      <w:pPr>
        <w:pStyle w:val="yFootnotesection"/>
      </w:pPr>
      <w:bookmarkStart w:id="47" w:name="_Toc201748190"/>
      <w:bookmarkStart w:id="48" w:name="_Toc201748434"/>
      <w:r>
        <w:tab/>
        <w:t>[Clause 7 inserted: SL 2025/124 bl. 5.]</w:t>
      </w:r>
    </w:p>
    <w:p>
      <w:pPr>
        <w:pStyle w:val="yHeading5"/>
      </w:pPr>
      <w:bookmarkStart w:id="49" w:name="_Toc201762577"/>
      <w:r>
        <w:rPr>
          <w:rStyle w:val="CharSClsNo"/>
        </w:rPr>
        <w:lastRenderedPageBreak/>
        <w:t>8</w:t>
      </w:r>
      <w:r>
        <w:t>.</w:t>
      </w:r>
      <w:r>
        <w:tab/>
        <w:t>Tariff C1 (special community service tariff)</w:t>
      </w:r>
      <w:bookmarkEnd w:id="47"/>
      <w:bookmarkEnd w:id="48"/>
      <w:bookmarkEnd w:id="49"/>
    </w:p>
    <w:p>
      <w:pPr>
        <w:pStyle w:val="ySubsection"/>
      </w:pPr>
      <w:r>
        <w:tab/>
        <w:t>(1)</w:t>
      </w:r>
      <w:r>
        <w:tab/>
        <w:t>Tariff C1 is available for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$1.1200 per day; and</w:t>
      </w:r>
    </w:p>
    <w:p>
      <w:pPr>
        <w:pStyle w:val="yIndenta"/>
      </w:pPr>
      <w:r>
        <w:tab/>
        <w:t>(b)</w:t>
      </w:r>
      <w:r>
        <w:tab/>
        <w:t xml:space="preserve">a charge for metered consumption at the rate of — </w:t>
      </w:r>
    </w:p>
    <w:p>
      <w:pPr>
        <w:pStyle w:val="yIndenti0"/>
      </w:pPr>
      <w:r>
        <w:tab/>
        <w:t>(i)</w:t>
      </w:r>
      <w:r>
        <w:tab/>
        <w:t>26.1643 cents per unit for the first 20 units per day; and</w:t>
      </w:r>
    </w:p>
    <w:p>
      <w:pPr>
        <w:pStyle w:val="yIndenti0"/>
      </w:pPr>
      <w:r>
        <w:tab/>
        <w:t>(ii)</w:t>
      </w:r>
      <w:r>
        <w:tab/>
        <w:t>27.9156 cents per unit for the next 1 630 units per day; and</w:t>
      </w:r>
    </w:p>
    <w:p>
      <w:pPr>
        <w:pStyle w:val="yIndenti0"/>
      </w:pPr>
      <w:r>
        <w:tab/>
        <w:t>(iii)</w:t>
      </w:r>
      <w:r>
        <w:tab/>
        <w:t>26.6273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50" w:name="_Toc201748191"/>
      <w:bookmarkStart w:id="51" w:name="_Toc201748435"/>
      <w:r>
        <w:tab/>
        <w:t>[Clause 8 inserted: SL 2025/124 bl. 5.]</w:t>
      </w:r>
    </w:p>
    <w:p>
      <w:pPr>
        <w:pStyle w:val="yHeading5"/>
      </w:pPr>
      <w:bookmarkStart w:id="52" w:name="_Toc201762578"/>
      <w:r>
        <w:rPr>
          <w:rStyle w:val="CharSClsNo"/>
        </w:rPr>
        <w:lastRenderedPageBreak/>
        <w:t>9</w:t>
      </w:r>
      <w:r>
        <w:t>.</w:t>
      </w:r>
      <w:r>
        <w:tab/>
        <w:t>Tariff D1 (special tariff for certain premises)</w:t>
      </w:r>
      <w:bookmarkEnd w:id="50"/>
      <w:bookmarkEnd w:id="51"/>
      <w:bookmarkEnd w:id="52"/>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$1.1045 per day; and</w:t>
      </w:r>
    </w:p>
    <w:p>
      <w:pPr>
        <w:pStyle w:val="yIndenta"/>
      </w:pPr>
      <w:r>
        <w:tab/>
        <w:t>(b)</w:t>
      </w:r>
      <w:r>
        <w:tab/>
        <w:t>if under subclause (3) there is taken to be more than 1 equivalent domestic residence in the premises, a charge of 40.9524 cents per day for each equivalent domestic residence except the first that is taken to be in the premises; and</w:t>
      </w:r>
    </w:p>
    <w:p>
      <w:pPr>
        <w:pStyle w:val="yIndenta"/>
      </w:pPr>
      <w:r>
        <w:tab/>
        <w:t>(c)</w:t>
      </w:r>
      <w:r>
        <w:tab/>
        <w:t>a charge for metered consumption at the rate of 28.0643 cents per unit.</w:t>
      </w:r>
    </w:p>
    <w:p>
      <w:pPr>
        <w:pStyle w:val="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yFootnotesection"/>
      </w:pPr>
      <w:bookmarkStart w:id="53" w:name="_Toc201748192"/>
      <w:bookmarkStart w:id="54" w:name="_Toc201748436"/>
      <w:r>
        <w:tab/>
        <w:t>[Clause 9 inserted: SL 2025/124 bl. 5.]</w:t>
      </w:r>
    </w:p>
    <w:p>
      <w:pPr>
        <w:pStyle w:val="yHeading5"/>
      </w:pPr>
      <w:bookmarkStart w:id="55" w:name="_Toc201762579"/>
      <w:r>
        <w:rPr>
          <w:rStyle w:val="CharSClsNo"/>
        </w:rPr>
        <w:t>10</w:t>
      </w:r>
      <w:r>
        <w:t>.</w:t>
      </w:r>
      <w:r>
        <w:tab/>
        <w:t>Tariff K1 (general supply with residential tariff)</w:t>
      </w:r>
      <w:bookmarkEnd w:id="53"/>
      <w:bookmarkEnd w:id="54"/>
      <w:bookmarkEnd w:id="55"/>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$2.0478 per day; and</w:t>
      </w:r>
    </w:p>
    <w:p>
      <w:pPr>
        <w:pStyle w:val="yIndenta"/>
      </w:pPr>
      <w:r>
        <w:tab/>
        <w:t>(b)</w:t>
      </w:r>
      <w:r>
        <w:tab/>
        <w:t>a charge for metered consumption at the rate of —</w:t>
      </w:r>
    </w:p>
    <w:p>
      <w:pPr>
        <w:pStyle w:val="yIndenti0"/>
      </w:pPr>
      <w:r>
        <w:tab/>
        <w:t>(i)</w:t>
      </w:r>
      <w:r>
        <w:tab/>
        <w:t>33.8181 cents per unit for the first 20 units per day; and</w:t>
      </w:r>
    </w:p>
    <w:p>
      <w:pPr>
        <w:pStyle w:val="yIndenti0"/>
      </w:pPr>
      <w:r>
        <w:tab/>
        <w:t>(ii)</w:t>
      </w:r>
      <w:r>
        <w:tab/>
        <w:t>31.8691 cents per unit for the next 1 630 units per day; and</w:t>
      </w:r>
    </w:p>
    <w:p>
      <w:pPr>
        <w:pStyle w:val="yIndenti0"/>
      </w:pPr>
      <w:r>
        <w:tab/>
        <w:t>(iii)</w:t>
      </w:r>
      <w:r>
        <w:tab/>
        <w:t>35.9313 cents per unit for all units exceeding 1 650 units per day.</w:t>
      </w:r>
      <w:bookmarkEnd w:id="27"/>
    </w:p>
    <w:bookmarkEnd w:id="23"/>
    <w:p>
      <w:pPr>
        <w:pStyle w:val="yFootnotesection"/>
      </w:pPr>
      <w:r>
        <w:tab/>
        <w:t>[Clause 10 inserted: SL 2025/124 bl. 5.]</w:t>
      </w:r>
    </w:p>
    <w:p>
      <w:pPr>
        <w:rPr>
          <w:iCs/>
          <w:snapToGrid w:val="0"/>
          <w:sz w:val="22"/>
        </w:r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56" w:name="_Toc201748193"/>
      <w:bookmarkStart w:id="57" w:name="_Toc201748248"/>
      <w:bookmarkStart w:id="58" w:name="_Toc201748437"/>
      <w:bookmarkStart w:id="59" w:name="_Toc201755169"/>
      <w:bookmarkStart w:id="60" w:name="_Toc201755459"/>
      <w:bookmarkStart w:id="61" w:name="_Toc201762580"/>
      <w:bookmarkStart w:id="62" w:name="_Hlk201753569"/>
      <w:r>
        <w:rPr>
          <w:rStyle w:val="CharSchNo"/>
        </w:rPr>
        <w:lastRenderedPageBreak/>
        <w:t>Schedule 2</w:t>
      </w:r>
      <w:r>
        <w:t> — </w:t>
      </w:r>
      <w:r>
        <w:rPr>
          <w:rStyle w:val="CharSchText"/>
        </w:rPr>
        <w:t>Unmetered supply</w:t>
      </w:r>
      <w:bookmarkEnd w:id="56"/>
      <w:bookmarkEnd w:id="57"/>
      <w:bookmarkEnd w:id="58"/>
      <w:bookmarkEnd w:id="59"/>
      <w:bookmarkEnd w:id="60"/>
      <w:bookmarkEnd w:id="61"/>
    </w:p>
    <w:p>
      <w:pPr>
        <w:pStyle w:val="yShoulderClause"/>
      </w:pPr>
      <w:r>
        <w:t>[bl. 4(2) and (3)]</w:t>
      </w:r>
    </w:p>
    <w:p>
      <w:pPr>
        <w:pStyle w:val="yFootnoteheading"/>
      </w:pPr>
      <w:bookmarkStart w:id="63" w:name="_Toc201748194"/>
      <w:bookmarkStart w:id="64" w:name="_Toc201748249"/>
      <w:bookmarkStart w:id="65" w:name="_Toc201748438"/>
      <w:r>
        <w:tab/>
        <w:t>[Heading inserted: SL 2025/124 bl. 5.]</w:t>
      </w:r>
    </w:p>
    <w:p>
      <w:pPr>
        <w:pStyle w:val="yHeading3"/>
      </w:pPr>
      <w:bookmarkStart w:id="66" w:name="_Toc201755170"/>
      <w:bookmarkStart w:id="67" w:name="_Toc201755460"/>
      <w:bookmarkStart w:id="68" w:name="_Toc201762581"/>
      <w:r>
        <w:rPr>
          <w:rStyle w:val="CharSDivNo"/>
        </w:rPr>
        <w:t>Division 1</w:t>
      </w:r>
      <w:r>
        <w:rPr>
          <w:b w:val="0"/>
        </w:rPr>
        <w:t> — </w:t>
      </w:r>
      <w:r>
        <w:rPr>
          <w:rStyle w:val="CharSDivText"/>
        </w:rPr>
        <w:t>Street lighting</w:t>
      </w:r>
      <w:bookmarkEnd w:id="63"/>
      <w:bookmarkEnd w:id="64"/>
      <w:bookmarkEnd w:id="65"/>
      <w:bookmarkEnd w:id="66"/>
      <w:bookmarkEnd w:id="67"/>
      <w:bookmarkEnd w:id="68"/>
    </w:p>
    <w:p>
      <w:pPr>
        <w:pStyle w:val="yFootnoteheading"/>
      </w:pPr>
      <w:r>
        <w:tab/>
        <w:t>[Heading inserted: SL 2025/124 bl. 5.]</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851" w:type="dxa"/>
            <w:gridSpan w:val="2"/>
            <w:tcBorders>
              <w:top w:val="single" w:sz="4" w:space="0" w:color="auto"/>
              <w:bottom w:val="single" w:sz="4" w:space="0" w:color="auto"/>
            </w:tcBorders>
            <w:noWrap/>
          </w:tcPr>
          <w:p>
            <w:pPr>
              <w:pStyle w:val="yTableNAm"/>
            </w:pPr>
            <w:r>
              <w:rPr>
                <w:b/>
                <w:bCs/>
                <w:sz w:val="16"/>
                <w:szCs w:val="16"/>
              </w:rPr>
              <w:t>Wattage</w:t>
            </w:r>
          </w:p>
        </w:tc>
        <w:tc>
          <w:tcPr>
            <w:tcW w:w="1142" w:type="dxa"/>
            <w:tcBorders>
              <w:top w:val="single" w:sz="4" w:space="0" w:color="auto"/>
              <w:bottom w:val="single" w:sz="4" w:space="0" w:color="auto"/>
            </w:tcBorders>
            <w:noWrap/>
          </w:tcPr>
          <w:p>
            <w:pPr>
              <w:pStyle w:val="yTableNAm"/>
            </w:pPr>
            <w:r>
              <w:rPr>
                <w:b/>
                <w:bCs/>
                <w:sz w:val="16"/>
                <w:szCs w:val="16"/>
              </w:rPr>
              <w:t>Type</w:t>
            </w:r>
          </w:p>
        </w:tc>
        <w:tc>
          <w:tcPr>
            <w:tcW w:w="1362" w:type="dxa"/>
            <w:gridSpan w:val="3"/>
            <w:tcBorders>
              <w:top w:val="single" w:sz="4" w:space="0" w:color="auto"/>
              <w:bottom w:val="single" w:sz="4" w:space="0" w:color="auto"/>
            </w:tcBorders>
            <w:noWrap/>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noWrap/>
          </w:tcPr>
          <w:p>
            <w:pPr>
              <w:pStyle w:val="yTableNAm"/>
            </w:pPr>
            <w:r>
              <w:rPr>
                <w:b/>
                <w:i/>
                <w:iCs/>
                <w:sz w:val="16"/>
                <w:szCs w:val="16"/>
              </w:rPr>
              <w:t>Street lighting on current offer and for existing services</w:t>
            </w:r>
          </w:p>
        </w:tc>
      </w:tr>
      <w:tr>
        <w:trPr>
          <w:cantSplit/>
        </w:trPr>
        <w:tc>
          <w:tcPr>
            <w:tcW w:w="567" w:type="dxa"/>
            <w:noWrap/>
          </w:tcPr>
          <w:p>
            <w:pPr>
              <w:pStyle w:val="yTableNAm"/>
              <w:rPr>
                <w:sz w:val="18"/>
                <w:szCs w:val="18"/>
              </w:rPr>
            </w:pPr>
            <w:r>
              <w:rPr>
                <w:sz w:val="18"/>
                <w:szCs w:val="18"/>
              </w:rPr>
              <w:t>Z.01</w:t>
            </w:r>
          </w:p>
        </w:tc>
        <w:tc>
          <w:tcPr>
            <w:tcW w:w="709" w:type="dxa"/>
            <w:noWrap/>
          </w:tcPr>
          <w:p>
            <w:pPr>
              <w:pStyle w:val="yTableNAm"/>
              <w:rPr>
                <w:sz w:val="18"/>
                <w:szCs w:val="18"/>
              </w:rPr>
            </w:pPr>
            <w:r>
              <w:rPr>
                <w:sz w:val="18"/>
                <w:szCs w:val="18"/>
              </w:rPr>
              <w:t>50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37.4034</w:t>
            </w:r>
          </w:p>
        </w:tc>
        <w:tc>
          <w:tcPr>
            <w:tcW w:w="1512" w:type="dxa"/>
            <w:noWrap/>
          </w:tcPr>
          <w:p>
            <w:pPr>
              <w:pStyle w:val="yTableNAm"/>
              <w:jc w:val="right"/>
              <w:rPr>
                <w:sz w:val="18"/>
                <w:szCs w:val="18"/>
              </w:rPr>
            </w:pPr>
            <w:r>
              <w:rPr>
                <w:sz w:val="18"/>
                <w:szCs w:val="18"/>
              </w:rPr>
              <w:t>38.6560</w:t>
            </w:r>
          </w:p>
        </w:tc>
        <w:tc>
          <w:tcPr>
            <w:tcW w:w="1370" w:type="dxa"/>
            <w:noWrap/>
          </w:tcPr>
          <w:p>
            <w:pPr>
              <w:pStyle w:val="yTableNAm"/>
              <w:jc w:val="right"/>
              <w:rPr>
                <w:sz w:val="18"/>
                <w:szCs w:val="18"/>
              </w:rPr>
            </w:pPr>
            <w:r>
              <w:rPr>
                <w:sz w:val="18"/>
                <w:szCs w:val="18"/>
              </w:rPr>
              <w:t>43.4162</w:t>
            </w:r>
          </w:p>
        </w:tc>
      </w:tr>
      <w:tr>
        <w:trPr>
          <w:cantSplit/>
        </w:trPr>
        <w:tc>
          <w:tcPr>
            <w:tcW w:w="567" w:type="dxa"/>
            <w:noWrap/>
          </w:tcPr>
          <w:p>
            <w:pPr>
              <w:pStyle w:val="yTableNAm"/>
              <w:rPr>
                <w:sz w:val="18"/>
                <w:szCs w:val="18"/>
              </w:rPr>
            </w:pPr>
            <w:r>
              <w:rPr>
                <w:sz w:val="18"/>
                <w:szCs w:val="18"/>
              </w:rPr>
              <w:t>Z.02</w:t>
            </w:r>
          </w:p>
        </w:tc>
        <w:tc>
          <w:tcPr>
            <w:tcW w:w="709" w:type="dxa"/>
            <w:noWrap/>
          </w:tcPr>
          <w:p>
            <w:pPr>
              <w:pStyle w:val="yTableNAm"/>
              <w:rPr>
                <w:sz w:val="18"/>
                <w:szCs w:val="18"/>
              </w:rPr>
            </w:pPr>
            <w:r>
              <w:rPr>
                <w:sz w:val="18"/>
                <w:szCs w:val="18"/>
              </w:rPr>
              <w:t>80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48.3181</w:t>
            </w:r>
          </w:p>
        </w:tc>
        <w:tc>
          <w:tcPr>
            <w:tcW w:w="1512" w:type="dxa"/>
            <w:noWrap/>
          </w:tcPr>
          <w:p>
            <w:pPr>
              <w:pStyle w:val="yTableNAm"/>
              <w:jc w:val="right"/>
              <w:rPr>
                <w:sz w:val="18"/>
                <w:szCs w:val="18"/>
              </w:rPr>
            </w:pPr>
            <w:r>
              <w:rPr>
                <w:sz w:val="18"/>
                <w:szCs w:val="18"/>
              </w:rPr>
              <w:t>50.3224</w:t>
            </w:r>
          </w:p>
        </w:tc>
        <w:tc>
          <w:tcPr>
            <w:tcW w:w="1370" w:type="dxa"/>
            <w:noWrap/>
          </w:tcPr>
          <w:p>
            <w:pPr>
              <w:pStyle w:val="yTableNAm"/>
              <w:jc w:val="right"/>
              <w:rPr>
                <w:sz w:val="18"/>
                <w:szCs w:val="18"/>
              </w:rPr>
            </w:pPr>
            <w:r>
              <w:rPr>
                <w:sz w:val="18"/>
                <w:szCs w:val="18"/>
              </w:rPr>
              <w:t>57.9387</w:t>
            </w:r>
          </w:p>
        </w:tc>
      </w:tr>
      <w:tr>
        <w:trPr>
          <w:cantSplit/>
        </w:trPr>
        <w:tc>
          <w:tcPr>
            <w:tcW w:w="567" w:type="dxa"/>
            <w:noWrap/>
          </w:tcPr>
          <w:p>
            <w:pPr>
              <w:pStyle w:val="yTableNAm"/>
              <w:rPr>
                <w:sz w:val="18"/>
                <w:szCs w:val="18"/>
              </w:rPr>
            </w:pPr>
            <w:r>
              <w:rPr>
                <w:sz w:val="18"/>
                <w:szCs w:val="18"/>
              </w:rPr>
              <w:t>Z.03</w:t>
            </w:r>
          </w:p>
        </w:tc>
        <w:tc>
          <w:tcPr>
            <w:tcW w:w="709" w:type="dxa"/>
            <w:noWrap/>
          </w:tcPr>
          <w:p>
            <w:pPr>
              <w:pStyle w:val="yTableNAm"/>
              <w:rPr>
                <w:sz w:val="18"/>
                <w:szCs w:val="18"/>
              </w:rPr>
            </w:pPr>
            <w:r>
              <w:rPr>
                <w:sz w:val="18"/>
                <w:szCs w:val="18"/>
              </w:rPr>
              <w:t>125</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59.3581</w:t>
            </w:r>
          </w:p>
        </w:tc>
        <w:tc>
          <w:tcPr>
            <w:tcW w:w="1512" w:type="dxa"/>
            <w:noWrap/>
          </w:tcPr>
          <w:p>
            <w:pPr>
              <w:pStyle w:val="yTableNAm"/>
              <w:jc w:val="right"/>
              <w:rPr>
                <w:sz w:val="18"/>
                <w:szCs w:val="18"/>
              </w:rPr>
            </w:pPr>
            <w:r>
              <w:rPr>
                <w:sz w:val="18"/>
                <w:szCs w:val="18"/>
              </w:rPr>
              <w:t>62.4898</w:t>
            </w:r>
          </w:p>
        </w:tc>
        <w:tc>
          <w:tcPr>
            <w:tcW w:w="1370" w:type="dxa"/>
            <w:noWrap/>
          </w:tcPr>
          <w:p>
            <w:pPr>
              <w:pStyle w:val="yTableNAm"/>
              <w:jc w:val="right"/>
              <w:rPr>
                <w:sz w:val="18"/>
                <w:szCs w:val="18"/>
              </w:rPr>
            </w:pPr>
            <w:r>
              <w:rPr>
                <w:sz w:val="18"/>
                <w:szCs w:val="18"/>
              </w:rPr>
              <w:t>74.3903</w:t>
            </w:r>
          </w:p>
        </w:tc>
      </w:tr>
      <w:tr>
        <w:trPr>
          <w:cantSplit/>
        </w:trPr>
        <w:tc>
          <w:tcPr>
            <w:tcW w:w="567" w:type="dxa"/>
            <w:noWrap/>
          </w:tcPr>
          <w:p>
            <w:pPr>
              <w:pStyle w:val="yTableNAm"/>
              <w:rPr>
                <w:sz w:val="18"/>
                <w:szCs w:val="18"/>
              </w:rPr>
            </w:pPr>
            <w:r>
              <w:rPr>
                <w:sz w:val="18"/>
                <w:szCs w:val="18"/>
              </w:rPr>
              <w:t>Z.07</w:t>
            </w:r>
          </w:p>
        </w:tc>
        <w:tc>
          <w:tcPr>
            <w:tcW w:w="709" w:type="dxa"/>
            <w:noWrap/>
          </w:tcPr>
          <w:p>
            <w:pPr>
              <w:pStyle w:val="yTableNAm"/>
              <w:rPr>
                <w:sz w:val="18"/>
                <w:szCs w:val="18"/>
              </w:rPr>
            </w:pPr>
            <w:r>
              <w:rPr>
                <w:sz w:val="18"/>
                <w:szCs w:val="18"/>
              </w:rPr>
              <w:t>250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85.0927</w:t>
            </w:r>
          </w:p>
        </w:tc>
        <w:tc>
          <w:tcPr>
            <w:tcW w:w="1512" w:type="dxa"/>
            <w:noWrap/>
          </w:tcPr>
          <w:p>
            <w:pPr>
              <w:pStyle w:val="yTableNAm"/>
              <w:jc w:val="right"/>
              <w:rPr>
                <w:sz w:val="18"/>
                <w:szCs w:val="18"/>
              </w:rPr>
            </w:pPr>
            <w:r>
              <w:rPr>
                <w:sz w:val="18"/>
                <w:szCs w:val="18"/>
              </w:rPr>
              <w:t>91.3562</w:t>
            </w:r>
          </w:p>
        </w:tc>
        <w:tc>
          <w:tcPr>
            <w:tcW w:w="1370" w:type="dxa"/>
            <w:noWrap/>
          </w:tcPr>
          <w:p>
            <w:pPr>
              <w:pStyle w:val="yTableNAm"/>
              <w:jc w:val="right"/>
              <w:rPr>
                <w:sz w:val="18"/>
                <w:szCs w:val="18"/>
              </w:rPr>
            </w:pPr>
            <w:r>
              <w:rPr>
                <w:sz w:val="18"/>
                <w:szCs w:val="18"/>
              </w:rPr>
              <w:t>115.1571</w:t>
            </w:r>
          </w:p>
        </w:tc>
      </w:tr>
      <w:tr>
        <w:trPr>
          <w:cantSplit/>
        </w:trPr>
        <w:tc>
          <w:tcPr>
            <w:tcW w:w="567" w:type="dxa"/>
            <w:noWrap/>
          </w:tcPr>
          <w:p>
            <w:pPr>
              <w:pStyle w:val="yTableNAm"/>
              <w:rPr>
                <w:sz w:val="18"/>
                <w:szCs w:val="18"/>
              </w:rPr>
            </w:pPr>
            <w:r>
              <w:rPr>
                <w:sz w:val="18"/>
                <w:szCs w:val="18"/>
              </w:rPr>
              <w:t>Z.10</w:t>
            </w:r>
          </w:p>
        </w:tc>
        <w:tc>
          <w:tcPr>
            <w:tcW w:w="709" w:type="dxa"/>
            <w:noWrap/>
          </w:tcPr>
          <w:p>
            <w:pPr>
              <w:pStyle w:val="yTableNAm"/>
              <w:rPr>
                <w:sz w:val="18"/>
                <w:szCs w:val="18"/>
              </w:rPr>
            </w:pPr>
            <w:r>
              <w:rPr>
                <w:sz w:val="18"/>
                <w:szCs w:val="18"/>
              </w:rPr>
              <w:t>400</w:t>
            </w:r>
          </w:p>
        </w:tc>
        <w:tc>
          <w:tcPr>
            <w:tcW w:w="1417" w:type="dxa"/>
            <w:gridSpan w:val="4"/>
            <w:noWrap/>
          </w:tcPr>
          <w:p>
            <w:pPr>
              <w:pStyle w:val="yTableNAm"/>
              <w:rPr>
                <w:sz w:val="18"/>
                <w:szCs w:val="18"/>
              </w:rPr>
            </w:pPr>
            <w:r>
              <w:rPr>
                <w:sz w:val="18"/>
                <w:szCs w:val="18"/>
              </w:rPr>
              <w:t>Mercury vapour</w:t>
            </w:r>
          </w:p>
        </w:tc>
        <w:tc>
          <w:tcPr>
            <w:tcW w:w="1229" w:type="dxa"/>
            <w:noWrap/>
          </w:tcPr>
          <w:p>
            <w:pPr>
              <w:pStyle w:val="yTableNAm"/>
              <w:jc w:val="right"/>
              <w:rPr>
                <w:sz w:val="18"/>
                <w:szCs w:val="18"/>
              </w:rPr>
            </w:pPr>
            <w:r>
              <w:rPr>
                <w:sz w:val="18"/>
                <w:szCs w:val="18"/>
              </w:rPr>
              <w:t>98.6546</w:t>
            </w:r>
          </w:p>
        </w:tc>
        <w:tc>
          <w:tcPr>
            <w:tcW w:w="1512" w:type="dxa"/>
            <w:noWrap/>
          </w:tcPr>
          <w:p>
            <w:pPr>
              <w:pStyle w:val="yTableNAm"/>
              <w:jc w:val="right"/>
              <w:rPr>
                <w:sz w:val="18"/>
                <w:szCs w:val="18"/>
              </w:rPr>
            </w:pPr>
            <w:r>
              <w:rPr>
                <w:sz w:val="18"/>
                <w:szCs w:val="18"/>
              </w:rPr>
              <w:t>102.6814</w:t>
            </w:r>
          </w:p>
        </w:tc>
        <w:tc>
          <w:tcPr>
            <w:tcW w:w="1370" w:type="dxa"/>
            <w:noWrap/>
          </w:tcPr>
          <w:p>
            <w:pPr>
              <w:pStyle w:val="yTableNAm"/>
              <w:jc w:val="right"/>
              <w:rPr>
                <w:sz w:val="18"/>
                <w:szCs w:val="18"/>
              </w:rPr>
            </w:pPr>
            <w:r>
              <w:rPr>
                <w:sz w:val="18"/>
                <w:szCs w:val="18"/>
              </w:rPr>
              <w:t>151.5933</w:t>
            </w:r>
          </w:p>
        </w:tc>
      </w:tr>
      <w:tr>
        <w:trPr>
          <w:cantSplit/>
        </w:trPr>
        <w:tc>
          <w:tcPr>
            <w:tcW w:w="567" w:type="dxa"/>
            <w:noWrap/>
          </w:tcPr>
          <w:p>
            <w:pPr>
              <w:pStyle w:val="yTableNAm"/>
              <w:rPr>
                <w:sz w:val="18"/>
                <w:szCs w:val="18"/>
              </w:rPr>
            </w:pPr>
            <w:r>
              <w:rPr>
                <w:sz w:val="18"/>
                <w:szCs w:val="18"/>
              </w:rPr>
              <w:t>Z.13</w:t>
            </w:r>
          </w:p>
        </w:tc>
        <w:tc>
          <w:tcPr>
            <w:tcW w:w="709" w:type="dxa"/>
            <w:noWrap/>
          </w:tcPr>
          <w:p>
            <w:pPr>
              <w:pStyle w:val="yTableNAm"/>
              <w:rPr>
                <w:sz w:val="18"/>
                <w:szCs w:val="18"/>
              </w:rPr>
            </w:pPr>
            <w:r>
              <w:rPr>
                <w:sz w:val="18"/>
                <w:szCs w:val="18"/>
              </w:rPr>
              <w:t>150</w:t>
            </w:r>
          </w:p>
        </w:tc>
        <w:tc>
          <w:tcPr>
            <w:tcW w:w="1417" w:type="dxa"/>
            <w:gridSpan w:val="4"/>
            <w:noWrap/>
          </w:tcPr>
          <w:p>
            <w:pPr>
              <w:pStyle w:val="yTableNAm"/>
              <w:rPr>
                <w:sz w:val="18"/>
                <w:szCs w:val="18"/>
              </w:rPr>
            </w:pPr>
            <w:r>
              <w:rPr>
                <w:sz w:val="18"/>
                <w:szCs w:val="18"/>
              </w:rPr>
              <w:t>High pressure sodium</w:t>
            </w:r>
          </w:p>
        </w:tc>
        <w:tc>
          <w:tcPr>
            <w:tcW w:w="1229" w:type="dxa"/>
            <w:noWrap/>
          </w:tcPr>
          <w:p>
            <w:pPr>
              <w:pStyle w:val="yTableNAm"/>
              <w:jc w:val="right"/>
              <w:rPr>
                <w:sz w:val="18"/>
                <w:szCs w:val="18"/>
              </w:rPr>
            </w:pPr>
            <w:r>
              <w:rPr>
                <w:sz w:val="18"/>
                <w:szCs w:val="18"/>
              </w:rPr>
              <w:t>65.1689</w:t>
            </w:r>
          </w:p>
        </w:tc>
        <w:tc>
          <w:tcPr>
            <w:tcW w:w="1512" w:type="dxa"/>
            <w:noWrap/>
          </w:tcPr>
          <w:p>
            <w:pPr>
              <w:pStyle w:val="yTableNAm"/>
              <w:jc w:val="right"/>
              <w:rPr>
                <w:sz w:val="18"/>
                <w:szCs w:val="18"/>
              </w:rPr>
            </w:pPr>
            <w:r>
              <w:rPr>
                <w:sz w:val="18"/>
                <w:szCs w:val="18"/>
              </w:rPr>
              <w:t>68.9271</w:t>
            </w:r>
          </w:p>
        </w:tc>
        <w:tc>
          <w:tcPr>
            <w:tcW w:w="1370" w:type="dxa"/>
            <w:noWrap/>
          </w:tcPr>
          <w:p>
            <w:pPr>
              <w:pStyle w:val="yTableNAm"/>
              <w:jc w:val="right"/>
              <w:rPr>
                <w:sz w:val="18"/>
                <w:szCs w:val="18"/>
              </w:rPr>
            </w:pPr>
            <w:r>
              <w:rPr>
                <w:sz w:val="18"/>
                <w:szCs w:val="18"/>
              </w:rPr>
              <w:t>83.2074</w:t>
            </w:r>
          </w:p>
        </w:tc>
      </w:tr>
      <w:tr>
        <w:trPr>
          <w:cantSplit/>
        </w:trPr>
        <w:tc>
          <w:tcPr>
            <w:tcW w:w="567" w:type="dxa"/>
            <w:noWrap/>
          </w:tcPr>
          <w:p>
            <w:pPr>
              <w:pStyle w:val="yTableNAm"/>
              <w:rPr>
                <w:sz w:val="18"/>
                <w:szCs w:val="18"/>
              </w:rPr>
            </w:pPr>
            <w:r>
              <w:rPr>
                <w:sz w:val="18"/>
                <w:szCs w:val="18"/>
              </w:rPr>
              <w:t>Z.15</w:t>
            </w:r>
          </w:p>
        </w:tc>
        <w:tc>
          <w:tcPr>
            <w:tcW w:w="709" w:type="dxa"/>
            <w:noWrap/>
          </w:tcPr>
          <w:p>
            <w:pPr>
              <w:pStyle w:val="yTableNAm"/>
              <w:rPr>
                <w:sz w:val="18"/>
                <w:szCs w:val="18"/>
              </w:rPr>
            </w:pPr>
            <w:r>
              <w:rPr>
                <w:sz w:val="18"/>
                <w:szCs w:val="18"/>
              </w:rPr>
              <w:t>250</w:t>
            </w:r>
          </w:p>
        </w:tc>
        <w:tc>
          <w:tcPr>
            <w:tcW w:w="1417" w:type="dxa"/>
            <w:gridSpan w:val="4"/>
            <w:noWrap/>
          </w:tcPr>
          <w:p>
            <w:pPr>
              <w:pStyle w:val="yTableNAm"/>
              <w:rPr>
                <w:sz w:val="18"/>
                <w:szCs w:val="18"/>
              </w:rPr>
            </w:pPr>
            <w:r>
              <w:rPr>
                <w:sz w:val="18"/>
                <w:szCs w:val="18"/>
              </w:rPr>
              <w:t>High pressure sodium</w:t>
            </w:r>
          </w:p>
        </w:tc>
        <w:tc>
          <w:tcPr>
            <w:tcW w:w="1229" w:type="dxa"/>
            <w:noWrap/>
          </w:tcPr>
          <w:p>
            <w:pPr>
              <w:pStyle w:val="yTableNAm"/>
              <w:jc w:val="right"/>
              <w:rPr>
                <w:sz w:val="18"/>
                <w:szCs w:val="18"/>
              </w:rPr>
            </w:pPr>
            <w:r>
              <w:rPr>
                <w:sz w:val="18"/>
                <w:szCs w:val="18"/>
              </w:rPr>
              <w:t>75.8117</w:t>
            </w:r>
          </w:p>
        </w:tc>
        <w:tc>
          <w:tcPr>
            <w:tcW w:w="1512" w:type="dxa"/>
            <w:noWrap/>
          </w:tcPr>
          <w:p>
            <w:pPr>
              <w:pStyle w:val="yTableNAm"/>
              <w:jc w:val="right"/>
              <w:rPr>
                <w:sz w:val="18"/>
                <w:szCs w:val="18"/>
              </w:rPr>
            </w:pPr>
            <w:r>
              <w:rPr>
                <w:sz w:val="18"/>
                <w:szCs w:val="18"/>
              </w:rPr>
              <w:t>82.0752</w:t>
            </w:r>
          </w:p>
        </w:tc>
        <w:tc>
          <w:tcPr>
            <w:tcW w:w="1370" w:type="dxa"/>
            <w:noWrap/>
          </w:tcPr>
          <w:p>
            <w:pPr>
              <w:pStyle w:val="yTableNAm"/>
              <w:jc w:val="right"/>
              <w:rPr>
                <w:sz w:val="18"/>
                <w:szCs w:val="18"/>
              </w:rPr>
            </w:pPr>
            <w:r>
              <w:rPr>
                <w:sz w:val="18"/>
                <w:szCs w:val="18"/>
              </w:rPr>
              <w:t>105.8761</w:t>
            </w:r>
          </w:p>
        </w:tc>
      </w:tr>
      <w:tr>
        <w:trPr>
          <w:cantSplit/>
        </w:trPr>
        <w:tc>
          <w:tcPr>
            <w:tcW w:w="567" w:type="dxa"/>
            <w:noWrap/>
          </w:tcPr>
          <w:p>
            <w:pPr>
              <w:pStyle w:val="yTableNAm"/>
              <w:rPr>
                <w:sz w:val="18"/>
                <w:szCs w:val="18"/>
              </w:rPr>
            </w:pPr>
            <w:r>
              <w:rPr>
                <w:sz w:val="18"/>
                <w:szCs w:val="18"/>
              </w:rPr>
              <w:t>Z.18</w:t>
            </w:r>
          </w:p>
        </w:tc>
        <w:tc>
          <w:tcPr>
            <w:tcW w:w="709" w:type="dxa"/>
            <w:noWrap/>
          </w:tcPr>
          <w:p>
            <w:pPr>
              <w:pStyle w:val="yTableNAm"/>
              <w:rPr>
                <w:sz w:val="18"/>
                <w:szCs w:val="18"/>
              </w:rPr>
            </w:pPr>
            <w:r>
              <w:rPr>
                <w:sz w:val="18"/>
                <w:szCs w:val="18"/>
              </w:rPr>
              <w:t>per kW</w:t>
            </w:r>
          </w:p>
        </w:tc>
        <w:tc>
          <w:tcPr>
            <w:tcW w:w="1417" w:type="dxa"/>
            <w:gridSpan w:val="4"/>
            <w:noWrap/>
          </w:tcPr>
          <w:p>
            <w:pPr>
              <w:pStyle w:val="yTableNAm"/>
              <w:rPr>
                <w:sz w:val="18"/>
                <w:szCs w:val="18"/>
              </w:rPr>
            </w:pPr>
            <w:r>
              <w:rPr>
                <w:sz w:val="18"/>
                <w:szCs w:val="18"/>
              </w:rPr>
              <w:t>Auxiliary lighting in public places</w:t>
            </w:r>
          </w:p>
        </w:tc>
        <w:tc>
          <w:tcPr>
            <w:tcW w:w="1229" w:type="dxa"/>
            <w:noWrap/>
          </w:tcPr>
          <w:p>
            <w:pPr>
              <w:pStyle w:val="yTableNAm"/>
              <w:jc w:val="right"/>
              <w:rPr>
                <w:sz w:val="18"/>
                <w:szCs w:val="18"/>
              </w:rPr>
            </w:pPr>
            <w:r>
              <w:rPr>
                <w:sz w:val="18"/>
                <w:szCs w:val="18"/>
              </w:rPr>
              <w:t>Not applicable</w:t>
            </w:r>
          </w:p>
        </w:tc>
        <w:tc>
          <w:tcPr>
            <w:tcW w:w="1512" w:type="dxa"/>
            <w:noWrap/>
          </w:tcPr>
          <w:p>
            <w:pPr>
              <w:pStyle w:val="yTableNAm"/>
              <w:jc w:val="right"/>
              <w:rPr>
                <w:sz w:val="18"/>
                <w:szCs w:val="18"/>
              </w:rPr>
            </w:pPr>
            <w:r>
              <w:rPr>
                <w:sz w:val="18"/>
                <w:szCs w:val="18"/>
              </w:rPr>
              <w:t>Not applicable</w:t>
            </w:r>
          </w:p>
        </w:tc>
        <w:tc>
          <w:tcPr>
            <w:tcW w:w="1370" w:type="dxa"/>
            <w:noWrap/>
          </w:tcPr>
          <w:p>
            <w:pPr>
              <w:pStyle w:val="yTableNAm"/>
              <w:jc w:val="right"/>
              <w:rPr>
                <w:sz w:val="18"/>
                <w:szCs w:val="18"/>
              </w:rPr>
            </w:pPr>
            <w:r>
              <w:rPr>
                <w:sz w:val="18"/>
                <w:szCs w:val="18"/>
              </w:rPr>
              <w:t>331.7407</w:t>
            </w:r>
          </w:p>
        </w:tc>
      </w:tr>
      <w:tr>
        <w:trPr>
          <w:cantSplit/>
        </w:trPr>
        <w:tc>
          <w:tcPr>
            <w:tcW w:w="6804" w:type="dxa"/>
            <w:gridSpan w:val="9"/>
            <w:noWrap/>
          </w:tcPr>
          <w:p>
            <w:pPr>
              <w:pStyle w:val="yTableNAm"/>
              <w:keepNext/>
              <w:keepLines/>
            </w:pPr>
            <w:r>
              <w:rPr>
                <w:b/>
                <w:i/>
                <w:iCs/>
                <w:sz w:val="16"/>
                <w:szCs w:val="16"/>
              </w:rPr>
              <w:t>Street lighting for existing services only</w:t>
            </w:r>
          </w:p>
        </w:tc>
      </w:tr>
      <w:tr>
        <w:trPr>
          <w:cantSplit/>
        </w:trPr>
        <w:tc>
          <w:tcPr>
            <w:tcW w:w="567" w:type="dxa"/>
            <w:noWrap/>
          </w:tcPr>
          <w:p>
            <w:pPr>
              <w:pStyle w:val="yTableNAm"/>
              <w:keepNext/>
              <w:rPr>
                <w:sz w:val="18"/>
                <w:szCs w:val="18"/>
              </w:rPr>
            </w:pPr>
            <w:r>
              <w:rPr>
                <w:sz w:val="18"/>
                <w:szCs w:val="18"/>
              </w:rPr>
              <w:t>Z.52</w:t>
            </w:r>
          </w:p>
        </w:tc>
        <w:tc>
          <w:tcPr>
            <w:tcW w:w="851" w:type="dxa"/>
            <w:gridSpan w:val="2"/>
            <w:noWrap/>
          </w:tcPr>
          <w:p>
            <w:pPr>
              <w:pStyle w:val="yTableNAm"/>
              <w:keepNext/>
              <w:rPr>
                <w:sz w:val="18"/>
                <w:szCs w:val="18"/>
              </w:rPr>
            </w:pPr>
            <w:r>
              <w:rPr>
                <w:sz w:val="18"/>
                <w:szCs w:val="18"/>
              </w:rPr>
              <w:t>100</w:t>
            </w:r>
          </w:p>
        </w:tc>
        <w:tc>
          <w:tcPr>
            <w:tcW w:w="1205" w:type="dxa"/>
            <w:gridSpan w:val="2"/>
            <w:noWrap/>
          </w:tcPr>
          <w:p>
            <w:pPr>
              <w:pStyle w:val="yTableNAm"/>
              <w:keepNext/>
              <w:rPr>
                <w:sz w:val="18"/>
                <w:szCs w:val="18"/>
              </w:rPr>
            </w:pPr>
            <w:r>
              <w:rPr>
                <w:sz w:val="18"/>
                <w:szCs w:val="18"/>
              </w:rPr>
              <w:t>Incandescent</w:t>
            </w:r>
          </w:p>
        </w:tc>
        <w:tc>
          <w:tcPr>
            <w:tcW w:w="1299" w:type="dxa"/>
            <w:gridSpan w:val="2"/>
            <w:noWrap/>
          </w:tcPr>
          <w:p>
            <w:pPr>
              <w:pStyle w:val="yTableNAm"/>
              <w:keepNext/>
              <w:jc w:val="right"/>
              <w:rPr>
                <w:sz w:val="18"/>
                <w:szCs w:val="18"/>
              </w:rPr>
            </w:pPr>
            <w:r>
              <w:rPr>
                <w:sz w:val="18"/>
                <w:szCs w:val="18"/>
              </w:rPr>
              <w:t>42.7247</w:t>
            </w:r>
          </w:p>
        </w:tc>
        <w:tc>
          <w:tcPr>
            <w:tcW w:w="1512" w:type="dxa"/>
            <w:noWrap/>
          </w:tcPr>
          <w:p>
            <w:pPr>
              <w:pStyle w:val="yTableNAm"/>
              <w:keepNext/>
              <w:jc w:val="right"/>
              <w:rPr>
                <w:sz w:val="18"/>
                <w:szCs w:val="18"/>
              </w:rPr>
            </w:pPr>
            <w:r>
              <w:rPr>
                <w:sz w:val="18"/>
                <w:szCs w:val="18"/>
              </w:rPr>
              <w:t>44.5035</w:t>
            </w:r>
          </w:p>
        </w:tc>
        <w:tc>
          <w:tcPr>
            <w:tcW w:w="1370" w:type="dxa"/>
            <w:noWrap/>
          </w:tcPr>
          <w:p>
            <w:pPr>
              <w:pStyle w:val="yTableNAm"/>
              <w:keepNext/>
              <w:jc w:val="right"/>
              <w:rPr>
                <w:sz w:val="18"/>
                <w:szCs w:val="18"/>
              </w:rPr>
            </w:pPr>
            <w:r>
              <w:rPr>
                <w:sz w:val="18"/>
                <w:szCs w:val="18"/>
              </w:rPr>
              <w:t>49.4720</w:t>
            </w:r>
          </w:p>
        </w:tc>
      </w:tr>
      <w:tr>
        <w:trPr>
          <w:cantSplit/>
        </w:trPr>
        <w:tc>
          <w:tcPr>
            <w:tcW w:w="567" w:type="dxa"/>
            <w:tcBorders>
              <w:bottom w:val="single" w:sz="4" w:space="0" w:color="auto"/>
            </w:tcBorders>
            <w:noWrap/>
          </w:tcPr>
          <w:p>
            <w:pPr>
              <w:pStyle w:val="yTableNAm"/>
              <w:keepNext/>
              <w:rPr>
                <w:sz w:val="18"/>
                <w:szCs w:val="18"/>
              </w:rPr>
            </w:pPr>
            <w:r>
              <w:rPr>
                <w:sz w:val="18"/>
                <w:szCs w:val="18"/>
              </w:rPr>
              <w:t>Z.56</w:t>
            </w:r>
          </w:p>
        </w:tc>
        <w:tc>
          <w:tcPr>
            <w:tcW w:w="851" w:type="dxa"/>
            <w:gridSpan w:val="2"/>
            <w:tcBorders>
              <w:bottom w:val="single" w:sz="4" w:space="0" w:color="auto"/>
            </w:tcBorders>
            <w:noWrap/>
          </w:tcPr>
          <w:p>
            <w:pPr>
              <w:pStyle w:val="yTableNAm"/>
              <w:keepNext/>
              <w:rPr>
                <w:sz w:val="18"/>
                <w:szCs w:val="18"/>
              </w:rPr>
            </w:pPr>
            <w:r>
              <w:rPr>
                <w:sz w:val="18"/>
                <w:szCs w:val="18"/>
              </w:rPr>
              <w:t>40</w:t>
            </w:r>
          </w:p>
        </w:tc>
        <w:tc>
          <w:tcPr>
            <w:tcW w:w="1205" w:type="dxa"/>
            <w:gridSpan w:val="2"/>
            <w:tcBorders>
              <w:bottom w:val="single" w:sz="4" w:space="0" w:color="auto"/>
            </w:tcBorders>
            <w:noWrap/>
          </w:tcPr>
          <w:p>
            <w:pPr>
              <w:pStyle w:val="yTableNAm"/>
              <w:keepNext/>
              <w:rPr>
                <w:sz w:val="18"/>
                <w:szCs w:val="18"/>
              </w:rPr>
            </w:pPr>
            <w:r>
              <w:rPr>
                <w:sz w:val="18"/>
                <w:szCs w:val="18"/>
              </w:rPr>
              <w:t>Fluorescent</w:t>
            </w:r>
          </w:p>
        </w:tc>
        <w:tc>
          <w:tcPr>
            <w:tcW w:w="1299" w:type="dxa"/>
            <w:gridSpan w:val="2"/>
            <w:tcBorders>
              <w:bottom w:val="single" w:sz="4" w:space="0" w:color="auto"/>
            </w:tcBorders>
            <w:noWrap/>
          </w:tcPr>
          <w:p>
            <w:pPr>
              <w:pStyle w:val="yTableNAm"/>
              <w:keepNext/>
              <w:jc w:val="right"/>
              <w:rPr>
                <w:sz w:val="18"/>
                <w:szCs w:val="18"/>
              </w:rPr>
            </w:pPr>
            <w:r>
              <w:rPr>
                <w:sz w:val="18"/>
                <w:szCs w:val="18"/>
              </w:rPr>
              <w:t>36.3391</w:t>
            </w:r>
          </w:p>
        </w:tc>
        <w:tc>
          <w:tcPr>
            <w:tcW w:w="1512" w:type="dxa"/>
            <w:tcBorders>
              <w:bottom w:val="single" w:sz="4" w:space="0" w:color="auto"/>
            </w:tcBorders>
            <w:noWrap/>
          </w:tcPr>
          <w:p>
            <w:pPr>
              <w:pStyle w:val="yTableNAm"/>
              <w:keepNext/>
              <w:jc w:val="right"/>
              <w:rPr>
                <w:sz w:val="18"/>
                <w:szCs w:val="18"/>
              </w:rPr>
            </w:pPr>
            <w:r>
              <w:rPr>
                <w:sz w:val="18"/>
                <w:szCs w:val="18"/>
              </w:rPr>
              <w:t>37.3411</w:t>
            </w:r>
          </w:p>
        </w:tc>
        <w:tc>
          <w:tcPr>
            <w:tcW w:w="1370" w:type="dxa"/>
            <w:tcBorders>
              <w:bottom w:val="single" w:sz="4" w:space="0" w:color="auto"/>
            </w:tcBorders>
            <w:noWrap/>
          </w:tcPr>
          <w:p>
            <w:pPr>
              <w:pStyle w:val="yTableNAm"/>
              <w:keepNext/>
              <w:jc w:val="right"/>
              <w:rPr>
                <w:sz w:val="18"/>
                <w:szCs w:val="18"/>
              </w:rPr>
            </w:pPr>
            <w:r>
              <w:rPr>
                <w:sz w:val="18"/>
                <w:szCs w:val="18"/>
              </w:rPr>
              <w:t>41.1493</w:t>
            </w:r>
          </w:p>
        </w:tc>
      </w:tr>
    </w:tbl>
    <w:p>
      <w:pPr>
        <w:pStyle w:val="yFootnotesection"/>
      </w:pPr>
      <w:bookmarkStart w:id="69" w:name="_Toc201748195"/>
      <w:bookmarkStart w:id="70" w:name="_Toc201748250"/>
      <w:bookmarkStart w:id="71" w:name="_Toc201748439"/>
      <w:bookmarkStart w:id="72" w:name="_Toc201755171"/>
      <w:bookmarkStart w:id="73" w:name="_Toc201755461"/>
      <w:bookmarkStart w:id="74" w:name="_Toc201762582"/>
      <w:r>
        <w:tab/>
        <w:t>[Division 1 inserted: SL 2025/124 bl. 5.]</w:t>
      </w:r>
    </w:p>
    <w:p>
      <w:pPr>
        <w:pStyle w:val="yHeading3"/>
      </w:pPr>
      <w:r>
        <w:rPr>
          <w:rStyle w:val="CharSDivNo"/>
        </w:rPr>
        <w:t>Division 2</w:t>
      </w:r>
      <w:r>
        <w:rPr>
          <w:b w:val="0"/>
        </w:rPr>
        <w:t> — </w:t>
      </w:r>
      <w:r>
        <w:rPr>
          <w:rStyle w:val="CharSDivText"/>
        </w:rPr>
        <w:t>Miscellaneous</w:t>
      </w:r>
      <w:bookmarkEnd w:id="69"/>
      <w:bookmarkEnd w:id="70"/>
      <w:bookmarkEnd w:id="71"/>
      <w:bookmarkEnd w:id="72"/>
      <w:bookmarkEnd w:id="73"/>
      <w:bookmarkEnd w:id="74"/>
    </w:p>
    <w:p>
      <w:pPr>
        <w:pStyle w:val="yFootnoteheading"/>
      </w:pPr>
      <w:r>
        <w:tab/>
        <w:t>[Heading inserted: SL 2025/124 bl. 5.]</w:t>
      </w:r>
    </w:p>
    <w:p>
      <w:pPr>
        <w:pStyle w:val="yHeading5"/>
      </w:pPr>
      <w:bookmarkStart w:id="75" w:name="_Toc201748196"/>
      <w:bookmarkStart w:id="76" w:name="_Toc201748440"/>
      <w:bookmarkStart w:id="77" w:name="_Toc201762583"/>
      <w:r>
        <w:rPr>
          <w:rStyle w:val="CharSClsNo"/>
        </w:rPr>
        <w:t>1</w:t>
      </w:r>
      <w:r>
        <w:t>.</w:t>
      </w:r>
      <w:r>
        <w:tab/>
        <w:t>Traffic light installation</w:t>
      </w:r>
      <w:bookmarkEnd w:id="75"/>
      <w:bookmarkEnd w:id="76"/>
      <w:bookmarkEnd w:id="77"/>
    </w:p>
    <w:p>
      <w:pPr>
        <w:pStyle w:val="ySubsection"/>
      </w:pPr>
      <w:r>
        <w:tab/>
      </w:r>
      <w:r>
        <w:tab/>
        <w:t xml:space="preserve">Supply of electricity to traffic light installations comprises a charge of </w:t>
      </w:r>
      <w:r>
        <w:rPr>
          <w:szCs w:val="22"/>
        </w:rPr>
        <w:t xml:space="preserve">$9.4598 </w:t>
      </w:r>
      <w:r>
        <w:t>per day per kW of installed wattage.</w:t>
      </w:r>
    </w:p>
    <w:p>
      <w:pPr>
        <w:pStyle w:val="yFootnotesection"/>
      </w:pPr>
      <w:bookmarkStart w:id="78" w:name="_Toc201748197"/>
      <w:bookmarkStart w:id="79" w:name="_Toc201748441"/>
      <w:r>
        <w:lastRenderedPageBreak/>
        <w:tab/>
        <w:t>[Clause 1 inserted: SL 2025/124 bl. 5.]</w:t>
      </w:r>
    </w:p>
    <w:p>
      <w:pPr>
        <w:pStyle w:val="yHeading5"/>
      </w:pPr>
      <w:bookmarkStart w:id="80" w:name="_Toc201762584"/>
      <w:r>
        <w:rPr>
          <w:rStyle w:val="CharSClsNo"/>
        </w:rPr>
        <w:t>2</w:t>
      </w:r>
      <w:r>
        <w:t>.</w:t>
      </w:r>
      <w:r>
        <w:tab/>
        <w:t>Public telephone facility</w:t>
      </w:r>
      <w:bookmarkEnd w:id="78"/>
      <w:bookmarkEnd w:id="79"/>
      <w:bookmarkEnd w:id="80"/>
    </w:p>
    <w:p>
      <w:pPr>
        <w:pStyle w:val="ySubsection"/>
      </w:pPr>
      <w:r>
        <w:tab/>
      </w:r>
      <w:r>
        <w:tab/>
        <w:t>Supply of electricity to a standard public telephone facility where supply is not independently metered comprises a charge of 76.3441 cents per day.</w:t>
      </w:r>
    </w:p>
    <w:p>
      <w:pPr>
        <w:pStyle w:val="yFootnotesection"/>
      </w:pPr>
      <w:bookmarkStart w:id="81" w:name="_Toc201748198"/>
      <w:bookmarkStart w:id="82" w:name="_Toc201748442"/>
      <w:r>
        <w:tab/>
        <w:t>[Clause 2 inserted: SL 2025/124 bl. 5.]</w:t>
      </w:r>
    </w:p>
    <w:p>
      <w:pPr>
        <w:pStyle w:val="yHeading5"/>
      </w:pPr>
      <w:bookmarkStart w:id="83" w:name="_Toc201762585"/>
      <w:r>
        <w:rPr>
          <w:rStyle w:val="CharSClsNo"/>
        </w:rPr>
        <w:t>3</w:t>
      </w:r>
      <w:r>
        <w:t>.</w:t>
      </w:r>
      <w:r>
        <w:tab/>
        <w:t>Railway crossing</w:t>
      </w:r>
      <w:bookmarkEnd w:id="81"/>
      <w:bookmarkEnd w:id="82"/>
      <w:bookmarkEnd w:id="83"/>
    </w:p>
    <w:p>
      <w:pPr>
        <w:pStyle w:val="ySubsection"/>
      </w:pPr>
      <w:r>
        <w:tab/>
      </w:r>
      <w:r>
        <w:tab/>
        <w:t xml:space="preserve">Supply of electricity to standard railway crossing lights comprises a charge of </w:t>
      </w:r>
      <w:r>
        <w:rPr>
          <w:szCs w:val="22"/>
        </w:rPr>
        <w:t xml:space="preserve">97.5627 </w:t>
      </w:r>
      <w:r>
        <w:t>cents per day.</w:t>
      </w:r>
    </w:p>
    <w:bookmarkEnd w:id="62"/>
    <w:p>
      <w:pPr>
        <w:pStyle w:val="yFootnotesection"/>
      </w:pPr>
      <w:r>
        <w:tab/>
        <w:t>[Clause 3 inserted: SL 2025/124 bl. 5.]</w:t>
      </w:r>
    </w:p>
    <w:p>
      <w:pPr>
        <w:rPr>
          <w:i/>
          <w:snapToGrid w:val="0"/>
          <w:sz w:val="22"/>
        </w:rPr>
        <w:sectPr>
          <w:headerReference w:type="even" r:id="rId25"/>
          <w:headerReference w:type="default" r:id="rId26"/>
          <w:pgSz w:w="11907" w:h="16840" w:code="9"/>
          <w:pgMar w:top="2381" w:right="2410" w:bottom="3544" w:left="2410" w:header="720" w:footer="3544" w:gutter="0"/>
          <w:cols w:space="720"/>
          <w:titlePg/>
        </w:sectPr>
      </w:pPr>
    </w:p>
    <w:p>
      <w:pPr>
        <w:pStyle w:val="yScheduleHeading"/>
      </w:pPr>
      <w:bookmarkStart w:id="84" w:name="_Toc201755175"/>
      <w:bookmarkStart w:id="85" w:name="_Toc201755465"/>
      <w:bookmarkStart w:id="86" w:name="_Toc201762586"/>
      <w:r>
        <w:rPr>
          <w:rStyle w:val="CharSchNo"/>
        </w:rPr>
        <w:lastRenderedPageBreak/>
        <w:t>Schedule 3</w:t>
      </w:r>
      <w:r>
        <w:rPr>
          <w:rStyle w:val="CharSDivNo"/>
        </w:rPr>
        <w:t> </w:t>
      </w:r>
      <w:r>
        <w:t>—</w:t>
      </w:r>
      <w:r>
        <w:rPr>
          <w:rStyle w:val="CharSDivText"/>
        </w:rPr>
        <w:t> </w:t>
      </w:r>
      <w:r>
        <w:rPr>
          <w:rStyle w:val="CharSchText"/>
        </w:rPr>
        <w:t>Meter rental</w:t>
      </w:r>
      <w:bookmarkEnd w:id="84"/>
      <w:bookmarkEnd w:id="85"/>
      <w:bookmarkEnd w:id="86"/>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87" w:name="_Toc201755176"/>
      <w:bookmarkStart w:id="88" w:name="_Toc201755466"/>
      <w:bookmarkStart w:id="89" w:name="_Toc201762587"/>
      <w:r>
        <w:rPr>
          <w:rStyle w:val="CharSchNo"/>
        </w:rPr>
        <w:lastRenderedPageBreak/>
        <w:t>Schedule 4</w:t>
      </w:r>
      <w:r>
        <w:t> — </w:t>
      </w:r>
      <w:r>
        <w:rPr>
          <w:rStyle w:val="CharSchText"/>
        </w:rPr>
        <w:t>Fees</w:t>
      </w:r>
      <w:bookmarkEnd w:id="87"/>
      <w:bookmarkEnd w:id="88"/>
      <w:bookmarkEnd w:id="89"/>
    </w:p>
    <w:p>
      <w:pPr>
        <w:pStyle w:val="yShoulderClause"/>
      </w:pPr>
      <w:r>
        <w:rPr>
          <w:szCs w:val="18"/>
        </w:rPr>
        <w:t>[bl. 7 and 9(2)]</w:t>
      </w:r>
    </w:p>
    <w:p>
      <w:pPr>
        <w:pStyle w:val="yFootnoteheading"/>
        <w:spacing w:after="120"/>
      </w:pPr>
      <w:r>
        <w:tab/>
        <w:t>[Heading inserted: SL 2021/98 bl. 5; amended: SL 2025/124 bl. 6.]</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keepNext/>
              <w:ind w:left="556"/>
              <w:rPr>
                <w:b/>
                <w:iCs/>
              </w:rPr>
            </w:pPr>
            <w:r>
              <w:rPr>
                <w:b/>
                <w:iCs/>
              </w:rPr>
              <w:t>Description of fee</w:t>
            </w:r>
          </w:p>
        </w:tc>
        <w:tc>
          <w:tcPr>
            <w:tcW w:w="1276" w:type="dxa"/>
            <w:tcBorders>
              <w:top w:val="single" w:sz="4" w:space="0" w:color="auto"/>
              <w:bottom w:val="single" w:sz="4" w:space="0" w:color="auto"/>
            </w:tcBorders>
          </w:tcPr>
          <w:p>
            <w:pPr>
              <w:pStyle w:val="yTableNAm"/>
              <w:keepNext/>
              <w:rPr>
                <w:b/>
                <w:iCs/>
              </w:rPr>
            </w:pPr>
            <w:r>
              <w:rPr>
                <w:b/>
                <w:iCs/>
              </w:rPr>
              <w:t>Amount</w:t>
            </w:r>
          </w:p>
        </w:tc>
      </w:tr>
      <w:tr>
        <w:trPr>
          <w:cantSplit/>
        </w:trPr>
        <w:tc>
          <w:tcPr>
            <w:tcW w:w="5528" w:type="dxa"/>
            <w:tcBorders>
              <w:top w:val="single" w:sz="4" w:space="0" w:color="auto"/>
            </w:tcBorders>
          </w:tcPr>
          <w:p>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keepNext/>
            </w:pPr>
            <w:r>
              <w:t>$22.51</w:t>
            </w:r>
          </w:p>
        </w:tc>
      </w:tr>
      <w:tr>
        <w:trPr>
          <w:cantSplit/>
        </w:trPr>
        <w:tc>
          <w:tcPr>
            <w:tcW w:w="5528" w:type="dxa"/>
            <w:vAlign w:val="bottom"/>
          </w:tcPr>
          <w:p>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pPr>
              <w:pStyle w:val="yTableNAm"/>
            </w:pPr>
          </w:p>
        </w:tc>
      </w:tr>
      <w:tr>
        <w:trPr>
          <w:cantSplit/>
        </w:trPr>
        <w:tc>
          <w:tcPr>
            <w:tcW w:w="5528" w:type="dxa"/>
            <w:vAlign w:val="bottom"/>
          </w:tcPr>
          <w:p>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pPr>
              <w:pStyle w:val="yTableNAm"/>
            </w:pPr>
            <w:r>
              <w:t>$212.49</w:t>
            </w:r>
          </w:p>
        </w:tc>
      </w:tr>
      <w:tr>
        <w:trPr>
          <w:cantSplit/>
        </w:trPr>
        <w:tc>
          <w:tcPr>
            <w:tcW w:w="5528" w:type="dxa"/>
          </w:tcPr>
          <w:p>
            <w:pPr>
              <w:pStyle w:val="yTableNAm"/>
              <w:tabs>
                <w:tab w:val="left" w:pos="1156"/>
                <w:tab w:val="right" w:leader="dot" w:pos="5387"/>
              </w:tabs>
              <w:ind w:left="1157" w:right="-85" w:hanging="590"/>
            </w:pPr>
            <w:r>
              <w:t>(b)</w:t>
            </w:r>
            <w:r>
              <w:tab/>
              <w:t>otherwise</w:t>
            </w:r>
            <w:r>
              <w:tab/>
            </w:r>
          </w:p>
        </w:tc>
        <w:tc>
          <w:tcPr>
            <w:tcW w:w="1276" w:type="dxa"/>
          </w:tcPr>
          <w:p>
            <w:pPr>
              <w:pStyle w:val="yTableNAm"/>
            </w:pPr>
            <w:r>
              <w:t>$31.10</w:t>
            </w:r>
          </w:p>
        </w:tc>
      </w:tr>
      <w:tr>
        <w:trPr>
          <w:cantSplit/>
        </w:trPr>
        <w:tc>
          <w:tcPr>
            <w:tcW w:w="5528" w:type="dxa"/>
          </w:tcPr>
          <w:p>
            <w:pPr>
              <w:pStyle w:val="yTableNAm"/>
              <w:tabs>
                <w:tab w:val="right" w:leader="dot" w:pos="5387"/>
              </w:tabs>
              <w:ind w:left="556" w:right="-85" w:hanging="556"/>
            </w:pPr>
            <w:r>
              <w:t>3.</w:t>
            </w:r>
            <w:r>
              <w:tab/>
              <w:t>Temporary supply connection — </w:t>
            </w:r>
          </w:p>
        </w:tc>
        <w:tc>
          <w:tcPr>
            <w:tcW w:w="1276" w:type="dxa"/>
          </w:tcPr>
          <w:p>
            <w:pPr>
              <w:pStyle w:val="yTableNAm"/>
            </w:pPr>
          </w:p>
        </w:tc>
      </w:tr>
      <w:tr>
        <w:trPr>
          <w:cantSplit/>
        </w:trPr>
        <w:tc>
          <w:tcPr>
            <w:tcW w:w="5528" w:type="dxa"/>
          </w:tcPr>
          <w:p>
            <w:pPr>
              <w:pStyle w:val="yTableNAm"/>
              <w:tabs>
                <w:tab w:val="left" w:pos="1134"/>
                <w:tab w:val="right" w:leader="dot" w:pos="5386"/>
              </w:tabs>
              <w:ind w:left="1157" w:right="-85" w:hanging="590"/>
            </w:pPr>
            <w:r>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34"/>
                <w:tab w:val="right" w:leader="dot" w:pos="5386"/>
              </w:tabs>
              <w:ind w:left="1157" w:right="-85" w:hanging="590"/>
            </w:pPr>
            <w:r>
              <w:t>(b)</w:t>
            </w:r>
            <w:r>
              <w:tab/>
              <w:t xml:space="preserve">three phase (overhead) </w:t>
            </w:r>
            <w:r>
              <w:tab/>
            </w:r>
          </w:p>
        </w:tc>
        <w:tc>
          <w:tcPr>
            <w:tcW w:w="1276" w:type="dxa"/>
          </w:tcPr>
          <w:p>
            <w:pPr>
              <w:pStyle w:val="yTableNAm"/>
            </w:pPr>
            <w:r>
              <w:t>$600.00</w:t>
            </w:r>
          </w:p>
        </w:tc>
      </w:tr>
      <w:tr>
        <w:trPr>
          <w:cantSplit/>
        </w:trPr>
        <w:tc>
          <w:tcPr>
            <w:tcW w:w="5528" w:type="dxa"/>
          </w:tcPr>
          <w:p>
            <w:pPr>
              <w:pStyle w:val="yTableNAm"/>
              <w:keepNext/>
              <w:tabs>
                <w:tab w:val="right" w:leader="dot" w:pos="5387"/>
              </w:tabs>
              <w:ind w:left="556" w:right="-85" w:hanging="556"/>
            </w:pPr>
            <w:r>
              <w:t>4.</w:t>
            </w:r>
            <w:r>
              <w:tab/>
              <w:t>Meter testing — </w:t>
            </w:r>
          </w:p>
        </w:tc>
        <w:tc>
          <w:tcPr>
            <w:tcW w:w="1276" w:type="dxa"/>
          </w:tcPr>
          <w:p>
            <w:pPr>
              <w:pStyle w:val="yTableNAm"/>
              <w:keepNext/>
            </w:pPr>
          </w:p>
        </w:tc>
      </w:tr>
      <w:tr>
        <w:trPr>
          <w:cantSplit/>
        </w:trPr>
        <w:tc>
          <w:tcPr>
            <w:tcW w:w="5528" w:type="dxa"/>
          </w:tcPr>
          <w:p>
            <w:pPr>
              <w:pStyle w:val="yTableNAm"/>
              <w:tabs>
                <w:tab w:val="left" w:pos="1134"/>
                <w:tab w:val="right" w:leader="dot" w:pos="5386"/>
              </w:tabs>
              <w:ind w:left="1157" w:right="-85" w:hanging="590"/>
            </w:pPr>
            <w:r>
              <w:t>(a)</w:t>
            </w:r>
            <w:r>
              <w:tab/>
              <w:t xml:space="preserve">standard meter testing fee </w:t>
            </w:r>
            <w:r>
              <w:tab/>
            </w:r>
          </w:p>
        </w:tc>
        <w:tc>
          <w:tcPr>
            <w:tcW w:w="1276" w:type="dxa"/>
          </w:tcPr>
          <w:p>
            <w:pPr>
              <w:pStyle w:val="yTableNAm"/>
            </w:pPr>
            <w:r>
              <w:rPr>
                <w:szCs w:val="22"/>
              </w:rPr>
              <w:t>$340.40</w:t>
            </w:r>
          </w:p>
        </w:tc>
      </w:tr>
      <w:tr>
        <w:trPr>
          <w:cantSplit/>
        </w:trPr>
        <w:tc>
          <w:tcPr>
            <w:tcW w:w="5528" w:type="dxa"/>
          </w:tcPr>
          <w:p>
            <w:pPr>
              <w:pStyle w:val="yTableNAm"/>
              <w:tabs>
                <w:tab w:val="left" w:pos="1134"/>
                <w:tab w:val="right" w:leader="dot" w:pos="5386"/>
              </w:tabs>
              <w:ind w:left="1157" w:right="-85" w:hanging="590"/>
            </w:pPr>
            <w:r>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387"/>
              </w:tabs>
              <w:ind w:left="556" w:right="-85" w:hanging="556"/>
            </w:pPr>
            <w:r>
              <w:t>5.</w:t>
            </w:r>
            <w:r>
              <w:tab/>
              <w:t xml:space="preserve">Upgrade or replacement of meter </w:t>
            </w:r>
            <w:r>
              <w:tab/>
            </w:r>
          </w:p>
        </w:tc>
        <w:tc>
          <w:tcPr>
            <w:tcW w:w="1276" w:type="dxa"/>
            <w:vAlign w:val="bottom"/>
          </w:tcPr>
          <w:p>
            <w:pPr>
              <w:pStyle w:val="yTableNAm"/>
            </w:pPr>
            <w:r>
              <w:t>$108.08</w:t>
            </w:r>
          </w:p>
        </w:tc>
      </w:tr>
      <w:tr>
        <w:trPr>
          <w:cantSplit/>
        </w:trPr>
        <w:tc>
          <w:tcPr>
            <w:tcW w:w="5528" w:type="dxa"/>
          </w:tcPr>
          <w:p>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pPr>
              <w:pStyle w:val="yTableNAm"/>
            </w:pPr>
            <w:r>
              <w:t>$194.00</w:t>
            </w:r>
          </w:p>
        </w:tc>
      </w:tr>
      <w:tr>
        <w:trPr>
          <w:cantSplit/>
        </w:trPr>
        <w:tc>
          <w:tcPr>
            <w:tcW w:w="5528" w:type="dxa"/>
          </w:tcPr>
          <w:p>
            <w:pPr>
              <w:pStyle w:val="yTableNAm"/>
              <w:tabs>
                <w:tab w:val="right" w:leader="dot" w:pos="5387"/>
              </w:tabs>
              <w:ind w:left="556" w:right="-85" w:hanging="556"/>
            </w:pPr>
            <w:r>
              <w:t>7.</w:t>
            </w:r>
            <w:r>
              <w:tab/>
              <w:t>Meter reading where reading requested by consumer</w:t>
            </w:r>
          </w:p>
        </w:tc>
        <w:tc>
          <w:tcPr>
            <w:tcW w:w="1276" w:type="dxa"/>
          </w:tcPr>
          <w:p>
            <w:pPr>
              <w:pStyle w:val="yTableNAm"/>
            </w:pPr>
            <w:r>
              <w:rPr>
                <w:szCs w:val="18"/>
              </w:rPr>
              <w:t>$38.66</w:t>
            </w:r>
          </w:p>
        </w:tc>
      </w:tr>
      <w:tr>
        <w:trPr>
          <w:cantSplit/>
        </w:trPr>
        <w:tc>
          <w:tcPr>
            <w:tcW w:w="5528" w:type="dxa"/>
          </w:tcPr>
          <w:p>
            <w:pPr>
              <w:pStyle w:val="yTableNAm"/>
              <w:tabs>
                <w:tab w:val="right" w:leader="dot" w:pos="5387"/>
              </w:tabs>
              <w:ind w:left="556" w:right="-85" w:hanging="556"/>
            </w:pPr>
            <w:r>
              <w:t>8.</w:t>
            </w:r>
            <w:r>
              <w:tab/>
              <w:t xml:space="preserve">Remote meter reading </w:t>
            </w:r>
            <w:r>
              <w:tab/>
            </w:r>
          </w:p>
        </w:tc>
        <w:tc>
          <w:tcPr>
            <w:tcW w:w="1276" w:type="dxa"/>
          </w:tcPr>
          <w:p>
            <w:pPr>
              <w:pStyle w:val="yTableNAm"/>
            </w:pPr>
            <w:r>
              <w:rPr>
                <w:szCs w:val="22"/>
              </w:rPr>
              <w:t>$17.40</w:t>
            </w:r>
          </w:p>
        </w:tc>
      </w:tr>
      <w:tr>
        <w:trPr>
          <w:cantSplit/>
        </w:trPr>
        <w:tc>
          <w:tcPr>
            <w:tcW w:w="5528" w:type="dxa"/>
          </w:tcPr>
          <w:p>
            <w:pPr>
              <w:pStyle w:val="yTableNAm"/>
              <w:tabs>
                <w:tab w:val="right" w:leader="dot" w:pos="5387"/>
              </w:tabs>
              <w:ind w:left="556" w:right="-85" w:hanging="556"/>
            </w:pPr>
            <w:r>
              <w:t>9.</w:t>
            </w:r>
            <w:r>
              <w:tab/>
              <w:t xml:space="preserve">Overdue account notices </w:t>
            </w:r>
            <w:r>
              <w:tab/>
            </w:r>
          </w:p>
        </w:tc>
        <w:tc>
          <w:tcPr>
            <w:tcW w:w="1276" w:type="dxa"/>
          </w:tcPr>
          <w:p>
            <w:pPr>
              <w:pStyle w:val="yTableNAm"/>
            </w:pPr>
            <w:r>
              <w:rPr>
                <w:szCs w:val="18"/>
              </w:rPr>
              <w:t>$4.78</w:t>
            </w:r>
          </w:p>
        </w:tc>
      </w:tr>
      <w:tr>
        <w:trPr>
          <w:cantSplit/>
        </w:trPr>
        <w:tc>
          <w:tcPr>
            <w:tcW w:w="5528" w:type="dxa"/>
          </w:tcPr>
          <w:p>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pPr>
              <w:pStyle w:val="yTableNAm"/>
            </w:pPr>
            <w:r>
              <w:t>$786.40</w:t>
            </w:r>
          </w:p>
        </w:tc>
      </w:tr>
      <w:tr>
        <w:trPr>
          <w:cantSplit/>
        </w:trPr>
        <w:tc>
          <w:tcPr>
            <w:tcW w:w="5528" w:type="dxa"/>
          </w:tcPr>
          <w:p>
            <w:pPr>
              <w:pStyle w:val="yTableNAm"/>
              <w:tabs>
                <w:tab w:val="right" w:leader="dot" w:pos="5387"/>
              </w:tabs>
              <w:ind w:left="556" w:right="-85" w:hanging="556"/>
            </w:pPr>
            <w:r>
              <w:lastRenderedPageBreak/>
              <w:t>11.</w:t>
            </w:r>
            <w:r>
              <w:tab/>
              <w:t xml:space="preserve">Fee for provision of cellular communications capability for meter (where radio mesh network cannot be used) </w:t>
            </w:r>
            <w:r>
              <w:tab/>
            </w:r>
          </w:p>
        </w:tc>
        <w:tc>
          <w:tcPr>
            <w:tcW w:w="1276" w:type="dxa"/>
          </w:tcPr>
          <w:p>
            <w:pPr>
              <w:pStyle w:val="yTableNAm"/>
            </w:pPr>
            <w:r>
              <w:br/>
            </w:r>
            <w:r>
              <w:br/>
            </w:r>
            <w:r>
              <w:rPr>
                <w:szCs w:val="22"/>
              </w:rPr>
              <w:t>$428.26</w:t>
            </w:r>
          </w:p>
        </w:tc>
      </w:tr>
      <w:tr>
        <w:trPr>
          <w:cantSplit/>
        </w:trPr>
        <w:tc>
          <w:tcPr>
            <w:tcW w:w="5528" w:type="dxa"/>
          </w:tcPr>
          <w:p>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pPr>
              <w:pStyle w:val="yTableNAm"/>
              <w:keepNext/>
            </w:pPr>
            <w:r>
              <w:t>The permitted surcharge for the payment</w:t>
            </w:r>
          </w:p>
        </w:tc>
      </w:tr>
      <w:tr>
        <w:trPr>
          <w:cantSplit/>
        </w:trPr>
        <w:tc>
          <w:tcPr>
            <w:tcW w:w="5528" w:type="dxa"/>
          </w:tcPr>
          <w:p>
            <w:pPr>
              <w:pStyle w:val="yTableNAm"/>
              <w:keepNext/>
              <w:tabs>
                <w:tab w:val="left" w:pos="1134"/>
                <w:tab w:val="right" w:leader="dot" w:pos="5386"/>
              </w:tabs>
              <w:ind w:left="1134" w:right="-85" w:hanging="1134"/>
            </w:pPr>
            <w:r>
              <w:t>13.</w:t>
            </w:r>
            <w:r>
              <w:tab/>
              <w:t xml:space="preserve">Paper bill fee </w:t>
            </w:r>
            <w:r>
              <w:tab/>
            </w:r>
          </w:p>
        </w:tc>
        <w:tc>
          <w:tcPr>
            <w:tcW w:w="1276" w:type="dxa"/>
          </w:tcPr>
          <w:p>
            <w:pPr>
              <w:pStyle w:val="yTableNAm"/>
              <w:keepNext/>
            </w:pPr>
            <w:r>
              <w:rPr>
                <w:szCs w:val="22"/>
              </w:rPr>
              <w:t>$1.63</w:t>
            </w:r>
          </w:p>
        </w:tc>
      </w:tr>
      <w:tr>
        <w:trPr>
          <w:cantSplit/>
        </w:trPr>
        <w:tc>
          <w:tcPr>
            <w:tcW w:w="5528" w:type="dxa"/>
            <w:tcBorders>
              <w:bottom w:val="single" w:sz="4" w:space="0" w:color="auto"/>
            </w:tcBorders>
          </w:tcPr>
          <w:p>
            <w:pPr>
              <w:pStyle w:val="yTableNAm"/>
              <w:tabs>
                <w:tab w:val="left" w:pos="1134"/>
                <w:tab w:val="right" w:leader="dot" w:pos="5386"/>
              </w:tabs>
              <w:ind w:left="1134" w:right="-85" w:hanging="1134"/>
            </w:pPr>
            <w:r>
              <w:t>14.</w:t>
            </w:r>
            <w:r>
              <w:tab/>
              <w:t>Over</w:t>
            </w:r>
            <w:r>
              <w:noBreakHyphen/>
              <w:t>the</w:t>
            </w:r>
            <w:r>
              <w:noBreakHyphen/>
              <w:t xml:space="preserve">counter payment fee </w:t>
            </w:r>
            <w:r>
              <w:tab/>
            </w:r>
          </w:p>
        </w:tc>
        <w:tc>
          <w:tcPr>
            <w:tcW w:w="1276" w:type="dxa"/>
            <w:tcBorders>
              <w:bottom w:val="single" w:sz="4" w:space="0" w:color="auto"/>
            </w:tcBorders>
          </w:tcPr>
          <w:p>
            <w:pPr>
              <w:pStyle w:val="yTableNAm"/>
              <w:keepNext/>
            </w:pPr>
            <w:r>
              <w:t>$2.10</w:t>
            </w:r>
          </w:p>
        </w:tc>
      </w:tr>
    </w:tbl>
    <w:p>
      <w:pPr>
        <w:pStyle w:val="yFootnotesection"/>
      </w:pPr>
      <w:r>
        <w:tab/>
        <w:t>[Schedule 4 inserted: SL 2021/98 bl. 5; amended: SL 2022/70 bl. 5; SL 2023/85 bl. 5; SL 2024/102 bl. 5; SL 2025/124 bl. 6.]</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90" w:name="_Toc201755177"/>
      <w:bookmarkStart w:id="91" w:name="_Toc201755467"/>
      <w:bookmarkStart w:id="92" w:name="_Toc201762588"/>
      <w:r>
        <w:lastRenderedPageBreak/>
        <w:t>Notes</w:t>
      </w:r>
      <w:bookmarkEnd w:id="90"/>
      <w:bookmarkEnd w:id="91"/>
      <w:bookmarkEnd w:id="92"/>
    </w:p>
    <w:p>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93" w:name="_Toc201762589"/>
      <w:r>
        <w:t>Compilation table</w:t>
      </w:r>
      <w:bookmarkEnd w:id="93"/>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pPr>
              <w:pStyle w:val="nTable"/>
              <w:spacing w:after="40"/>
            </w:pPr>
            <w:r>
              <w:t>31 Mar 2006 p. 1225</w:t>
            </w:r>
            <w:r>
              <w:noBreakHyphen/>
              <w:t>46</w:t>
            </w:r>
          </w:p>
        </w:tc>
        <w:tc>
          <w:tcPr>
            <w:tcW w:w="2694" w:type="dxa"/>
            <w:gridSpan w:val="2"/>
            <w:tcBorders>
              <w:top w:val="single" w:sz="8" w:space="0" w:color="auto"/>
            </w:tcBorders>
          </w:tcPr>
          <w:p>
            <w:pPr>
              <w:pStyle w:val="nTable"/>
              <w:spacing w:after="40"/>
            </w:pPr>
            <w:r>
              <w:t>1 Apr 2006 (see bl. 2)</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2006</w:t>
            </w:r>
          </w:p>
        </w:tc>
        <w:tc>
          <w:tcPr>
            <w:tcW w:w="1276" w:type="dxa"/>
            <w:gridSpan w:val="2"/>
          </w:tcPr>
          <w:p>
            <w:pPr>
              <w:pStyle w:val="nTable"/>
              <w:spacing w:after="40"/>
            </w:pPr>
            <w:r>
              <w:t>1 Dec 2006 p. 5349</w:t>
            </w:r>
            <w:r>
              <w:noBreakHyphen/>
              <w:t>50</w:t>
            </w:r>
          </w:p>
        </w:tc>
        <w:tc>
          <w:tcPr>
            <w:tcW w:w="2694" w:type="dxa"/>
            <w:gridSpan w:val="2"/>
          </w:tcPr>
          <w:p>
            <w:pPr>
              <w:pStyle w:val="nTable"/>
              <w:spacing w:after="40"/>
            </w:pPr>
            <w:r>
              <w:t>1 Dec 2006</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2007</w:t>
            </w:r>
          </w:p>
        </w:tc>
        <w:tc>
          <w:tcPr>
            <w:tcW w:w="1276" w:type="dxa"/>
            <w:gridSpan w:val="2"/>
          </w:tcPr>
          <w:p>
            <w:pPr>
              <w:pStyle w:val="nTable"/>
              <w:spacing w:after="40"/>
            </w:pPr>
            <w:r>
              <w:t>26 Jun 2007 p. 3013</w:t>
            </w:r>
            <w:r>
              <w:noBreakHyphen/>
              <w:t>17</w:t>
            </w:r>
          </w:p>
        </w:tc>
        <w:tc>
          <w:tcPr>
            <w:tcW w:w="2694" w:type="dxa"/>
            <w:gridSpan w:val="2"/>
          </w:tcPr>
          <w:p>
            <w:pPr>
              <w:pStyle w:val="nTable"/>
              <w:spacing w:after="40"/>
            </w:pPr>
            <w:r>
              <w:t>bl. 1 and 2: 26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2009</w:t>
            </w:r>
          </w:p>
        </w:tc>
        <w:tc>
          <w:tcPr>
            <w:tcW w:w="1276" w:type="dxa"/>
            <w:gridSpan w:val="2"/>
          </w:tcPr>
          <w:p>
            <w:pPr>
              <w:pStyle w:val="nTable"/>
              <w:spacing w:after="40"/>
            </w:pPr>
            <w:r>
              <w:t>30 Mar 2009 p. 967</w:t>
            </w:r>
            <w:r>
              <w:noBreakHyphen/>
              <w:t>95</w:t>
            </w:r>
          </w:p>
        </w:tc>
        <w:tc>
          <w:tcPr>
            <w:tcW w:w="2694" w:type="dxa"/>
            <w:gridSpan w:val="2"/>
          </w:tcPr>
          <w:p>
            <w:pPr>
              <w:pStyle w:val="nTable"/>
              <w:spacing w:after="40"/>
            </w:pPr>
            <w:r>
              <w:t>bl. 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pPr>
              <w:pStyle w:val="nTable"/>
              <w:spacing w:after="40"/>
            </w:pPr>
            <w:r>
              <w:t>26 Mar 2010 p. 1135-42</w:t>
            </w:r>
          </w:p>
        </w:tc>
        <w:tc>
          <w:tcPr>
            <w:tcW w:w="2694" w:type="dxa"/>
            <w:gridSpan w:val="2"/>
          </w:tcPr>
          <w:p>
            <w:pPr>
              <w:pStyle w:val="nTable"/>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2011</w:t>
            </w:r>
          </w:p>
        </w:tc>
        <w:tc>
          <w:tcPr>
            <w:tcW w:w="1276" w:type="dxa"/>
            <w:gridSpan w:val="2"/>
          </w:tcPr>
          <w:p>
            <w:pPr>
              <w:pStyle w:val="nTable"/>
              <w:spacing w:after="40"/>
            </w:pPr>
            <w:r>
              <w:t>24 Jun 2011 p. 2499</w:t>
            </w:r>
            <w:r>
              <w:noBreakHyphen/>
              <w:t>503</w:t>
            </w:r>
          </w:p>
        </w:tc>
        <w:tc>
          <w:tcPr>
            <w:tcW w:w="2694" w:type="dxa"/>
            <w:gridSpan w:val="2"/>
          </w:tcPr>
          <w:p>
            <w:pPr>
              <w:pStyle w:val="nTable"/>
              <w:spacing w:after="40"/>
            </w:pPr>
            <w:r>
              <w:t>bl. 1 and 2: 24 Jun 2011 (see bl. 2(a));</w:t>
            </w:r>
            <w:r>
              <w:br/>
              <w:t>By-laws other than bl. 1 and 2: 1 Jul 2011 (see bl. 2(b))</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w:t>
            </w:r>
            <w:r>
              <w:rPr>
                <w:i/>
              </w:rPr>
              <w:noBreakHyphen/>
              <w:t>laws 2012</w:t>
            </w:r>
          </w:p>
        </w:tc>
        <w:tc>
          <w:tcPr>
            <w:tcW w:w="1276" w:type="dxa"/>
            <w:gridSpan w:val="2"/>
          </w:tcPr>
          <w:p>
            <w:pPr>
              <w:pStyle w:val="nTable"/>
              <w:spacing w:after="40"/>
            </w:pPr>
            <w:r>
              <w:t>29 Jun 2012 p. 2913-26</w:t>
            </w:r>
          </w:p>
        </w:tc>
        <w:tc>
          <w:tcPr>
            <w:tcW w:w="2694" w:type="dxa"/>
            <w:gridSpan w:val="2"/>
          </w:tcPr>
          <w:p>
            <w:pPr>
              <w:pStyle w:val="nTable"/>
              <w:spacing w:after="40"/>
            </w:pPr>
            <w:r>
              <w:t>bl. 1 and 2: 29 Jun 2012 (see bl. 2(a));</w:t>
            </w:r>
            <w:r>
              <w:br/>
              <w:t>By-laws other than bl. 1 and 2: 1 Jul 2012 (see bl.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rPr>
                <w:i/>
              </w:rPr>
            </w:pPr>
            <w:r>
              <w:rPr>
                <w:i/>
              </w:rPr>
              <w:lastRenderedPageBreak/>
              <w:t>Energy Operators (Electricity Retail Corporation) (Charges) Amendment By-laws (No. 2) 2012</w:t>
            </w:r>
          </w:p>
        </w:tc>
        <w:tc>
          <w:tcPr>
            <w:tcW w:w="1276" w:type="dxa"/>
            <w:gridSpan w:val="2"/>
          </w:tcPr>
          <w:p>
            <w:pPr>
              <w:pStyle w:val="nTable"/>
              <w:spacing w:after="40"/>
            </w:pPr>
            <w:r>
              <w:t>21 Sep 2012 p. 4424</w:t>
            </w:r>
          </w:p>
        </w:tc>
        <w:tc>
          <w:tcPr>
            <w:tcW w:w="2694" w:type="dxa"/>
            <w:gridSpan w:val="2"/>
          </w:tcPr>
          <w:p>
            <w:pPr>
              <w:pStyle w:val="nTable"/>
              <w:spacing w:after="40"/>
            </w:pPr>
            <w:r>
              <w:t>bl. 1 and 2: 21 Sep 2012 (see bl. 2(a));</w:t>
            </w:r>
            <w:r>
              <w:br/>
              <w:t>By-laws other than bl. 1 and 2: 1 Oct 2012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2013</w:t>
            </w:r>
          </w:p>
        </w:tc>
        <w:tc>
          <w:tcPr>
            <w:tcW w:w="1276" w:type="dxa"/>
            <w:gridSpan w:val="2"/>
          </w:tcPr>
          <w:p>
            <w:pPr>
              <w:pStyle w:val="nTable"/>
              <w:spacing w:after="40"/>
            </w:pPr>
            <w:r>
              <w:t>14 Jun 2013 p. 2217-22</w:t>
            </w:r>
          </w:p>
        </w:tc>
        <w:tc>
          <w:tcPr>
            <w:tcW w:w="2694" w:type="dxa"/>
            <w:gridSpan w:val="2"/>
          </w:tcPr>
          <w:p>
            <w:pPr>
              <w:pStyle w:val="nTable"/>
              <w:spacing w:after="40"/>
            </w:pPr>
            <w:r>
              <w:t>bl. 1 and 2: 14 Jun 2013 (see bl. 2(a));</w:t>
            </w:r>
            <w:r>
              <w:br/>
              <w:t>By-laws other than bl. 1 and 2: 1 Jul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Pr>
          <w:p>
            <w:pPr>
              <w:pStyle w:val="nTable"/>
              <w:spacing w:after="40"/>
              <w:rPr>
                <w:i/>
              </w:rPr>
            </w:pPr>
            <w:r>
              <w:rPr>
                <w:i/>
              </w:rPr>
              <w:t>Energy Operators (Electricity Retail Corporation) (Charges) Amendment By-laws (No. 2) 2013</w:t>
            </w:r>
          </w:p>
        </w:tc>
        <w:tc>
          <w:tcPr>
            <w:tcW w:w="1276" w:type="dxa"/>
            <w:gridSpan w:val="2"/>
          </w:tcPr>
          <w:p>
            <w:pPr>
              <w:pStyle w:val="nTable"/>
              <w:spacing w:after="40"/>
            </w:pPr>
            <w:r>
              <w:t>30 Aug 2013 p. 4097-100</w:t>
            </w:r>
          </w:p>
        </w:tc>
        <w:tc>
          <w:tcPr>
            <w:tcW w:w="2694" w:type="dxa"/>
            <w:gridSpan w:val="2"/>
          </w:tcPr>
          <w:p>
            <w:pPr>
              <w:pStyle w:val="nTable"/>
              <w:spacing w:after="40"/>
            </w:pPr>
            <w:r>
              <w:t>bl. 1 and 2: 30 Aug 2013 (see bl. 2(a));</w:t>
            </w:r>
            <w:r>
              <w:br/>
              <w:t>By-laws other than bl. 1 and 2: 1 Sep 2013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pPr>
              <w:pStyle w:val="nTable"/>
              <w:spacing w:after="40"/>
            </w:pPr>
            <w:r>
              <w:t>27 Dec 2013 p. 6469-79</w:t>
            </w:r>
          </w:p>
        </w:tc>
        <w:tc>
          <w:tcPr>
            <w:tcW w:w="2694" w:type="dxa"/>
            <w:gridSpan w:val="2"/>
            <w:shd w:val="clear" w:color="auto" w:fill="auto"/>
          </w:tcPr>
          <w:p>
            <w:pPr>
              <w:pStyle w:val="nTable"/>
              <w:spacing w:after="40"/>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2014</w:t>
            </w:r>
          </w:p>
        </w:tc>
        <w:tc>
          <w:tcPr>
            <w:tcW w:w="1276" w:type="dxa"/>
            <w:gridSpan w:val="2"/>
            <w:shd w:val="clear" w:color="auto" w:fill="auto"/>
          </w:tcPr>
          <w:p>
            <w:pPr>
              <w:pStyle w:val="nTable"/>
              <w:spacing w:after="40"/>
            </w:pPr>
            <w:r>
              <w:t>27 Jun 2014 p. 2313-19</w:t>
            </w:r>
          </w:p>
        </w:tc>
        <w:tc>
          <w:tcPr>
            <w:tcW w:w="2694" w:type="dxa"/>
            <w:gridSpan w:val="2"/>
            <w:shd w:val="clear" w:color="auto" w:fill="auto"/>
          </w:tcPr>
          <w:p>
            <w:pPr>
              <w:pStyle w:val="nTable"/>
              <w:spacing w:after="40"/>
            </w:pPr>
            <w:r>
              <w:t>bl. 1 and 2: 27 Jun 2014 (see bl. 2(a));</w:t>
            </w:r>
            <w:r>
              <w:br/>
              <w:t>By-laws other than bl. 1 and 2: 1 Jul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pPr>
              <w:pStyle w:val="nTable"/>
              <w:spacing w:after="40"/>
            </w:pPr>
            <w:r>
              <w:t>22 Aug 2014 p. 3024</w:t>
            </w:r>
            <w:r>
              <w:noBreakHyphen/>
              <w:t>32</w:t>
            </w:r>
          </w:p>
        </w:tc>
        <w:tc>
          <w:tcPr>
            <w:tcW w:w="2694" w:type="dxa"/>
            <w:gridSpan w:val="2"/>
            <w:shd w:val="clear" w:color="auto" w:fill="auto"/>
          </w:tcPr>
          <w:p>
            <w:pPr>
              <w:pStyle w:val="nTable"/>
              <w:spacing w:after="40"/>
            </w:pPr>
            <w:r>
              <w:t>bl. 1 and 2: 22 Aug 2014 (see bl. 2(a));</w:t>
            </w:r>
            <w:r>
              <w:br/>
              <w:t>By-laws other than bl. 1 and 2: 1 Sep 2014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By-laws 2015</w:t>
            </w:r>
          </w:p>
        </w:tc>
        <w:tc>
          <w:tcPr>
            <w:tcW w:w="1276" w:type="dxa"/>
            <w:gridSpan w:val="2"/>
            <w:shd w:val="clear" w:color="auto" w:fill="auto"/>
          </w:tcPr>
          <w:p>
            <w:pPr>
              <w:pStyle w:val="nTable"/>
              <w:spacing w:after="40"/>
            </w:pPr>
            <w:r>
              <w:t>26 Jun 2015 p. 2239</w:t>
            </w:r>
            <w:r>
              <w:noBreakHyphen/>
              <w:t>46</w:t>
            </w:r>
          </w:p>
        </w:tc>
        <w:tc>
          <w:tcPr>
            <w:tcW w:w="2694" w:type="dxa"/>
            <w:gridSpan w:val="2"/>
            <w:shd w:val="clear" w:color="auto" w:fill="auto"/>
          </w:tcPr>
          <w:p>
            <w:pPr>
              <w:pStyle w:val="nTable"/>
              <w:spacing w:after="40"/>
            </w:pPr>
            <w:r>
              <w:t>bl. 1 and 2: 26 Jun 2015 (see bl. 2(a));</w:t>
            </w:r>
            <w:r>
              <w:br/>
              <w:t>By-laws other than bl. 1 and 2: 1 Jul 2015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pPr>
              <w:pStyle w:val="nTable"/>
              <w:spacing w:after="40"/>
            </w:pPr>
            <w:r>
              <w:t>28 Jun 2016 p. 2623</w:t>
            </w:r>
            <w:r>
              <w:noBreakHyphen/>
              <w:t>5</w:t>
            </w:r>
          </w:p>
        </w:tc>
        <w:tc>
          <w:tcPr>
            <w:tcW w:w="2694" w:type="dxa"/>
            <w:gridSpan w:val="2"/>
            <w:shd w:val="clear" w:color="auto" w:fill="auto"/>
          </w:tcPr>
          <w:p>
            <w:pPr>
              <w:pStyle w:val="nTable"/>
              <w:spacing w:after="40"/>
            </w:pPr>
            <w:r>
              <w:t>bl. 1 and 2: 28 Jun 2016 (see bl. 2(a));</w:t>
            </w:r>
            <w:r>
              <w:br/>
              <w:t>By-laws other than bl. 1 and 2: 1 Jul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pPr>
              <w:pStyle w:val="nTable"/>
              <w:spacing w:after="40"/>
            </w:pPr>
            <w:r>
              <w:t>31 Aug 2016 p. 3701</w:t>
            </w:r>
            <w:r>
              <w:noBreakHyphen/>
              <w:t>5</w:t>
            </w:r>
          </w:p>
        </w:tc>
        <w:tc>
          <w:tcPr>
            <w:tcW w:w="2694" w:type="dxa"/>
            <w:gridSpan w:val="2"/>
            <w:shd w:val="clear" w:color="auto" w:fill="auto"/>
          </w:tcPr>
          <w:p>
            <w:pPr>
              <w:pStyle w:val="nTable"/>
              <w:spacing w:after="40"/>
            </w:pPr>
            <w:r>
              <w:rPr>
                <w:bCs/>
                <w:snapToGrid w:val="0"/>
                <w:spacing w:val="-2"/>
              </w:rPr>
              <w:t>bl. 1 and 2: 31 Aug 2016 (see bl. 2(a));</w:t>
            </w:r>
            <w:r>
              <w:rPr>
                <w:bCs/>
                <w:snapToGrid w:val="0"/>
                <w:spacing w:val="-2"/>
              </w:rPr>
              <w:br/>
              <w:t>By-laws other than bl. 1 and 2: 1 Sep 2016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pPr>
              <w:pStyle w:val="nTable"/>
              <w:spacing w:after="40"/>
            </w:pPr>
            <w:r>
              <w:t>27 Jun 2017 p. 3424</w:t>
            </w:r>
            <w:r>
              <w:noBreakHyphen/>
              <w:t>31</w:t>
            </w:r>
          </w:p>
        </w:tc>
        <w:tc>
          <w:tcPr>
            <w:tcW w:w="2694" w:type="dxa"/>
            <w:gridSpan w:val="2"/>
            <w:shd w:val="clear" w:color="auto" w:fill="auto"/>
          </w:tcPr>
          <w:p>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pPr>
              <w:pStyle w:val="nTable"/>
              <w:keepNext/>
              <w:spacing w:after="40"/>
            </w:pPr>
            <w:r>
              <w:t>30 Jun 2017 p. 3564</w:t>
            </w:r>
            <w:r>
              <w:noBreakHyphen/>
              <w:t>6</w:t>
            </w:r>
          </w:p>
        </w:tc>
        <w:tc>
          <w:tcPr>
            <w:tcW w:w="2694" w:type="dxa"/>
            <w:gridSpan w:val="2"/>
            <w:shd w:val="clear" w:color="auto" w:fill="auto"/>
          </w:tcPr>
          <w:p>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pPr>
              <w:pStyle w:val="nTable"/>
              <w:spacing w:after="40"/>
            </w:pPr>
            <w:r>
              <w:t>16 Feb 2018 p. 469</w:t>
            </w:r>
            <w:r>
              <w:noBreakHyphen/>
              <w:t>70</w:t>
            </w:r>
          </w:p>
        </w:tc>
        <w:tc>
          <w:tcPr>
            <w:tcW w:w="2694" w:type="dxa"/>
            <w:gridSpan w:val="2"/>
            <w:shd w:val="clear" w:color="auto" w:fill="auto"/>
          </w:tcPr>
          <w:p>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pPr>
              <w:pStyle w:val="nTable"/>
              <w:spacing w:after="40"/>
              <w:rPr>
                <w:caps/>
              </w:rPr>
            </w:pPr>
            <w:r>
              <w:t>26 Jun 2018 p. 2371</w:t>
            </w:r>
            <w:r>
              <w:noBreakHyphen/>
              <w:t>9</w:t>
            </w:r>
          </w:p>
        </w:tc>
        <w:tc>
          <w:tcPr>
            <w:tcW w:w="2694" w:type="dxa"/>
            <w:gridSpan w:val="2"/>
            <w:shd w:val="clear" w:color="auto" w:fill="auto"/>
          </w:tcPr>
          <w:p>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trPr>
          <w:gridBefore w:val="1"/>
          <w:wBefore w:w="28" w:type="dxa"/>
        </w:trPr>
        <w:tc>
          <w:tcPr>
            <w:tcW w:w="3118" w:type="dxa"/>
            <w:gridSpan w:val="2"/>
            <w:tcBorders>
              <w:top w:val="nil"/>
              <w:bottom w:val="nil"/>
            </w:tcBorders>
            <w:shd w:val="clear" w:color="auto" w:fill="auto"/>
          </w:tcPr>
          <w:p>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pPr>
              <w:pStyle w:val="nTable"/>
              <w:spacing w:after="40"/>
              <w:rPr>
                <w:caps/>
              </w:rPr>
            </w:pPr>
            <w:r>
              <w:t>21 Jun 2019 p. 2119</w:t>
            </w:r>
            <w:r>
              <w:noBreakHyphen/>
              <w:t>27</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Pr>
                <w:bCs/>
                <w:snapToGrid w:val="0"/>
                <w:spacing w:val="-2"/>
              </w:rPr>
              <w:br/>
              <w:t>bl. 5: 1 Sep 2019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pPr>
              <w:pStyle w:val="nTable"/>
              <w:spacing w:after="40"/>
            </w:pPr>
            <w:r>
              <w:t>SL 2020/79 9 Jun 2020</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top w:val="nil"/>
              <w:bottom w:val="nil"/>
            </w:tcBorders>
            <w:shd w:val="clear" w:color="auto" w:fill="auto"/>
          </w:tcPr>
          <w:p>
            <w:pPr>
              <w:pStyle w:val="nTable"/>
              <w:spacing w:after="40"/>
            </w:pPr>
            <w:r>
              <w:t>SL 2021/98 22 Jun 2021</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22 Jun 2021 (see bl. 2(a));</w:t>
            </w:r>
            <w:r>
              <w:rPr>
                <w:bCs/>
                <w:snapToGrid w:val="0"/>
                <w:spacing w:val="-2"/>
              </w:rPr>
              <w:br/>
              <w:t>By-laws other than bl. 1 and 2: 1 Jul 2021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2022</w:t>
            </w:r>
          </w:p>
        </w:tc>
        <w:tc>
          <w:tcPr>
            <w:tcW w:w="1276" w:type="dxa"/>
            <w:gridSpan w:val="2"/>
            <w:tcBorders>
              <w:top w:val="nil"/>
              <w:bottom w:val="nil"/>
            </w:tcBorders>
            <w:shd w:val="clear" w:color="auto" w:fill="auto"/>
          </w:tcPr>
          <w:p>
            <w:pPr>
              <w:pStyle w:val="nTable"/>
              <w:spacing w:after="40"/>
            </w:pPr>
            <w:r>
              <w:t>SL 2022/70 3 Jun 2022</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bl. 1 and 2: 3 Jun 2022 (see bl. 2(a));</w:t>
            </w:r>
            <w:r>
              <w:rPr>
                <w:bCs/>
                <w:snapToGrid w:val="0"/>
                <w:spacing w:val="-2"/>
              </w:rPr>
              <w:br/>
              <w:t>By-laws other than bl. 1 and 2: 1 Jul 2022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2023</w:t>
            </w:r>
          </w:p>
        </w:tc>
        <w:tc>
          <w:tcPr>
            <w:tcW w:w="1276" w:type="dxa"/>
            <w:gridSpan w:val="2"/>
            <w:tcBorders>
              <w:top w:val="nil"/>
              <w:bottom w:val="nil"/>
            </w:tcBorders>
            <w:shd w:val="clear" w:color="auto" w:fill="auto"/>
          </w:tcPr>
          <w:p>
            <w:pPr>
              <w:pStyle w:val="nTable"/>
              <w:spacing w:after="40"/>
            </w:pPr>
            <w:r>
              <w:t>SL 2023/85 27 Jun 2023</w:t>
            </w:r>
          </w:p>
        </w:tc>
        <w:tc>
          <w:tcPr>
            <w:tcW w:w="2694" w:type="dxa"/>
            <w:gridSpan w:val="2"/>
            <w:tcBorders>
              <w:top w:val="nil"/>
              <w:bottom w:val="nil"/>
            </w:tcBorders>
            <w:shd w:val="clear" w:color="auto" w:fill="auto"/>
          </w:tcPr>
          <w:p>
            <w:pPr>
              <w:pStyle w:val="nTable"/>
              <w:spacing w:after="40"/>
              <w:rPr>
                <w:bCs/>
                <w:snapToGrid w:val="0"/>
                <w:spacing w:val="-2"/>
              </w:rPr>
            </w:pPr>
            <w:r>
              <w:rPr>
                <w:bCs/>
                <w:snapToGrid w:val="0"/>
                <w:spacing w:val="-2"/>
              </w:rPr>
              <w:t xml:space="preserve">bl. 1 and 2: </w:t>
            </w:r>
            <w:r>
              <w:t>27 Jun 2023</w:t>
            </w:r>
            <w:r>
              <w:rPr>
                <w:bCs/>
                <w:snapToGrid w:val="0"/>
                <w:spacing w:val="-2"/>
              </w:rPr>
              <w:t xml:space="preserve"> (see bl. 2(a));</w:t>
            </w:r>
            <w:r>
              <w:rPr>
                <w:bCs/>
                <w:snapToGrid w:val="0"/>
                <w:spacing w:val="-2"/>
              </w:rPr>
              <w:br/>
              <w:t>By</w:t>
            </w:r>
            <w:r>
              <w:rPr>
                <w:bCs/>
                <w:snapToGrid w:val="0"/>
                <w:spacing w:val="-2"/>
              </w:rPr>
              <w:noBreakHyphen/>
              <w:t>laws other than bl. 1 and 2: 1 Jul 2023 (see bl.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Energy Operators (Electricity Generation and Retail Corporation) (Charges) Amendment By</w:t>
            </w:r>
            <w:r>
              <w:rPr>
                <w:i/>
              </w:rPr>
              <w:noBreakHyphen/>
              <w:t>laws 2024</w:t>
            </w:r>
          </w:p>
        </w:tc>
        <w:tc>
          <w:tcPr>
            <w:tcW w:w="1276" w:type="dxa"/>
            <w:gridSpan w:val="2"/>
            <w:tcBorders>
              <w:top w:val="nil"/>
              <w:bottom w:val="nil"/>
            </w:tcBorders>
            <w:shd w:val="clear" w:color="auto" w:fill="auto"/>
          </w:tcPr>
          <w:p>
            <w:pPr>
              <w:pStyle w:val="nTable"/>
              <w:spacing w:after="40"/>
            </w:pPr>
            <w:r>
              <w:t>SL 2024/102 14 Jun 2024</w:t>
            </w:r>
          </w:p>
        </w:tc>
        <w:tc>
          <w:tcPr>
            <w:tcW w:w="2694" w:type="dxa"/>
            <w:gridSpan w:val="2"/>
            <w:tcBorders>
              <w:top w:val="nil"/>
              <w:bottom w:val="nil"/>
            </w:tcBorders>
            <w:shd w:val="clear" w:color="auto" w:fill="auto"/>
          </w:tcPr>
          <w:p>
            <w:pPr>
              <w:pStyle w:val="nTable"/>
              <w:spacing w:after="40"/>
            </w:pPr>
            <w:r>
              <w:rPr>
                <w:bCs/>
                <w:snapToGrid w:val="0"/>
                <w:spacing w:val="-2"/>
              </w:rPr>
              <w:t>bl. 1 and 2: 14 Jun 2024 (see bl. 2(a));</w:t>
            </w:r>
            <w:r>
              <w:rPr>
                <w:bCs/>
                <w:snapToGrid w:val="0"/>
                <w:spacing w:val="-2"/>
              </w:rPr>
              <w:br/>
              <w:t>By-laws other than bl. 1 and 2: 1 Jul 2024</w:t>
            </w:r>
            <w:r>
              <w:t xml:space="preserve"> (see bl.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spacing w:after="40"/>
              <w:rPr>
                <w:i/>
              </w:rPr>
            </w:pPr>
            <w:r>
              <w:rPr>
                <w:i/>
              </w:rPr>
              <w:lastRenderedPageBreak/>
              <w:t>Energy Operators (Electricity Generation and Retail Corporation) (Charges) Amendment By</w:t>
            </w:r>
            <w:r>
              <w:rPr>
                <w:i/>
              </w:rPr>
              <w:noBreakHyphen/>
              <w:t>laws 2025</w:t>
            </w:r>
          </w:p>
        </w:tc>
        <w:tc>
          <w:tcPr>
            <w:tcW w:w="1276" w:type="dxa"/>
            <w:gridSpan w:val="2"/>
            <w:tcBorders>
              <w:bottom w:val="single" w:sz="4" w:space="0" w:color="auto"/>
            </w:tcBorders>
            <w:shd w:val="clear" w:color="auto" w:fill="auto"/>
          </w:tcPr>
          <w:p>
            <w:pPr>
              <w:pStyle w:val="nTable"/>
              <w:spacing w:after="40"/>
            </w:pPr>
            <w:r>
              <w:t>SL 2025/124 26 Jun 2025</w:t>
            </w:r>
          </w:p>
        </w:tc>
        <w:tc>
          <w:tcPr>
            <w:tcW w:w="2694" w:type="dxa"/>
            <w:gridSpan w:val="2"/>
            <w:tcBorders>
              <w:bottom w:val="single" w:sz="4" w:space="0" w:color="auto"/>
            </w:tcBorders>
            <w:shd w:val="clear" w:color="auto" w:fill="auto"/>
          </w:tcPr>
          <w:p>
            <w:pPr>
              <w:pStyle w:val="nTable"/>
              <w:spacing w:after="40"/>
              <w:rPr>
                <w:bCs/>
                <w:snapToGrid w:val="0"/>
                <w:spacing w:val="-2"/>
              </w:rPr>
            </w:pPr>
            <w:r>
              <w:rPr>
                <w:bCs/>
                <w:snapToGrid w:val="0"/>
                <w:spacing w:val="-2"/>
              </w:rPr>
              <w:t xml:space="preserve">bl. 1 and 2: </w:t>
            </w:r>
            <w:r>
              <w:t>26 Jun 2025</w:t>
            </w:r>
            <w:r>
              <w:rPr>
                <w:bCs/>
                <w:snapToGrid w:val="0"/>
                <w:spacing w:val="-2"/>
              </w:rPr>
              <w:t xml:space="preserve"> (see bl. 2(a));</w:t>
            </w:r>
            <w:r>
              <w:rPr>
                <w:bCs/>
                <w:snapToGrid w:val="0"/>
                <w:spacing w:val="-2"/>
              </w:rPr>
              <w:br/>
              <w:t>By</w:t>
            </w:r>
            <w:r>
              <w:rPr>
                <w:bCs/>
                <w:snapToGrid w:val="0"/>
                <w:spacing w:val="-2"/>
              </w:rPr>
              <w:noBreakHyphen/>
              <w:t>laws other than bl. 1 and 2: 1 Jul 2025 (see bl. 2(b))</w:t>
            </w:r>
          </w:p>
        </w:tc>
      </w:tr>
    </w:tbl>
    <w:p>
      <w:pPr>
        <w:pStyle w:val="nHeading3"/>
      </w:pPr>
      <w:bookmarkStart w:id="94" w:name="_Toc201762590"/>
      <w:r>
        <w:t>Other notes</w:t>
      </w:r>
      <w:bookmarkEnd w:id="94"/>
    </w:p>
    <w:p>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6" w:name="_Toc201762591"/>
      <w:r>
        <w:rPr>
          <w:sz w:val="28"/>
        </w:rPr>
        <w:lastRenderedPageBreak/>
        <w:t>Defined terms</w:t>
      </w:r>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Centrelink</w:t>
      </w:r>
      <w:r>
        <w:tab/>
        <w:t>9(1)</w:t>
      </w:r>
    </w:p>
    <w:p>
      <w:pPr>
        <w:pStyle w:val="DefinedTerms"/>
      </w:pPr>
      <w:r>
        <w:t>corporation</w:t>
      </w:r>
      <w:r>
        <w:tab/>
        <w:t>3</w:t>
      </w:r>
    </w:p>
    <w:p>
      <w:pPr>
        <w:pStyle w:val="DefinedTerms"/>
      </w:pPr>
      <w:r>
        <w:t>dwelling</w:t>
      </w:r>
      <w:r>
        <w:tab/>
        <w:t>3</w:t>
      </w:r>
    </w:p>
    <w:p>
      <w:pPr>
        <w:pStyle w:val="DefinedTerms"/>
      </w:pPr>
      <w:r>
        <w:t>eligible individual</w:t>
      </w:r>
      <w:r>
        <w:tab/>
        <w:t>9(1)</w:t>
      </w:r>
    </w:p>
    <w:p>
      <w:pPr>
        <w:pStyle w:val="DefinedTerms"/>
      </w:pPr>
      <w:r>
        <w:t>gold card</w:t>
      </w:r>
      <w:r>
        <w:tab/>
        <w:t>9(1)</w:t>
      </w:r>
    </w:p>
    <w:p>
      <w:pPr>
        <w:pStyle w:val="DefinedTerms"/>
      </w:pPr>
      <w:r>
        <w:t>half-hourly maximum demand</w:t>
      </w:r>
      <w:r>
        <w:tab/>
        <w:t>3</w:t>
      </w:r>
    </w:p>
    <w:p>
      <w:pPr>
        <w:pStyle w:val="DefinedTerms"/>
      </w:pPr>
      <w:r>
        <w:t>interest period</w:t>
      </w:r>
      <w:r>
        <w:tab/>
        <w:t>12(1)</w:t>
      </w:r>
    </w:p>
    <w:p>
      <w:pPr>
        <w:pStyle w:val="DefinedTerms"/>
      </w:pPr>
      <w:r>
        <w:t>life support customer</w:t>
      </w:r>
      <w:r>
        <w:tab/>
        <w:t>3</w:t>
      </w:r>
    </w:p>
    <w:p>
      <w:pPr>
        <w:pStyle w:val="DefinedTerms"/>
      </w:pPr>
      <w:r>
        <w:t>MSLA</w:t>
      </w:r>
      <w:r>
        <w:tab/>
        <w:t>3</w:t>
      </w:r>
    </w:p>
    <w:p>
      <w:pPr>
        <w:pStyle w:val="DefinedTerms"/>
      </w:pPr>
      <w:r>
        <w:t>off peak</w:t>
      </w:r>
      <w:r>
        <w:tab/>
        <w:t>3</w:t>
      </w:r>
    </w:p>
    <w:p>
      <w:pPr>
        <w:pStyle w:val="DefinedTerms"/>
      </w:pPr>
      <w:r>
        <w:t>on peak</w:t>
      </w:r>
      <w:r>
        <w:tab/>
        <w:t>3</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932CD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61E72CA" w14:textId="03311355" w:rsidR="007A6164" w:rsidRDefault="00492E5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2207E">
                        <w:rPr>
                          <w:sz w:val="16"/>
                        </w:rPr>
                        <w:t>2025</w:t>
                      </w:r>
                      <w:r>
                        <w:rPr>
                          <w:sz w:val="16"/>
                        </w:rPr>
                        <w:fldChar w:fldCharType="end"/>
                      </w:r>
                      <w:r>
                        <w:rPr>
                          <w:sz w:val="16"/>
                        </w:rPr>
                        <w:t>.</w:t>
                      </w:r>
                    </w:p>
                    <w:p w14:paraId="792682C6" w14:textId="77777777" w:rsidR="007A6164" w:rsidRDefault="00492E5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73EC80" w14:textId="12721245" w:rsidR="007A6164" w:rsidRDefault="00492E5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2207E">
                        <w:rPr>
                          <w:sz w:val="16"/>
                        </w:rPr>
                        <w:t>2025</w:t>
                      </w:r>
                      <w:r>
                        <w:rPr>
                          <w:sz w:val="16"/>
                        </w:rPr>
                        <w:fldChar w:fldCharType="end"/>
                      </w:r>
                      <w:r>
                        <w:rPr>
                          <w:sz w:val="16"/>
                        </w:rPr>
                        <w:t>.</w:t>
                      </w:r>
                    </w:p>
                    <w:p w14:paraId="5B44CD08" w14:textId="77777777" w:rsidR="007A6164" w:rsidRDefault="00492E5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Unmetered supply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7" w:name="DefinedTerms"/>
    <w:bookmarkEnd w:id="97"/>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42133"/>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 w:name="WAFER_20220531155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5938_GUID" w:val="dcc1b10c-a21e-43c1-8e95-39eedaa0cfd1"/>
    <w:docVar w:name="WAFER_20220623142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2509_GUID" w:val="46373624-172a-40da-bcf0-718c29c2fa9a"/>
    <w:docVar w:name="WAFER_20230623162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24_GUID" w:val="887dbe01-f695-4c38-90fa-de7b18924670"/>
    <w:docVar w:name="WAFER_202312281036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616_GUID" w:val="35ee8ca6-ed0d-455c-b81c-1189e2007947"/>
    <w:docVar w:name="WAFER_2024061311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0702_GUID" w:val="45217c2c-d2a7-49b5-b0e8-a9acf72deec0"/>
    <w:docVar w:name="WAFER_20240625110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125_GUID" w:val="1b3ff25a-3cec-4ea9-adb1-8e2fa4a47899"/>
    <w:docVar w:name="WAFER_20250625140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0821_GUID" w:val="23b0f9fe-3f12-4069-876e-357d3b11f708"/>
    <w:docVar w:name="WAFER_202506251421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2133_GUID" w:val="9751d8ce-7f65-4197-a903-4fabfd3eb8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5032</Words>
  <Characters>24760</Characters>
  <Application>Microsoft Office Word</Application>
  <DocSecurity>0</DocSecurity>
  <Lines>917</Lines>
  <Paragraphs>595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2006 - 04-n0-00</dc:title>
  <dc:subject/>
  <dc:creator/>
  <cp:keywords/>
  <dc:description/>
  <cp:lastModifiedBy>Master Repository Process</cp:lastModifiedBy>
  <cp:revision>4</cp:revision>
  <cp:lastPrinted>2019-06-24T07:01:00Z</cp:lastPrinted>
  <dcterms:created xsi:type="dcterms:W3CDTF">2025-06-27T01:28:00Z</dcterms:created>
  <dcterms:modified xsi:type="dcterms:W3CDTF">2025-06-27T01:28:00Z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04-n0-00</vt:lpwstr>
  </property>
  <property fmtid="{D5CDD505-2E9C-101B-9397-08002B2CF9AE}" pid="12" name="Official">
    <vt:lpwstr/>
  </property>
</Properties>
</file>