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_Toc201325373 \h </w:instrText>
      </w:r>
      <w:r>
        <w:fldChar w:fldCharType="separate"/>
      </w:r>
      <w:r>
        <w:t>1</w:t>
      </w:r>
      <w:r>
        <w:fldChar w:fldCharType="end"/>
      </w:r>
    </w:p>
    <w:p>
      <w:pPr>
        <w:pStyle w:val="TOC8"/>
        <w:rPr>
          <w:rFonts w:asciiTheme="minorHAnsi" w:eastAsiaTheme="minorEastAsia" w:hAnsiTheme="minorHAnsi" w:cstheme="minorBidi"/>
          <w:szCs w:val="22"/>
        </w:rPr>
      </w:pPr>
      <w:r>
        <w:t>2.</w:t>
      </w:r>
      <w:r>
        <w:tab/>
        <w:t>Booking fee</w:t>
      </w:r>
      <w:r>
        <w:tab/>
      </w:r>
      <w:r>
        <w:fldChar w:fldCharType="begin"/>
      </w:r>
      <w:r>
        <w:instrText xml:space="preserve"> PAGEREF _Toc201325374 \h </w:instrText>
      </w:r>
      <w:r>
        <w:fldChar w:fldCharType="separate"/>
      </w:r>
      <w:r>
        <w:t>1</w:t>
      </w:r>
      <w:r>
        <w:fldChar w:fldCharType="end"/>
      </w:r>
    </w:p>
    <w:p>
      <w:pPr>
        <w:pStyle w:val="TOC8"/>
        <w:rPr>
          <w:rFonts w:asciiTheme="minorHAnsi" w:eastAsiaTheme="minorEastAsia" w:hAnsiTheme="minorHAnsi" w:cstheme="minorBidi"/>
          <w:szCs w:val="22"/>
        </w:rPr>
      </w:pPr>
      <w:r>
        <w:t>3.</w:t>
      </w:r>
      <w:r>
        <w:tab/>
        <w:t>Hourly fee</w:t>
      </w:r>
      <w:r>
        <w:tab/>
      </w:r>
      <w:r>
        <w:fldChar w:fldCharType="begin"/>
      </w:r>
      <w:r>
        <w:instrText xml:space="preserve"> PAGEREF _Toc201325375 \h </w:instrText>
      </w:r>
      <w:r>
        <w:fldChar w:fldCharType="separate"/>
      </w:r>
      <w:r>
        <w:t>1</w:t>
      </w:r>
      <w:r>
        <w:fldChar w:fldCharType="end"/>
      </w:r>
    </w:p>
    <w:p>
      <w:pPr>
        <w:pStyle w:val="TOC8"/>
        <w:rPr>
          <w:rFonts w:asciiTheme="minorHAnsi" w:eastAsiaTheme="minorEastAsia" w:hAnsiTheme="minorHAnsi" w:cstheme="minorBidi"/>
          <w:szCs w:val="22"/>
        </w:rPr>
      </w:pPr>
      <w:r>
        <w:t>4.</w:t>
      </w:r>
      <w:r>
        <w:tab/>
        <w:t>Telecommunications charges</w:t>
      </w:r>
      <w:r>
        <w:tab/>
      </w:r>
      <w:r>
        <w:fldChar w:fldCharType="begin"/>
      </w:r>
      <w:r>
        <w:instrText xml:space="preserve"> PAGEREF _Toc201325376 \h </w:instrText>
      </w:r>
      <w:r>
        <w:fldChar w:fldCharType="separate"/>
      </w:r>
      <w:r>
        <w:t>2</w:t>
      </w:r>
      <w:r>
        <w:fldChar w:fldCharType="end"/>
      </w:r>
    </w:p>
    <w:p>
      <w:pPr>
        <w:pStyle w:val="TOC8"/>
        <w:rPr>
          <w:rFonts w:asciiTheme="minorHAnsi" w:eastAsiaTheme="minorEastAsia" w:hAnsiTheme="minorHAnsi" w:cstheme="minorBidi"/>
          <w:szCs w:val="22"/>
        </w:rPr>
      </w:pPr>
      <w:r>
        <w:t>5.</w:t>
      </w:r>
      <w:r>
        <w:tab/>
        <w:t>Fees and expenses to be recoverable as debts due to the Crown</w:t>
      </w:r>
      <w:r>
        <w:tab/>
      </w:r>
      <w:r>
        <w:fldChar w:fldCharType="begin"/>
      </w:r>
      <w:r>
        <w:instrText xml:space="preserve"> PAGEREF _Toc201325377 \h </w:instrText>
      </w:r>
      <w:r>
        <w:fldChar w:fldCharType="separate"/>
      </w:r>
      <w:r>
        <w:t>2</w:t>
      </w:r>
      <w:r>
        <w:fldChar w:fldCharType="end"/>
      </w:r>
    </w:p>
    <w:p>
      <w:pPr>
        <w:pStyle w:val="TOC8"/>
        <w:rPr>
          <w:rFonts w:asciiTheme="minorHAnsi" w:eastAsiaTheme="minorEastAsia" w:hAnsiTheme="minorHAnsi" w:cstheme="minorBidi"/>
          <w:szCs w:val="22"/>
        </w:rPr>
      </w:pPr>
      <w:r>
        <w:t>6.</w:t>
      </w:r>
      <w:r>
        <w:tab/>
        <w:t>Court may waive fees and expenses in a particular case</w:t>
      </w:r>
      <w:r>
        <w:tab/>
      </w:r>
      <w:r>
        <w:fldChar w:fldCharType="begin"/>
      </w:r>
      <w:r>
        <w:instrText xml:space="preserve"> PAGEREF _Toc201325378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_Toc201325381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Evidence Act 1906</w:t>
      </w:r>
    </w:p>
    <w:p>
      <w:pPr>
        <w:pStyle w:val="NameofActReg"/>
      </w:pPr>
      <w:r>
        <w:t>Evidence (Video and Audio Links Fees and Expenses) Regulations 1999</w:t>
      </w:r>
    </w:p>
    <w:p>
      <w:pPr>
        <w:pStyle w:val="Heading5"/>
      </w:pPr>
      <w:bookmarkStart w:id="2" w:name="_Toc201325373"/>
      <w:r>
        <w:rPr>
          <w:rStyle w:val="CharSectno"/>
        </w:rPr>
        <w:t>1</w:t>
      </w:r>
      <w:r>
        <w:t>.</w:t>
      </w:r>
      <w:r>
        <w:tab/>
        <w:t>Citation</w:t>
      </w:r>
      <w:bookmarkEnd w:id="2"/>
    </w:p>
    <w:p>
      <w:pPr>
        <w:pStyle w:val="Subsection"/>
        <w:rPr>
          <w:i/>
        </w:rPr>
      </w:pPr>
      <w:r>
        <w:tab/>
      </w:r>
      <w:r>
        <w:tab/>
        <w:t xml:space="preserve">These regulations may be cited as the </w:t>
      </w:r>
      <w:r>
        <w:rPr>
          <w:i/>
        </w:rPr>
        <w:t>Evidence (Video and Audio Links Fees and Expenses) Regulations 1999.</w:t>
      </w:r>
    </w:p>
    <w:p>
      <w:pPr>
        <w:pStyle w:val="Heading5"/>
      </w:pPr>
      <w:bookmarkStart w:id="3" w:name="_Toc201325374"/>
      <w:r>
        <w:rPr>
          <w:rStyle w:val="CharSectno"/>
        </w:rPr>
        <w:t>2</w:t>
      </w:r>
      <w:r>
        <w:t>.</w:t>
      </w:r>
      <w:r>
        <w:tab/>
        <w:t>Booking fee</w:t>
      </w:r>
      <w:bookmarkEnd w:id="3"/>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Gazette 9 Mar 2012 p. 931</w:t>
      </w:r>
      <w:r>
        <w:noBreakHyphen/>
        <w:t>2.]</w:t>
      </w:r>
    </w:p>
    <w:p>
      <w:pPr>
        <w:pStyle w:val="Heading5"/>
      </w:pPr>
      <w:bookmarkStart w:id="4" w:name="_Toc201325375"/>
      <w:r>
        <w:rPr>
          <w:rStyle w:val="CharSectno"/>
        </w:rPr>
        <w:t>3</w:t>
      </w:r>
      <w:r>
        <w:t>.</w:t>
      </w:r>
      <w:r>
        <w:tab/>
        <w:t>Hourly fee</w:t>
      </w:r>
      <w:bookmarkEnd w:id="4"/>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keepNext/>
      </w:pPr>
      <w:r>
        <w:lastRenderedPageBreak/>
        <w:tab/>
        <w:t>(b)</w:t>
      </w:r>
      <w:r>
        <w:tab/>
        <w:t>to receive a submission on behalf of the party.</w:t>
      </w:r>
    </w:p>
    <w:p>
      <w:pPr>
        <w:pStyle w:val="Footnotesection"/>
      </w:pPr>
      <w:r>
        <w:tab/>
        <w:t>[Regulation 3 amended: Gazette 9 Mar 2012 p. 932.]</w:t>
      </w:r>
    </w:p>
    <w:p>
      <w:pPr>
        <w:pStyle w:val="Heading5"/>
      </w:pPr>
      <w:bookmarkStart w:id="5" w:name="_Toc201325376"/>
      <w:r>
        <w:rPr>
          <w:rStyle w:val="CharSectno"/>
        </w:rPr>
        <w:t>4</w:t>
      </w:r>
      <w:r>
        <w:t>.</w:t>
      </w:r>
      <w:r>
        <w:tab/>
        <w:t>Telecommunications charges</w:t>
      </w:r>
      <w:bookmarkEnd w:id="5"/>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6" w:name="_Toc201325377"/>
      <w:r>
        <w:rPr>
          <w:rStyle w:val="CharSectno"/>
        </w:rPr>
        <w:t>5</w:t>
      </w:r>
      <w:r>
        <w:t>.</w:t>
      </w:r>
      <w:r>
        <w:tab/>
        <w:t>Fees and expenses to be recoverable as debts due to the Crown</w:t>
      </w:r>
      <w:bookmarkEnd w:id="6"/>
    </w:p>
    <w:p>
      <w:pPr>
        <w:pStyle w:val="Subsection"/>
      </w:pPr>
      <w:r>
        <w:tab/>
      </w:r>
      <w:r>
        <w:tab/>
        <w:t>A fee or expense payable under these regulations is a debt due to the Crown and is recoverable in a court of competent jurisdiction.</w:t>
      </w:r>
    </w:p>
    <w:p>
      <w:pPr>
        <w:pStyle w:val="Heading5"/>
      </w:pPr>
      <w:bookmarkStart w:id="7" w:name="_Toc201325378"/>
      <w:r>
        <w:rPr>
          <w:rStyle w:val="CharSectno"/>
        </w:rPr>
        <w:t>6</w:t>
      </w:r>
      <w:r>
        <w:t>.</w:t>
      </w:r>
      <w:r>
        <w:tab/>
        <w:t>Court may waive fees and expenses in a particular case</w:t>
      </w:r>
      <w:bookmarkEnd w:id="7"/>
    </w:p>
    <w:p>
      <w:pPr>
        <w:pStyle w:val="Subsection"/>
      </w:pPr>
      <w:r>
        <w:tab/>
      </w:r>
      <w:r>
        <w:tab/>
        <w:t>A court may, in a particular case, waive a fee or expense payable under these regulations.</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 w:name="_Toc201239159"/>
      <w:bookmarkStart w:id="9" w:name="_Toc201239236"/>
      <w:bookmarkStart w:id="10" w:name="_Toc201239507"/>
      <w:bookmarkStart w:id="11" w:name="_Toc201308946"/>
      <w:bookmarkStart w:id="12" w:name="_Toc201325379"/>
      <w:bookmarkStart w:id="13" w:name="_Toc201308516"/>
      <w:r>
        <w:rPr>
          <w:rStyle w:val="CharSchNo"/>
        </w:rPr>
        <w:lastRenderedPageBreak/>
        <w:t>Schedule 1</w:t>
      </w:r>
      <w:r>
        <w:t> —</w:t>
      </w:r>
      <w:r>
        <w:rPr>
          <w:rStyle w:val="CharSchText"/>
        </w:rPr>
        <w:t> Fees</w:t>
      </w:r>
      <w:bookmarkEnd w:id="8"/>
      <w:bookmarkEnd w:id="9"/>
      <w:bookmarkEnd w:id="10"/>
      <w:bookmarkEnd w:id="11"/>
      <w:bookmarkEnd w:id="12"/>
    </w:p>
    <w:p>
      <w:pPr>
        <w:pStyle w:val="yShoulderClause"/>
      </w:pPr>
      <w:r>
        <w:t>[r. 2 and 3]</w:t>
      </w:r>
    </w:p>
    <w:p>
      <w:pPr>
        <w:pStyle w:val="yFootnoteheading"/>
        <w:spacing w:after="60"/>
      </w:pPr>
      <w:r>
        <w:tab/>
        <w:t>[Heading inserted: SL 2025/111 r. 17.]</w:t>
      </w:r>
    </w:p>
    <w:tbl>
      <w:tblPr>
        <w:tblW w:w="6980" w:type="dxa"/>
        <w:tblInd w:w="108" w:type="dxa"/>
        <w:tblLayout w:type="fixed"/>
        <w:tblLook w:val="0000" w:firstRow="0" w:lastRow="0" w:firstColumn="0" w:lastColumn="0" w:noHBand="0" w:noVBand="0"/>
      </w:tblPr>
      <w:tblGrid>
        <w:gridCol w:w="669"/>
        <w:gridCol w:w="5103"/>
        <w:gridCol w:w="1208"/>
      </w:tblGrid>
      <w:tr>
        <w:trPr>
          <w:cantSplit/>
          <w:tblHeader/>
        </w:trPr>
        <w:tc>
          <w:tcPr>
            <w:tcW w:w="66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Matter</w:t>
            </w:r>
          </w:p>
        </w:tc>
        <w:tc>
          <w:tcPr>
            <w:tcW w:w="1208" w:type="dxa"/>
            <w:tcBorders>
              <w:top w:val="single" w:sz="4" w:space="0" w:color="auto"/>
              <w:bottom w:val="single" w:sz="4" w:space="0" w:color="auto"/>
            </w:tcBorders>
            <w:noWrap/>
          </w:tcPr>
          <w:p>
            <w:pPr>
              <w:pStyle w:val="yTableNAm"/>
              <w:jc w:val="center"/>
              <w:rPr>
                <w:b/>
              </w:rPr>
            </w:pPr>
            <w:r>
              <w:rPr>
                <w:b/>
              </w:rPr>
              <w:t>Fee</w:t>
            </w:r>
            <w:r>
              <w:rPr>
                <w:b/>
              </w:rPr>
              <w:br/>
              <w:t>$</w:t>
            </w:r>
          </w:p>
        </w:tc>
      </w:tr>
      <w:tr>
        <w:trPr>
          <w:cantSplit/>
        </w:trPr>
        <w:tc>
          <w:tcPr>
            <w:tcW w:w="669" w:type="dxa"/>
            <w:tcBorders>
              <w:top w:val="single" w:sz="4" w:space="0" w:color="auto"/>
            </w:tcBorders>
            <w:noWrap/>
          </w:tcPr>
          <w:p>
            <w:pPr>
              <w:pStyle w:val="yTableNAm"/>
            </w:pPr>
            <w:r>
              <w:t>1.</w:t>
            </w:r>
          </w:p>
        </w:tc>
        <w:tc>
          <w:tcPr>
            <w:tcW w:w="5103" w:type="dxa"/>
            <w:tcBorders>
              <w:top w:val="single" w:sz="4" w:space="0" w:color="auto"/>
            </w:tcBorders>
            <w:noWrap/>
          </w:tcPr>
          <w:p>
            <w:pPr>
              <w:pStyle w:val="yTableNAm"/>
            </w:pPr>
            <w:r>
              <w:t xml:space="preserve">Booking fee (r. 2(1)) — </w:t>
            </w:r>
          </w:p>
        </w:tc>
        <w:tc>
          <w:tcPr>
            <w:tcW w:w="1208" w:type="dxa"/>
            <w:tcBorders>
              <w:top w:val="single" w:sz="4" w:space="0" w:color="auto"/>
            </w:tcBorders>
            <w:noWrap/>
          </w:tcPr>
          <w:p>
            <w:pPr>
              <w:pStyle w:val="yTableNAm"/>
            </w:pPr>
          </w:p>
        </w:tc>
      </w:tr>
      <w:tr>
        <w:trPr>
          <w:cantSplit/>
        </w:trPr>
        <w:tc>
          <w:tcPr>
            <w:tcW w:w="669" w:type="dxa"/>
            <w:noWrap/>
          </w:tcPr>
          <w:p>
            <w:pPr>
              <w:pStyle w:val="yTableNAm"/>
            </w:pPr>
          </w:p>
        </w:tc>
        <w:tc>
          <w:tcPr>
            <w:tcW w:w="5103" w:type="dxa"/>
            <w:noWrap/>
          </w:tcPr>
          <w:p>
            <w:pPr>
              <w:pStyle w:val="yTableNAm"/>
            </w:pPr>
            <w:r>
              <w:t>(a)</w:t>
            </w:r>
            <w:r>
              <w:tab/>
              <w:t xml:space="preserve">for intrastate link </w:t>
            </w:r>
          </w:p>
        </w:tc>
        <w:tc>
          <w:tcPr>
            <w:tcW w:w="1208" w:type="dxa"/>
            <w:noWrap/>
            <w:vAlign w:val="bottom"/>
          </w:tcPr>
          <w:p>
            <w:pPr>
              <w:pStyle w:val="yTableNAm"/>
              <w:ind w:right="172"/>
              <w:jc w:val="right"/>
            </w:pPr>
            <w:r>
              <w:rPr>
                <w:szCs w:val="22"/>
              </w:rPr>
              <w:t>176.50</w:t>
            </w:r>
          </w:p>
        </w:tc>
      </w:tr>
      <w:tr>
        <w:trPr>
          <w:cantSplit/>
        </w:trPr>
        <w:tc>
          <w:tcPr>
            <w:tcW w:w="669" w:type="dxa"/>
            <w:noWrap/>
          </w:tcPr>
          <w:p>
            <w:pPr>
              <w:pStyle w:val="yTableNAm"/>
            </w:pPr>
          </w:p>
        </w:tc>
        <w:tc>
          <w:tcPr>
            <w:tcW w:w="5103" w:type="dxa"/>
            <w:noWrap/>
          </w:tcPr>
          <w:p>
            <w:pPr>
              <w:pStyle w:val="yTableNAm"/>
            </w:pPr>
            <w:r>
              <w:t>(b)</w:t>
            </w:r>
            <w:r>
              <w:tab/>
              <w:t xml:space="preserve">for interstate or overseas link </w:t>
            </w:r>
          </w:p>
        </w:tc>
        <w:tc>
          <w:tcPr>
            <w:tcW w:w="1208" w:type="dxa"/>
            <w:noWrap/>
            <w:vAlign w:val="bottom"/>
          </w:tcPr>
          <w:p>
            <w:pPr>
              <w:pStyle w:val="yTableNAm"/>
              <w:ind w:right="172"/>
              <w:jc w:val="right"/>
              <w:rPr>
                <w:szCs w:val="22"/>
              </w:rPr>
            </w:pPr>
            <w:r>
              <w:rPr>
                <w:szCs w:val="22"/>
              </w:rPr>
              <w:t>260.50</w:t>
            </w:r>
          </w:p>
        </w:tc>
      </w:tr>
      <w:tr>
        <w:trPr>
          <w:cantSplit/>
        </w:trPr>
        <w:tc>
          <w:tcPr>
            <w:tcW w:w="669" w:type="dxa"/>
            <w:tcBorders>
              <w:bottom w:val="single" w:sz="4" w:space="0" w:color="auto"/>
            </w:tcBorders>
            <w:noWrap/>
          </w:tcPr>
          <w:p>
            <w:pPr>
              <w:pStyle w:val="yTableNAm"/>
            </w:pPr>
            <w:r>
              <w:t>2.</w:t>
            </w:r>
          </w:p>
        </w:tc>
        <w:tc>
          <w:tcPr>
            <w:tcW w:w="5103" w:type="dxa"/>
            <w:tcBorders>
              <w:bottom w:val="single" w:sz="4" w:space="0" w:color="auto"/>
            </w:tcBorders>
            <w:noWrap/>
          </w:tcPr>
          <w:p>
            <w:pPr>
              <w:pStyle w:val="yTableNAm"/>
            </w:pPr>
            <w:r>
              <w:t>Fee per hour, or part of an hour, link was used (r. 3)</w:t>
            </w:r>
          </w:p>
        </w:tc>
        <w:tc>
          <w:tcPr>
            <w:tcW w:w="1208" w:type="dxa"/>
            <w:tcBorders>
              <w:bottom w:val="single" w:sz="4" w:space="0" w:color="auto"/>
            </w:tcBorders>
            <w:noWrap/>
            <w:vAlign w:val="bottom"/>
          </w:tcPr>
          <w:p>
            <w:pPr>
              <w:pStyle w:val="yTableNAm"/>
              <w:ind w:right="172"/>
              <w:jc w:val="right"/>
              <w:rPr>
                <w:szCs w:val="22"/>
              </w:rPr>
            </w:pPr>
            <w:r>
              <w:rPr>
                <w:szCs w:val="22"/>
              </w:rPr>
              <w:t>138.00</w:t>
            </w:r>
          </w:p>
        </w:tc>
      </w:tr>
    </w:tbl>
    <w:p>
      <w:pPr>
        <w:pStyle w:val="yFootnotesection"/>
      </w:pPr>
      <w:r>
        <w:tab/>
        <w:t>[Schedule 1 inserted: SL 2025/111 r. 17.]</w:t>
      </w:r>
    </w:p>
    <w:bookmarkEnd w:id="13"/>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5" w:name="_Toc201308517"/>
      <w:bookmarkStart w:id="16" w:name="_Toc201308947"/>
      <w:bookmarkStart w:id="17" w:name="_Toc201325380"/>
      <w:r>
        <w:lastRenderedPageBreak/>
        <w:t>Notes</w:t>
      </w:r>
      <w:bookmarkEnd w:id="15"/>
      <w:bookmarkEnd w:id="16"/>
      <w:bookmarkEnd w:id="17"/>
    </w:p>
    <w:p>
      <w:pPr>
        <w:pStyle w:val="nStatement"/>
      </w:pPr>
      <w:r>
        <w:t xml:space="preserve">This is a compilation of the </w:t>
      </w:r>
      <w:r>
        <w:rPr>
          <w:i/>
          <w:noProof/>
        </w:rPr>
        <w:t>Evidence (Video and Audio Links Fees and Expenses) Regulations 1999</w:t>
      </w:r>
      <w:r>
        <w:t xml:space="preserve"> and includes amendments made by other written laws. For provisions that have come into operation, and for information about any reprints, see the compilation table.</w:t>
      </w:r>
    </w:p>
    <w:p>
      <w:pPr>
        <w:pStyle w:val="nHeading3"/>
      </w:pPr>
      <w:bookmarkStart w:id="18" w:name="_Toc201325381"/>
      <w:r>
        <w:t>Compilation table</w:t>
      </w:r>
      <w:bookmarkEnd w:id="1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3" w:type="dxa"/>
            <w:tcBorders>
              <w:top w:val="single" w:sz="8" w:space="0" w:color="auto"/>
            </w:tcBorders>
          </w:tcPr>
          <w:p>
            <w:pPr>
              <w:pStyle w:val="nTable"/>
            </w:pPr>
            <w:r>
              <w:t>7 Dec 1999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3" w:type="dxa"/>
          </w:tcPr>
          <w:p>
            <w:pPr>
              <w:pStyle w:val="nTable"/>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3" w:type="dxa"/>
          </w:tcPr>
          <w:p>
            <w:pPr>
              <w:pStyle w:val="nTable"/>
            </w:pPr>
            <w:r>
              <w:t>r. 1 and 2: 27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3" w:type="dxa"/>
          </w:tcPr>
          <w:p>
            <w:pPr>
              <w:pStyle w:val="nTable"/>
              <w:spacing w:after="40"/>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lastRenderedPageBreak/>
              <w:t>Evidence (Video and Audio Links Fees and Expenses) Amendment Regulations (No. 2) 2011</w:t>
            </w:r>
          </w:p>
        </w:tc>
        <w:tc>
          <w:tcPr>
            <w:tcW w:w="1276" w:type="dxa"/>
          </w:tcPr>
          <w:p>
            <w:pPr>
              <w:pStyle w:val="nTable"/>
              <w:spacing w:after="40"/>
            </w:pPr>
            <w:r>
              <w:t>20 Dec 2011 p. 5395</w:t>
            </w:r>
            <w:r>
              <w:noBreakHyphen/>
              <w:t>6</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3" w:type="dxa"/>
          </w:tcPr>
          <w:p>
            <w:pPr>
              <w:pStyle w:val="nTable"/>
              <w:spacing w:after="40"/>
              <w:rPr>
                <w:snapToGrid w:val="0"/>
              </w:rPr>
            </w:pPr>
            <w:r>
              <w:rPr>
                <w:snapToGrid w:val="0"/>
              </w:rPr>
              <w:t>r. 1 and 2: 9 Mar 2012 (see r. 2(a));</w:t>
            </w:r>
            <w:r>
              <w:rPr>
                <w:snapToGrid w:val="0"/>
              </w:rPr>
              <w:br/>
              <w:t>Regulations other than r. 1 and 2: 10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3" w:type="dxa"/>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693" w:type="dxa"/>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(Fees and Charges) Regulations 2017 </w:t>
            </w:r>
            <w:r>
              <w:t>Pt. 6</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2 018</w:t>
            </w:r>
            <w:r>
              <w:t xml:space="preserve"> Pt. 6</w:t>
            </w:r>
          </w:p>
        </w:tc>
        <w:tc>
          <w:tcPr>
            <w:tcW w:w="1276" w:type="dxa"/>
            <w:shd w:val="clear" w:color="auto" w:fill="auto"/>
          </w:tcPr>
          <w:p>
            <w:pPr>
              <w:pStyle w:val="nTable"/>
              <w:spacing w:after="40"/>
            </w:pPr>
            <w:r>
              <w:t>15 Jun 2018 p. 1963-2049</w:t>
            </w:r>
          </w:p>
        </w:tc>
        <w:tc>
          <w:tcPr>
            <w:tcW w:w="2693" w:type="dxa"/>
            <w:shd w:val="clear" w:color="auto" w:fill="auto"/>
          </w:tcPr>
          <w:p>
            <w:pPr>
              <w:pStyle w:val="nTable"/>
              <w:spacing w:after="40"/>
              <w:rPr>
                <w:bCs/>
                <w:snapToGrid w:val="0"/>
              </w:rPr>
            </w:pPr>
            <w:r>
              <w:rPr>
                <w:bCs/>
                <w:snapToGrid w:val="0"/>
              </w:rPr>
              <w:t>1 Jul 2018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7</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t>1 Jul 2019 (see r. 2(b))</w:t>
            </w:r>
          </w:p>
        </w:tc>
      </w:tr>
      <w:t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6</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c>
          <w:tcPr>
            <w:tcW w:w="3119" w:type="dxa"/>
            <w:tcBorders>
              <w:top w:val="nil"/>
              <w:bottom w:val="nil"/>
            </w:tcBorders>
            <w:shd w:val="clear" w:color="auto" w:fill="auto"/>
          </w:tcPr>
          <w:p>
            <w:pPr>
              <w:pStyle w:val="nTable"/>
              <w:spacing w:after="40"/>
              <w:rPr>
                <w:i/>
              </w:rPr>
            </w:pPr>
            <w:r>
              <w:rPr>
                <w:i/>
              </w:rPr>
              <w:lastRenderedPageBreak/>
              <w:t>Attorney General Regulations Amendment (Fees and Charges) Regulations 2021</w:t>
            </w:r>
            <w:r>
              <w:t xml:space="preserve"> Pt. 7</w:t>
            </w:r>
          </w:p>
        </w:tc>
        <w:tc>
          <w:tcPr>
            <w:tcW w:w="1276" w:type="dxa"/>
            <w:tcBorders>
              <w:top w:val="nil"/>
              <w:bottom w:val="nil"/>
            </w:tcBorders>
            <w:shd w:val="clear" w:color="auto" w:fill="auto"/>
          </w:tcPr>
          <w:p>
            <w:pPr>
              <w:pStyle w:val="nTable"/>
              <w:spacing w:after="40"/>
            </w:pPr>
            <w:r>
              <w:t>SL 2021/101</w:t>
            </w:r>
            <w:r>
              <w:br/>
              <w:t>29 Jun 2021</w:t>
            </w:r>
          </w:p>
        </w:tc>
        <w:tc>
          <w:tcPr>
            <w:tcW w:w="2693" w:type="dxa"/>
            <w:tcBorders>
              <w:top w:val="nil"/>
              <w:bottom w:val="nil"/>
            </w:tcBorders>
            <w:shd w:val="clear" w:color="auto" w:fill="auto"/>
          </w:tcPr>
          <w:p>
            <w:pPr>
              <w:pStyle w:val="nTable"/>
              <w:spacing w:after="40"/>
            </w:pPr>
            <w:r>
              <w:t>1 Jul 2021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8</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8</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2024</w:t>
            </w:r>
            <w:r>
              <w:t xml:space="preserve"> Pt. 8</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Attorney General Regulations Amendment (Fees and Charges) Regulations 2025</w:t>
            </w:r>
            <w:r>
              <w:t xml:space="preserve"> Pt. 8</w:t>
            </w:r>
          </w:p>
        </w:tc>
        <w:tc>
          <w:tcPr>
            <w:tcW w:w="1276" w:type="dxa"/>
            <w:tcBorders>
              <w:bottom w:val="single" w:sz="4" w:space="0" w:color="auto"/>
            </w:tcBorders>
            <w:shd w:val="clear" w:color="auto" w:fill="auto"/>
          </w:tcPr>
          <w:p>
            <w:pPr>
              <w:pStyle w:val="nTable"/>
              <w:spacing w:after="40"/>
            </w:pPr>
            <w:r>
              <w:t>SL 2025/111 25 Jun 2025</w:t>
            </w:r>
          </w:p>
        </w:tc>
        <w:tc>
          <w:tcPr>
            <w:tcW w:w="2693" w:type="dxa"/>
            <w:tcBorders>
              <w:bottom w:val="single" w:sz="4" w:space="0" w:color="auto"/>
            </w:tcBorders>
            <w:shd w:val="clear" w:color="auto" w:fill="auto"/>
          </w:tcPr>
          <w:p>
            <w:pPr>
              <w:pStyle w:val="nTable"/>
              <w:spacing w:after="40"/>
            </w:pPr>
            <w:r>
              <w:t>1 Jul 2025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640A50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4923D9E" w14:textId="080169DD" w:rsidR="00D83CFF" w:rsidRDefault="005E7CD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0205C">
                        <w:rPr>
                          <w:sz w:val="16"/>
                        </w:rPr>
                        <w:t>2025</w:t>
                      </w:r>
                      <w:r>
                        <w:rPr>
                          <w:sz w:val="16"/>
                        </w:rPr>
                        <w:fldChar w:fldCharType="end"/>
                      </w:r>
                      <w:r>
                        <w:rPr>
                          <w:sz w:val="16"/>
                        </w:rPr>
                        <w:t>.</w:t>
                      </w:r>
                    </w:p>
                    <w:p w14:paraId="0952C1D9" w14:textId="77777777" w:rsidR="00D83CFF" w:rsidRDefault="005E7CD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6E36771" w14:textId="663D9D55" w:rsidR="00D83CFF" w:rsidRDefault="005E7CD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0205C">
                        <w:rPr>
                          <w:sz w:val="16"/>
                        </w:rPr>
                        <w:t>2025</w:t>
                      </w:r>
                      <w:r>
                        <w:rPr>
                          <w:sz w:val="16"/>
                        </w:rPr>
                        <w:fldChar w:fldCharType="end"/>
                      </w:r>
                      <w:r>
                        <w:rPr>
                          <w:sz w:val="16"/>
                        </w:rPr>
                        <w:t>.</w:t>
                      </w:r>
                    </w:p>
                    <w:p w14:paraId="1D042A14" w14:textId="77777777" w:rsidR="00D83CFF" w:rsidRDefault="005E7CD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851" w:right="2404" w:bottom="851" w:left="2404"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14" w:name="Schedule"/>
        <w:bookmarkEnd w:id="14"/>
        <w:p>
          <w:pPr>
            <w:pStyle w:val="Header"/>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03957"/>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 w:name="WAFER_20180625153331" w:val="RemoveTocBookmarks,RemoveUnusedBookmarks,RemoveLanguageTags,UsedStyles,ResetPageSize"/>
    <w:docVar w:name="WAFER_20180625153331_GUID" w:val="29b10ab8-72c6-446a-921c-4215bd15ac84"/>
    <w:docVar w:name="WAFER_20200730152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45_GUID" w:val="5031055a-47d3-4e00-821b-4a92fb5b8345"/>
    <w:docVar w:name="WAFER_20210625145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950_GUID" w:val="ad5f5cba-1ebf-408a-b274-764b960475ec"/>
    <w:docVar w:name="WAFER_202206271522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2235_GUID" w:val="f83d849b-9285-4260-bad5-b0e973c6b41d"/>
    <w:docVar w:name="WAFER_2023080116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222_GUID" w:val="d0b9d1fa-c6ea-4a0b-8bfd-6f229a6512f2"/>
    <w:docVar w:name="WAFER_20231228111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907_GUID" w:val="1b5a00c4-394e-48ea-bd2e-474599cebd3f"/>
    <w:docVar w:name="WAFER_2023122811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012_GUID" w:val="662c1f36-4e89-4f93-a5bc-66b333024227"/>
    <w:docVar w:name="WAFER_20231228112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105_GUID" w:val="21176563-2200-4015-80ed-ee95011dcf7f"/>
    <w:docVar w:name="WAFER_2024062113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07_GUID" w:val="6aafb72c-2633-40ac-a6aa-c5e461303bb2"/>
    <w:docVar w:name="WAFER_2025062010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3957_GUID" w:val="bc0c7d87-2ffd-4f85-bc8f-763ec736cb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E50CD-8C6B-41FB-8A0F-895B94C79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1424</Words>
  <Characters>6355</Characters>
  <Application>Microsoft Office Word</Application>
  <DocSecurity>0</DocSecurity>
  <Lines>317</Lines>
  <Paragraphs>180</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1999 - 03-o0-00</dc:title>
  <dc:subject/>
  <dc:creator/>
  <cp:keywords/>
  <dc:description/>
  <cp:lastModifiedBy>Master Repository Process</cp:lastModifiedBy>
  <cp:revision>4</cp:revision>
  <cp:lastPrinted>2015-07-16T04:23:00Z</cp:lastPrinted>
  <dcterms:created xsi:type="dcterms:W3CDTF">2025-06-27T01:33:00Z</dcterms:created>
  <dcterms:modified xsi:type="dcterms:W3CDTF">2025-06-27T01:33:00Z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AsAtDate">
    <vt:lpwstr>01 Jul 2025</vt:lpwstr>
  </property>
  <property fmtid="{D5CDD505-2E9C-101B-9397-08002B2CF9AE}" pid="8" name="Suffix">
    <vt:lpwstr>03-o0-00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