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_Toc201304157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_Toc201304158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_Toc201304159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_Toc201304161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_Toc201304162 \h </w:instrText>
      </w:r>
      <w:r>
        <w:fldChar w:fldCharType="separate"/>
      </w:r>
      <w:r>
        <w:t>3</w:t>
      </w:r>
      <w:r>
        <w:fldChar w:fldCharType="end"/>
      </w:r>
    </w:p>
    <w:p>
      <w:pPr>
        <w:pStyle w:val="TOC8"/>
        <w:rPr>
          <w:rFonts w:asciiTheme="minorHAnsi" w:eastAsiaTheme="minorEastAsia" w:hAnsiTheme="minorHAnsi" w:cstheme="minorBidi"/>
          <w:szCs w:val="22"/>
        </w:rPr>
      </w:pPr>
      <w:r>
        <w:t>6.</w:t>
      </w:r>
      <w:r>
        <w:tab/>
        <w:t>Fees of Marshal</w:t>
      </w:r>
      <w:r>
        <w:tab/>
      </w:r>
      <w:r>
        <w:fldChar w:fldCharType="begin"/>
      </w:r>
      <w:r>
        <w:instrText xml:space="preserve"> PAGEREF _Toc201304163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_Toc201304164 \h </w:instrText>
      </w:r>
      <w:r>
        <w:fldChar w:fldCharType="separate"/>
      </w:r>
      <w:r>
        <w:t>3</w:t>
      </w:r>
      <w:r>
        <w:fldChar w:fldCharType="end"/>
      </w:r>
    </w:p>
    <w:p>
      <w:pPr>
        <w:pStyle w:val="TOC8"/>
        <w:rPr>
          <w:rFonts w:asciiTheme="minorHAnsi" w:eastAsiaTheme="minorEastAsia" w:hAnsiTheme="minorHAnsi" w:cstheme="minorBidi"/>
          <w:szCs w:val="22"/>
        </w:rPr>
      </w:pPr>
      <w:r>
        <w:t>7A.</w:t>
      </w:r>
      <w:r>
        <w:tab/>
        <w:t>Child welfare officer (Act s. 5(1))</w:t>
      </w:r>
      <w:r>
        <w:tab/>
      </w:r>
      <w:r>
        <w:fldChar w:fldCharType="begin"/>
      </w:r>
      <w:r>
        <w:instrText xml:space="preserve"> PAGEREF _Toc201304165 \h </w:instrText>
      </w:r>
      <w:r>
        <w:fldChar w:fldCharType="separate"/>
      </w:r>
      <w:r>
        <w:t>4</w:t>
      </w:r>
      <w:r>
        <w:fldChar w:fldCharType="end"/>
      </w:r>
    </w:p>
    <w:p>
      <w:pPr>
        <w:pStyle w:val="TOC8"/>
        <w:rPr>
          <w:rFonts w:asciiTheme="minorHAnsi" w:eastAsiaTheme="minorEastAsia" w:hAnsiTheme="minorHAnsi" w:cstheme="minorBidi"/>
          <w:szCs w:val="22"/>
        </w:rPr>
      </w:pPr>
      <w:r>
        <w:t>8.</w:t>
      </w:r>
      <w:r>
        <w:tab/>
        <w:t>Family Law Regulations Part 3 adopted</w:t>
      </w:r>
      <w:r>
        <w:tab/>
      </w:r>
      <w:r>
        <w:fldChar w:fldCharType="begin"/>
      </w:r>
      <w:r>
        <w:instrText xml:space="preserve"> PAGEREF _Toc201304166 \h </w:instrText>
      </w:r>
      <w:r>
        <w:fldChar w:fldCharType="separate"/>
      </w:r>
      <w:r>
        <w:t>5</w:t>
      </w:r>
      <w:r>
        <w:fldChar w:fldCharType="end"/>
      </w:r>
    </w:p>
    <w:p>
      <w:pPr>
        <w:pStyle w:val="TOC8"/>
        <w:rPr>
          <w:rFonts w:asciiTheme="minorHAnsi" w:eastAsiaTheme="minorEastAsia" w:hAnsiTheme="minorHAnsi" w:cstheme="minorBidi"/>
          <w:szCs w:val="22"/>
        </w:rPr>
      </w:pPr>
      <w:r>
        <w:t>9.</w:t>
      </w:r>
      <w:r>
        <w:tab/>
        <w:t>Family Law Regulation 42 adopted (Act s. 65D)</w:t>
      </w:r>
      <w:r>
        <w:tab/>
      </w:r>
      <w:r>
        <w:fldChar w:fldCharType="begin"/>
      </w:r>
      <w:r>
        <w:instrText xml:space="preserve"> PAGEREF _Toc201304167 \h </w:instrText>
      </w:r>
      <w:r>
        <w:fldChar w:fldCharType="separate"/>
      </w:r>
      <w:r>
        <w:t>5</w:t>
      </w:r>
      <w:r>
        <w:fldChar w:fldCharType="end"/>
      </w:r>
    </w:p>
    <w:p>
      <w:pPr>
        <w:pStyle w:val="TOC8"/>
        <w:rPr>
          <w:rFonts w:asciiTheme="minorHAnsi" w:eastAsiaTheme="minorEastAsia" w:hAnsiTheme="minorHAnsi" w:cstheme="minorBidi"/>
          <w:szCs w:val="22"/>
        </w:rPr>
      </w:pPr>
      <w:r>
        <w:t>10.</w:t>
      </w:r>
      <w:r>
        <w:tab/>
        <w:t>Matters prescribed (Act s. 66H(7)(b) and (e))</w:t>
      </w:r>
      <w:r>
        <w:tab/>
      </w:r>
      <w:r>
        <w:fldChar w:fldCharType="begin"/>
      </w:r>
      <w:r>
        <w:instrText xml:space="preserve"> PAGEREF _Toc201304168 \h </w:instrText>
      </w:r>
      <w:r>
        <w:fldChar w:fldCharType="separate"/>
      </w:r>
      <w:r>
        <w:t>5</w:t>
      </w:r>
      <w:r>
        <w:fldChar w:fldCharType="end"/>
      </w:r>
    </w:p>
    <w:p>
      <w:pPr>
        <w:pStyle w:val="TOC8"/>
        <w:rPr>
          <w:rFonts w:asciiTheme="minorHAnsi" w:eastAsiaTheme="minorEastAsia" w:hAnsiTheme="minorHAnsi" w:cstheme="minorBidi"/>
          <w:szCs w:val="22"/>
        </w:rPr>
      </w:pPr>
      <w:r>
        <w:t>10A.</w:t>
      </w:r>
      <w:r>
        <w:tab/>
        <w:t>Authentication of consent in writing</w:t>
      </w:r>
      <w:r>
        <w:tab/>
      </w:r>
      <w:r>
        <w:fldChar w:fldCharType="begin"/>
      </w:r>
      <w:r>
        <w:instrText xml:space="preserve"> PAGEREF _Toc201304169 \h </w:instrText>
      </w:r>
      <w:r>
        <w:fldChar w:fldCharType="separate"/>
      </w:r>
      <w:r>
        <w:t>6</w:t>
      </w:r>
      <w:r>
        <w:fldChar w:fldCharType="end"/>
      </w:r>
    </w:p>
    <w:p>
      <w:pPr>
        <w:pStyle w:val="TOC8"/>
        <w:rPr>
          <w:rFonts w:asciiTheme="minorHAnsi" w:eastAsiaTheme="minorEastAsia" w:hAnsiTheme="minorHAnsi" w:cstheme="minorBidi"/>
          <w:szCs w:val="22"/>
        </w:rPr>
      </w:pPr>
      <w:r>
        <w:t>10B.</w:t>
      </w:r>
      <w:r>
        <w:tab/>
        <w:t>Information sharing agencies (Act s. 162C)</w:t>
      </w:r>
      <w:r>
        <w:tab/>
      </w:r>
      <w:r>
        <w:fldChar w:fldCharType="begin"/>
      </w:r>
      <w:r>
        <w:instrText xml:space="preserve"> PAGEREF _Toc201304170 \h </w:instrText>
      </w:r>
      <w:r>
        <w:fldChar w:fldCharType="separate"/>
      </w:r>
      <w:r>
        <w:t>6</w:t>
      </w:r>
      <w:r>
        <w:fldChar w:fldCharType="end"/>
      </w:r>
    </w:p>
    <w:p>
      <w:pPr>
        <w:pStyle w:val="TOC8"/>
        <w:rPr>
          <w:rFonts w:asciiTheme="minorHAnsi" w:eastAsiaTheme="minorEastAsia" w:hAnsiTheme="minorHAnsi" w:cstheme="minorBidi"/>
          <w:szCs w:val="22"/>
        </w:rPr>
      </w:pPr>
      <w:r>
        <w:t>10C.</w:t>
      </w:r>
      <w:r>
        <w:tab/>
        <w:t>Information sharing safeguards (Act s. 162I(1))</w:t>
      </w:r>
      <w:r>
        <w:tab/>
      </w:r>
      <w:r>
        <w:fldChar w:fldCharType="begin"/>
      </w:r>
      <w:r>
        <w:instrText xml:space="preserve"> PAGEREF _Toc201304171 \h </w:instrText>
      </w:r>
      <w:r>
        <w:fldChar w:fldCharType="separate"/>
      </w:r>
      <w:r>
        <w:t>7</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_Toc201304172 \h </w:instrText>
      </w:r>
      <w:r>
        <w:fldChar w:fldCharType="separate"/>
      </w:r>
      <w:r>
        <w:t>9</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_Toc201304173 \h </w:instrText>
      </w:r>
      <w:r>
        <w:fldChar w:fldCharType="separate"/>
      </w:r>
      <w:r>
        <w:t>9</w:t>
      </w:r>
      <w:r>
        <w:fldChar w:fldCharType="end"/>
      </w:r>
    </w:p>
    <w:p>
      <w:pPr>
        <w:pStyle w:val="TOC8"/>
        <w:rPr>
          <w:rFonts w:asciiTheme="minorHAnsi" w:eastAsiaTheme="minorEastAsia" w:hAnsiTheme="minorHAnsi" w:cstheme="minorBidi"/>
          <w:szCs w:val="22"/>
        </w:rPr>
      </w:pPr>
      <w:r>
        <w:t>14F.</w:t>
      </w:r>
      <w:r>
        <w:tab/>
        <w:t>Pensions, allowances, benefits prescribed (Act s. 205T)</w:t>
      </w:r>
      <w:r>
        <w:tab/>
      </w:r>
      <w:r>
        <w:fldChar w:fldCharType="begin"/>
      </w:r>
      <w:r>
        <w:instrText xml:space="preserve"> PAGEREF _Toc201304174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_Toc201304175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_Toc201304176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_Toc201304177 \h </w:instrText>
      </w:r>
      <w:r>
        <w:fldChar w:fldCharType="separate"/>
      </w:r>
      <w:r>
        <w:t>10</w:t>
      </w:r>
      <w:r>
        <w:fldChar w:fldCharType="end"/>
      </w:r>
    </w:p>
    <w:p>
      <w:pPr>
        <w:pStyle w:val="TOC8"/>
        <w:rPr>
          <w:rFonts w:asciiTheme="minorHAnsi" w:eastAsiaTheme="minorEastAsia" w:hAnsiTheme="minorHAnsi" w:cstheme="minorBidi"/>
          <w:szCs w:val="22"/>
        </w:rPr>
      </w:pPr>
      <w:r>
        <w:t>17A.</w:t>
      </w:r>
      <w:r>
        <w:tab/>
        <w:t>Authorities prescribed (Act s. 236D(2)(c))</w:t>
      </w:r>
      <w:r>
        <w:tab/>
      </w:r>
      <w:r>
        <w:fldChar w:fldCharType="begin"/>
      </w:r>
      <w:r>
        <w:instrText xml:space="preserve"> PAGEREF _Toc201304178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_Toc201304181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_Toc201304183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_Toc201304185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general</w:t>
      </w:r>
      <w:r>
        <w:tab/>
      </w:r>
      <w:r>
        <w:fldChar w:fldCharType="begin"/>
      </w:r>
      <w:r>
        <w:instrText xml:space="preserve"> PAGEREF _Toc201304187 \h </w:instrText>
      </w:r>
      <w:r>
        <w:fldChar w:fldCharType="separate"/>
      </w:r>
      <w:r>
        <w:t>15</w:t>
      </w:r>
      <w:r>
        <w:fldChar w:fldCharType="end"/>
      </w:r>
    </w:p>
    <w:p>
      <w:pPr>
        <w:pStyle w:val="TOC8"/>
        <w:rPr>
          <w:rFonts w:asciiTheme="minorHAnsi" w:eastAsiaTheme="minorEastAsia" w:hAnsiTheme="minorHAnsi" w:cstheme="minorBidi"/>
          <w:szCs w:val="22"/>
        </w:rPr>
      </w:pPr>
      <w:r>
        <w:t>21B.</w:t>
      </w:r>
      <w:r>
        <w:tab/>
        <w:t>Persons exempt from paying fee: financial hardship</w:t>
      </w:r>
      <w:r>
        <w:tab/>
      </w:r>
      <w:r>
        <w:fldChar w:fldCharType="begin"/>
      </w:r>
      <w:r>
        <w:instrText xml:space="preserve"> PAGEREF _Toc201304188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_Toc201304190 \h </w:instrText>
      </w:r>
      <w:r>
        <w:fldChar w:fldCharType="separate"/>
      </w:r>
      <w:r>
        <w:t>16</w:t>
      </w:r>
      <w:r>
        <w:fldChar w:fldCharType="end"/>
      </w:r>
    </w:p>
    <w:p>
      <w:pPr>
        <w:pStyle w:val="TOC8"/>
        <w:rPr>
          <w:rFonts w:asciiTheme="minorHAnsi" w:eastAsiaTheme="minorEastAsia" w:hAnsiTheme="minorHAnsi" w:cstheme="minorBidi"/>
          <w:szCs w:val="22"/>
        </w:rPr>
      </w:pPr>
      <w:r>
        <w:t>21D.</w:t>
      </w:r>
      <w:r>
        <w:tab/>
        <w:t>Proceedings in which fee not payable</w:t>
      </w:r>
      <w:r>
        <w:tab/>
      </w:r>
      <w:r>
        <w:fldChar w:fldCharType="begin"/>
      </w:r>
      <w:r>
        <w:instrText xml:space="preserve"> PAGEREF _Toc201304191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_Toc201304193 \h </w:instrText>
      </w:r>
      <w:r>
        <w:fldChar w:fldCharType="separate"/>
      </w:r>
      <w:r>
        <w:t>18</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_Toc201304194 \h </w:instrText>
      </w:r>
      <w:r>
        <w:fldChar w:fldCharType="separate"/>
      </w:r>
      <w:r>
        <w:t>19</w:t>
      </w:r>
      <w:r>
        <w:fldChar w:fldCharType="end"/>
      </w:r>
    </w:p>
    <w:p>
      <w:pPr>
        <w:pStyle w:val="TOC8"/>
        <w:rPr>
          <w:rFonts w:asciiTheme="minorHAnsi" w:eastAsiaTheme="minorEastAsia" w:hAnsiTheme="minorHAnsi" w:cstheme="minorBidi"/>
          <w:szCs w:val="22"/>
        </w:rPr>
      </w:pPr>
      <w:r>
        <w:t>21G.</w:t>
      </w:r>
      <w:r>
        <w:tab/>
        <w:t>What happens if fee not paid</w:t>
      </w:r>
      <w:r>
        <w:tab/>
      </w:r>
      <w:r>
        <w:fldChar w:fldCharType="begin"/>
      </w:r>
      <w:r>
        <w:instrText xml:space="preserve"> PAGEREF _Toc201304195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_Toc201304197 \h </w:instrText>
      </w:r>
      <w:r>
        <w:fldChar w:fldCharType="separate"/>
      </w:r>
      <w:r>
        <w:t>21</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_Toc201304198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_Toc201304200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_Toc201304202 \h </w:instrText>
      </w:r>
      <w:r>
        <w:fldChar w:fldCharType="separate"/>
      </w:r>
      <w:r>
        <w:t>25</w:t>
      </w:r>
      <w:r>
        <w:fldChar w:fldCharType="end"/>
      </w:r>
    </w:p>
    <w:p>
      <w:pPr>
        <w:pStyle w:val="TOC8"/>
        <w:rPr>
          <w:rFonts w:asciiTheme="minorHAnsi" w:eastAsiaTheme="minorEastAsia" w:hAnsiTheme="minorHAnsi" w:cstheme="minorBidi"/>
          <w:szCs w:val="22"/>
        </w:rPr>
      </w:pPr>
      <w:r>
        <w:t>22.</w:t>
      </w:r>
      <w:r>
        <w:tab/>
        <w:t xml:space="preserve">Transitional provisions relating to </w:t>
      </w:r>
      <w:r>
        <w:rPr>
          <w:i/>
        </w:rPr>
        <w:t>Family Court Amendment Regulations 2011</w:t>
      </w:r>
      <w:r>
        <w:tab/>
      </w:r>
      <w:r>
        <w:fldChar w:fldCharType="begin"/>
      </w:r>
      <w:r>
        <w:instrText xml:space="preserve"> PAGEREF _Toc201304203 \h </w:instrText>
      </w:r>
      <w:r>
        <w:fldChar w:fldCharType="separate"/>
      </w:r>
      <w:r>
        <w:t>25</w:t>
      </w:r>
      <w:r>
        <w:fldChar w:fldCharType="end"/>
      </w:r>
    </w:p>
    <w:p>
      <w:pPr>
        <w:pStyle w:val="TOC8"/>
        <w:rPr>
          <w:rFonts w:asciiTheme="minorHAnsi" w:eastAsiaTheme="minorEastAsia" w:hAnsiTheme="minorHAnsi" w:cstheme="minorBidi"/>
          <w:szCs w:val="22"/>
        </w:rPr>
      </w:pPr>
      <w:r>
        <w:t>23.</w:t>
      </w:r>
      <w:r>
        <w:tab/>
        <w:t xml:space="preserve">Transitional provisions relating to </w:t>
      </w:r>
      <w:r>
        <w:rPr>
          <w:i/>
        </w:rPr>
        <w:t>Family Court Amendment Regulations 2012</w:t>
      </w:r>
      <w:r>
        <w:tab/>
      </w:r>
      <w:r>
        <w:fldChar w:fldCharType="begin"/>
      </w:r>
      <w:r>
        <w:instrText xml:space="preserve"> PAGEREF _Toc201304204 \h </w:instrText>
      </w:r>
      <w:r>
        <w:fldChar w:fldCharType="separate"/>
      </w:r>
      <w:r>
        <w:t>26</w:t>
      </w:r>
      <w:r>
        <w:fldChar w:fldCharType="end"/>
      </w:r>
    </w:p>
    <w:p>
      <w:pPr>
        <w:pStyle w:val="TOC8"/>
        <w:rPr>
          <w:rFonts w:asciiTheme="minorHAnsi" w:eastAsiaTheme="minorEastAsia" w:hAnsiTheme="minorHAnsi" w:cstheme="minorBidi"/>
          <w:szCs w:val="22"/>
        </w:rPr>
      </w:pPr>
      <w:r>
        <w:t>24.</w:t>
      </w:r>
      <w:r>
        <w:tab/>
        <w:t xml:space="preserve">Transitional provisions relating to </w:t>
      </w:r>
      <w:r>
        <w:rPr>
          <w:i/>
        </w:rPr>
        <w:t>Family Court Amendment Regulations (No. 3) 2015</w:t>
      </w:r>
      <w:r>
        <w:tab/>
      </w:r>
      <w:r>
        <w:fldChar w:fldCharType="begin"/>
      </w:r>
      <w:r>
        <w:instrText xml:space="preserve"> PAGEREF _Toc201304205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_Toc201304208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2" w:name="_Toc201242603"/>
      <w:bookmarkStart w:id="3" w:name="_Toc201302139"/>
      <w:bookmarkStart w:id="4" w:name="_Toc20130415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13 May 2011 p. 1738.]</w:t>
      </w:r>
    </w:p>
    <w:p>
      <w:pPr>
        <w:pStyle w:val="Heading5"/>
        <w:spacing w:before="240"/>
      </w:pPr>
      <w:bookmarkStart w:id="5" w:name="_Toc201304157"/>
      <w:r>
        <w:rPr>
          <w:rStyle w:val="CharSectno"/>
        </w:rPr>
        <w:t>1</w:t>
      </w:r>
      <w:r>
        <w:t>.</w:t>
      </w:r>
      <w:r>
        <w:tab/>
        <w:t>Citation</w:t>
      </w:r>
      <w:bookmarkEnd w:id="5"/>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6" w:name="_Toc201304158"/>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bookmarkStart w:id="7" w:name="Start_Cursor"/>
      <w:bookmarkEnd w:id="7"/>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8" w:name="_Toc201304159"/>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iCs/>
        </w:rPr>
        <w:t>Family Law Regulations 2024</w:t>
      </w:r>
      <w:r>
        <w:t xml:space="preserve"> (Commonwealth);</w:t>
      </w:r>
    </w:p>
    <w:p>
      <w:pPr>
        <w:pStyle w:val="Defstart"/>
      </w:pPr>
      <w:r>
        <w:lastRenderedPageBreak/>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4; SL 2025/63 r. 4.]</w:t>
      </w:r>
    </w:p>
    <w:p>
      <w:pPr>
        <w:pStyle w:val="Heading2"/>
        <w:rPr>
          <w:snapToGrid/>
        </w:rPr>
      </w:pPr>
      <w:bookmarkStart w:id="9" w:name="_Toc201242607"/>
      <w:bookmarkStart w:id="10" w:name="_Toc201302143"/>
      <w:bookmarkStart w:id="11" w:name="_Toc201304160"/>
      <w:r>
        <w:rPr>
          <w:rStyle w:val="CharPartNo"/>
        </w:rPr>
        <w:lastRenderedPageBreak/>
        <w:t>Part 2</w:t>
      </w:r>
      <w:r>
        <w:rPr>
          <w:rStyle w:val="CharDivNo"/>
        </w:rPr>
        <w:t> </w:t>
      </w:r>
      <w:r>
        <w:t>—</w:t>
      </w:r>
      <w:r>
        <w:rPr>
          <w:rStyle w:val="CharDivText"/>
        </w:rPr>
        <w:t> </w:t>
      </w:r>
      <w:r>
        <w:rPr>
          <w:rStyle w:val="CharPartText"/>
        </w:rPr>
        <w:t>General</w:t>
      </w:r>
      <w:bookmarkEnd w:id="9"/>
      <w:bookmarkEnd w:id="10"/>
      <w:bookmarkEnd w:id="11"/>
    </w:p>
    <w:p>
      <w:pPr>
        <w:pStyle w:val="Footnoteheading"/>
      </w:pPr>
      <w:r>
        <w:tab/>
        <w:t>[Heading inserted: Gazette 13 May 2011 p. 1738.]</w:t>
      </w:r>
    </w:p>
    <w:p>
      <w:pPr>
        <w:pStyle w:val="Heading5"/>
        <w:rPr>
          <w:snapToGrid w:val="0"/>
        </w:rPr>
      </w:pPr>
      <w:bookmarkStart w:id="12" w:name="_Toc201304161"/>
      <w:r>
        <w:rPr>
          <w:rStyle w:val="CharSectno"/>
        </w:rPr>
        <w:t>4</w:t>
      </w:r>
      <w:r>
        <w:rPr>
          <w:snapToGrid w:val="0"/>
        </w:rPr>
        <w:t>.</w:t>
      </w:r>
      <w:r>
        <w:rPr>
          <w:snapToGrid w:val="0"/>
        </w:rPr>
        <w:tab/>
        <w:t>Dispensing with compliance with these regulations</w:t>
      </w:r>
      <w:bookmarkEnd w:id="12"/>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3" w:name="_Toc201304162"/>
      <w:r>
        <w:rPr>
          <w:rStyle w:val="CharSectno"/>
        </w:rPr>
        <w:t>5</w:t>
      </w:r>
      <w:r>
        <w:rPr>
          <w:snapToGrid w:val="0"/>
        </w:rPr>
        <w:t>.</w:t>
      </w:r>
      <w:r>
        <w:rPr>
          <w:snapToGrid w:val="0"/>
        </w:rPr>
        <w:tab/>
        <w:t>Court registry</w:t>
      </w:r>
      <w:bookmarkEnd w:id="13"/>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14" w:name="_Toc201304163"/>
      <w:r>
        <w:rPr>
          <w:rStyle w:val="CharSectno"/>
        </w:rPr>
        <w:t>6</w:t>
      </w:r>
      <w:r>
        <w:t>.</w:t>
      </w:r>
      <w:r>
        <w:tab/>
        <w:t>Fees of Marshal</w:t>
      </w:r>
      <w:bookmarkEnd w:id="14"/>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15" w:name="_Toc201304164"/>
      <w:r>
        <w:rPr>
          <w:rStyle w:val="CharSectno"/>
        </w:rPr>
        <w:t>7</w:t>
      </w:r>
      <w:r>
        <w:rPr>
          <w:snapToGrid w:val="0"/>
        </w:rPr>
        <w:t>.</w:t>
      </w:r>
      <w:r>
        <w:rPr>
          <w:snapToGrid w:val="0"/>
        </w:rPr>
        <w:tab/>
        <w:t>Recording and transcripts of proceedings</w:t>
      </w:r>
      <w:bookmarkEnd w:id="15"/>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lastRenderedPageBreak/>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16" w:name="_Toc201304165"/>
      <w:r>
        <w:rPr>
          <w:rStyle w:val="CharSectno"/>
        </w:rPr>
        <w:t>7A</w:t>
      </w:r>
      <w:r>
        <w:t>.</w:t>
      </w:r>
      <w:r>
        <w:tab/>
        <w:t>Child welfare officer (Act s. 5(1))</w:t>
      </w:r>
      <w:bookmarkEnd w:id="16"/>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lastRenderedPageBreak/>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17" w:name="_Toc201304166"/>
      <w:r>
        <w:rPr>
          <w:rStyle w:val="CharSectno"/>
        </w:rPr>
        <w:t>8</w:t>
      </w:r>
      <w:r>
        <w:t>.</w:t>
      </w:r>
      <w:r>
        <w:tab/>
        <w:t>Family Law Regulations Part 3 adopted</w:t>
      </w:r>
      <w:bookmarkEnd w:id="17"/>
    </w:p>
    <w:p>
      <w:pPr>
        <w:pStyle w:val="Subsection"/>
      </w:pPr>
      <w:r>
        <w:tab/>
      </w:r>
      <w:r>
        <w:tab/>
        <w:t>Part 3 of the Family Law Regulations is adopted.</w:t>
      </w:r>
    </w:p>
    <w:p>
      <w:pPr>
        <w:pStyle w:val="Footnotesection"/>
      </w:pPr>
      <w:r>
        <w:tab/>
        <w:t>[Regulation 8 inserted: Gazette 14 Jul 2006 p. 2561; amended: SL 2025/63 r. 5.]</w:t>
      </w:r>
    </w:p>
    <w:p>
      <w:pPr>
        <w:pStyle w:val="Ednotesection"/>
      </w:pPr>
      <w:r>
        <w:t>[</w:t>
      </w:r>
      <w:r>
        <w:rPr>
          <w:b/>
          <w:bCs/>
        </w:rPr>
        <w:t>8A.</w:t>
      </w:r>
      <w:r>
        <w:tab/>
        <w:t>Deleted: Gazette 14 Jul 2006 p. 2561.]</w:t>
      </w:r>
    </w:p>
    <w:p>
      <w:pPr>
        <w:pStyle w:val="Heading5"/>
      </w:pPr>
      <w:bookmarkStart w:id="18" w:name="_Toc201304167"/>
      <w:r>
        <w:rPr>
          <w:rStyle w:val="CharSectno"/>
        </w:rPr>
        <w:t>9</w:t>
      </w:r>
      <w:r>
        <w:t>.</w:t>
      </w:r>
      <w:r>
        <w:tab/>
        <w:t>Family Law Regulation 42 adopted (Act s. 65D)</w:t>
      </w:r>
      <w:bookmarkEnd w:id="18"/>
    </w:p>
    <w:p>
      <w:pPr>
        <w:pStyle w:val="Subsection"/>
      </w:pPr>
      <w:r>
        <w:tab/>
      </w:r>
      <w:r>
        <w:tab/>
        <w:t>Family Law Regulation 42 is adopted for the purposes of section 65D.</w:t>
      </w:r>
    </w:p>
    <w:p>
      <w:pPr>
        <w:pStyle w:val="Footnotesection"/>
      </w:pPr>
      <w:r>
        <w:tab/>
        <w:t>[Regulation 9 inserted: Gazette 14 Jul 2006 p. 2561; amended: Gazette 10 Jul 2015 p. 2780; SL 2025/63 r. 6.]</w:t>
      </w:r>
    </w:p>
    <w:p>
      <w:pPr>
        <w:pStyle w:val="Heading5"/>
      </w:pPr>
      <w:bookmarkStart w:id="19" w:name="_Toc201304168"/>
      <w:r>
        <w:rPr>
          <w:rStyle w:val="CharSectno"/>
        </w:rPr>
        <w:t>10</w:t>
      </w:r>
      <w:r>
        <w:t>.</w:t>
      </w:r>
      <w:r>
        <w:tab/>
        <w:t>Matters prescribed (Act s. 66H(7)(b) and (e))</w:t>
      </w:r>
      <w:bookmarkEnd w:id="19"/>
    </w:p>
    <w:p>
      <w:pPr>
        <w:pStyle w:val="Subsection"/>
      </w:pPr>
      <w:r>
        <w:tab/>
      </w:r>
      <w:r>
        <w:tab/>
        <w:t xml:space="preserve">Before giving a certificate under section 66H(7)(b) or (e) a family law dispute resolution practitioner must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lastRenderedPageBreak/>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 amended: SL 2025/16 r. 4.]</w:t>
      </w:r>
    </w:p>
    <w:p>
      <w:pPr>
        <w:pStyle w:val="Heading5"/>
      </w:pPr>
      <w:bookmarkStart w:id="20" w:name="_Toc201304169"/>
      <w:r>
        <w:rPr>
          <w:rStyle w:val="CharSectno"/>
        </w:rPr>
        <w:t>10A</w:t>
      </w:r>
      <w:r>
        <w:t>.</w:t>
      </w:r>
      <w:r>
        <w:tab/>
        <w:t>Authentication of consent in writing</w:t>
      </w:r>
      <w:bookmarkEnd w:id="20"/>
    </w:p>
    <w:p>
      <w:pPr>
        <w:pStyle w:val="Subsection"/>
      </w:pPr>
      <w:r>
        <w:tab/>
      </w:r>
      <w:r>
        <w:tab/>
        <w:t xml:space="preserve">For the purposes of sections 107(1)(c)(i), 107A(1)(b)(i), 108(1)(c)(i), 108A(1)(b)(i), 109(1)(g)(i) and 110(1)(g)(i), a consent in writing must be authenticated by a person who is an authorised witness under the </w:t>
      </w:r>
      <w:r>
        <w:rPr>
          <w:i/>
        </w:rPr>
        <w:t>Oaths, Affidavits and Statutory Declarations Act </w:t>
      </w:r>
      <w:r>
        <w:rPr>
          <w:i/>
          <w:iCs/>
        </w:rPr>
        <w:t>2005</w:t>
      </w:r>
      <w:r>
        <w:t xml:space="preserve"> section 12(6) endorsing on the consent a statement that —</w:t>
      </w:r>
    </w:p>
    <w:p>
      <w:pPr>
        <w:pStyle w:val="Indenta"/>
      </w:pPr>
      <w:r>
        <w:tab/>
        <w:t>(a)</w:t>
      </w:r>
      <w:r>
        <w:tab/>
        <w:t>the person is satisfied about the identity of the person signing the consent; and</w:t>
      </w:r>
    </w:p>
    <w:p>
      <w:pPr>
        <w:pStyle w:val="Indenta"/>
      </w:pPr>
      <w:r>
        <w:tab/>
        <w:t>(b)</w:t>
      </w:r>
      <w:r>
        <w:tab/>
        <w:t>the consent was signed in the person’s presence.</w:t>
      </w:r>
    </w:p>
    <w:p>
      <w:pPr>
        <w:pStyle w:val="Footnotesection"/>
      </w:pPr>
      <w:r>
        <w:tab/>
        <w:t>[Regulation 10A inserted: SL 2025/16 r. 5.]</w:t>
      </w:r>
    </w:p>
    <w:p>
      <w:pPr>
        <w:pStyle w:val="Heading5"/>
      </w:pPr>
      <w:bookmarkStart w:id="21" w:name="_Toc201304170"/>
      <w:r>
        <w:rPr>
          <w:rStyle w:val="CharSectno"/>
        </w:rPr>
        <w:t>10B</w:t>
      </w:r>
      <w:r>
        <w:t>.</w:t>
      </w:r>
      <w:r>
        <w:tab/>
        <w:t>Information sharing agencies (Act s. 162C)</w:t>
      </w:r>
      <w:bookmarkEnd w:id="21"/>
    </w:p>
    <w:p>
      <w:pPr>
        <w:pStyle w:val="Subsection"/>
      </w:pPr>
      <w:r>
        <w:tab/>
      </w:r>
      <w:r>
        <w:tab/>
        <w:t xml:space="preserve">For the purposes of section 162C, each of the following is prescribed as an information sharing agency — </w:t>
      </w:r>
    </w:p>
    <w:p>
      <w:pPr>
        <w:pStyle w:val="Indenta"/>
      </w:pPr>
      <w:r>
        <w:tab/>
        <w:t>(a)</w:t>
      </w:r>
      <w:r>
        <w:tab/>
        <w:t>the police force or police service of a State or Territory;</w:t>
      </w:r>
    </w:p>
    <w:p>
      <w:pPr>
        <w:pStyle w:val="Indenta"/>
      </w:pPr>
      <w:r>
        <w:tab/>
        <w:t>(b)</w:t>
      </w:r>
      <w:r>
        <w:tab/>
        <w:t>the part of the police force or police service of a State or Territory that has primary responsibility for firearms licensing;</w:t>
      </w:r>
    </w:p>
    <w:p>
      <w:pPr>
        <w:pStyle w:val="Indenta"/>
      </w:pPr>
      <w:r>
        <w:tab/>
        <w:t>(c)</w:t>
      </w:r>
      <w:r>
        <w:tab/>
        <w:t>the part of the Australian Federal Police that provides police services in relation to the Australian Capital Territory;</w:t>
      </w:r>
    </w:p>
    <w:p>
      <w:pPr>
        <w:pStyle w:val="Indenta"/>
      </w:pPr>
      <w:r>
        <w:tab/>
        <w:t>(d)</w:t>
      </w:r>
      <w:r>
        <w:tab/>
        <w:t>the part of the Australian Federal Police that has primary responsibility for firearms licensing in relation to the Australian Capital Territory;</w:t>
      </w:r>
    </w:p>
    <w:p>
      <w:pPr>
        <w:pStyle w:val="Indenta"/>
        <w:keepNext/>
      </w:pPr>
      <w:r>
        <w:lastRenderedPageBreak/>
        <w:tab/>
        <w:t>(e)</w:t>
      </w:r>
      <w:r>
        <w:tab/>
        <w:t>either —</w:t>
      </w:r>
    </w:p>
    <w:p>
      <w:pPr>
        <w:pStyle w:val="Indenti"/>
      </w:pPr>
      <w:r>
        <w:tab/>
        <w:t>(i)</w:t>
      </w:r>
      <w:r>
        <w:tab/>
        <w:t>the department of a State or Territory that has primary responsibility for child protection in that State or Territory; or</w:t>
      </w:r>
    </w:p>
    <w:p>
      <w:pPr>
        <w:pStyle w:val="Indenti"/>
      </w:pPr>
      <w:r>
        <w:tab/>
        <w:t>(ii)</w:t>
      </w:r>
      <w:r>
        <w:tab/>
        <w:t>if, in a State or Territory, only a part of a department has primary responsibility for child protection — that part of the department.</w:t>
      </w:r>
    </w:p>
    <w:p>
      <w:pPr>
        <w:pStyle w:val="Footnotesection"/>
      </w:pPr>
      <w:r>
        <w:tab/>
        <w:t>[Regulation 10B inserted: SL 2025/16 r. 5.]</w:t>
      </w:r>
    </w:p>
    <w:p>
      <w:pPr>
        <w:pStyle w:val="Heading5"/>
      </w:pPr>
      <w:bookmarkStart w:id="22" w:name="_Toc201304171"/>
      <w:r>
        <w:rPr>
          <w:rStyle w:val="CharSectno"/>
        </w:rPr>
        <w:t>10C</w:t>
      </w:r>
      <w:r>
        <w:t>.</w:t>
      </w:r>
      <w:r>
        <w:tab/>
        <w:t>Information sharing safeguards (Act s. 162I(1))</w:t>
      </w:r>
      <w:bookmarkEnd w:id="22"/>
    </w:p>
    <w:p>
      <w:pPr>
        <w:pStyle w:val="Subsection"/>
      </w:pPr>
      <w:r>
        <w:tab/>
        <w:t>(1)</w:t>
      </w:r>
      <w:r>
        <w:tab/>
        <w:t>For the purposes of section 162I(1), this regulation prescribes information sharing safeguards that —</w:t>
      </w:r>
    </w:p>
    <w:p>
      <w:pPr>
        <w:pStyle w:val="Indenta"/>
      </w:pPr>
      <w:r>
        <w:tab/>
        <w:t>(a)</w:t>
      </w:r>
      <w:r>
        <w:tab/>
        <w:t xml:space="preserve">an information sharing agency must have regard to when providing particulars, documents or information (the </w:t>
      </w:r>
      <w:r>
        <w:rPr>
          <w:rStyle w:val="CharDefText"/>
        </w:rPr>
        <w:t>shared material</w:t>
      </w:r>
      <w:r>
        <w:t>) under an order made under section 162D or 162E, or under section 162D(6) or 162E(6); and</w:t>
      </w:r>
    </w:p>
    <w:p>
      <w:pPr>
        <w:pStyle w:val="Indenta"/>
      </w:pPr>
      <w:r>
        <w:tab/>
        <w:t>(b)</w:t>
      </w:r>
      <w:r>
        <w:tab/>
        <w:t xml:space="preserve">the court must have regard to when using particulars, documents or information (the </w:t>
      </w:r>
      <w:r>
        <w:rPr>
          <w:rStyle w:val="CharDefText"/>
        </w:rPr>
        <w:t>shared material</w:t>
      </w:r>
      <w:r>
        <w:t>) provided by an information sharing agency under an order made under section 162D or 162E, or under section 162D(6) or 162E(6).</w:t>
      </w:r>
    </w:p>
    <w:p>
      <w:pPr>
        <w:pStyle w:val="Subsection"/>
      </w:pPr>
      <w:r>
        <w:tab/>
        <w:t>(2)</w:t>
      </w:r>
      <w:r>
        <w:tab/>
        <w:t>Particulars and documents are, and information is, only to be provided, and shared material is only to be stored and used, to the extent —</w:t>
      </w:r>
    </w:p>
    <w:p>
      <w:pPr>
        <w:pStyle w:val="Indenta"/>
      </w:pPr>
      <w:r>
        <w:tab/>
        <w:t>(a)</w:t>
      </w:r>
      <w:r>
        <w:tab/>
        <w:t>that the material relates to a matter mentioned in section 162D(2) or 162E(2); or</w:t>
      </w:r>
    </w:p>
    <w:p>
      <w:pPr>
        <w:pStyle w:val="Indenta"/>
      </w:pPr>
      <w:r>
        <w:tab/>
        <w:t>(b)</w:t>
      </w:r>
      <w:r>
        <w:tab/>
        <w:t>required or authorised by a law of the Commonwealth, State or Territory or a court order (including an order made under section 162D or 162E).</w:t>
      </w:r>
    </w:p>
    <w:p>
      <w:pPr>
        <w:pStyle w:val="Subsection"/>
      </w:pPr>
      <w:r>
        <w:tab/>
        <w:t>(3)</w:t>
      </w:r>
      <w:r>
        <w:tab/>
        <w:t xml:space="preserve">The shared material is to be provided, stored and used in good faith and with reasonable care to protect persons who are involved in, or could be affected by, the provision, storage or </w:t>
      </w:r>
      <w:r>
        <w:lastRenderedPageBreak/>
        <w:t>use of the shared material from physical and psychological harm.</w:t>
      </w:r>
    </w:p>
    <w:p>
      <w:pPr>
        <w:pStyle w:val="Subsection"/>
      </w:pPr>
      <w:r>
        <w:tab/>
        <w:t>(4)</w:t>
      </w:r>
      <w:r>
        <w:tab/>
        <w:t>The shared material is to be provided, stored and used in a manner that prevents improper access to or disclosure of the shared material.</w:t>
      </w:r>
    </w:p>
    <w:p>
      <w:pPr>
        <w:pStyle w:val="Subsection"/>
      </w:pPr>
      <w:r>
        <w:tab/>
        <w:t>(5)</w:t>
      </w:r>
      <w:r>
        <w:tab/>
        <w:t>Reasonable steps are to be taken to prevent the shared material being accessed by or disclosed to a person who poses, or potentially poses, a risk of subjecting or exposing any of the following to abuse, neglect or family violence —</w:t>
      </w:r>
    </w:p>
    <w:p>
      <w:pPr>
        <w:pStyle w:val="Indenta"/>
      </w:pPr>
      <w:r>
        <w:tab/>
        <w:t>(a)</w:t>
      </w:r>
      <w:r>
        <w:tab/>
        <w:t>a party to the proceedings;</w:t>
      </w:r>
    </w:p>
    <w:p>
      <w:pPr>
        <w:pStyle w:val="Indenta"/>
      </w:pPr>
      <w:r>
        <w:tab/>
        <w:t>(b)</w:t>
      </w:r>
      <w:r>
        <w:tab/>
        <w:t>a child to whom the proceedings relate;</w:t>
      </w:r>
    </w:p>
    <w:p>
      <w:pPr>
        <w:pStyle w:val="Indenta"/>
      </w:pPr>
      <w:r>
        <w:tab/>
        <w:t>(c)</w:t>
      </w:r>
      <w:r>
        <w:tab/>
        <w:t>another person to whom the shared material relates.</w:t>
      </w:r>
    </w:p>
    <w:p>
      <w:pPr>
        <w:pStyle w:val="Subsection"/>
      </w:pPr>
      <w:r>
        <w:tab/>
        <w:t>(6)</w:t>
      </w:r>
      <w:r>
        <w:tab/>
        <w:t>Subregulation (5) does not apply if the access or disclosure is in accordance with an order of a court (whether of a kind referred to in section 8(a) or (b) or otherwise).</w:t>
      </w:r>
    </w:p>
    <w:p>
      <w:pPr>
        <w:pStyle w:val="Subsection"/>
      </w:pPr>
      <w:r>
        <w:tab/>
        <w:t>(7)</w:t>
      </w:r>
      <w:r>
        <w:tab/>
        <w:t>The shared material is not to be provided by or used by a person who has a personal relationship with or has any other actual or potential conflict of interest in relation to —</w:t>
      </w:r>
    </w:p>
    <w:p>
      <w:pPr>
        <w:pStyle w:val="Indenta"/>
      </w:pPr>
      <w:r>
        <w:tab/>
        <w:t>(a)</w:t>
      </w:r>
      <w:r>
        <w:tab/>
        <w:t>a party to the proceedings; or</w:t>
      </w:r>
    </w:p>
    <w:p>
      <w:pPr>
        <w:pStyle w:val="Indenta"/>
      </w:pPr>
      <w:r>
        <w:tab/>
        <w:t>(b)</w:t>
      </w:r>
      <w:r>
        <w:tab/>
        <w:t>a child to whom the proceedings relate; or</w:t>
      </w:r>
    </w:p>
    <w:p>
      <w:pPr>
        <w:pStyle w:val="Indenta"/>
      </w:pPr>
      <w:r>
        <w:tab/>
        <w:t>(c)</w:t>
      </w:r>
      <w:r>
        <w:tab/>
        <w:t>another person to whom the shared material relates.</w:t>
      </w:r>
    </w:p>
    <w:p>
      <w:pPr>
        <w:pStyle w:val="Subsection"/>
      </w:pPr>
      <w:r>
        <w:tab/>
        <w:t>(8)</w:t>
      </w:r>
      <w:r>
        <w:tab/>
        <w:t>If the information sharing agency becomes aware that the shared material is incorrect, then as soon as possible —</w:t>
      </w:r>
    </w:p>
    <w:p>
      <w:pPr>
        <w:pStyle w:val="Indenta"/>
      </w:pPr>
      <w:r>
        <w:tab/>
        <w:t>(a)</w:t>
      </w:r>
      <w:r>
        <w:tab/>
        <w:t>the information sharing agency is to notify the court of the correction; and</w:t>
      </w:r>
    </w:p>
    <w:p>
      <w:pPr>
        <w:pStyle w:val="Indenta"/>
      </w:pPr>
      <w:r>
        <w:tab/>
        <w:t>(b)</w:t>
      </w:r>
      <w:r>
        <w:tab/>
        <w:t>subject to subregulation (11), the court is to correct its records accordingly.</w:t>
      </w:r>
    </w:p>
    <w:p>
      <w:pPr>
        <w:pStyle w:val="Subsection"/>
      </w:pPr>
      <w:r>
        <w:tab/>
        <w:t>(9)</w:t>
      </w:r>
      <w:r>
        <w:tab/>
        <w:t xml:space="preserve">If an information sharing agency receives an order under section 162D or 162E relating to a matter and the information sharing agency does not have in its possession or control any documents or information relating to the matter then, subject to </w:t>
      </w:r>
      <w:r>
        <w:lastRenderedPageBreak/>
        <w:t>subregulation (11), the information sharing agency is to destroy or redact its records relating to the order after responding to the order.</w:t>
      </w:r>
    </w:p>
    <w:p>
      <w:pPr>
        <w:pStyle w:val="Subsection"/>
      </w:pPr>
      <w:r>
        <w:tab/>
        <w:t>(10)</w:t>
      </w:r>
      <w:r>
        <w:tab/>
        <w:t>If a person requests access to the shared material or to material that is purported to be shared material provided to the court and the court does not have the requested material in its possession or control then, subject to subregulation (11), the court is to destroy or redact its records relating to the request.</w:t>
      </w:r>
    </w:p>
    <w:p>
      <w:pPr>
        <w:pStyle w:val="Subsection"/>
      </w:pPr>
      <w:r>
        <w:tab/>
        <w:t>(11)</w:t>
      </w:r>
      <w:r>
        <w:tab/>
        <w:t>Subregulations (8), (9) and (10) are subject to any record</w:t>
      </w:r>
      <w:r>
        <w:noBreakHyphen/>
        <w:t>keeping obligations imposed on the information sharing agency or the court by a law of the Commonwealth, a State or a Territory or an order of a court (whether of a kind referred to in section 8(a) or (b) or otherwise).</w:t>
      </w:r>
    </w:p>
    <w:p>
      <w:pPr>
        <w:pStyle w:val="Footnotesection"/>
      </w:pPr>
      <w:r>
        <w:tab/>
        <w:t>[Regulation 10C inserted: SL 2025/16 r. 5.]</w:t>
      </w:r>
    </w:p>
    <w:p>
      <w:pPr>
        <w:pStyle w:val="Heading5"/>
      </w:pPr>
      <w:bookmarkStart w:id="23" w:name="_Toc201304172"/>
      <w:r>
        <w:rPr>
          <w:rStyle w:val="CharSectno"/>
        </w:rPr>
        <w:t>11</w:t>
      </w:r>
      <w:r>
        <w:t>.</w:t>
      </w:r>
      <w:r>
        <w:tab/>
        <w:t>Registration of court decision (Act s. 176(6))</w:t>
      </w:r>
      <w:bookmarkEnd w:id="23"/>
    </w:p>
    <w:p>
      <w:pPr>
        <w:pStyle w:val="Subsection"/>
      </w:pPr>
      <w:r>
        <w:tab/>
      </w:r>
      <w:r>
        <w:tab/>
        <w:t>Family Law Regulation 55 is adopted for the purposes of section 176(6).</w:t>
      </w:r>
    </w:p>
    <w:p>
      <w:pPr>
        <w:pStyle w:val="Footnotesection"/>
      </w:pPr>
      <w:r>
        <w:tab/>
        <w:t>[Regulation 11 inserted: Gazette 14 Jul 2006 p. 2562; amended: SL 2025/63 r. 7.]</w:t>
      </w:r>
    </w:p>
    <w:p>
      <w:pPr>
        <w:pStyle w:val="Ednotesection"/>
      </w:pPr>
      <w:r>
        <w:t>[</w:t>
      </w:r>
      <w:r>
        <w:rPr>
          <w:b/>
        </w:rPr>
        <w:t>12.</w:t>
      </w:r>
      <w:r>
        <w:tab/>
        <w:t>Deleted: SL 2025/16 r. 6.]</w:t>
      </w:r>
    </w:p>
    <w:p>
      <w:pPr>
        <w:pStyle w:val="Heading5"/>
      </w:pPr>
      <w:bookmarkStart w:id="24" w:name="_Toc201304173"/>
      <w:r>
        <w:rPr>
          <w:rStyle w:val="CharSectno"/>
        </w:rPr>
        <w:t>13</w:t>
      </w:r>
      <w:r>
        <w:t>.</w:t>
      </w:r>
      <w:r>
        <w:tab/>
        <w:t>Third party expenses (Act s. 205ZLK)</w:t>
      </w:r>
      <w:bookmarkEnd w:id="24"/>
    </w:p>
    <w:p>
      <w:pPr>
        <w:pStyle w:val="Subsection"/>
      </w:pPr>
      <w:r>
        <w:tab/>
      </w:r>
      <w:r>
        <w:tab/>
        <w:t>Family Law Regulation 74 is adopted for the purposes of section 205ZLK.</w:t>
      </w:r>
    </w:p>
    <w:p>
      <w:pPr>
        <w:pStyle w:val="Footnotesection"/>
      </w:pPr>
      <w:r>
        <w:tab/>
        <w:t>[Regulation 13 inserted: Gazette 14 Jul 2006 p. 2562; amended: SL 2025/63 r. 8.]</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25" w:name="_Toc201304174"/>
      <w:r>
        <w:rPr>
          <w:rStyle w:val="CharSectno"/>
        </w:rPr>
        <w:lastRenderedPageBreak/>
        <w:t>14F</w:t>
      </w:r>
      <w:r>
        <w:t>.</w:t>
      </w:r>
      <w:r>
        <w:tab/>
        <w:t>Pensions, allowances, benefits prescribed (Act s. 205T)</w:t>
      </w:r>
      <w:bookmarkEnd w:id="25"/>
    </w:p>
    <w:p>
      <w:pPr>
        <w:pStyle w:val="Subsection"/>
        <w:keepNext/>
      </w:pPr>
      <w:r>
        <w:tab/>
      </w:r>
      <w:r>
        <w:tab/>
        <w:t xml:space="preserve">Family Law Regulation 9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 amended: SL 2025/63 r. 9.]</w:t>
      </w:r>
    </w:p>
    <w:p>
      <w:pPr>
        <w:pStyle w:val="Heading5"/>
        <w:rPr>
          <w:snapToGrid w:val="0"/>
        </w:rPr>
      </w:pPr>
      <w:bookmarkStart w:id="26" w:name="_Toc201304175"/>
      <w:r>
        <w:rPr>
          <w:rStyle w:val="CharSectno"/>
        </w:rPr>
        <w:t>15</w:t>
      </w:r>
      <w:r>
        <w:rPr>
          <w:snapToGrid w:val="0"/>
        </w:rPr>
        <w:t>.</w:t>
      </w:r>
      <w:r>
        <w:rPr>
          <w:snapToGrid w:val="0"/>
        </w:rPr>
        <w:tab/>
        <w:t>Parentage testing procedures</w:t>
      </w:r>
      <w:bookmarkEnd w:id="26"/>
      <w:r>
        <w:rPr>
          <w:snapToGrid w:val="0"/>
        </w:rPr>
        <w:t xml:space="preserve"> </w:t>
      </w:r>
    </w:p>
    <w:p>
      <w:pPr>
        <w:pStyle w:val="Subsection"/>
        <w:rPr>
          <w:snapToGrid w:val="0"/>
        </w:rPr>
      </w:pPr>
      <w:r>
        <w:rPr>
          <w:snapToGrid w:val="0"/>
        </w:rPr>
        <w:tab/>
        <w:t>(1)</w:t>
      </w:r>
      <w:r>
        <w:rPr>
          <w:snapToGrid w:val="0"/>
        </w:rPr>
        <w:tab/>
        <w:t xml:space="preserve">Family Law Regulation 59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w:t>
      </w:r>
      <w:r>
        <w:t>58 and 60 to 67</w:t>
      </w:r>
      <w:r>
        <w:rPr>
          <w:snapToGrid w:val="0"/>
        </w:rPr>
        <w:t xml:space="preserve"> are adopted and apply to a parentage testing procedure that is required to be carried out on a person under a parentage testing order made by a court under section 195.</w:t>
      </w:r>
    </w:p>
    <w:p>
      <w:pPr>
        <w:pStyle w:val="Footnotesection"/>
      </w:pPr>
      <w:r>
        <w:tab/>
        <w:t>[Regulation 15 amended: SL 2025/63 r. 10.]</w:t>
      </w:r>
    </w:p>
    <w:p>
      <w:pPr>
        <w:pStyle w:val="Heading5"/>
        <w:rPr>
          <w:snapToGrid w:val="0"/>
        </w:rPr>
      </w:pPr>
      <w:bookmarkStart w:id="27" w:name="_Toc201304176"/>
      <w:r>
        <w:rPr>
          <w:rStyle w:val="CharSectno"/>
        </w:rPr>
        <w:t>16</w:t>
      </w:r>
      <w:r>
        <w:rPr>
          <w:snapToGrid w:val="0"/>
        </w:rPr>
        <w:t>.</w:t>
      </w:r>
      <w:r>
        <w:rPr>
          <w:snapToGrid w:val="0"/>
        </w:rPr>
        <w:tab/>
        <w:t>Parentage testing reports</w:t>
      </w:r>
      <w:bookmarkEnd w:id="27"/>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68 is adopted and applies for the purposes of section 200(b).</w:t>
      </w:r>
    </w:p>
    <w:p>
      <w:pPr>
        <w:pStyle w:val="Footnotesection"/>
      </w:pPr>
      <w:r>
        <w:tab/>
        <w:t>[Regulation 16 amended: SL 2025/63 r. 11.]</w:t>
      </w:r>
    </w:p>
    <w:p>
      <w:pPr>
        <w:pStyle w:val="Heading5"/>
        <w:rPr>
          <w:snapToGrid w:val="0"/>
        </w:rPr>
      </w:pPr>
      <w:bookmarkStart w:id="28" w:name="_Toc201304177"/>
      <w:r>
        <w:rPr>
          <w:rStyle w:val="CharSectno"/>
        </w:rPr>
        <w:t>17</w:t>
      </w:r>
      <w:r>
        <w:rPr>
          <w:snapToGrid w:val="0"/>
        </w:rPr>
        <w:t>.</w:t>
      </w:r>
      <w:r>
        <w:rPr>
          <w:snapToGrid w:val="0"/>
        </w:rPr>
        <w:tab/>
        <w:t>Registration in a court of orders etc. made by another court</w:t>
      </w:r>
      <w:bookmarkEnd w:id="28"/>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w:t>
      </w:r>
      <w:r>
        <w:lastRenderedPageBreak/>
        <w:t>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pPr>
      <w:bookmarkStart w:id="29" w:name="_Toc201304178"/>
      <w:r>
        <w:rPr>
          <w:rStyle w:val="CharSectno"/>
        </w:rPr>
        <w:t>17A</w:t>
      </w:r>
      <w:r>
        <w:t>.</w:t>
      </w:r>
      <w:r>
        <w:tab/>
        <w:t>Authorities prescribed (Act s. 236D(2)(c))</w:t>
      </w:r>
      <w:bookmarkEnd w:id="29"/>
    </w:p>
    <w:p>
      <w:pPr>
        <w:pStyle w:val="Subsection"/>
      </w:pPr>
      <w:r>
        <w:tab/>
      </w:r>
      <w:r>
        <w:tab/>
        <w:t>For the purposes of section 236D(2)(c), each of the following authorities of a State or Territory that has responsibilities relating to the welfare of children is prescribed —</w:t>
      </w:r>
    </w:p>
    <w:p>
      <w:pPr>
        <w:pStyle w:val="Indenta"/>
      </w:pPr>
      <w:r>
        <w:tab/>
        <w:t>(a)</w:t>
      </w:r>
      <w:r>
        <w:tab/>
        <w:t>for New South Wales — the Department of Communities and Justice;</w:t>
      </w:r>
    </w:p>
    <w:p>
      <w:pPr>
        <w:pStyle w:val="Indenta"/>
      </w:pPr>
      <w:r>
        <w:tab/>
        <w:t>(b)</w:t>
      </w:r>
      <w:r>
        <w:tab/>
        <w:t>for Victoria — the Department of Families, Fairness and Housing;</w:t>
      </w:r>
    </w:p>
    <w:p>
      <w:pPr>
        <w:pStyle w:val="Indenta"/>
      </w:pPr>
      <w:r>
        <w:tab/>
        <w:t>(c)</w:t>
      </w:r>
      <w:r>
        <w:tab/>
        <w:t>for Queensland — the Department of Families, Seniors, Disability Services and Child Safety;</w:t>
      </w:r>
    </w:p>
    <w:p>
      <w:pPr>
        <w:pStyle w:val="Indenta"/>
      </w:pPr>
      <w:r>
        <w:tab/>
        <w:t>(d)</w:t>
      </w:r>
      <w:r>
        <w:tab/>
        <w:t xml:space="preserve">for Western Australia — the department of the Public Service principally assisting in the administration of the </w:t>
      </w:r>
      <w:r>
        <w:rPr>
          <w:i/>
        </w:rPr>
        <w:t>Children and Community Services Act </w:t>
      </w:r>
      <w:r>
        <w:rPr>
          <w:i/>
          <w:iCs/>
        </w:rPr>
        <w:t>2004</w:t>
      </w:r>
      <w:r>
        <w:t>;</w:t>
      </w:r>
    </w:p>
    <w:p>
      <w:pPr>
        <w:pStyle w:val="Indenta"/>
      </w:pPr>
      <w:r>
        <w:tab/>
        <w:t>(e)</w:t>
      </w:r>
      <w:r>
        <w:tab/>
        <w:t>for South Australia — the Department for Child Protection;</w:t>
      </w:r>
    </w:p>
    <w:p>
      <w:pPr>
        <w:pStyle w:val="Indenta"/>
      </w:pPr>
      <w:r>
        <w:tab/>
        <w:t>(f)</w:t>
      </w:r>
      <w:r>
        <w:tab/>
        <w:t>for Tasmania — the Department for Education, Children and Young People;</w:t>
      </w:r>
    </w:p>
    <w:p>
      <w:pPr>
        <w:pStyle w:val="Indenta"/>
      </w:pPr>
      <w:r>
        <w:tab/>
        <w:t>(g)</w:t>
      </w:r>
      <w:r>
        <w:tab/>
        <w:t>for the Australian Capital Territory — the Community Services Directorate;</w:t>
      </w:r>
    </w:p>
    <w:p>
      <w:pPr>
        <w:pStyle w:val="Indenta"/>
      </w:pPr>
      <w:r>
        <w:tab/>
        <w:t>(h)</w:t>
      </w:r>
      <w:r>
        <w:tab/>
        <w:t>for the Northern Territory — the Department of Territory Families, Housing and Communities.</w:t>
      </w:r>
    </w:p>
    <w:p>
      <w:pPr>
        <w:pStyle w:val="Footnotesection"/>
      </w:pPr>
      <w:r>
        <w:tab/>
        <w:t>[Regulation 17A inserted: SL 2025/16 r. 7.]</w:t>
      </w:r>
    </w:p>
    <w:p>
      <w:pPr>
        <w:pStyle w:val="Heading2"/>
      </w:pPr>
      <w:bookmarkStart w:id="30" w:name="_Toc201242626"/>
      <w:bookmarkStart w:id="31" w:name="_Toc201302162"/>
      <w:bookmarkStart w:id="32" w:name="_Toc201304179"/>
      <w:r>
        <w:rPr>
          <w:rStyle w:val="CharPartNo"/>
        </w:rPr>
        <w:lastRenderedPageBreak/>
        <w:t>Part 3</w:t>
      </w:r>
      <w:r>
        <w:rPr>
          <w:b w:val="0"/>
        </w:rPr>
        <w:t> </w:t>
      </w:r>
      <w:r>
        <w:t>—</w:t>
      </w:r>
      <w:r>
        <w:rPr>
          <w:b w:val="0"/>
        </w:rPr>
        <w:t> </w:t>
      </w:r>
      <w:r>
        <w:rPr>
          <w:rStyle w:val="CharPartText"/>
        </w:rPr>
        <w:t>Court fees</w:t>
      </w:r>
      <w:bookmarkEnd w:id="30"/>
      <w:bookmarkEnd w:id="31"/>
      <w:bookmarkEnd w:id="32"/>
    </w:p>
    <w:p>
      <w:pPr>
        <w:pStyle w:val="Footnoteheading"/>
      </w:pPr>
      <w:r>
        <w:tab/>
        <w:t>[Heading inserted: Gazette 14 Dec 2012 p. 6236.]</w:t>
      </w:r>
    </w:p>
    <w:p>
      <w:pPr>
        <w:pStyle w:val="Heading3"/>
      </w:pPr>
      <w:bookmarkStart w:id="33" w:name="_Toc201242627"/>
      <w:bookmarkStart w:id="34" w:name="_Toc201302163"/>
      <w:bookmarkStart w:id="35" w:name="_Toc201304180"/>
      <w:r>
        <w:rPr>
          <w:rStyle w:val="CharDivNo"/>
        </w:rPr>
        <w:t>Division 1</w:t>
      </w:r>
      <w:r>
        <w:t> — </w:t>
      </w:r>
      <w:r>
        <w:rPr>
          <w:rStyle w:val="CharDivText"/>
        </w:rPr>
        <w:t>Preliminary</w:t>
      </w:r>
      <w:bookmarkEnd w:id="33"/>
      <w:bookmarkEnd w:id="34"/>
      <w:bookmarkEnd w:id="35"/>
    </w:p>
    <w:p>
      <w:pPr>
        <w:pStyle w:val="Footnoteheading"/>
      </w:pPr>
      <w:r>
        <w:tab/>
        <w:t>[Heading inserted: Gazette 14 Dec 2012 p. 6236.]</w:t>
      </w:r>
    </w:p>
    <w:p>
      <w:pPr>
        <w:pStyle w:val="Heading5"/>
      </w:pPr>
      <w:bookmarkStart w:id="36" w:name="_Toc201304181"/>
      <w:r>
        <w:rPr>
          <w:rStyle w:val="CharSectno"/>
        </w:rPr>
        <w:t>18</w:t>
      </w:r>
      <w:r>
        <w:t>.</w:t>
      </w:r>
      <w:r>
        <w:tab/>
        <w:t>Terms used</w:t>
      </w:r>
      <w:bookmarkEnd w:id="36"/>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lastRenderedPageBreak/>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37" w:name="_Toc201242629"/>
      <w:bookmarkStart w:id="38" w:name="_Toc201302165"/>
      <w:bookmarkStart w:id="39" w:name="_Toc201304182"/>
      <w:r>
        <w:rPr>
          <w:rStyle w:val="CharDivNo"/>
        </w:rPr>
        <w:t>Division 2</w:t>
      </w:r>
      <w:r>
        <w:t> — </w:t>
      </w:r>
      <w:r>
        <w:rPr>
          <w:rStyle w:val="CharDivText"/>
        </w:rPr>
        <w:t>Fees — general</w:t>
      </w:r>
      <w:bookmarkEnd w:id="37"/>
      <w:bookmarkEnd w:id="38"/>
      <w:bookmarkEnd w:id="39"/>
    </w:p>
    <w:p>
      <w:pPr>
        <w:pStyle w:val="Footnoteheading"/>
      </w:pPr>
      <w:r>
        <w:tab/>
        <w:t>[Heading inserted: Gazette 14 Dec 2012 p. 6237.]</w:t>
      </w:r>
    </w:p>
    <w:p>
      <w:pPr>
        <w:pStyle w:val="Heading5"/>
      </w:pPr>
      <w:bookmarkStart w:id="40" w:name="_Toc201304183"/>
      <w:r>
        <w:rPr>
          <w:rStyle w:val="CharSectno"/>
        </w:rPr>
        <w:t>19</w:t>
      </w:r>
      <w:r>
        <w:t>.</w:t>
      </w:r>
      <w:r>
        <w:tab/>
        <w:t>Fees (Sch. 1)</w:t>
      </w:r>
      <w:bookmarkEnd w:id="40"/>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lastRenderedPageBreak/>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41" w:name="_Toc201242631"/>
      <w:bookmarkStart w:id="42" w:name="_Toc201302167"/>
      <w:bookmarkStart w:id="43" w:name="_Toc201304184"/>
      <w:r>
        <w:rPr>
          <w:rStyle w:val="CharDivNo"/>
        </w:rPr>
        <w:t>Division 3</w:t>
      </w:r>
      <w:r>
        <w:t> — </w:t>
      </w:r>
      <w:r>
        <w:rPr>
          <w:rStyle w:val="CharDivText"/>
        </w:rPr>
        <w:t>Liability to pay fee</w:t>
      </w:r>
      <w:bookmarkEnd w:id="41"/>
      <w:bookmarkEnd w:id="42"/>
      <w:bookmarkEnd w:id="43"/>
    </w:p>
    <w:p>
      <w:pPr>
        <w:pStyle w:val="Footnoteheading"/>
      </w:pPr>
      <w:r>
        <w:tab/>
        <w:t>[Heading inserted: Gazette 14 Dec 2012 p. 6238.]</w:t>
      </w:r>
    </w:p>
    <w:p>
      <w:pPr>
        <w:pStyle w:val="Heading5"/>
      </w:pPr>
      <w:bookmarkStart w:id="44" w:name="_Toc201304185"/>
      <w:r>
        <w:rPr>
          <w:rStyle w:val="CharSectno"/>
        </w:rPr>
        <w:t>20</w:t>
      </w:r>
      <w:r>
        <w:t>.</w:t>
      </w:r>
      <w:r>
        <w:tab/>
        <w:t>Persons liable to pay fee</w:t>
      </w:r>
      <w:bookmarkEnd w:id="44"/>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45" w:name="_Toc201242633"/>
      <w:bookmarkStart w:id="46" w:name="_Toc201302169"/>
      <w:bookmarkStart w:id="47" w:name="_Toc201304186"/>
      <w:r>
        <w:rPr>
          <w:rStyle w:val="CharDivNo"/>
        </w:rPr>
        <w:lastRenderedPageBreak/>
        <w:t>Division 4</w:t>
      </w:r>
      <w:r>
        <w:t> — </w:t>
      </w:r>
      <w:r>
        <w:rPr>
          <w:rStyle w:val="CharDivText"/>
        </w:rPr>
        <w:t>Exemptions from liability to pay fee</w:t>
      </w:r>
      <w:bookmarkEnd w:id="45"/>
      <w:bookmarkEnd w:id="46"/>
      <w:bookmarkEnd w:id="47"/>
    </w:p>
    <w:p>
      <w:pPr>
        <w:pStyle w:val="Footnoteheading"/>
        <w:keepNext/>
        <w:keepLines/>
      </w:pPr>
      <w:r>
        <w:tab/>
        <w:t>[Heading inserted: Gazette 14 Dec 2012 p. 6239.]</w:t>
      </w:r>
    </w:p>
    <w:p>
      <w:pPr>
        <w:pStyle w:val="Heading5"/>
      </w:pPr>
      <w:bookmarkStart w:id="48" w:name="_Toc201304187"/>
      <w:r>
        <w:rPr>
          <w:rStyle w:val="CharSectno"/>
        </w:rPr>
        <w:t>21A</w:t>
      </w:r>
      <w:r>
        <w:t>.</w:t>
      </w:r>
      <w:r>
        <w:tab/>
        <w:t>Persons exempt from paying fee: general</w:t>
      </w:r>
      <w:bookmarkEnd w:id="48"/>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lastRenderedPageBreak/>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49" w:name="_Toc201304188"/>
      <w:r>
        <w:rPr>
          <w:rStyle w:val="CharSectno"/>
        </w:rPr>
        <w:t>21B</w:t>
      </w:r>
      <w:r>
        <w:t>.</w:t>
      </w:r>
      <w:r>
        <w:tab/>
        <w:t>Persons exempt from paying fee: financial hardship</w:t>
      </w:r>
      <w:bookmarkEnd w:id="49"/>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50" w:name="_Toc201242636"/>
      <w:bookmarkStart w:id="51" w:name="_Toc201302172"/>
      <w:bookmarkStart w:id="52" w:name="_Toc201304189"/>
      <w:r>
        <w:rPr>
          <w:rStyle w:val="CharDivNo"/>
        </w:rPr>
        <w:t>Division 5</w:t>
      </w:r>
      <w:r>
        <w:t> — </w:t>
      </w:r>
      <w:r>
        <w:rPr>
          <w:rStyle w:val="CharDivText"/>
        </w:rPr>
        <w:t>When fee is not payable</w:t>
      </w:r>
      <w:bookmarkEnd w:id="50"/>
      <w:bookmarkEnd w:id="51"/>
      <w:bookmarkEnd w:id="52"/>
    </w:p>
    <w:p>
      <w:pPr>
        <w:pStyle w:val="Footnoteheading"/>
      </w:pPr>
      <w:r>
        <w:tab/>
        <w:t>[Heading inserted: Gazette 14 Dec 2012 p. 6241.]</w:t>
      </w:r>
    </w:p>
    <w:p>
      <w:pPr>
        <w:pStyle w:val="Heading5"/>
      </w:pPr>
      <w:bookmarkStart w:id="53" w:name="_Toc201304190"/>
      <w:r>
        <w:rPr>
          <w:rStyle w:val="CharSectno"/>
        </w:rPr>
        <w:t>21C</w:t>
      </w:r>
      <w:r>
        <w:t>.</w:t>
      </w:r>
      <w:r>
        <w:tab/>
        <w:t>Fee not payable by liable person if already paid</w:t>
      </w:r>
      <w:bookmarkEnd w:id="53"/>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54" w:name="_Toc201304191"/>
      <w:r>
        <w:rPr>
          <w:rStyle w:val="CharSectno"/>
        </w:rPr>
        <w:lastRenderedPageBreak/>
        <w:t>21D</w:t>
      </w:r>
      <w:r>
        <w:t>.</w:t>
      </w:r>
      <w:r>
        <w:tab/>
        <w:t>Proceedings in which fee not payable</w:t>
      </w:r>
      <w:bookmarkEnd w:id="54"/>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lastRenderedPageBreak/>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55" w:name="_Toc201242639"/>
      <w:bookmarkStart w:id="56" w:name="_Toc201302175"/>
      <w:bookmarkStart w:id="57" w:name="_Toc201304192"/>
      <w:r>
        <w:rPr>
          <w:rStyle w:val="CharDivNo"/>
        </w:rPr>
        <w:t>Division 6</w:t>
      </w:r>
      <w:r>
        <w:t> — </w:t>
      </w:r>
      <w:r>
        <w:rPr>
          <w:rStyle w:val="CharDivText"/>
        </w:rPr>
        <w:t>Payment of fees</w:t>
      </w:r>
      <w:bookmarkEnd w:id="55"/>
      <w:bookmarkEnd w:id="56"/>
      <w:bookmarkEnd w:id="57"/>
    </w:p>
    <w:p>
      <w:pPr>
        <w:pStyle w:val="Footnoteheading"/>
      </w:pPr>
      <w:r>
        <w:tab/>
        <w:t>[Heading inserted: Gazette 14 Dec 2012 p. 6242.]</w:t>
      </w:r>
    </w:p>
    <w:p>
      <w:pPr>
        <w:pStyle w:val="Heading5"/>
      </w:pPr>
      <w:bookmarkStart w:id="58" w:name="_Toc201304193"/>
      <w:r>
        <w:rPr>
          <w:rStyle w:val="CharSectno"/>
        </w:rPr>
        <w:t>21E</w:t>
      </w:r>
      <w:r>
        <w:t>.</w:t>
      </w:r>
      <w:r>
        <w:tab/>
        <w:t>When fee must be paid</w:t>
      </w:r>
      <w:bookmarkEnd w:id="58"/>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lastRenderedPageBreak/>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59" w:name="_Toc201304194"/>
      <w:r>
        <w:rPr>
          <w:rStyle w:val="CharSectno"/>
        </w:rPr>
        <w:t>21F</w:t>
      </w:r>
      <w:r>
        <w:t>.</w:t>
      </w:r>
      <w:r>
        <w:tab/>
        <w:t>Deferral of payment of fees</w:t>
      </w:r>
      <w:bookmarkEnd w:id="59"/>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keepNext/>
      </w:pPr>
      <w:r>
        <w:lastRenderedPageBreak/>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60" w:name="_Toc201304195"/>
      <w:r>
        <w:rPr>
          <w:rStyle w:val="CharSectno"/>
        </w:rPr>
        <w:t>21G</w:t>
      </w:r>
      <w:r>
        <w:t>.</w:t>
      </w:r>
      <w:r>
        <w:tab/>
        <w:t>What happens if fee not paid</w:t>
      </w:r>
      <w:bookmarkEnd w:id="60"/>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61" w:name="_Toc201242643"/>
      <w:bookmarkStart w:id="62" w:name="_Toc201302179"/>
      <w:bookmarkStart w:id="63" w:name="_Toc201304196"/>
      <w:r>
        <w:rPr>
          <w:rStyle w:val="CharDivNo"/>
        </w:rPr>
        <w:lastRenderedPageBreak/>
        <w:t>Division 7</w:t>
      </w:r>
      <w:r>
        <w:t> — </w:t>
      </w:r>
      <w:r>
        <w:rPr>
          <w:rStyle w:val="CharDivText"/>
        </w:rPr>
        <w:t>Miscellaneous</w:t>
      </w:r>
      <w:bookmarkEnd w:id="61"/>
      <w:bookmarkEnd w:id="62"/>
      <w:bookmarkEnd w:id="63"/>
    </w:p>
    <w:p>
      <w:pPr>
        <w:pStyle w:val="Footnoteheading"/>
      </w:pPr>
      <w:r>
        <w:tab/>
        <w:t>[Heading inserted: Gazette 14 Dec 2012 p. 6245.]</w:t>
      </w:r>
    </w:p>
    <w:p>
      <w:pPr>
        <w:pStyle w:val="Heading5"/>
      </w:pPr>
      <w:bookmarkStart w:id="64" w:name="_Toc201304197"/>
      <w:r>
        <w:rPr>
          <w:rStyle w:val="CharSectno"/>
        </w:rPr>
        <w:t>21H</w:t>
      </w:r>
      <w:r>
        <w:t>.</w:t>
      </w:r>
      <w:r>
        <w:tab/>
        <w:t>Refund of fee</w:t>
      </w:r>
      <w:bookmarkEnd w:id="64"/>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lastRenderedPageBreak/>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lastRenderedPageBreak/>
        <w:t>[</w:t>
      </w:r>
      <w:r>
        <w:rPr>
          <w:b/>
        </w:rPr>
        <w:t>21I.</w:t>
      </w:r>
      <w:r>
        <w:tab/>
        <w:t>Deleted: SL 2021/137 r. 4.]</w:t>
      </w:r>
    </w:p>
    <w:p>
      <w:pPr>
        <w:pStyle w:val="Heading5"/>
      </w:pPr>
      <w:bookmarkStart w:id="65" w:name="_Toc201304198"/>
      <w:r>
        <w:rPr>
          <w:rStyle w:val="CharSectno"/>
        </w:rPr>
        <w:t>21J</w:t>
      </w:r>
      <w:r>
        <w:t>.</w:t>
      </w:r>
      <w:r>
        <w:tab/>
        <w:t>Recovery of fees due</w:t>
      </w:r>
      <w:bookmarkEnd w:id="65"/>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66" w:name="_Toc201242646"/>
      <w:bookmarkStart w:id="67" w:name="_Toc201302182"/>
      <w:bookmarkStart w:id="68" w:name="_Toc201304199"/>
      <w:r>
        <w:rPr>
          <w:rStyle w:val="CharPartNo"/>
        </w:rPr>
        <w:lastRenderedPageBreak/>
        <w:t>Part 4</w:t>
      </w:r>
      <w:r>
        <w:rPr>
          <w:rStyle w:val="CharDivNo"/>
        </w:rPr>
        <w:t> </w:t>
      </w:r>
      <w:r>
        <w:t>—</w:t>
      </w:r>
      <w:r>
        <w:rPr>
          <w:rStyle w:val="CharDivText"/>
        </w:rPr>
        <w:t> </w:t>
      </w:r>
      <w:r>
        <w:rPr>
          <w:rStyle w:val="CharPartText"/>
        </w:rPr>
        <w:t>Review</w:t>
      </w:r>
      <w:bookmarkEnd w:id="66"/>
      <w:bookmarkEnd w:id="67"/>
      <w:bookmarkEnd w:id="68"/>
    </w:p>
    <w:p>
      <w:pPr>
        <w:pStyle w:val="Footnoteheading"/>
      </w:pPr>
      <w:r>
        <w:tab/>
        <w:t>[Heading inserted: Gazette 13 May 2011 p. 1746.]</w:t>
      </w:r>
    </w:p>
    <w:p>
      <w:pPr>
        <w:pStyle w:val="Heading5"/>
      </w:pPr>
      <w:bookmarkStart w:id="69" w:name="_Toc201304200"/>
      <w:r>
        <w:rPr>
          <w:rStyle w:val="CharSectno"/>
        </w:rPr>
        <w:t>21</w:t>
      </w:r>
      <w:r>
        <w:t>.</w:t>
      </w:r>
      <w:r>
        <w:tab/>
        <w:t>Review of decisions under these regulations</w:t>
      </w:r>
      <w:bookmarkEnd w:id="69"/>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70" w:name="_Toc201242648"/>
      <w:bookmarkStart w:id="71" w:name="_Toc201302184"/>
      <w:bookmarkStart w:id="72" w:name="_Toc201304201"/>
      <w:r>
        <w:rPr>
          <w:rStyle w:val="CharPartNo"/>
        </w:rPr>
        <w:lastRenderedPageBreak/>
        <w:t>Part 5</w:t>
      </w:r>
      <w:r>
        <w:rPr>
          <w:rStyle w:val="CharDivNo"/>
        </w:rPr>
        <w:t> </w:t>
      </w:r>
      <w:r>
        <w:t>—</w:t>
      </w:r>
      <w:r>
        <w:rPr>
          <w:rStyle w:val="CharDivText"/>
        </w:rPr>
        <w:t> </w:t>
      </w:r>
      <w:r>
        <w:rPr>
          <w:rStyle w:val="CharPartText"/>
        </w:rPr>
        <w:t>Transitional provisions</w:t>
      </w:r>
      <w:bookmarkEnd w:id="70"/>
      <w:bookmarkEnd w:id="71"/>
      <w:bookmarkEnd w:id="72"/>
    </w:p>
    <w:p>
      <w:pPr>
        <w:pStyle w:val="Footnoteheading"/>
      </w:pPr>
      <w:r>
        <w:tab/>
        <w:t>[Heading inserted: Gazette 13 May 2011 p. 1746.]</w:t>
      </w:r>
    </w:p>
    <w:p>
      <w:pPr>
        <w:pStyle w:val="Heading5"/>
      </w:pPr>
      <w:bookmarkStart w:id="73" w:name="_Toc201304202"/>
      <w:r>
        <w:rPr>
          <w:rStyle w:val="CharSectno"/>
        </w:rPr>
        <w:t>22A</w:t>
      </w:r>
      <w:r>
        <w:t>.</w:t>
      </w:r>
      <w:r>
        <w:tab/>
        <w:t>Terms used</w:t>
      </w:r>
      <w:bookmarkEnd w:id="73"/>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74" w:name="_Toc201304203"/>
      <w:r>
        <w:rPr>
          <w:rStyle w:val="CharSectno"/>
        </w:rPr>
        <w:t>22</w:t>
      </w:r>
      <w:r>
        <w:t>.</w:t>
      </w:r>
      <w:r>
        <w:tab/>
        <w:t xml:space="preserve">Transitional provisions relating to </w:t>
      </w:r>
      <w:r>
        <w:rPr>
          <w:i/>
        </w:rPr>
        <w:t>Family Court Amendment Regulations 2011</w:t>
      </w:r>
      <w:bookmarkEnd w:id="74"/>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75" w:name="_Toc201304204"/>
      <w:r>
        <w:rPr>
          <w:rStyle w:val="CharSectno"/>
        </w:rPr>
        <w:lastRenderedPageBreak/>
        <w:t>23</w:t>
      </w:r>
      <w:r>
        <w:t>.</w:t>
      </w:r>
      <w:r>
        <w:tab/>
        <w:t xml:space="preserve">Transitional provisions relating to </w:t>
      </w:r>
      <w:r>
        <w:rPr>
          <w:i/>
        </w:rPr>
        <w:t>Family Court Amendment Regulations 2012</w:t>
      </w:r>
      <w:bookmarkEnd w:id="75"/>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76" w:name="_Toc201304205"/>
      <w:r>
        <w:rPr>
          <w:rStyle w:val="CharSectno"/>
        </w:rPr>
        <w:t>24</w:t>
      </w:r>
      <w:r>
        <w:rPr>
          <w:rStyle w:val="CharSClsNo"/>
        </w:rPr>
        <w:t>.</w:t>
      </w:r>
      <w:r>
        <w:rPr>
          <w:rStyle w:val="CharSClsNo"/>
        </w:rPr>
        <w:tab/>
        <w:t xml:space="preserve">Transitional provisions relating to </w:t>
      </w:r>
      <w:r>
        <w:rPr>
          <w:i/>
        </w:rPr>
        <w:t>Family Court Amendment Regulations (No. 3) 2015</w:t>
      </w:r>
      <w:bookmarkEnd w:id="76"/>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lastRenderedPageBreak/>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7" w:name="_Toc201234604"/>
      <w:bookmarkStart w:id="78" w:name="_Toc201234660"/>
      <w:bookmarkStart w:id="79" w:name="_Toc201234715"/>
      <w:bookmarkStart w:id="80" w:name="_Toc201302189"/>
      <w:bookmarkStart w:id="81" w:name="_Toc201304206"/>
      <w:bookmarkStart w:id="82" w:name="_Toc201242653"/>
      <w:r>
        <w:rPr>
          <w:rStyle w:val="CharSchNo"/>
        </w:rPr>
        <w:lastRenderedPageBreak/>
        <w:t>Schedule 1</w:t>
      </w:r>
      <w:r>
        <w:t> — </w:t>
      </w:r>
      <w:r>
        <w:rPr>
          <w:rStyle w:val="CharSchText"/>
        </w:rPr>
        <w:t>Fees</w:t>
      </w:r>
      <w:bookmarkEnd w:id="77"/>
      <w:bookmarkEnd w:id="78"/>
      <w:bookmarkEnd w:id="79"/>
      <w:bookmarkEnd w:id="80"/>
      <w:bookmarkEnd w:id="81"/>
    </w:p>
    <w:p>
      <w:pPr>
        <w:pStyle w:val="yShoulderClause"/>
      </w:pPr>
      <w:r>
        <w:t>[Pt. 3]</w:t>
      </w:r>
    </w:p>
    <w:p>
      <w:pPr>
        <w:pStyle w:val="yFootnoteheading"/>
        <w:spacing w:before="160" w:after="60"/>
      </w:pPr>
      <w:r>
        <w:tab/>
        <w:t>[Heading inserted: SL 2025/99 r. 4.]</w:t>
      </w:r>
    </w:p>
    <w:tbl>
      <w:tblPr>
        <w:tblW w:w="69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79"/>
      </w:tblGrid>
      <w:tr>
        <w:trPr>
          <w:cantSplit/>
          <w:tblHeader/>
        </w:trPr>
        <w:tc>
          <w:tcPr>
            <w:tcW w:w="713" w:type="dxa"/>
            <w:noWrap/>
          </w:tcPr>
          <w:p>
            <w:pPr>
              <w:pStyle w:val="yTableNAm"/>
              <w:jc w:val="center"/>
              <w:rPr>
                <w:b/>
              </w:rPr>
            </w:pPr>
            <w:r>
              <w:rPr>
                <w:b/>
              </w:rPr>
              <w:t>Item</w:t>
            </w:r>
          </w:p>
        </w:tc>
        <w:tc>
          <w:tcPr>
            <w:tcW w:w="5402" w:type="dxa"/>
            <w:noWrap/>
          </w:tcPr>
          <w:p>
            <w:pPr>
              <w:pStyle w:val="yTableNAm"/>
              <w:jc w:val="center"/>
              <w:rPr>
                <w:b/>
              </w:rPr>
            </w:pPr>
            <w:r>
              <w:rPr>
                <w:b/>
              </w:rPr>
              <w:t>Document or service</w:t>
            </w:r>
          </w:p>
        </w:tc>
        <w:tc>
          <w:tcPr>
            <w:tcW w:w="879" w:type="dxa"/>
            <w:noWrap/>
          </w:tcPr>
          <w:p>
            <w:pPr>
              <w:pStyle w:val="yTableNAm"/>
              <w:jc w:val="center"/>
              <w:rPr>
                <w:b/>
              </w:rPr>
            </w:pPr>
            <w:r>
              <w:rPr>
                <w:b/>
              </w:rPr>
              <w:t>Fee</w:t>
            </w:r>
          </w:p>
        </w:tc>
      </w:tr>
      <w:tr>
        <w:trPr>
          <w:cantSplit/>
        </w:trPr>
        <w:tc>
          <w:tcPr>
            <w:tcW w:w="713" w:type="dxa"/>
            <w:noWrap/>
          </w:tcPr>
          <w:p>
            <w:pPr>
              <w:pStyle w:val="yTableNAm"/>
            </w:pPr>
            <w:r>
              <w:t>1.</w:t>
            </w:r>
          </w:p>
        </w:tc>
        <w:tc>
          <w:tcPr>
            <w:tcW w:w="5402" w:type="dxa"/>
            <w:noWrap/>
          </w:tcPr>
          <w:p>
            <w:pPr>
              <w:pStyle w:val="yTableNAm"/>
            </w:pPr>
            <w:r>
              <w:t>Filing an application for final orders in eligible financial or parenting proceedings</w:t>
            </w:r>
          </w:p>
        </w:tc>
        <w:tc>
          <w:tcPr>
            <w:tcW w:w="879" w:type="dxa"/>
            <w:noWrap/>
            <w:vAlign w:val="bottom"/>
          </w:tcPr>
          <w:p>
            <w:pPr>
              <w:pStyle w:val="yTableNAm"/>
              <w:jc w:val="right"/>
            </w:pPr>
            <w:r>
              <w:t>$435</w:t>
            </w:r>
          </w:p>
        </w:tc>
      </w:tr>
      <w:tr>
        <w:trPr>
          <w:cantSplit/>
          <w:trHeight w:val="467"/>
        </w:trPr>
        <w:tc>
          <w:tcPr>
            <w:tcW w:w="713" w:type="dxa"/>
            <w:vMerge w:val="restart"/>
            <w:noWrap/>
          </w:tcPr>
          <w:p>
            <w:pPr>
              <w:pStyle w:val="yTableNAm"/>
              <w:keepNext/>
            </w:pPr>
            <w:r>
              <w:t>2.</w:t>
            </w:r>
          </w:p>
        </w:tc>
        <w:tc>
          <w:tcPr>
            <w:tcW w:w="5402" w:type="dxa"/>
            <w:tcBorders>
              <w:bottom w:val="nil"/>
            </w:tcBorders>
            <w:noWrap/>
          </w:tcPr>
          <w:p>
            <w:pPr>
              <w:pStyle w:val="yTableNAm"/>
              <w:keepNext/>
            </w:pPr>
            <w:r>
              <w:t xml:space="preserve">Setting down for hearing in eligible financial or parenting proceedings, if defended, for final orders — </w:t>
            </w:r>
          </w:p>
        </w:tc>
        <w:tc>
          <w:tcPr>
            <w:tcW w:w="879" w:type="dxa"/>
            <w:tcBorders>
              <w:bottom w:val="nil"/>
            </w:tcBorders>
            <w:noWrap/>
            <w:vAlign w:val="bottom"/>
          </w:tcPr>
          <w:p>
            <w:pPr>
              <w:pStyle w:val="yTableNAm"/>
              <w:keepNext/>
              <w:jc w:val="right"/>
            </w:pPr>
          </w:p>
        </w:tc>
      </w:tr>
      <w:tr>
        <w:trPr>
          <w:cantSplit/>
          <w:trHeight w:val="227"/>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$1 070</w:t>
            </w:r>
          </w:p>
        </w:tc>
      </w:tr>
      <w:tr>
        <w:trPr>
          <w:cantSplit/>
          <w:trHeight w:val="283"/>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$790</w:t>
            </w:r>
          </w:p>
        </w:tc>
      </w:tr>
      <w:tr>
        <w:trPr>
          <w:cantSplit/>
          <w:trHeight w:val="553"/>
        </w:trPr>
        <w:tc>
          <w:tcPr>
            <w:tcW w:w="713" w:type="dxa"/>
            <w:vMerge w:val="restart"/>
            <w:noWrap/>
          </w:tcPr>
          <w:p>
            <w:pPr>
              <w:pStyle w:val="yTableNAm"/>
            </w:pPr>
            <w:r>
              <w:t>3.</w:t>
            </w:r>
          </w:p>
        </w:tc>
        <w:tc>
          <w:tcPr>
            <w:tcW w:w="5402"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79" w:type="dxa"/>
            <w:tcBorders>
              <w:bottom w:val="nil"/>
            </w:tcBorders>
            <w:noWrap/>
            <w:vAlign w:val="bottom"/>
          </w:tcPr>
          <w:p>
            <w:pPr>
              <w:pStyle w:val="yTableNAm"/>
              <w:jc w:val="right"/>
            </w:pPr>
          </w:p>
        </w:tc>
      </w:tr>
      <w:tr>
        <w:trPr>
          <w:cantSplit/>
          <w:trHeight w:val="340"/>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$1 070</w:t>
            </w:r>
          </w:p>
        </w:tc>
      </w:tr>
      <w:tr>
        <w:trPr>
          <w:cantSplit/>
          <w:trHeight w:val="397"/>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$790</w:t>
            </w:r>
          </w:p>
        </w:tc>
      </w:tr>
      <w:tr>
        <w:trPr>
          <w:cantSplit/>
        </w:trPr>
        <w:tc>
          <w:tcPr>
            <w:tcW w:w="713" w:type="dxa"/>
            <w:noWrap/>
          </w:tcPr>
          <w:p>
            <w:pPr>
              <w:pStyle w:val="yTableNAm"/>
            </w:pPr>
            <w:r>
              <w:t>4.</w:t>
            </w:r>
          </w:p>
        </w:tc>
        <w:tc>
          <w:tcPr>
            <w:tcW w:w="5402" w:type="dxa"/>
            <w:noWrap/>
          </w:tcPr>
          <w:p>
            <w:pPr>
              <w:pStyle w:val="yTableNAm"/>
            </w:pPr>
            <w:r>
              <w:t>Filing a response to an application for final orders in eligible financial or parenting proceedings</w:t>
            </w:r>
          </w:p>
        </w:tc>
        <w:tc>
          <w:tcPr>
            <w:tcW w:w="879" w:type="dxa"/>
            <w:noWrap/>
            <w:vAlign w:val="bottom"/>
          </w:tcPr>
          <w:p>
            <w:pPr>
              <w:pStyle w:val="yTableNAm"/>
              <w:jc w:val="right"/>
            </w:pPr>
            <w:r>
              <w:t>$435</w:t>
            </w:r>
          </w:p>
        </w:tc>
      </w:tr>
      <w:tr>
        <w:trPr>
          <w:cantSplit/>
        </w:trPr>
        <w:tc>
          <w:tcPr>
            <w:tcW w:w="713" w:type="dxa"/>
            <w:noWrap/>
          </w:tcPr>
          <w:p>
            <w:pPr>
              <w:pStyle w:val="yTableNAm"/>
            </w:pPr>
            <w:r>
              <w:t>5.</w:t>
            </w:r>
          </w:p>
        </w:tc>
        <w:tc>
          <w:tcPr>
            <w:tcW w:w="5402" w:type="dxa"/>
            <w:noWrap/>
          </w:tcPr>
          <w:p>
            <w:pPr>
              <w:pStyle w:val="yTableNAm"/>
            </w:pPr>
            <w:r>
              <w:t>Setting down for hearing in an appeal under section 211 from a decree of the Magistrates Court, unless the fee mentioned in item 12 has been paid</w:t>
            </w:r>
          </w:p>
        </w:tc>
        <w:tc>
          <w:tcPr>
            <w:tcW w:w="879" w:type="dxa"/>
            <w:noWrap/>
            <w:vAlign w:val="bottom"/>
          </w:tcPr>
          <w:p>
            <w:pPr>
              <w:pStyle w:val="yTableNAm"/>
              <w:jc w:val="right"/>
            </w:pPr>
            <w:r>
              <w:t>$1 070</w:t>
            </w:r>
          </w:p>
        </w:tc>
      </w:tr>
      <w:tr>
        <w:trPr>
          <w:cantSplit/>
        </w:trPr>
        <w:tc>
          <w:tcPr>
            <w:tcW w:w="713" w:type="dxa"/>
            <w:noWrap/>
          </w:tcPr>
          <w:p>
            <w:pPr>
              <w:pStyle w:val="yTableNAm"/>
            </w:pPr>
            <w:r>
              <w:t>6.</w:t>
            </w:r>
          </w:p>
        </w:tc>
        <w:tc>
          <w:tcPr>
            <w:tcW w:w="5402" w:type="dxa"/>
            <w:noWrap/>
          </w:tcPr>
          <w:p>
            <w:pPr>
              <w:pStyle w:val="yTableNAm"/>
            </w:pPr>
            <w:r>
              <w:t>Hearing in an appeal under section 211 from a decree of the Magistrates Court — for each hearing day, or part of a hearing day, excluding the first hearing day</w:t>
            </w:r>
          </w:p>
        </w:tc>
        <w:tc>
          <w:tcPr>
            <w:tcW w:w="879" w:type="dxa"/>
            <w:noWrap/>
            <w:vAlign w:val="bottom"/>
          </w:tcPr>
          <w:p>
            <w:pPr>
              <w:pStyle w:val="yTableNAm"/>
              <w:jc w:val="right"/>
            </w:pPr>
            <w:r>
              <w:t>$1 070</w:t>
            </w:r>
          </w:p>
        </w:tc>
      </w:tr>
      <w:tr>
        <w:trPr>
          <w:cantSplit/>
        </w:trPr>
        <w:tc>
          <w:tcPr>
            <w:tcW w:w="713" w:type="dxa"/>
            <w:noWrap/>
          </w:tcPr>
          <w:p>
            <w:pPr>
              <w:pStyle w:val="yTableNAm"/>
            </w:pPr>
            <w:r>
              <w:t>7.</w:t>
            </w:r>
          </w:p>
        </w:tc>
        <w:tc>
          <w:tcPr>
            <w:tcW w:w="5402" w:type="dxa"/>
            <w:noWrap/>
          </w:tcPr>
          <w:p>
            <w:pPr>
              <w:pStyle w:val="yTableNAm"/>
            </w:pPr>
            <w:r>
              <w:t>Filing an application for a consent order</w:t>
            </w:r>
          </w:p>
        </w:tc>
        <w:tc>
          <w:tcPr>
            <w:tcW w:w="879" w:type="dxa"/>
            <w:noWrap/>
            <w:vAlign w:val="bottom"/>
          </w:tcPr>
          <w:p>
            <w:pPr>
              <w:pStyle w:val="yTableNAm"/>
              <w:jc w:val="right"/>
            </w:pPr>
            <w:r>
              <w:t>$205</w:t>
            </w:r>
          </w:p>
        </w:tc>
      </w:tr>
      <w:tr>
        <w:trPr>
          <w:cantSplit/>
        </w:trPr>
        <w:tc>
          <w:tcPr>
            <w:tcW w:w="713" w:type="dxa"/>
            <w:noWrap/>
          </w:tcPr>
          <w:p>
            <w:pPr>
              <w:pStyle w:val="yTableNAm"/>
            </w:pPr>
            <w:r>
              <w:t>8.</w:t>
            </w:r>
          </w:p>
        </w:tc>
        <w:tc>
          <w:tcPr>
            <w:tcW w:w="5402" w:type="dxa"/>
            <w:noWrap/>
          </w:tcPr>
          <w:p>
            <w:pPr>
              <w:pStyle w:val="yTableNAm"/>
            </w:pPr>
            <w:r>
              <w:t>Filing an interim order application</w:t>
            </w:r>
          </w:p>
        </w:tc>
        <w:tc>
          <w:tcPr>
            <w:tcW w:w="879" w:type="dxa"/>
            <w:noWrap/>
            <w:vAlign w:val="bottom"/>
          </w:tcPr>
          <w:p>
            <w:pPr>
              <w:pStyle w:val="yTableNAm"/>
              <w:jc w:val="right"/>
            </w:pPr>
            <w:r>
              <w:t>$150</w:t>
            </w:r>
          </w:p>
        </w:tc>
      </w:tr>
      <w:tr>
        <w:trPr>
          <w:cantSplit/>
        </w:trPr>
        <w:tc>
          <w:tcPr>
            <w:tcW w:w="713" w:type="dxa"/>
            <w:noWrap/>
          </w:tcPr>
          <w:p>
            <w:pPr>
              <w:pStyle w:val="yTableNAm"/>
            </w:pPr>
            <w:r>
              <w:lastRenderedPageBreak/>
              <w:t>9.</w:t>
            </w:r>
          </w:p>
        </w:tc>
        <w:tc>
          <w:tcPr>
            <w:tcW w:w="5402" w:type="dxa"/>
            <w:noWrap/>
          </w:tcPr>
          <w:p>
            <w:pPr>
              <w:pStyle w:val="yTableNAm"/>
            </w:pPr>
            <w:r>
              <w:t>Filing an application for both a final order under Part 5 of the Act and a final order under Part 5A Division 2 or 3 of the Act (other than for an order for the maintenance of a party to a de facto relationship)</w:t>
            </w:r>
          </w:p>
        </w:tc>
        <w:tc>
          <w:tcPr>
            <w:tcW w:w="879" w:type="dxa"/>
            <w:noWrap/>
            <w:vAlign w:val="bottom"/>
          </w:tcPr>
          <w:p>
            <w:pPr>
              <w:pStyle w:val="yTableNAm"/>
              <w:jc w:val="right"/>
            </w:pPr>
            <w:r>
              <w:t>$710</w:t>
            </w:r>
          </w:p>
        </w:tc>
      </w:tr>
      <w:tr>
        <w:trPr>
          <w:cantSplit/>
        </w:trPr>
        <w:tc>
          <w:tcPr>
            <w:tcW w:w="713" w:type="dxa"/>
            <w:noWrap/>
          </w:tcPr>
          <w:p>
            <w:pPr>
              <w:pStyle w:val="yTableNAm"/>
            </w:pPr>
            <w:r>
              <w:t>10.</w:t>
            </w:r>
          </w:p>
        </w:tc>
        <w:tc>
          <w:tcPr>
            <w:tcW w:w="5402" w:type="dxa"/>
            <w:noWrap/>
          </w:tcPr>
          <w:p>
            <w:pPr>
              <w:pStyle w:val="yTableNAm"/>
            </w:pPr>
            <w:r>
              <w:t>For issuing a subpoena</w:t>
            </w:r>
          </w:p>
        </w:tc>
        <w:tc>
          <w:tcPr>
            <w:tcW w:w="879" w:type="dxa"/>
            <w:noWrap/>
            <w:vAlign w:val="bottom"/>
          </w:tcPr>
          <w:p>
            <w:pPr>
              <w:pStyle w:val="yTableNAm"/>
              <w:jc w:val="right"/>
            </w:pPr>
            <w:r>
              <w:t>$65</w:t>
            </w:r>
          </w:p>
        </w:tc>
      </w:tr>
      <w:tr>
        <w:trPr>
          <w:cantSplit/>
        </w:trPr>
        <w:tc>
          <w:tcPr>
            <w:tcW w:w="713" w:type="dxa"/>
            <w:noWrap/>
          </w:tcPr>
          <w:p>
            <w:pPr>
              <w:pStyle w:val="yTableNAm"/>
            </w:pPr>
            <w:r>
              <w:t>11.</w:t>
            </w:r>
          </w:p>
        </w:tc>
        <w:tc>
          <w:tcPr>
            <w:tcW w:w="5402" w:type="dxa"/>
            <w:noWrap/>
          </w:tcPr>
          <w:p>
            <w:pPr>
              <w:pStyle w:val="yTableNAm"/>
            </w:pPr>
            <w:r>
              <w:t>For a conciliation conference</w:t>
            </w:r>
          </w:p>
        </w:tc>
        <w:tc>
          <w:tcPr>
            <w:tcW w:w="879" w:type="dxa"/>
            <w:noWrap/>
            <w:vAlign w:val="bottom"/>
          </w:tcPr>
          <w:p>
            <w:pPr>
              <w:pStyle w:val="yTableNAm"/>
              <w:jc w:val="right"/>
            </w:pPr>
            <w:r>
              <w:t>$490</w:t>
            </w:r>
          </w:p>
        </w:tc>
      </w:tr>
      <w:tr>
        <w:trPr>
          <w:cantSplit/>
        </w:trPr>
        <w:tc>
          <w:tcPr>
            <w:tcW w:w="713" w:type="dxa"/>
            <w:noWrap/>
          </w:tcPr>
          <w:p>
            <w:pPr>
              <w:pStyle w:val="yTableNAm"/>
            </w:pPr>
            <w:r>
              <w:t>12.</w:t>
            </w:r>
          </w:p>
        </w:tc>
        <w:tc>
          <w:tcPr>
            <w:tcW w:w="5402" w:type="dxa"/>
            <w:noWrap/>
          </w:tcPr>
          <w:p>
            <w:pPr>
              <w:pStyle w:val="yTableNAm"/>
            </w:pPr>
            <w:r>
              <w:t>Filing an application for leave to appeal under section 211 from an interlocutory order of the Magistrates Court constituted by a family law magistrate</w:t>
            </w:r>
          </w:p>
        </w:tc>
        <w:tc>
          <w:tcPr>
            <w:tcW w:w="879" w:type="dxa"/>
            <w:noWrap/>
            <w:vAlign w:val="bottom"/>
          </w:tcPr>
          <w:p>
            <w:pPr>
              <w:pStyle w:val="yTableNAm"/>
              <w:jc w:val="right"/>
            </w:pPr>
            <w:r>
              <w:t>$1 705</w:t>
            </w:r>
          </w:p>
        </w:tc>
      </w:tr>
    </w:tbl>
    <w:p>
      <w:pPr>
        <w:pStyle w:val="yFootnotesection"/>
      </w:pPr>
      <w:r>
        <w:tab/>
        <w:t>[Schedule 1 inserted: SL 2025/99 r. 4.]</w:t>
      </w:r>
      <w:bookmarkEnd w:id="82"/>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84" w:name="_Toc201242654"/>
      <w:bookmarkStart w:id="85" w:name="_Toc201302190"/>
      <w:bookmarkStart w:id="86" w:name="_Toc201304207"/>
      <w:r>
        <w:lastRenderedPageBreak/>
        <w:t>Notes</w:t>
      </w:r>
      <w:bookmarkEnd w:id="84"/>
      <w:bookmarkEnd w:id="85"/>
      <w:bookmarkEnd w:id="86"/>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pPr>
        <w:pStyle w:val="nHeading3"/>
      </w:pPr>
      <w:bookmarkStart w:id="87" w:name="_Toc201304208"/>
      <w:r>
        <w:t>Compilation table</w:t>
      </w:r>
      <w:bookmarkEnd w:id="8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c>
          <w:tcPr>
            <w:tcW w:w="3118" w:type="dxa"/>
            <w:tcBorders>
              <w:top w:val="nil"/>
              <w:bottom w:val="nil"/>
            </w:tcBorders>
            <w:shd w:val="clear" w:color="auto" w:fill="auto"/>
          </w:tcPr>
          <w:p>
            <w:pPr>
              <w:pStyle w:val="nTable"/>
              <w:spacing w:after="40"/>
              <w:rPr>
                <w:i/>
              </w:rPr>
            </w:pPr>
            <w:r>
              <w:rPr>
                <w:i/>
              </w:rPr>
              <w:t>Family Court Amendment Regulations 2022</w:t>
            </w:r>
          </w:p>
        </w:tc>
        <w:tc>
          <w:tcPr>
            <w:tcW w:w="1276" w:type="dxa"/>
            <w:tcBorders>
              <w:top w:val="nil"/>
              <w:bottom w:val="nil"/>
            </w:tcBorders>
            <w:shd w:val="clear" w:color="auto" w:fill="auto"/>
          </w:tcPr>
          <w:p>
            <w:pPr>
              <w:pStyle w:val="nTable"/>
              <w:spacing w:after="40"/>
            </w:pPr>
            <w:r>
              <w:t>SL 2022/45 8 Apr 2022</w:t>
            </w:r>
          </w:p>
        </w:tc>
        <w:tc>
          <w:tcPr>
            <w:tcW w:w="2693" w:type="dxa"/>
            <w:tcBorders>
              <w:top w:val="nil"/>
              <w:bottom w:val="nil"/>
            </w:tcBorders>
            <w:shd w:val="clear" w:color="auto" w:fill="auto"/>
          </w:tcPr>
          <w:p>
            <w:pPr>
              <w:pStyle w:val="nTable"/>
              <w:spacing w:after="40"/>
            </w:pPr>
            <w:r>
              <w:t>r. 1 and 2: 8 Apr 2022 (see r. 2(a));</w:t>
            </w:r>
            <w:r>
              <w:br/>
              <w:t>Regulations other than r. 1 and 2: 9 Apr 2022 (see r. 2(b))</w:t>
            </w:r>
          </w:p>
        </w:tc>
      </w:tr>
      <w:tr>
        <w:tc>
          <w:tcPr>
            <w:tcW w:w="3118" w:type="dxa"/>
            <w:tcBorders>
              <w:top w:val="nil"/>
              <w:bottom w:val="nil"/>
            </w:tcBorders>
            <w:shd w:val="clear" w:color="auto" w:fill="auto"/>
          </w:tcPr>
          <w:p>
            <w:pPr>
              <w:pStyle w:val="nTable"/>
              <w:spacing w:after="40"/>
              <w:rPr>
                <w:i/>
              </w:rPr>
            </w:pPr>
            <w:r>
              <w:rPr>
                <w:i/>
              </w:rPr>
              <w:t>Family Court Amendment Regulations (No. 2) 2022</w:t>
            </w:r>
          </w:p>
        </w:tc>
        <w:tc>
          <w:tcPr>
            <w:tcW w:w="1276" w:type="dxa"/>
            <w:tcBorders>
              <w:top w:val="nil"/>
              <w:bottom w:val="nil"/>
            </w:tcBorders>
            <w:shd w:val="clear" w:color="auto" w:fill="auto"/>
          </w:tcPr>
          <w:p>
            <w:pPr>
              <w:pStyle w:val="nTable"/>
              <w:spacing w:after="40"/>
            </w:pPr>
            <w:r>
              <w:t>SL 2022/123 30 Jun 2022</w:t>
            </w:r>
          </w:p>
        </w:tc>
        <w:tc>
          <w:tcPr>
            <w:tcW w:w="2693" w:type="dxa"/>
            <w:tcBorders>
              <w:top w:val="nil"/>
              <w:bottom w:val="nil"/>
            </w:tcBorders>
            <w:shd w:val="clear" w:color="auto" w:fill="auto"/>
          </w:tcPr>
          <w:p>
            <w:pPr>
              <w:pStyle w:val="nTable"/>
              <w:spacing w:after="40"/>
            </w:pPr>
            <w:r>
              <w:t>r. 1 and 2: 30 Jun 2022 (see r. 2(a));</w:t>
            </w:r>
            <w:r>
              <w:br/>
              <w:t>Regulations other than r. 1 and 2: 1 Jul 2022 (see r. 2(b))</w:t>
            </w:r>
          </w:p>
        </w:tc>
      </w:tr>
      <w:tr>
        <w:tc>
          <w:tcPr>
            <w:tcW w:w="3118" w:type="dxa"/>
            <w:tcBorders>
              <w:top w:val="nil"/>
              <w:bottom w:val="nil"/>
            </w:tcBorders>
            <w:shd w:val="clear" w:color="auto" w:fill="auto"/>
          </w:tcPr>
          <w:p>
            <w:pPr>
              <w:pStyle w:val="nTable"/>
              <w:spacing w:after="40"/>
              <w:rPr>
                <w:i/>
              </w:rPr>
            </w:pPr>
            <w:r>
              <w:rPr>
                <w:i/>
              </w:rPr>
              <w:t>Family Court Amendment Regulations 2023</w:t>
            </w:r>
          </w:p>
        </w:tc>
        <w:tc>
          <w:tcPr>
            <w:tcW w:w="1276" w:type="dxa"/>
            <w:tcBorders>
              <w:top w:val="nil"/>
              <w:bottom w:val="nil"/>
            </w:tcBorders>
            <w:shd w:val="clear" w:color="auto" w:fill="auto"/>
          </w:tcPr>
          <w:p>
            <w:pPr>
              <w:pStyle w:val="nTable"/>
              <w:spacing w:after="40"/>
            </w:pPr>
            <w:r>
              <w:t>SL 2023/88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8" w:type="dxa"/>
            <w:tcBorders>
              <w:top w:val="nil"/>
              <w:bottom w:val="nil"/>
            </w:tcBorders>
            <w:shd w:val="clear" w:color="auto" w:fill="auto"/>
          </w:tcPr>
          <w:p>
            <w:pPr>
              <w:pStyle w:val="nTable"/>
              <w:spacing w:after="40"/>
              <w:rPr>
                <w:i/>
              </w:rPr>
            </w:pPr>
            <w:r>
              <w:rPr>
                <w:i/>
              </w:rPr>
              <w:lastRenderedPageBreak/>
              <w:t>Family Court Amendment Regulations 2024</w:t>
            </w:r>
          </w:p>
        </w:tc>
        <w:tc>
          <w:tcPr>
            <w:tcW w:w="1276" w:type="dxa"/>
            <w:tcBorders>
              <w:top w:val="nil"/>
              <w:bottom w:val="nil"/>
            </w:tcBorders>
            <w:shd w:val="clear" w:color="auto" w:fill="auto"/>
          </w:tcPr>
          <w:p>
            <w:pPr>
              <w:pStyle w:val="nTable"/>
              <w:spacing w:after="40"/>
            </w:pPr>
            <w:r>
              <w:t>SL 2024/140 26 Jun 2024</w:t>
            </w:r>
          </w:p>
        </w:tc>
        <w:tc>
          <w:tcPr>
            <w:tcW w:w="2693" w:type="dxa"/>
            <w:tcBorders>
              <w:top w:val="nil"/>
              <w:bottom w:val="nil"/>
            </w:tcBorders>
            <w:shd w:val="clear" w:color="auto" w:fill="auto"/>
          </w:tcPr>
          <w:p>
            <w:pPr>
              <w:pStyle w:val="nTable"/>
              <w:spacing w:after="40"/>
            </w:pPr>
            <w:r>
              <w:t>r. 1 and 2: 26 Jun 2024 (see r. 2(a));</w:t>
            </w:r>
            <w:r>
              <w:br/>
              <w:t>Regulations other than r. 1 and 2: 1 Jul 2024 (see r. 2(b))</w:t>
            </w:r>
          </w:p>
        </w:tc>
      </w:tr>
      <w:tr>
        <w:tc>
          <w:tcPr>
            <w:tcW w:w="3118" w:type="dxa"/>
            <w:tcBorders>
              <w:top w:val="nil"/>
              <w:bottom w:val="nil"/>
            </w:tcBorders>
            <w:shd w:val="clear" w:color="auto" w:fill="auto"/>
          </w:tcPr>
          <w:p>
            <w:pPr>
              <w:pStyle w:val="nTable"/>
              <w:spacing w:after="40"/>
              <w:rPr>
                <w:iCs/>
              </w:rPr>
            </w:pPr>
            <w:r>
              <w:rPr>
                <w:i/>
              </w:rPr>
              <w:t>Family Court Amendment Regulations 2025</w:t>
            </w:r>
          </w:p>
        </w:tc>
        <w:tc>
          <w:tcPr>
            <w:tcW w:w="1276" w:type="dxa"/>
            <w:tcBorders>
              <w:top w:val="nil"/>
              <w:bottom w:val="nil"/>
            </w:tcBorders>
            <w:shd w:val="clear" w:color="auto" w:fill="auto"/>
          </w:tcPr>
          <w:p>
            <w:pPr>
              <w:pStyle w:val="nTable"/>
              <w:spacing w:after="40"/>
            </w:pPr>
            <w:r>
              <w:t>SL 2025/16 22 Jan 2025</w:t>
            </w:r>
          </w:p>
        </w:tc>
        <w:tc>
          <w:tcPr>
            <w:tcW w:w="2693" w:type="dxa"/>
            <w:tcBorders>
              <w:top w:val="nil"/>
              <w:bottom w:val="nil"/>
            </w:tcBorders>
            <w:shd w:val="clear" w:color="auto" w:fill="auto"/>
          </w:tcPr>
          <w:p>
            <w:pPr>
              <w:pStyle w:val="nTable"/>
              <w:spacing w:after="40"/>
            </w:pPr>
            <w:r>
              <w:t>r. 1 and 2: 22 Jan 2025 (see r. 2(a));</w:t>
            </w:r>
            <w:r>
              <w:br/>
              <w:t>Regulations other than r. 1 and 2: 10 Feb 2025 (see r. 2(b))</w:t>
            </w:r>
          </w:p>
        </w:tc>
      </w:tr>
      <w:tr>
        <w:tc>
          <w:tcPr>
            <w:tcW w:w="3118" w:type="dxa"/>
            <w:tcBorders>
              <w:top w:val="nil"/>
              <w:bottom w:val="nil"/>
            </w:tcBorders>
            <w:shd w:val="clear" w:color="auto" w:fill="auto"/>
          </w:tcPr>
          <w:p>
            <w:pPr>
              <w:pStyle w:val="nTable"/>
              <w:spacing w:after="40"/>
              <w:rPr>
                <w:i/>
              </w:rPr>
            </w:pPr>
            <w:r>
              <w:rPr>
                <w:i/>
              </w:rPr>
              <w:t>Family Court Amendment Regulations (No. 2) 2025</w:t>
            </w:r>
          </w:p>
        </w:tc>
        <w:tc>
          <w:tcPr>
            <w:tcW w:w="1276" w:type="dxa"/>
            <w:tcBorders>
              <w:top w:val="nil"/>
              <w:bottom w:val="nil"/>
            </w:tcBorders>
            <w:shd w:val="clear" w:color="auto" w:fill="auto"/>
          </w:tcPr>
          <w:p>
            <w:pPr>
              <w:pStyle w:val="nTable"/>
              <w:spacing w:after="40"/>
            </w:pPr>
            <w:r>
              <w:t>SL 2025/63 30 Apr 2025</w:t>
            </w:r>
          </w:p>
        </w:tc>
        <w:tc>
          <w:tcPr>
            <w:tcW w:w="2693" w:type="dxa"/>
            <w:tcBorders>
              <w:top w:val="nil"/>
              <w:bottom w:val="nil"/>
            </w:tcBorders>
            <w:shd w:val="clear" w:color="auto" w:fill="auto"/>
          </w:tcPr>
          <w:p>
            <w:pPr>
              <w:pStyle w:val="nTable"/>
              <w:spacing w:after="40"/>
            </w:pPr>
            <w:r>
              <w:t>r. 1 and 2: 30 Apr 2025 (see r. 2(a));</w:t>
            </w:r>
            <w:r>
              <w:br/>
              <w:t>Regulations other than r. 1 and 2: 1 May 2025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
              </w:rPr>
            </w:pPr>
            <w:r>
              <w:rPr>
                <w:i/>
              </w:rPr>
              <w:t>Family Court Amendment Regulations (No. 3) 2025</w:t>
            </w:r>
          </w:p>
        </w:tc>
        <w:tc>
          <w:tcPr>
            <w:tcW w:w="1276" w:type="dxa"/>
            <w:tcBorders>
              <w:bottom w:val="single" w:sz="8" w:space="0" w:color="auto"/>
            </w:tcBorders>
            <w:shd w:val="clear" w:color="auto" w:fill="auto"/>
          </w:tcPr>
          <w:p>
            <w:pPr>
              <w:pStyle w:val="nTable"/>
              <w:spacing w:after="40"/>
            </w:pPr>
            <w:r>
              <w:t>SL 2025/99 25 Jun 2025</w:t>
            </w:r>
          </w:p>
        </w:tc>
        <w:tc>
          <w:tcPr>
            <w:tcW w:w="2693" w:type="dxa"/>
            <w:tcBorders>
              <w:bottom w:val="single" w:sz="8" w:space="0" w:color="auto"/>
            </w:tcBorders>
            <w:shd w:val="clear" w:color="auto" w:fill="auto"/>
          </w:tcPr>
          <w:p>
            <w:pPr>
              <w:pStyle w:val="nTable"/>
              <w:spacing w:after="40"/>
            </w:pPr>
            <w:r>
              <w:t>r. 1 and 2: 25 Jun 2025 (see r. 2(a));</w:t>
            </w:r>
            <w:r>
              <w:br/>
              <w:t>Regulations other than r. 1 and 2: 1 Jul 2025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89" w:name="_Toc201242656"/>
      <w:bookmarkStart w:id="90" w:name="_Toc201302192"/>
      <w:bookmarkStart w:id="91" w:name="_Toc201304209"/>
      <w:r>
        <w:rPr>
          <w:sz w:val="28"/>
        </w:rPr>
        <w:lastRenderedPageBreak/>
        <w:t>Defined terms</w:t>
      </w:r>
      <w:bookmarkEnd w:id="89"/>
      <w:bookmarkEnd w:id="90"/>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 24(1)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current fees</w:t>
      </w:r>
      <w:r>
        <w:tab/>
        <w:t>24(1)</w:t>
      </w:r>
    </w:p>
    <w:p>
      <w:pPr>
        <w:pStyle w:val="DefinedTerms"/>
      </w:pPr>
      <w:r>
        <w:t>eligible financial or parenting proceedings</w:t>
      </w:r>
      <w:r>
        <w:tab/>
        <w:t>18</w:t>
      </w:r>
    </w:p>
    <w:p>
      <w:pPr>
        <w:pStyle w:val="DefinedTerms"/>
      </w:pPr>
      <w:r>
        <w:t>equivalent action</w:t>
      </w:r>
      <w:r>
        <w:tab/>
        <w:t>6(1)</w:t>
      </w:r>
    </w:p>
    <w:p>
      <w:pPr>
        <w:pStyle w:val="DefinedTerms"/>
      </w:pPr>
      <w:r>
        <w:t>Family Law Regulations</w:t>
      </w:r>
      <w:r>
        <w:tab/>
        <w:t>3(1)</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liable person</w:t>
      </w:r>
      <w:r>
        <w:tab/>
        <w:t>18</w:t>
      </w:r>
    </w:p>
    <w:p>
      <w:pPr>
        <w:pStyle w:val="DefinedTerms"/>
      </w:pPr>
      <w:r>
        <w:t>old regulations</w:t>
      </w:r>
      <w:r>
        <w:tab/>
        <w:t>23(1)</w:t>
      </w:r>
    </w:p>
    <w:p>
      <w:pPr>
        <w:pStyle w:val="DefinedTerms"/>
      </w:pPr>
      <w:r>
        <w:t>refund period</w:t>
      </w:r>
      <w:r>
        <w:tab/>
        <w:t>24(1)</w:t>
      </w:r>
    </w:p>
    <w:p>
      <w:pPr>
        <w:pStyle w:val="DefinedTerms"/>
      </w:pPr>
      <w:r>
        <w:t>relevant court</w:t>
      </w:r>
      <w:r>
        <w:tab/>
        <w:t>18</w:t>
      </w:r>
    </w:p>
    <w:p>
      <w:pPr>
        <w:pStyle w:val="DefinedTerms"/>
      </w:pPr>
      <w:r>
        <w:t>section</w:t>
      </w:r>
      <w:r>
        <w:tab/>
        <w:t>3(1)</w:t>
      </w:r>
    </w:p>
    <w:p>
      <w:pPr>
        <w:pStyle w:val="DefinedTerms"/>
      </w:pPr>
      <w:r>
        <w:t>setting down fee</w:t>
      </w:r>
      <w:r>
        <w:tab/>
        <w:t>18</w:t>
      </w:r>
    </w:p>
    <w:p>
      <w:pPr>
        <w:pStyle w:val="DefinedTerms"/>
      </w:pPr>
      <w:r>
        <w:t>shared material</w:t>
      </w:r>
      <w:r>
        <w:tab/>
        <w:t>10C(1)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5D416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954B084" w14:textId="705B2C62" w:rsidR="002D40B9" w:rsidRDefault="009C335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134D1">
                        <w:rPr>
                          <w:sz w:val="16"/>
                        </w:rPr>
                        <w:t>2025</w:t>
                      </w:r>
                      <w:r>
                        <w:rPr>
                          <w:sz w:val="16"/>
                        </w:rPr>
                        <w:fldChar w:fldCharType="end"/>
                      </w:r>
                      <w:r>
                        <w:rPr>
                          <w:sz w:val="16"/>
                        </w:rPr>
                        <w:t>.</w:t>
                      </w:r>
                    </w:p>
                    <w:p w14:paraId="6104753E" w14:textId="77777777" w:rsidR="002D40B9" w:rsidRDefault="009C335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12BBB2" w14:textId="2E96F9A6" w:rsidR="002D40B9" w:rsidRDefault="009C335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134D1">
                        <w:rPr>
                          <w:sz w:val="16"/>
                        </w:rPr>
                        <w:t>2025</w:t>
                      </w:r>
                      <w:r>
                        <w:rPr>
                          <w:sz w:val="16"/>
                        </w:rPr>
                        <w:fldChar w:fldCharType="end"/>
                      </w:r>
                      <w:r>
                        <w:rPr>
                          <w:sz w:val="16"/>
                        </w:rPr>
                        <w:t>.</w:t>
                      </w:r>
                    </w:p>
                    <w:p w14:paraId="00B74BEC" w14:textId="77777777" w:rsidR="002D40B9" w:rsidRDefault="009C335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2" w:name="DefinedTerms"/>
    <w:bookmarkEnd w:id="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9162239"/>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 w:name="WAFER_2023062815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0611_GUID" w:val="9c238305-4f85-412b-94d7-a7e18e1897d4"/>
    <w:docVar w:name="WAFER_20231228113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042_GUID" w:val="cb39b53f-286c-47c3-ae3e-302ce91ee7a4"/>
    <w:docVar w:name="WAFER_20240625112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2755_GUID" w:val="0536caff-f2c2-48c9-8cf3-40d485511b28"/>
    <w:docVar w:name="WAFER_2025011615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50952_GUID" w:val="27eac5bb-6fc9-4782-b7c5-ab47b9be50ee"/>
    <w:docVar w:name="WAFER_202502040931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093126_GUID" w:val="d9ffccbd-188b-43aa-bad7-63e475657bbd"/>
    <w:docVar w:name="WAFER_2025020409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04093144_GUID" w:val="46621b9e-f805-402c-959f-7f6de1e441f3"/>
    <w:docVar w:name="WAFER_20250424134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4215_GUID" w:val="bcaf321a-f971-4c79-a182-8036f0a31255"/>
    <w:docVar w:name="WAFER_2025061916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62239_GUID" w:val="9c82d026-9bc1-47e6-950c-c99ef1750c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714A-D5E3-45E7-A786-CC29BE0C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7581</Words>
  <Characters>35939</Characters>
  <Application>Microsoft Office Word</Application>
  <DocSecurity>0</DocSecurity>
  <Lines>1123</Lines>
  <Paragraphs>725</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42795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1998 - 03-n0-00</dc:title>
  <dc:subject/>
  <dc:creator/>
  <cp:keywords/>
  <dc:description/>
  <cp:lastModifiedBy>Master Repository Process</cp:lastModifiedBy>
  <cp:revision>4</cp:revision>
  <cp:lastPrinted>2016-01-19T02:54:00Z</cp:lastPrinted>
  <dcterms:created xsi:type="dcterms:W3CDTF">2025-06-27T01:34:00Z</dcterms:created>
  <dcterms:modified xsi:type="dcterms:W3CDTF">2025-06-27T01:35:00Z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AsAtDate">
    <vt:lpwstr>01 Jul 2025</vt:lpwstr>
  </property>
  <property fmtid="{D5CDD505-2E9C-101B-9397-08002B2CF9AE}" pid="8" name="Suffix">
    <vt:lpwstr>03-n0-00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