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Animal Welfare (Poultry)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(Poultry)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_Toc201673608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_Toc201673609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_Toc201673610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Appropriateness of thing or area for poultry</w:t>
      </w:r>
      <w:r>
        <w:tab/>
      </w:r>
      <w:r>
        <w:fldChar w:fldCharType="begin"/>
      </w:r>
      <w:r>
        <w:instrText xml:space="preserve"> PAGEREF _Toc201673611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Cage requirements in laying sheds during Part 2 operative period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Application of Part</w:t>
      </w:r>
      <w:r>
        <w:tab/>
      </w:r>
      <w:r>
        <w:fldChar w:fldCharType="begin"/>
      </w:r>
      <w:r>
        <w:instrText xml:space="preserve"> PAGEREF _Toc201673614 \h </w:instrText>
      </w:r>
      <w:r>
        <w:fldChar w:fldCharType="separate"/>
      </w:r>
      <w:r>
        <w:t>5</w:t>
      </w:r>
      <w:r>
        <w:fldChar w:fldCharType="end"/>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_Toc201673615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Cage design and construction</w:t>
      </w:r>
    </w:p>
    <w:p>
      <w:pPr>
        <w:pStyle w:val="TOC6"/>
        <w:tabs>
          <w:tab w:val="right" w:leader="dot" w:pos="7077"/>
        </w:tabs>
        <w:rPr>
          <w:rFonts w:asciiTheme="minorHAnsi" w:eastAsiaTheme="minorEastAsia" w:hAnsiTheme="minorHAnsi" w:cstheme="minorBidi"/>
          <w:b w:val="0"/>
          <w:sz w:val="22"/>
          <w:szCs w:val="22"/>
        </w:rPr>
      </w:pPr>
      <w:r>
        <w:t>Subdivision 1 — Offence</w:t>
      </w:r>
    </w:p>
    <w:p>
      <w:pPr>
        <w:pStyle w:val="TOC8"/>
        <w:rPr>
          <w:rFonts w:asciiTheme="minorHAnsi" w:eastAsiaTheme="minorEastAsia" w:hAnsiTheme="minorHAnsi" w:cstheme="minorBidi"/>
          <w:szCs w:val="22"/>
        </w:rPr>
      </w:pPr>
      <w:r>
        <w:t>7.</w:t>
      </w:r>
      <w:r>
        <w:tab/>
        <w:t>Non</w:t>
      </w:r>
      <w:r>
        <w:noBreakHyphen/>
        <w:t>compliant cages prohibited in laying sheds</w:t>
      </w:r>
      <w:r>
        <w:tab/>
      </w:r>
      <w:r>
        <w:fldChar w:fldCharType="begin"/>
      </w:r>
      <w:r>
        <w:instrText xml:space="preserve"> PAGEREF _Toc201673618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cage design and construction</w:t>
      </w:r>
    </w:p>
    <w:p>
      <w:pPr>
        <w:pStyle w:val="TOC8"/>
        <w:rPr>
          <w:rFonts w:asciiTheme="minorHAnsi" w:eastAsiaTheme="minorEastAsia" w:hAnsiTheme="minorHAnsi" w:cstheme="minorBidi"/>
          <w:szCs w:val="22"/>
        </w:rPr>
      </w:pPr>
      <w:r>
        <w:t>8.</w:t>
      </w:r>
      <w:r>
        <w:tab/>
        <w:t>Water and food troughs</w:t>
      </w:r>
      <w:r>
        <w:tab/>
      </w:r>
      <w:r>
        <w:fldChar w:fldCharType="begin"/>
      </w:r>
      <w:r>
        <w:instrText xml:space="preserve"> PAGEREF _Toc201673620 \h </w:instrText>
      </w:r>
      <w:r>
        <w:fldChar w:fldCharType="separate"/>
      </w:r>
      <w:r>
        <w:t>6</w:t>
      </w:r>
      <w:r>
        <w:fldChar w:fldCharType="end"/>
      </w:r>
    </w:p>
    <w:p>
      <w:pPr>
        <w:pStyle w:val="TOC8"/>
        <w:rPr>
          <w:rFonts w:asciiTheme="minorHAnsi" w:eastAsiaTheme="minorEastAsia" w:hAnsiTheme="minorHAnsi" w:cstheme="minorBidi"/>
          <w:szCs w:val="22"/>
        </w:rPr>
      </w:pPr>
      <w:r>
        <w:t>9.</w:t>
      </w:r>
      <w:r>
        <w:tab/>
        <w:t>Floor support</w:t>
      </w:r>
      <w:r>
        <w:tab/>
      </w:r>
      <w:r>
        <w:fldChar w:fldCharType="begin"/>
      </w:r>
      <w:r>
        <w:instrText xml:space="preserve"> PAGEREF _Toc201673621 \h </w:instrText>
      </w:r>
      <w:r>
        <w:fldChar w:fldCharType="separate"/>
      </w:r>
      <w:r>
        <w:t>7</w:t>
      </w:r>
      <w:r>
        <w:fldChar w:fldCharType="end"/>
      </w:r>
    </w:p>
    <w:p>
      <w:pPr>
        <w:pStyle w:val="TOC8"/>
        <w:rPr>
          <w:rFonts w:asciiTheme="minorHAnsi" w:eastAsiaTheme="minorEastAsia" w:hAnsiTheme="minorHAnsi" w:cstheme="minorBidi"/>
          <w:szCs w:val="22"/>
        </w:rPr>
      </w:pPr>
      <w:r>
        <w:t>10.</w:t>
      </w:r>
      <w:r>
        <w:tab/>
        <w:t>Cage height</w:t>
      </w:r>
      <w:r>
        <w:tab/>
      </w:r>
      <w:r>
        <w:fldChar w:fldCharType="begin"/>
      </w:r>
      <w:r>
        <w:instrText xml:space="preserve"> PAGEREF _Toc201673622 \h </w:instrText>
      </w:r>
      <w:r>
        <w:fldChar w:fldCharType="separate"/>
      </w:r>
      <w:r>
        <w:t>7</w:t>
      </w:r>
      <w:r>
        <w:fldChar w:fldCharType="end"/>
      </w:r>
    </w:p>
    <w:p>
      <w:pPr>
        <w:pStyle w:val="TOC8"/>
        <w:rPr>
          <w:rFonts w:asciiTheme="minorHAnsi" w:eastAsiaTheme="minorEastAsia" w:hAnsiTheme="minorHAnsi" w:cstheme="minorBidi"/>
          <w:szCs w:val="22"/>
        </w:rPr>
      </w:pPr>
      <w:r>
        <w:t>11.</w:t>
      </w:r>
      <w:r>
        <w:tab/>
        <w:t>Cage doors</w:t>
      </w:r>
      <w:r>
        <w:tab/>
      </w:r>
      <w:r>
        <w:fldChar w:fldCharType="begin"/>
      </w:r>
      <w:r>
        <w:instrText xml:space="preserve"> PAGEREF _Toc201673623 \h </w:instrText>
      </w:r>
      <w:r>
        <w:fldChar w:fldCharType="separate"/>
      </w:r>
      <w:r>
        <w:t>7</w:t>
      </w:r>
      <w:r>
        <w:fldChar w:fldCharType="end"/>
      </w:r>
    </w:p>
    <w:p>
      <w:pPr>
        <w:pStyle w:val="TOC8"/>
        <w:rPr>
          <w:rFonts w:asciiTheme="minorHAnsi" w:eastAsiaTheme="minorEastAsia" w:hAnsiTheme="minorHAnsi" w:cstheme="minorBidi"/>
          <w:szCs w:val="22"/>
        </w:rPr>
      </w:pPr>
      <w:r>
        <w:t>12.</w:t>
      </w:r>
      <w:r>
        <w:tab/>
        <w:t>Cages arranged in tiers</w:t>
      </w:r>
      <w:r>
        <w:tab/>
      </w:r>
      <w:r>
        <w:fldChar w:fldCharType="begin"/>
      </w:r>
      <w:r>
        <w:instrText xml:space="preserve"> PAGEREF _Toc201673624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Stocking densities</w:t>
      </w:r>
    </w:p>
    <w:p>
      <w:pPr>
        <w:pStyle w:val="TOC8"/>
        <w:rPr>
          <w:rFonts w:asciiTheme="minorHAnsi" w:eastAsiaTheme="minorEastAsia" w:hAnsiTheme="minorHAnsi" w:cstheme="minorBidi"/>
          <w:szCs w:val="22"/>
        </w:rPr>
      </w:pPr>
      <w:r>
        <w:t>13.</w:t>
      </w:r>
      <w:r>
        <w:tab/>
        <w:t>Cages in laying sheds must have minimum floor area</w:t>
      </w:r>
      <w:r>
        <w:tab/>
      </w:r>
      <w:r>
        <w:fldChar w:fldCharType="begin"/>
      </w:r>
      <w:r>
        <w:instrText xml:space="preserve"> PAGEREF _Toc201673626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Cage requirements for commercial poultry production in sheds</w:t>
      </w:r>
    </w:p>
    <w:p>
      <w:pPr>
        <w:pStyle w:val="TOC8"/>
        <w:rPr>
          <w:rFonts w:asciiTheme="minorHAnsi" w:eastAsiaTheme="minorEastAsia" w:hAnsiTheme="minorHAnsi" w:cstheme="minorBidi"/>
          <w:szCs w:val="22"/>
        </w:rPr>
      </w:pPr>
      <w:r>
        <w:t>14.</w:t>
      </w:r>
      <w:r>
        <w:tab/>
        <w:t>Application of Part</w:t>
      </w:r>
      <w:r>
        <w:tab/>
      </w:r>
      <w:r>
        <w:fldChar w:fldCharType="begin"/>
      </w:r>
      <w:r>
        <w:instrText xml:space="preserve"> PAGEREF _Toc201673628 \h </w:instrText>
      </w:r>
      <w:r>
        <w:fldChar w:fldCharType="separate"/>
      </w:r>
      <w:r>
        <w:t>9</w:t>
      </w:r>
      <w:r>
        <w:fldChar w:fldCharType="end"/>
      </w:r>
    </w:p>
    <w:p>
      <w:pPr>
        <w:pStyle w:val="TOC8"/>
        <w:rPr>
          <w:rFonts w:asciiTheme="minorHAnsi" w:eastAsiaTheme="minorEastAsia" w:hAnsiTheme="minorHAnsi" w:cstheme="minorBidi"/>
          <w:szCs w:val="22"/>
        </w:rPr>
      </w:pPr>
      <w:r>
        <w:t>15.</w:t>
      </w:r>
      <w:r>
        <w:tab/>
        <w:t>Cages to have adequate space</w:t>
      </w:r>
      <w:r>
        <w:tab/>
      </w:r>
      <w:r>
        <w:fldChar w:fldCharType="begin"/>
      </w:r>
      <w:r>
        <w:instrText xml:space="preserve"> PAGEREF _Toc201673629 \h </w:instrText>
      </w:r>
      <w:r>
        <w:fldChar w:fldCharType="separate"/>
      </w:r>
      <w:r>
        <w:t>9</w:t>
      </w:r>
      <w:r>
        <w:fldChar w:fldCharType="end"/>
      </w:r>
    </w:p>
    <w:p>
      <w:pPr>
        <w:pStyle w:val="TOC8"/>
        <w:rPr>
          <w:rFonts w:asciiTheme="minorHAnsi" w:eastAsiaTheme="minorEastAsia" w:hAnsiTheme="minorHAnsi" w:cstheme="minorBidi"/>
          <w:szCs w:val="22"/>
        </w:rPr>
      </w:pPr>
      <w:r>
        <w:t>16.</w:t>
      </w:r>
      <w:r>
        <w:tab/>
        <w:t>Laying hens to have access to adequate nest areas from point of lay</w:t>
      </w:r>
      <w:r>
        <w:tab/>
      </w:r>
      <w:r>
        <w:fldChar w:fldCharType="begin"/>
      </w:r>
      <w:r>
        <w:instrText xml:space="preserve"> PAGEREF _Toc201673630 \h </w:instrText>
      </w:r>
      <w:r>
        <w:fldChar w:fldCharType="separate"/>
      </w:r>
      <w:r>
        <w:t>10</w:t>
      </w:r>
      <w:r>
        <w:fldChar w:fldCharType="end"/>
      </w:r>
    </w:p>
    <w:p>
      <w:pPr>
        <w:pStyle w:val="TOC8"/>
        <w:rPr>
          <w:rFonts w:asciiTheme="minorHAnsi" w:eastAsiaTheme="minorEastAsia" w:hAnsiTheme="minorHAnsi" w:cstheme="minorBidi"/>
          <w:szCs w:val="22"/>
        </w:rPr>
      </w:pPr>
      <w:r>
        <w:t>17.</w:t>
      </w:r>
      <w:r>
        <w:tab/>
        <w:t>Laying hens to have access to adequate perches or platforms</w:t>
      </w:r>
      <w:r>
        <w:tab/>
      </w:r>
      <w:r>
        <w:fldChar w:fldCharType="begin"/>
      </w:r>
      <w:r>
        <w:instrText xml:space="preserve"> PAGEREF _Toc201673631 \h </w:instrText>
      </w:r>
      <w:r>
        <w:fldChar w:fldCharType="separate"/>
      </w:r>
      <w:r>
        <w:t>10</w:t>
      </w:r>
      <w:r>
        <w:fldChar w:fldCharType="end"/>
      </w:r>
    </w:p>
    <w:p>
      <w:pPr>
        <w:pStyle w:val="TOC8"/>
        <w:rPr>
          <w:rFonts w:asciiTheme="minorHAnsi" w:eastAsiaTheme="minorEastAsia" w:hAnsiTheme="minorHAnsi" w:cstheme="minorBidi"/>
          <w:szCs w:val="22"/>
        </w:rPr>
      </w:pPr>
      <w:r>
        <w:t>18.</w:t>
      </w:r>
      <w:r>
        <w:tab/>
        <w:t>Laying hens to have access to areas for scratching or foraging</w:t>
      </w:r>
      <w:r>
        <w:tab/>
      </w:r>
      <w:r>
        <w:fldChar w:fldCharType="begin"/>
      </w:r>
      <w:r>
        <w:instrText xml:space="preserve"> PAGEREF _Toc201673632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ducks</w:t>
      </w:r>
    </w:p>
    <w:p>
      <w:pPr>
        <w:pStyle w:val="TOC8"/>
        <w:rPr>
          <w:rFonts w:asciiTheme="minorHAnsi" w:eastAsiaTheme="minorEastAsia" w:hAnsiTheme="minorHAnsi" w:cstheme="minorBidi"/>
          <w:szCs w:val="22"/>
        </w:rPr>
      </w:pPr>
      <w:r>
        <w:t>19.</w:t>
      </w:r>
      <w:r>
        <w:tab/>
        <w:t>Breeding ducks to have access to water</w:t>
      </w:r>
      <w:r>
        <w:tab/>
      </w:r>
      <w:r>
        <w:fldChar w:fldCharType="begin"/>
      </w:r>
      <w:r>
        <w:instrText xml:space="preserve"> PAGEREF _Toc201673634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Poultry standards</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_Toc201673636 \h </w:instrText>
      </w:r>
      <w:r>
        <w:fldChar w:fldCharType="separate"/>
      </w:r>
      <w:r>
        <w:t>13</w:t>
      </w:r>
      <w:r>
        <w:fldChar w:fldCharType="end"/>
      </w:r>
    </w:p>
    <w:p>
      <w:pPr>
        <w:pStyle w:val="TOC8"/>
        <w:rPr>
          <w:rFonts w:asciiTheme="minorHAnsi" w:eastAsiaTheme="minorEastAsia" w:hAnsiTheme="minorHAnsi" w:cstheme="minorBidi"/>
          <w:szCs w:val="22"/>
        </w:rPr>
      </w:pPr>
      <w:r>
        <w:t>21.</w:t>
      </w:r>
      <w:r>
        <w:tab/>
        <w:t>Indoor housing systems for poultry to have appropriate firefighting equipment</w:t>
      </w:r>
      <w:r>
        <w:tab/>
      </w:r>
      <w:r>
        <w:fldChar w:fldCharType="begin"/>
      </w:r>
      <w:r>
        <w:instrText xml:space="preserve"> PAGEREF _Toc201673637 \h </w:instrText>
      </w:r>
      <w:r>
        <w:fldChar w:fldCharType="separate"/>
      </w:r>
      <w:r>
        <w:t>13</w:t>
      </w:r>
      <w:r>
        <w:fldChar w:fldCharType="end"/>
      </w:r>
    </w:p>
    <w:p>
      <w:pPr>
        <w:pStyle w:val="TOC8"/>
        <w:rPr>
          <w:rFonts w:asciiTheme="minorHAnsi" w:eastAsiaTheme="minorEastAsia" w:hAnsiTheme="minorHAnsi" w:cstheme="minorBidi"/>
          <w:szCs w:val="22"/>
        </w:rPr>
      </w:pPr>
      <w:r>
        <w:t>22.</w:t>
      </w:r>
      <w:r>
        <w:tab/>
        <w:t>Captive poultry to have access to appropriate substrate</w:t>
      </w:r>
      <w:r>
        <w:tab/>
      </w:r>
      <w:r>
        <w:fldChar w:fldCharType="begin"/>
      </w:r>
      <w:r>
        <w:instrText xml:space="preserve"> PAGEREF _Toc201673638 \h </w:instrText>
      </w:r>
      <w:r>
        <w:fldChar w:fldCharType="separate"/>
      </w:r>
      <w:r>
        <w:t>13</w:t>
      </w:r>
      <w:r>
        <w:fldChar w:fldCharType="end"/>
      </w:r>
    </w:p>
    <w:p>
      <w:pPr>
        <w:pStyle w:val="TOC8"/>
        <w:rPr>
          <w:rFonts w:asciiTheme="minorHAnsi" w:eastAsiaTheme="minorEastAsia" w:hAnsiTheme="minorHAnsi" w:cstheme="minorBidi"/>
          <w:szCs w:val="22"/>
        </w:rPr>
      </w:pPr>
      <w:r>
        <w:t>23.</w:t>
      </w:r>
      <w:r>
        <w:tab/>
        <w:t>Requirements for outside areas for captive poultry</w:t>
      </w:r>
      <w:r>
        <w:tab/>
      </w:r>
      <w:r>
        <w:fldChar w:fldCharType="begin"/>
      </w:r>
      <w:r>
        <w:instrText xml:space="preserve"> PAGEREF _Toc201673639 \h </w:instrText>
      </w:r>
      <w:r>
        <w:fldChar w:fldCharType="separate"/>
      </w:r>
      <w:r>
        <w:t>13</w:t>
      </w:r>
      <w:r>
        <w:fldChar w:fldCharType="end"/>
      </w:r>
    </w:p>
    <w:p>
      <w:pPr>
        <w:pStyle w:val="TOC8"/>
        <w:rPr>
          <w:rFonts w:asciiTheme="minorHAnsi" w:eastAsiaTheme="minorEastAsia" w:hAnsiTheme="minorHAnsi" w:cstheme="minorBidi"/>
          <w:szCs w:val="22"/>
        </w:rPr>
      </w:pPr>
      <w:r>
        <w:t>24.</w:t>
      </w:r>
      <w:r>
        <w:tab/>
        <w:t>Light requirements</w:t>
      </w:r>
      <w:r>
        <w:tab/>
      </w:r>
      <w:r>
        <w:fldChar w:fldCharType="begin"/>
      </w:r>
      <w:r>
        <w:instrText xml:space="preserve"> PAGEREF _Toc201673640 \h </w:instrText>
      </w:r>
      <w:r>
        <w:fldChar w:fldCharType="separate"/>
      </w:r>
      <w:r>
        <w:t>14</w:t>
      </w:r>
      <w:r>
        <w:fldChar w:fldCharType="end"/>
      </w:r>
    </w:p>
    <w:p>
      <w:pPr>
        <w:pStyle w:val="TOC8"/>
        <w:rPr>
          <w:rFonts w:asciiTheme="minorHAnsi" w:eastAsiaTheme="minorEastAsia" w:hAnsiTheme="minorHAnsi" w:cstheme="minorBidi"/>
          <w:szCs w:val="22"/>
        </w:rPr>
      </w:pPr>
      <w:r>
        <w:t>25.</w:t>
      </w:r>
      <w:r>
        <w:tab/>
        <w:t>Darkness requirements</w:t>
      </w:r>
      <w:r>
        <w:tab/>
      </w:r>
      <w:r>
        <w:fldChar w:fldCharType="begin"/>
      </w:r>
      <w:r>
        <w:instrText xml:space="preserve"> PAGEREF _Toc201673641 \h </w:instrText>
      </w:r>
      <w:r>
        <w:fldChar w:fldCharType="separate"/>
      </w:r>
      <w:r>
        <w:t>15</w:t>
      </w:r>
      <w:r>
        <w:fldChar w:fldCharType="end"/>
      </w:r>
    </w:p>
    <w:p>
      <w:pPr>
        <w:pStyle w:val="TOC8"/>
        <w:rPr>
          <w:rFonts w:asciiTheme="minorHAnsi" w:eastAsiaTheme="minorEastAsia" w:hAnsiTheme="minorHAnsi" w:cstheme="minorBidi"/>
          <w:szCs w:val="22"/>
        </w:rPr>
      </w:pPr>
      <w:r>
        <w:t>26.</w:t>
      </w:r>
      <w:r>
        <w:tab/>
        <w:t>Limits on ammonia levels in commercial poultry production</w:t>
      </w:r>
      <w:r>
        <w:tab/>
      </w:r>
      <w:r>
        <w:fldChar w:fldCharType="begin"/>
      </w:r>
      <w:r>
        <w:instrText xml:space="preserve"> PAGEREF _Toc201673642 \h </w:instrText>
      </w:r>
      <w:r>
        <w:fldChar w:fldCharType="separate"/>
      </w:r>
      <w:r>
        <w:t>17</w:t>
      </w:r>
      <w:r>
        <w:fldChar w:fldCharType="end"/>
      </w:r>
    </w:p>
    <w:p>
      <w:pPr>
        <w:pStyle w:val="TOC8"/>
        <w:rPr>
          <w:rFonts w:asciiTheme="minorHAnsi" w:eastAsiaTheme="minorEastAsia" w:hAnsiTheme="minorHAnsi" w:cstheme="minorBidi"/>
          <w:szCs w:val="22"/>
        </w:rPr>
      </w:pPr>
      <w:r>
        <w:t>27.</w:t>
      </w:r>
      <w:r>
        <w:tab/>
        <w:t>Beak trimming</w:t>
      </w:r>
      <w:r>
        <w:tab/>
      </w:r>
      <w:r>
        <w:fldChar w:fldCharType="begin"/>
      </w:r>
      <w:r>
        <w:instrText xml:space="preserve"> PAGEREF _Toc201673643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Defences to offences</w:t>
      </w:r>
    </w:p>
    <w:p>
      <w:pPr>
        <w:pStyle w:val="TOC8"/>
        <w:rPr>
          <w:rFonts w:asciiTheme="minorHAnsi" w:eastAsiaTheme="minorEastAsia" w:hAnsiTheme="minorHAnsi" w:cstheme="minorBidi"/>
          <w:szCs w:val="22"/>
        </w:rPr>
      </w:pPr>
      <w:r>
        <w:t>28.</w:t>
      </w:r>
      <w:r>
        <w:tab/>
        <w:t>Use of poultry under licence for scientific purposes</w:t>
      </w:r>
      <w:r>
        <w:tab/>
      </w:r>
      <w:r>
        <w:fldChar w:fldCharType="begin"/>
      </w:r>
      <w:r>
        <w:instrText xml:space="preserve"> PAGEREF _Toc201673645 \h </w:instrText>
      </w:r>
      <w:r>
        <w:fldChar w:fldCharType="separate"/>
      </w:r>
      <w:r>
        <w:t>20</w:t>
      </w:r>
      <w:r>
        <w:fldChar w:fldCharType="end"/>
      </w:r>
    </w:p>
    <w:p>
      <w:pPr>
        <w:pStyle w:val="TOC8"/>
        <w:rPr>
          <w:rFonts w:asciiTheme="minorHAnsi" w:eastAsiaTheme="minorEastAsia" w:hAnsiTheme="minorHAnsi" w:cstheme="minorBidi"/>
          <w:szCs w:val="22"/>
        </w:rPr>
      </w:pPr>
      <w:r>
        <w:t>29.</w:t>
      </w:r>
      <w:r>
        <w:tab/>
        <w:t>Person responsible not in actual control of poultry</w:t>
      </w:r>
      <w:r>
        <w:tab/>
      </w:r>
      <w:r>
        <w:fldChar w:fldCharType="begin"/>
      </w:r>
      <w:r>
        <w:instrText xml:space="preserve"> PAGEREF _Toc201673646 \h </w:instrText>
      </w:r>
      <w:r>
        <w:fldChar w:fldCharType="separate"/>
      </w:r>
      <w:r>
        <w:t>20</w:t>
      </w:r>
      <w:r>
        <w:fldChar w:fldCharType="end"/>
      </w:r>
    </w:p>
    <w:p>
      <w:pPr>
        <w:pStyle w:val="TOC8"/>
        <w:rPr>
          <w:rFonts w:asciiTheme="minorHAnsi" w:eastAsiaTheme="minorEastAsia" w:hAnsiTheme="minorHAnsi" w:cstheme="minorBidi"/>
          <w:szCs w:val="22"/>
        </w:rPr>
      </w:pPr>
      <w:r>
        <w:t>30.</w:t>
      </w:r>
      <w:r>
        <w:tab/>
        <w:t>Offence against Parts 2 and 3 during particular periods</w:t>
      </w:r>
      <w:r>
        <w:tab/>
      </w:r>
      <w:r>
        <w:fldChar w:fldCharType="begin"/>
      </w:r>
      <w:r>
        <w:instrText xml:space="preserve"> PAGEREF _Toc201673647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Repeal</w:t>
      </w:r>
    </w:p>
    <w:p>
      <w:pPr>
        <w:pStyle w:val="TOC8"/>
        <w:rPr>
          <w:rFonts w:asciiTheme="minorHAnsi" w:eastAsiaTheme="minorEastAsia" w:hAnsiTheme="minorHAnsi" w:cstheme="minorBidi"/>
          <w:szCs w:val="22"/>
        </w:rPr>
      </w:pPr>
      <w:r>
        <w:t>31.</w:t>
      </w:r>
      <w:r>
        <w:tab/>
        <w:t>Regulations repealed</w:t>
      </w:r>
      <w:r>
        <w:tab/>
      </w:r>
      <w:r>
        <w:fldChar w:fldCharType="begin"/>
      </w:r>
      <w:r>
        <w:instrText xml:space="preserve"> PAGEREF _Toc201673649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_Toc201673651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(Poultry) Regulations 2024</w:t>
      </w:r>
    </w:p>
    <w:p>
      <w:pPr>
        <w:pStyle w:val="Heading2"/>
        <w:pageBreakBefore w:val="0"/>
        <w:spacing w:before="360"/>
      </w:pPr>
      <w:bookmarkStart w:id="2" w:name="_Toc184300710"/>
      <w:bookmarkStart w:id="3" w:name="_Toc184300814"/>
      <w:bookmarkStart w:id="4" w:name="_Toc184301002"/>
      <w:bookmarkStart w:id="5" w:name="_Toc184647966"/>
      <w:bookmarkStart w:id="6" w:name="_Toc184648078"/>
      <w:bookmarkStart w:id="7" w:name="_Toc184649268"/>
      <w:bookmarkStart w:id="8" w:name="_Toc201671183"/>
      <w:bookmarkStart w:id="9" w:name="_Toc2016736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84300711"/>
      <w:bookmarkStart w:id="11" w:name="_Toc201673608"/>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Animal Welfare (Poultry) Regulations 2024</w:t>
      </w:r>
      <w:r>
        <w:t>.</w:t>
      </w:r>
    </w:p>
    <w:p>
      <w:pPr>
        <w:pStyle w:val="Heading5"/>
        <w:rPr>
          <w:spacing w:val="-2"/>
        </w:rPr>
      </w:pPr>
      <w:bookmarkStart w:id="13" w:name="_Toc184300712"/>
      <w:bookmarkStart w:id="14" w:name="_Toc20167360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bookmarkStart w:id="15" w:name="_Hlk184646713"/>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6" w:name="_Toc184300713"/>
      <w:bookmarkStart w:id="17" w:name="_Toc201673610"/>
      <w:bookmarkEnd w:id="15"/>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tab/>
      </w:r>
      <w:r>
        <w:rPr>
          <w:rStyle w:val="CharDefText"/>
        </w:rPr>
        <w:t>captive poultry</w:t>
      </w:r>
      <w:r>
        <w:t xml:space="preserve"> has the meaning given in regulation 20;</w:t>
      </w:r>
    </w:p>
    <w:p>
      <w:pPr>
        <w:pStyle w:val="Defstart"/>
      </w:pPr>
      <w:r>
        <w:lastRenderedPageBreak/>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keepNex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lastRenderedPageBreak/>
        <w:tab/>
      </w:r>
      <w:r>
        <w:rPr>
          <w:rStyle w:val="CharDefText"/>
        </w:rPr>
        <w:t>substrate</w:t>
      </w:r>
      <w:r>
        <w:t xml:space="preserve"> means loose or friable material for poultry to peck, forage or scratch. </w:t>
      </w:r>
    </w:p>
    <w:p>
      <w:pPr>
        <w:pStyle w:val="Heading5"/>
      </w:pPr>
      <w:bookmarkStart w:id="18" w:name="_Toc184300714"/>
      <w:bookmarkStart w:id="19" w:name="_Toc201673611"/>
      <w:r>
        <w:rPr>
          <w:rStyle w:val="CharSectno"/>
        </w:rPr>
        <w:t>4</w:t>
      </w:r>
      <w:r>
        <w:t>.</w:t>
      </w:r>
      <w:r>
        <w:tab/>
        <w:t>Appropriateness of thing or area for poultry</w:t>
      </w:r>
      <w:bookmarkEnd w:id="18"/>
      <w:bookmarkEnd w:id="19"/>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Heading2"/>
      </w:pPr>
      <w:bookmarkStart w:id="20" w:name="_Toc184300715"/>
      <w:bookmarkStart w:id="21" w:name="_Toc184300819"/>
      <w:bookmarkStart w:id="22" w:name="_Toc184301007"/>
      <w:bookmarkStart w:id="23" w:name="_Toc184647971"/>
      <w:bookmarkStart w:id="24" w:name="_Toc184648083"/>
      <w:bookmarkStart w:id="25" w:name="_Toc184649273"/>
      <w:bookmarkStart w:id="26" w:name="_Toc201671188"/>
      <w:bookmarkStart w:id="27" w:name="_Toc201673612"/>
      <w:r>
        <w:rPr>
          <w:rStyle w:val="CharPartNo"/>
        </w:rPr>
        <w:lastRenderedPageBreak/>
        <w:t>Part 2</w:t>
      </w:r>
      <w:r>
        <w:t> — </w:t>
      </w:r>
      <w:r>
        <w:rPr>
          <w:rStyle w:val="CharPartText"/>
        </w:rPr>
        <w:t>Cage requirements in laying sheds during Part 2 operative period</w:t>
      </w:r>
      <w:bookmarkEnd w:id="20"/>
      <w:bookmarkEnd w:id="21"/>
      <w:bookmarkEnd w:id="22"/>
      <w:bookmarkEnd w:id="23"/>
      <w:bookmarkEnd w:id="24"/>
      <w:bookmarkEnd w:id="25"/>
      <w:bookmarkEnd w:id="26"/>
      <w:bookmarkEnd w:id="27"/>
      <w:r>
        <w:rPr>
          <w:rStyle w:val="CharPartText"/>
        </w:rPr>
        <w:t xml:space="preserve"> </w:t>
      </w:r>
    </w:p>
    <w:p>
      <w:pPr>
        <w:pStyle w:val="Heading3"/>
      </w:pPr>
      <w:bookmarkStart w:id="28" w:name="_Toc184300716"/>
      <w:bookmarkStart w:id="29" w:name="_Toc184300820"/>
      <w:bookmarkStart w:id="30" w:name="_Toc184301008"/>
      <w:bookmarkStart w:id="31" w:name="_Toc184647972"/>
      <w:bookmarkStart w:id="32" w:name="_Toc184648084"/>
      <w:bookmarkStart w:id="33" w:name="_Toc184649274"/>
      <w:bookmarkStart w:id="34" w:name="_Toc201671189"/>
      <w:bookmarkStart w:id="35" w:name="_Toc201673613"/>
      <w:r>
        <w:rPr>
          <w:rStyle w:val="CharDivNo"/>
        </w:rPr>
        <w:t>Division 1</w:t>
      </w:r>
      <w:r>
        <w:t> — </w:t>
      </w:r>
      <w:r>
        <w:rPr>
          <w:rStyle w:val="CharDivText"/>
        </w:rPr>
        <w:t>Preliminary</w:t>
      </w:r>
      <w:bookmarkEnd w:id="28"/>
      <w:bookmarkEnd w:id="29"/>
      <w:bookmarkEnd w:id="30"/>
      <w:bookmarkEnd w:id="31"/>
      <w:bookmarkEnd w:id="32"/>
      <w:bookmarkEnd w:id="33"/>
      <w:bookmarkEnd w:id="34"/>
      <w:bookmarkEnd w:id="35"/>
    </w:p>
    <w:p>
      <w:pPr>
        <w:pStyle w:val="Heading5"/>
      </w:pPr>
      <w:bookmarkStart w:id="36" w:name="_Toc184300717"/>
      <w:bookmarkStart w:id="37" w:name="_Toc201673614"/>
      <w:r>
        <w:rPr>
          <w:rStyle w:val="CharSectno"/>
        </w:rPr>
        <w:t>5</w:t>
      </w:r>
      <w:r>
        <w:t>.</w:t>
      </w:r>
      <w:r>
        <w:tab/>
        <w:t>Application of Part</w:t>
      </w:r>
      <w:bookmarkEnd w:id="36"/>
      <w:bookmarkEnd w:id="37"/>
    </w:p>
    <w:p>
      <w:pPr>
        <w:pStyle w:val="Subsection"/>
      </w:pPr>
      <w:r>
        <w:tab/>
      </w:r>
      <w:r>
        <w:tab/>
        <w:t xml:space="preserve">This Part applies to a laying shed. </w:t>
      </w:r>
    </w:p>
    <w:p>
      <w:pPr>
        <w:pStyle w:val="PermNoteHeading"/>
      </w:pPr>
      <w:r>
        <w:tab/>
        <w:t>Note for this regulation:</w:t>
      </w:r>
    </w:p>
    <w:p>
      <w:pPr>
        <w:pStyle w:val="PermNoteText"/>
      </w:pPr>
      <w:r>
        <w:tab/>
      </w:r>
      <w:r>
        <w:tab/>
        <w:t xml:space="preserve">Regulation 30(1) is a defence to a charge of an offence against this Part that an act or omission constituting the offence occurs outside the Part 2 operative period for the laying shed. </w:t>
      </w:r>
    </w:p>
    <w:p>
      <w:pPr>
        <w:pStyle w:val="Heading5"/>
      </w:pPr>
      <w:bookmarkStart w:id="38" w:name="_Toc184300718"/>
      <w:bookmarkStart w:id="39" w:name="_Toc201673615"/>
      <w:r>
        <w:rPr>
          <w:rStyle w:val="CharSectno"/>
        </w:rPr>
        <w:t>6</w:t>
      </w:r>
      <w:r>
        <w:t>.</w:t>
      </w:r>
      <w:r>
        <w:tab/>
        <w:t>Terms used</w:t>
      </w:r>
      <w:bookmarkEnd w:id="38"/>
      <w:bookmarkEnd w:id="39"/>
    </w:p>
    <w:p>
      <w:pPr>
        <w:pStyle w:val="Subsection"/>
      </w:pPr>
      <w:r>
        <w:tab/>
      </w:r>
      <w:r>
        <w:tab/>
        <w:t xml:space="preserve">In this Part — </w:t>
      </w:r>
    </w:p>
    <w:p>
      <w:pPr>
        <w:pStyle w:val="Defstart"/>
      </w:pPr>
      <w:r>
        <w:tab/>
      </w:r>
      <w:r>
        <w:rPr>
          <w:rStyle w:val="CharDefText"/>
        </w:rPr>
        <w:t>controller</w:t>
      </w:r>
      <w:r>
        <w:t>, of a laying shed, means a person who is either or both of the following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Defstart"/>
      </w:pPr>
      <w:r>
        <w:tab/>
      </w:r>
      <w:r>
        <w:rPr>
          <w:rStyle w:val="CharDefText"/>
        </w:rPr>
        <w:t>floor area</w:t>
      </w:r>
      <w:r>
        <w:t xml:space="preserve">, of a cage — </w:t>
      </w:r>
    </w:p>
    <w:p>
      <w:pPr>
        <w:pStyle w:val="Defpara"/>
      </w:pPr>
      <w:r>
        <w:tab/>
        <w:t>(a)</w:t>
      </w:r>
      <w:r>
        <w:tab/>
        <w:t>means the area of the lower horizontal plane of the cage measured between the vertical sections of the back and front walls and the vertical sections of the side walls of the cage; and</w:t>
      </w:r>
    </w:p>
    <w:p>
      <w:pPr>
        <w:pStyle w:val="Defpara"/>
      </w:pPr>
      <w:r>
        <w:tab/>
        <w:t>(b)</w:t>
      </w:r>
      <w:r>
        <w:tab/>
        <w:t xml:space="preserve">includes the area under each of the following — </w:t>
      </w:r>
    </w:p>
    <w:p>
      <w:pPr>
        <w:pStyle w:val="Defsubpara"/>
      </w:pPr>
      <w:r>
        <w:tab/>
        <w:t>(i)</w:t>
      </w:r>
      <w:r>
        <w:tab/>
        <w:t>an egg baffle;</w:t>
      </w:r>
    </w:p>
    <w:p>
      <w:pPr>
        <w:pStyle w:val="Defsubpara"/>
      </w:pPr>
      <w:r>
        <w:tab/>
        <w:t>(ii)</w:t>
      </w:r>
      <w:r>
        <w:tab/>
        <w:t>a nipple drinker;</w:t>
      </w:r>
    </w:p>
    <w:p>
      <w:pPr>
        <w:pStyle w:val="Defsubpara"/>
      </w:pPr>
      <w:r>
        <w:tab/>
        <w:t>(iii)</w:t>
      </w:r>
      <w:r>
        <w:tab/>
        <w:t>a water trough;</w:t>
      </w:r>
    </w:p>
    <w:p>
      <w:pPr>
        <w:pStyle w:val="Defpara"/>
      </w:pPr>
      <w:r>
        <w:tab/>
      </w:r>
      <w:r>
        <w:tab/>
        <w:t>but</w:t>
      </w:r>
    </w:p>
    <w:p>
      <w:pPr>
        <w:pStyle w:val="Defpara"/>
      </w:pPr>
      <w:r>
        <w:tab/>
        <w:t>(c)</w:t>
      </w:r>
      <w:r>
        <w:tab/>
        <w:t>does not include any other area of the cage that is less than 35 cm in height;</w:t>
      </w:r>
    </w:p>
    <w:p>
      <w:pPr>
        <w:pStyle w:val="Defstart"/>
      </w:pPr>
      <w:r>
        <w:tab/>
      </w:r>
      <w:r>
        <w:rPr>
          <w:rStyle w:val="CharDefText"/>
        </w:rPr>
        <w:t>nipple drinker</w:t>
      </w:r>
      <w:r>
        <w:t xml:space="preserve"> means a nipple attached to a water line.</w:t>
      </w:r>
    </w:p>
    <w:p>
      <w:pPr>
        <w:pStyle w:val="Heading3"/>
      </w:pPr>
      <w:bookmarkStart w:id="40" w:name="_Toc184300719"/>
      <w:bookmarkStart w:id="41" w:name="_Toc184300823"/>
      <w:bookmarkStart w:id="42" w:name="_Toc184301011"/>
      <w:bookmarkStart w:id="43" w:name="_Toc184647975"/>
      <w:bookmarkStart w:id="44" w:name="_Toc184648087"/>
      <w:bookmarkStart w:id="45" w:name="_Toc184649277"/>
      <w:bookmarkStart w:id="46" w:name="_Toc201671192"/>
      <w:bookmarkStart w:id="47" w:name="_Toc201673616"/>
      <w:r>
        <w:rPr>
          <w:rStyle w:val="CharDivNo"/>
        </w:rPr>
        <w:lastRenderedPageBreak/>
        <w:t>Division 2</w:t>
      </w:r>
      <w:r>
        <w:t> — </w:t>
      </w:r>
      <w:r>
        <w:rPr>
          <w:rStyle w:val="CharDivText"/>
        </w:rPr>
        <w:t>Cage design and construction</w:t>
      </w:r>
      <w:bookmarkEnd w:id="40"/>
      <w:bookmarkEnd w:id="41"/>
      <w:bookmarkEnd w:id="42"/>
      <w:bookmarkEnd w:id="43"/>
      <w:bookmarkEnd w:id="44"/>
      <w:bookmarkEnd w:id="45"/>
      <w:bookmarkEnd w:id="46"/>
      <w:bookmarkEnd w:id="47"/>
    </w:p>
    <w:p>
      <w:pPr>
        <w:pStyle w:val="Heading4"/>
      </w:pPr>
      <w:bookmarkStart w:id="48" w:name="_Toc184300720"/>
      <w:bookmarkStart w:id="49" w:name="_Toc184300824"/>
      <w:bookmarkStart w:id="50" w:name="_Toc184301012"/>
      <w:bookmarkStart w:id="51" w:name="_Toc184647976"/>
      <w:bookmarkStart w:id="52" w:name="_Toc184648088"/>
      <w:bookmarkStart w:id="53" w:name="_Toc184649278"/>
      <w:bookmarkStart w:id="54" w:name="_Toc201671193"/>
      <w:bookmarkStart w:id="55" w:name="_Toc201673617"/>
      <w:r>
        <w:t>Subdivision 1 — Offence</w:t>
      </w:r>
      <w:bookmarkEnd w:id="48"/>
      <w:bookmarkEnd w:id="49"/>
      <w:bookmarkEnd w:id="50"/>
      <w:bookmarkEnd w:id="51"/>
      <w:bookmarkEnd w:id="52"/>
      <w:bookmarkEnd w:id="53"/>
      <w:bookmarkEnd w:id="54"/>
      <w:bookmarkEnd w:id="55"/>
    </w:p>
    <w:p>
      <w:pPr>
        <w:pStyle w:val="Heading5"/>
      </w:pPr>
      <w:bookmarkStart w:id="56" w:name="_Toc184300721"/>
      <w:bookmarkStart w:id="57" w:name="_Toc201673618"/>
      <w:r>
        <w:rPr>
          <w:rStyle w:val="CharSectno"/>
        </w:rPr>
        <w:t>7</w:t>
      </w:r>
      <w:r>
        <w:t>.</w:t>
      </w:r>
      <w:r>
        <w:tab/>
        <w:t>Non</w:t>
      </w:r>
      <w:r>
        <w:noBreakHyphen/>
        <w:t>compliant cages prohibited in laying sheds</w:t>
      </w:r>
      <w:bookmarkEnd w:id="56"/>
      <w:bookmarkEnd w:id="57"/>
    </w:p>
    <w:p>
      <w:pPr>
        <w:pStyle w:val="Subsection"/>
      </w:pPr>
      <w:r>
        <w:tab/>
        <w:t>(1)</w:t>
      </w:r>
      <w:r>
        <w:tab/>
        <w:t xml:space="preserve">In this regulation — </w:t>
      </w:r>
    </w:p>
    <w:p>
      <w:pPr>
        <w:pStyle w:val="Defstart"/>
      </w:pPr>
      <w:r>
        <w:tab/>
      </w:r>
      <w:r>
        <w:rPr>
          <w:rStyle w:val="CharDefText"/>
        </w:rPr>
        <w:t>non</w:t>
      </w:r>
      <w:r>
        <w:rPr>
          <w:rStyle w:val="CharDefText"/>
        </w:rPr>
        <w:noBreakHyphen/>
        <w:t>compliant cage</w:t>
      </w:r>
      <w:r>
        <w:t xml:space="preserve"> means a cage that contains at least 1 laying hen that does not meet each of the requirements set out in Subdivision 2. </w:t>
      </w:r>
    </w:p>
    <w:p>
      <w:pPr>
        <w:pStyle w:val="Subsection"/>
      </w:pPr>
      <w:r>
        <w:tab/>
        <w:t>(2)</w:t>
      </w:r>
      <w:r>
        <w:tab/>
        <w:t>A controller of a laying shed commits an offence if the laying shed contains at least 1 non</w:t>
      </w:r>
      <w:r>
        <w:noBreakHyphen/>
        <w:t>compliant cage.</w:t>
      </w:r>
    </w:p>
    <w:p>
      <w:pPr>
        <w:pStyle w:val="Penstart"/>
      </w:pPr>
      <w:r>
        <w:tab/>
        <w:t>Alternative offence: r. 15(2).</w:t>
      </w:r>
    </w:p>
    <w:p>
      <w:pPr>
        <w:pStyle w:val="Penstart"/>
      </w:pPr>
      <w:r>
        <w:tab/>
        <w:t xml:space="preserve">Penalty for this subregulation: a fine of $20 000 consisting of — </w:t>
      </w:r>
    </w:p>
    <w:p>
      <w:pPr>
        <w:pStyle w:val="Penpara"/>
      </w:pPr>
      <w:r>
        <w:tab/>
        <w:t>(a)</w:t>
      </w:r>
      <w:r>
        <w:tab/>
        <w:t>a fine of $10 000; and</w:t>
      </w:r>
    </w:p>
    <w:p>
      <w:pPr>
        <w:pStyle w:val="Penpara"/>
      </w:pPr>
      <w:r>
        <w:tab/>
        <w:t>(b)</w:t>
      </w:r>
      <w:r>
        <w:tab/>
        <w:t>an additional fine of $100 for each non</w:t>
      </w:r>
      <w:r>
        <w:noBreakHyphen/>
        <w:t>compliant cage in the laying shed.</w:t>
      </w:r>
    </w:p>
    <w:p>
      <w:pPr>
        <w:pStyle w:val="Heading4"/>
      </w:pPr>
      <w:bookmarkStart w:id="58" w:name="_Toc184300722"/>
      <w:bookmarkStart w:id="59" w:name="_Toc184300826"/>
      <w:bookmarkStart w:id="60" w:name="_Toc184301014"/>
      <w:bookmarkStart w:id="61" w:name="_Toc184647978"/>
      <w:bookmarkStart w:id="62" w:name="_Toc184648090"/>
      <w:bookmarkStart w:id="63" w:name="_Toc184649280"/>
      <w:bookmarkStart w:id="64" w:name="_Toc201671195"/>
      <w:bookmarkStart w:id="65" w:name="_Toc201673619"/>
      <w:r>
        <w:t>Subdivision 2 — Requirements for cage design and construction</w:t>
      </w:r>
      <w:bookmarkEnd w:id="58"/>
      <w:bookmarkEnd w:id="59"/>
      <w:bookmarkEnd w:id="60"/>
      <w:bookmarkEnd w:id="61"/>
      <w:bookmarkEnd w:id="62"/>
      <w:bookmarkEnd w:id="63"/>
      <w:bookmarkEnd w:id="64"/>
      <w:bookmarkEnd w:id="65"/>
    </w:p>
    <w:p>
      <w:pPr>
        <w:pStyle w:val="Heading5"/>
      </w:pPr>
      <w:bookmarkStart w:id="66" w:name="_Toc184300723"/>
      <w:bookmarkStart w:id="67" w:name="_Toc201673620"/>
      <w:r>
        <w:rPr>
          <w:rStyle w:val="CharSectno"/>
        </w:rPr>
        <w:t>8</w:t>
      </w:r>
      <w:r>
        <w:t>.</w:t>
      </w:r>
      <w:r>
        <w:tab/>
        <w:t>Water and food troughs</w:t>
      </w:r>
      <w:bookmarkEnd w:id="66"/>
      <w:bookmarkEnd w:id="67"/>
    </w:p>
    <w:p>
      <w:pPr>
        <w:pStyle w:val="Subsection"/>
      </w:pPr>
      <w:r>
        <w:tab/>
        <w:t>(1)</w:t>
      </w:r>
      <w:r>
        <w:tab/>
        <w:t xml:space="preserve">In this regulation — </w:t>
      </w:r>
    </w:p>
    <w:p>
      <w:pPr>
        <w:pStyle w:val="Defstart"/>
      </w:pPr>
      <w:r>
        <w:tab/>
      </w:r>
      <w:r>
        <w:rPr>
          <w:rStyle w:val="CharDefText"/>
        </w:rPr>
        <w:t>cup drinker</w:t>
      </w:r>
      <w:r>
        <w:t xml:space="preserve"> means a cup that — </w:t>
      </w:r>
    </w:p>
    <w:p>
      <w:pPr>
        <w:pStyle w:val="Defpara"/>
      </w:pPr>
      <w:r>
        <w:tab/>
        <w:t>(a)</w:t>
      </w:r>
      <w:r>
        <w:tab/>
        <w:t>is attached to a water line; and</w:t>
      </w:r>
    </w:p>
    <w:p>
      <w:pPr>
        <w:pStyle w:val="Defpara"/>
      </w:pPr>
      <w:r>
        <w:tab/>
        <w:t>(b)</w:t>
      </w:r>
      <w:r>
        <w:tab/>
        <w:t>has a lever or other device in it that is operable by a chicken; and</w:t>
      </w:r>
    </w:p>
    <w:p>
      <w:pPr>
        <w:pStyle w:val="Defpara"/>
      </w:pPr>
      <w:r>
        <w:tab/>
        <w:t>(c)</w:t>
      </w:r>
      <w:r>
        <w:tab/>
        <w:t>fills with water if a chicken applies pressure to the lever or device.</w:t>
      </w:r>
    </w:p>
    <w:p>
      <w:pPr>
        <w:pStyle w:val="Subsection"/>
      </w:pPr>
      <w:r>
        <w:tab/>
        <w:t>(2)</w:t>
      </w:r>
      <w:r>
        <w:tab/>
        <w:t xml:space="preserve">Each laying hen in a cage must have reasonable access to — </w:t>
      </w:r>
    </w:p>
    <w:p>
      <w:pPr>
        <w:pStyle w:val="Indenta"/>
      </w:pPr>
      <w:r>
        <w:tab/>
        <w:t>(a)</w:t>
      </w:r>
      <w:r>
        <w:tab/>
        <w:t>a water trough that is long enough to allow at least 10 cm for each hen in the cage; or</w:t>
      </w:r>
    </w:p>
    <w:p>
      <w:pPr>
        <w:pStyle w:val="Indenta"/>
      </w:pPr>
      <w:r>
        <w:tab/>
        <w:t>(b)</w:t>
      </w:r>
      <w:r>
        <w:tab/>
        <w:t>at least 2 cup drinkers or nipple drinkers.</w:t>
      </w:r>
    </w:p>
    <w:p>
      <w:pPr>
        <w:pStyle w:val="Subsection"/>
      </w:pPr>
      <w:r>
        <w:lastRenderedPageBreak/>
        <w:tab/>
        <w:t>(3)</w:t>
      </w:r>
      <w:r>
        <w:tab/>
        <w:t>Each laying hen in a cage must have reasonable access to a food trough that is long enough to allow at least 10 cm for each hen in the cage.</w:t>
      </w:r>
    </w:p>
    <w:p>
      <w:pPr>
        <w:pStyle w:val="Heading5"/>
      </w:pPr>
      <w:bookmarkStart w:id="68" w:name="_Toc184300724"/>
      <w:bookmarkStart w:id="69" w:name="_Toc201673621"/>
      <w:r>
        <w:rPr>
          <w:rStyle w:val="CharSectno"/>
        </w:rPr>
        <w:t>9</w:t>
      </w:r>
      <w:r>
        <w:t>.</w:t>
      </w:r>
      <w:r>
        <w:tab/>
        <w:t>Floor support</w:t>
      </w:r>
      <w:bookmarkEnd w:id="68"/>
      <w:bookmarkEnd w:id="69"/>
    </w:p>
    <w:p>
      <w:pPr>
        <w:pStyle w:val="Subsection"/>
      </w:pPr>
      <w:r>
        <w:tab/>
      </w:r>
      <w:r>
        <w:tab/>
        <w:t xml:space="preserve">The floor of a cage must provide support for each forward pointing toe of each laying hen in the cage. </w:t>
      </w:r>
    </w:p>
    <w:p>
      <w:pPr>
        <w:pStyle w:val="Heading5"/>
      </w:pPr>
      <w:bookmarkStart w:id="70" w:name="_Toc184300725"/>
      <w:bookmarkStart w:id="71" w:name="_Toc201673622"/>
      <w:r>
        <w:rPr>
          <w:rStyle w:val="CharSectno"/>
        </w:rPr>
        <w:t>10</w:t>
      </w:r>
      <w:r>
        <w:t>.</w:t>
      </w:r>
      <w:r>
        <w:tab/>
        <w:t>Cage height</w:t>
      </w:r>
      <w:bookmarkEnd w:id="70"/>
      <w:bookmarkEnd w:id="71"/>
    </w:p>
    <w:p>
      <w:pPr>
        <w:pStyle w:val="Subsection"/>
      </w:pPr>
      <w:r>
        <w:tab/>
      </w:r>
      <w:r>
        <w:tab/>
        <w:t xml:space="preserve">The height of a cage must be — </w:t>
      </w:r>
    </w:p>
    <w:p>
      <w:pPr>
        <w:pStyle w:val="Indenta"/>
      </w:pPr>
      <w:r>
        <w:tab/>
        <w:t>(a)</w:t>
      </w:r>
      <w:r>
        <w:tab/>
        <w:t>more than the bird level of the tallest laying hen in the cage; and</w:t>
      </w:r>
    </w:p>
    <w:p>
      <w:pPr>
        <w:pStyle w:val="Indenta"/>
      </w:pPr>
      <w:r>
        <w:tab/>
        <w:t>(b)</w:t>
      </w:r>
      <w:r>
        <w:tab/>
        <w:t>at least 40 cm for at least 65% of the floor area of the cage.</w:t>
      </w:r>
    </w:p>
    <w:p>
      <w:pPr>
        <w:pStyle w:val="Heading5"/>
      </w:pPr>
      <w:bookmarkStart w:id="72" w:name="_Toc184300726"/>
      <w:bookmarkStart w:id="73" w:name="_Toc201673623"/>
      <w:r>
        <w:rPr>
          <w:rStyle w:val="CharSectno"/>
        </w:rPr>
        <w:t>11</w:t>
      </w:r>
      <w:r>
        <w:t>.</w:t>
      </w:r>
      <w:r>
        <w:tab/>
        <w:t>Cage doors</w:t>
      </w:r>
      <w:bookmarkEnd w:id="72"/>
      <w:bookmarkEnd w:id="73"/>
    </w:p>
    <w:p>
      <w:pPr>
        <w:pStyle w:val="Subsection"/>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if the width of the cage is more than 50 cm — 50 cm; or</w:t>
      </w:r>
    </w:p>
    <w:p>
      <w:pPr>
        <w:pStyle w:val="Indenta"/>
      </w:pPr>
      <w:r>
        <w:tab/>
        <w:t>(b)</w:t>
      </w:r>
      <w:r>
        <w:tab/>
        <w:t>otherwise — the width of the cage (excluding the width of structural supports for the door).</w:t>
      </w:r>
    </w:p>
    <w:p>
      <w:pPr>
        <w:pStyle w:val="Heading5"/>
      </w:pPr>
      <w:bookmarkStart w:id="74" w:name="_Toc184300727"/>
      <w:bookmarkStart w:id="75" w:name="_Toc201673624"/>
      <w:r>
        <w:rPr>
          <w:rStyle w:val="CharSectno"/>
        </w:rPr>
        <w:t>12</w:t>
      </w:r>
      <w:r>
        <w:t>.</w:t>
      </w:r>
      <w:r>
        <w:tab/>
        <w:t>Cages arranged in tiers</w:t>
      </w:r>
      <w:bookmarkEnd w:id="74"/>
      <w:bookmarkEnd w:id="75"/>
    </w:p>
    <w:p>
      <w:pPr>
        <w:pStyle w:val="Subsection"/>
        <w:keepNext/>
      </w:pPr>
      <w:r>
        <w:tab/>
      </w:r>
      <w:r>
        <w:tab/>
        <w:t xml:space="preserve">If 2 or more cages are arranged in vertical tiers, the cages must be arranged so that each laying hen in the cages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the excreta of hens in cages on higher tiers.</w:t>
      </w:r>
    </w:p>
    <w:p>
      <w:pPr>
        <w:pStyle w:val="Heading3"/>
      </w:pPr>
      <w:bookmarkStart w:id="76" w:name="_Toc184300728"/>
      <w:bookmarkStart w:id="77" w:name="_Toc184300832"/>
      <w:bookmarkStart w:id="78" w:name="_Toc184301020"/>
      <w:bookmarkStart w:id="79" w:name="_Toc184647984"/>
      <w:bookmarkStart w:id="80" w:name="_Toc184648096"/>
      <w:bookmarkStart w:id="81" w:name="_Toc184649286"/>
      <w:bookmarkStart w:id="82" w:name="_Toc201671201"/>
      <w:bookmarkStart w:id="83" w:name="_Toc201673625"/>
      <w:r>
        <w:rPr>
          <w:rStyle w:val="CharDivNo"/>
        </w:rPr>
        <w:lastRenderedPageBreak/>
        <w:t>Division 3</w:t>
      </w:r>
      <w:r>
        <w:t> — </w:t>
      </w:r>
      <w:r>
        <w:rPr>
          <w:rStyle w:val="CharDivText"/>
        </w:rPr>
        <w:t>Stocking densities</w:t>
      </w:r>
      <w:bookmarkEnd w:id="76"/>
      <w:bookmarkEnd w:id="77"/>
      <w:bookmarkEnd w:id="78"/>
      <w:bookmarkEnd w:id="79"/>
      <w:bookmarkEnd w:id="80"/>
      <w:bookmarkEnd w:id="81"/>
      <w:bookmarkEnd w:id="82"/>
      <w:bookmarkEnd w:id="83"/>
    </w:p>
    <w:p>
      <w:pPr>
        <w:pStyle w:val="Heading5"/>
      </w:pPr>
      <w:bookmarkStart w:id="84" w:name="_Toc184300729"/>
      <w:bookmarkStart w:id="85" w:name="_Toc201673626"/>
      <w:r>
        <w:rPr>
          <w:rStyle w:val="CharSectno"/>
        </w:rPr>
        <w:t>13</w:t>
      </w:r>
      <w:r>
        <w:t>.</w:t>
      </w:r>
      <w:r>
        <w:tab/>
        <w:t>Cages in laying sheds must have minimum floor area</w:t>
      </w:r>
      <w:bookmarkEnd w:id="84"/>
      <w:bookmarkEnd w:id="85"/>
    </w:p>
    <w:p>
      <w:pPr>
        <w:pStyle w:val="Subsection"/>
      </w:pPr>
      <w:r>
        <w:tab/>
      </w:r>
      <w:r>
        <w:tab/>
        <w:t xml:space="preserve">A controller of a laying shed commits an offence if the laying shed contains at least 1 cage — </w:t>
      </w:r>
    </w:p>
    <w:p>
      <w:pPr>
        <w:pStyle w:val="Indenta"/>
      </w:pPr>
      <w:r>
        <w:tab/>
        <w:t>(a)</w:t>
      </w:r>
      <w:r>
        <w:tab/>
        <w:t>that contains at least 1 laying hen; and</w:t>
      </w:r>
    </w:p>
    <w:p>
      <w:pPr>
        <w:pStyle w:val="Indenta"/>
      </w:pPr>
      <w:r>
        <w:tab/>
        <w:t>(b)</w:t>
      </w:r>
      <w:r>
        <w:tab/>
        <w:t xml:space="preserve">the floor area of which is less than — </w:t>
      </w:r>
    </w:p>
    <w:p>
      <w:pPr>
        <w:pStyle w:val="Indenti"/>
      </w:pPr>
      <w:r>
        <w:tab/>
        <w:t>(i)</w:t>
      </w:r>
      <w:r>
        <w:tab/>
        <w:t>if the cage contains 1 laying hen — 1 000 cm</w:t>
      </w:r>
      <w:r>
        <w:rPr>
          <w:vertAlign w:val="superscript"/>
        </w:rPr>
        <w:t>2</w:t>
      </w:r>
      <w:r>
        <w:t>; or</w:t>
      </w:r>
    </w:p>
    <w:p>
      <w:pPr>
        <w:pStyle w:val="Indenti"/>
      </w:pPr>
      <w:r>
        <w:tab/>
        <w:t>(ii)</w:t>
      </w:r>
      <w:r>
        <w:tab/>
        <w:t>if the cage contains 2 laying hens — 1 350 cm</w:t>
      </w:r>
      <w:r>
        <w:rPr>
          <w:vertAlign w:val="superscript"/>
        </w:rPr>
        <w:t>2</w:t>
      </w:r>
      <w:r>
        <w:t>; or</w:t>
      </w:r>
    </w:p>
    <w:p>
      <w:pPr>
        <w:pStyle w:val="Indenti"/>
      </w:pPr>
      <w:r>
        <w:tab/>
        <w:t>(iii)</w:t>
      </w:r>
      <w:r>
        <w:tab/>
        <w:t>if the cage contains 3 or more laying hens — an area calculated by allowing 550 cm</w:t>
      </w:r>
      <w:r>
        <w:rPr>
          <w:vertAlign w:val="superscript"/>
        </w:rPr>
        <w:t>2</w:t>
      </w:r>
      <w:r>
        <w:t xml:space="preserve"> for each hen.</w:t>
      </w:r>
    </w:p>
    <w:p>
      <w:pPr>
        <w:pStyle w:val="Penstart"/>
      </w:pPr>
      <w:r>
        <w:tab/>
        <w:t>Alternative offence: r. 15(2).</w:t>
      </w:r>
    </w:p>
    <w:p>
      <w:pPr>
        <w:pStyle w:val="Penstart"/>
      </w:pPr>
      <w:r>
        <w:tab/>
        <w:t xml:space="preserve">Penalty: a fine of $20 000 consisting of — </w:t>
      </w:r>
    </w:p>
    <w:p>
      <w:pPr>
        <w:pStyle w:val="Penpara"/>
      </w:pPr>
      <w:r>
        <w:tab/>
        <w:t>(a)</w:t>
      </w:r>
      <w:r>
        <w:tab/>
        <w:t>a fine of $10 000; and</w:t>
      </w:r>
    </w:p>
    <w:p>
      <w:pPr>
        <w:pStyle w:val="Penpara"/>
      </w:pPr>
      <w:r>
        <w:tab/>
        <w:t>(b)</w:t>
      </w:r>
      <w:r>
        <w:tab/>
        <w:t>an additional fine of $100 for each cage in the laying shed that contains at least 1 laying hen.</w:t>
      </w:r>
    </w:p>
    <w:p>
      <w:pPr>
        <w:pStyle w:val="Heading2"/>
      </w:pPr>
      <w:bookmarkStart w:id="86" w:name="_Toc184300730"/>
      <w:bookmarkStart w:id="87" w:name="_Toc184300834"/>
      <w:bookmarkStart w:id="88" w:name="_Toc184301022"/>
      <w:bookmarkStart w:id="89" w:name="_Toc184647986"/>
      <w:bookmarkStart w:id="90" w:name="_Toc184648098"/>
      <w:bookmarkStart w:id="91" w:name="_Toc184649288"/>
      <w:bookmarkStart w:id="92" w:name="_Toc201671203"/>
      <w:bookmarkStart w:id="93" w:name="_Toc201673627"/>
      <w:r>
        <w:rPr>
          <w:rStyle w:val="CharPartNo"/>
        </w:rPr>
        <w:lastRenderedPageBreak/>
        <w:t>Part 3</w:t>
      </w:r>
      <w:r>
        <w:rPr>
          <w:rStyle w:val="CharDivNo"/>
        </w:rPr>
        <w:t> </w:t>
      </w:r>
      <w:r>
        <w:t>—</w:t>
      </w:r>
      <w:r>
        <w:rPr>
          <w:rStyle w:val="CharDivText"/>
        </w:rPr>
        <w:t> </w:t>
      </w:r>
      <w:r>
        <w:rPr>
          <w:rStyle w:val="CharPartText"/>
        </w:rPr>
        <w:t>Cage requirements for commercial poultry production in sheds</w:t>
      </w:r>
      <w:bookmarkEnd w:id="86"/>
      <w:bookmarkEnd w:id="87"/>
      <w:bookmarkEnd w:id="88"/>
      <w:bookmarkEnd w:id="89"/>
      <w:bookmarkEnd w:id="90"/>
      <w:bookmarkEnd w:id="91"/>
      <w:bookmarkEnd w:id="92"/>
      <w:bookmarkEnd w:id="93"/>
    </w:p>
    <w:p>
      <w:pPr>
        <w:pStyle w:val="PermNoteHeading"/>
      </w:pPr>
      <w:r>
        <w:tab/>
        <w:t>Note for this Part:</w:t>
      </w:r>
    </w:p>
    <w:p>
      <w:pPr>
        <w:pStyle w:val="PermNoteText"/>
      </w:pPr>
      <w:r>
        <w:tab/>
      </w:r>
      <w:r>
        <w:tab/>
        <w:t xml:space="preserve">Regulation 30(2) is a defence to a charge of an offence against this Part that an act or omission constituting the offence occurs in relation to a shed to which Part 2 applies and it occurs during the Part 2 operative period for the shed. </w:t>
      </w:r>
    </w:p>
    <w:p>
      <w:pPr>
        <w:pStyle w:val="Heading5"/>
      </w:pPr>
      <w:bookmarkStart w:id="94" w:name="_Toc184300731"/>
      <w:bookmarkStart w:id="95" w:name="_Toc201673628"/>
      <w:r>
        <w:rPr>
          <w:rStyle w:val="CharSectno"/>
        </w:rPr>
        <w:t>14</w:t>
      </w:r>
      <w:r>
        <w:t>.</w:t>
      </w:r>
      <w:r>
        <w:tab/>
        <w:t>Application of Part</w:t>
      </w:r>
      <w:bookmarkEnd w:id="94"/>
      <w:bookmarkEnd w:id="95"/>
    </w:p>
    <w:p>
      <w:pPr>
        <w:pStyle w:val="Subsection"/>
      </w:pPr>
      <w:r>
        <w:tab/>
      </w:r>
      <w:r>
        <w:tab/>
        <w:t xml:space="preserve">This Part applies to laying hens — </w:t>
      </w:r>
    </w:p>
    <w:p>
      <w:pPr>
        <w:pStyle w:val="Indenta"/>
      </w:pPr>
      <w:r>
        <w:tab/>
        <w:t>(a)</w:t>
      </w:r>
      <w:r>
        <w:tab/>
        <w:t>kept for commercial poultry production; and</w:t>
      </w:r>
    </w:p>
    <w:p>
      <w:pPr>
        <w:pStyle w:val="Indenta"/>
      </w:pPr>
      <w:r>
        <w:tab/>
        <w:t>(b)</w:t>
      </w:r>
      <w:r>
        <w:tab/>
        <w:t>continually housed in cages in a shed.</w:t>
      </w:r>
    </w:p>
    <w:p>
      <w:pPr>
        <w:pStyle w:val="Heading5"/>
      </w:pPr>
      <w:bookmarkStart w:id="96" w:name="_Toc184300732"/>
      <w:bookmarkStart w:id="97" w:name="_Toc201673629"/>
      <w:r>
        <w:rPr>
          <w:rStyle w:val="CharSectno"/>
        </w:rPr>
        <w:t>15</w:t>
      </w:r>
      <w:r>
        <w:t>.</w:t>
      </w:r>
      <w:r>
        <w:tab/>
        <w:t>Cages to have adequate space</w:t>
      </w:r>
      <w:bookmarkEnd w:id="96"/>
      <w:bookmarkEnd w:id="97"/>
    </w:p>
    <w:p>
      <w:pPr>
        <w:pStyle w:val="Subsection"/>
      </w:pPr>
      <w:r>
        <w:tab/>
        <w:t>(1)</w:t>
      </w:r>
      <w:r>
        <w:tab/>
        <w:t xml:space="preserve">In this regulation — </w:t>
      </w:r>
    </w:p>
    <w:p>
      <w:pPr>
        <w:pStyle w:val="Defstart"/>
      </w:pPr>
      <w:r>
        <w:tab/>
      </w:r>
      <w:r>
        <w:rPr>
          <w:rStyle w:val="CharDefText"/>
        </w:rPr>
        <w:t>usable space</w:t>
      </w:r>
      <w:r>
        <w:t xml:space="preserve">, in relation to a cage — </w:t>
      </w:r>
    </w:p>
    <w:p>
      <w:pPr>
        <w:pStyle w:val="Defpara"/>
      </w:pPr>
      <w:r>
        <w:tab/>
        <w:t>(a)</w:t>
      </w:r>
      <w:r>
        <w:tab/>
        <w:t>means the part of the cage in which a laying hen can move around freely and perform normal postures; but</w:t>
      </w:r>
    </w:p>
    <w:p>
      <w:pPr>
        <w:pStyle w:val="Defpara"/>
      </w:pPr>
      <w:r>
        <w:tab/>
        <w:t>(b)</w:t>
      </w:r>
      <w:r>
        <w:tab/>
        <w:t xml:space="preserve">does not include the parts of the cage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A person responsible for a laying hen must ensure that the usable space of a cage in which the laying hen is housed — </w:t>
      </w:r>
    </w:p>
    <w:p>
      <w:pPr>
        <w:pStyle w:val="Indenta"/>
      </w:pPr>
      <w:r>
        <w:tab/>
        <w:t>(a)</w:t>
      </w:r>
      <w:r>
        <w:tab/>
        <w:t>is at least 55 cm in height; and</w:t>
      </w:r>
    </w:p>
    <w:p>
      <w:pPr>
        <w:pStyle w:val="Indenta"/>
        <w:keepNext/>
      </w:pPr>
      <w:r>
        <w:tab/>
        <w:t>(b)</w:t>
      </w:r>
      <w:r>
        <w:tab/>
        <w:t xml:space="preserve">has an area of — </w:t>
      </w:r>
    </w:p>
    <w:p>
      <w:pPr>
        <w:pStyle w:val="Indenti"/>
      </w:pPr>
      <w:r>
        <w:tab/>
        <w:t>(i)</w:t>
      </w:r>
      <w:r>
        <w:tab/>
        <w:t>if 1 laying hen is in the cage — at least 1 000 cm</w:t>
      </w:r>
      <w:r>
        <w:rPr>
          <w:vertAlign w:val="superscript"/>
        </w:rPr>
        <w:t>2</w:t>
      </w:r>
      <w:r>
        <w:t>; or</w:t>
      </w:r>
    </w:p>
    <w:p>
      <w:pPr>
        <w:pStyle w:val="Indenti"/>
        <w:keepNext/>
      </w:pPr>
      <w:r>
        <w:lastRenderedPageBreak/>
        <w:tab/>
        <w:t>(ii)</w:t>
      </w:r>
      <w:r>
        <w:tab/>
        <w:t>if 2 or more laying hens are in the cage — at least 750 cm</w:t>
      </w:r>
      <w:r>
        <w:rPr>
          <w:vertAlign w:val="superscript"/>
        </w:rPr>
        <w:t>2</w:t>
      </w:r>
      <w:r>
        <w:t xml:space="preserve"> for each hen in the cage.</w:t>
      </w:r>
    </w:p>
    <w:p>
      <w:pPr>
        <w:pStyle w:val="Penstart"/>
        <w:keepNext/>
      </w:pPr>
      <w:r>
        <w:tab/>
        <w:t>Alternative offence: r. 7(2) or 13.</w:t>
      </w:r>
    </w:p>
    <w:p>
      <w:pPr>
        <w:pStyle w:val="Penstart"/>
      </w:pPr>
      <w:r>
        <w:tab/>
        <w:t>Penalty for this subregulation: a fine of $15 000.</w:t>
      </w:r>
    </w:p>
    <w:p>
      <w:pPr>
        <w:pStyle w:val="Heading5"/>
      </w:pPr>
      <w:bookmarkStart w:id="98" w:name="_Toc184300733"/>
      <w:bookmarkStart w:id="99" w:name="_Toc201673630"/>
      <w:r>
        <w:rPr>
          <w:rStyle w:val="CharSectno"/>
        </w:rPr>
        <w:t>16</w:t>
      </w:r>
      <w:r>
        <w:t>.</w:t>
      </w:r>
      <w:r>
        <w:tab/>
        <w:t>Laying hens to have access to adequate nest areas from point of lay</w:t>
      </w:r>
      <w:bookmarkEnd w:id="98"/>
      <w:bookmarkEnd w:id="99"/>
    </w:p>
    <w:p>
      <w:pPr>
        <w:pStyle w:val="Subsection"/>
      </w:pPr>
      <w:r>
        <w:tab/>
        <w:t>(1)</w:t>
      </w:r>
      <w:r>
        <w:tab/>
        <w:t xml:space="preserve">In this regulation — </w:t>
      </w:r>
    </w:p>
    <w:p>
      <w:pPr>
        <w:pStyle w:val="Defstart"/>
      </w:pPr>
      <w:r>
        <w:tab/>
      </w:r>
      <w:r>
        <w:rPr>
          <w:rStyle w:val="CharDefText"/>
        </w:rPr>
        <w:t>point of lay</w:t>
      </w:r>
      <w:r>
        <w:t>, in relation to a laying hen, means the age at which the laying hen will start to lay eggs.</w:t>
      </w:r>
    </w:p>
    <w:p>
      <w:pPr>
        <w:pStyle w:val="Subsection"/>
      </w:pPr>
      <w:r>
        <w:tab/>
        <w:t>(2)</w:t>
      </w:r>
      <w:r>
        <w:tab/>
        <w:t xml:space="preserve">A person responsible for a laying hen must ensure that, from just before the laying hen’s point of lay, the cage in which the laying hen is housed has — </w:t>
      </w:r>
    </w:p>
    <w:p>
      <w:pPr>
        <w:pStyle w:val="Indenta"/>
      </w:pPr>
      <w:r>
        <w:tab/>
        <w:t>(a)</w:t>
      </w:r>
      <w:r>
        <w:tab/>
        <w:t>1 appropriate nest area for every 7 hens that has space for those chickens to nest; or</w:t>
      </w:r>
    </w:p>
    <w:p>
      <w:pPr>
        <w:pStyle w:val="Indenta"/>
      </w:pPr>
      <w:r>
        <w:tab/>
        <w:t>(b)</w:t>
      </w:r>
      <w:r>
        <w:tab/>
        <w:t>1 appropriate nest area for every 120 hens that is at least 1 m</w:t>
      </w:r>
      <w:r>
        <w:rPr>
          <w:vertAlign w:val="superscript"/>
        </w:rPr>
        <w:t>2</w:t>
      </w:r>
      <w:r>
        <w:t>.</w:t>
      </w:r>
    </w:p>
    <w:p>
      <w:pPr>
        <w:pStyle w:val="Penstart"/>
      </w:pPr>
      <w:r>
        <w:tab/>
        <w:t>Penalty for this subregulation: a fine of $15 000.</w:t>
      </w:r>
    </w:p>
    <w:p>
      <w:pPr>
        <w:pStyle w:val="Heading5"/>
      </w:pPr>
      <w:bookmarkStart w:id="100" w:name="_Toc184300734"/>
      <w:bookmarkStart w:id="101" w:name="_Toc201673631"/>
      <w:r>
        <w:rPr>
          <w:rStyle w:val="CharSectno"/>
        </w:rPr>
        <w:t>17</w:t>
      </w:r>
      <w:r>
        <w:t>.</w:t>
      </w:r>
      <w:r>
        <w:tab/>
        <w:t>Laying hens to have access to adequate perches or platforms</w:t>
      </w:r>
      <w:bookmarkEnd w:id="100"/>
      <w:bookmarkEnd w:id="101"/>
    </w:p>
    <w:p>
      <w:pPr>
        <w:pStyle w:val="Subsection"/>
      </w:pPr>
      <w:r>
        <w:tab/>
      </w:r>
      <w:r>
        <w:tab/>
        <w:t>A person responsible for a laying hen must ensure that the cage in which the laying hen is housed has a perch or platform that is at least 15 cm in length for each laying hen housed in the cage.</w:t>
      </w:r>
    </w:p>
    <w:p>
      <w:pPr>
        <w:pStyle w:val="Penstart"/>
      </w:pPr>
      <w:r>
        <w:tab/>
        <w:t>Penalty: a fine of $15 000.</w:t>
      </w:r>
    </w:p>
    <w:p>
      <w:pPr>
        <w:pStyle w:val="Heading5"/>
      </w:pPr>
      <w:bookmarkStart w:id="102" w:name="_Toc184300735"/>
      <w:bookmarkStart w:id="103" w:name="_Toc201673632"/>
      <w:r>
        <w:rPr>
          <w:rStyle w:val="CharSectno"/>
        </w:rPr>
        <w:t>18</w:t>
      </w:r>
      <w:r>
        <w:t>.</w:t>
      </w:r>
      <w:r>
        <w:tab/>
        <w:t>Laying hens to have access to areas for scratching or foraging</w:t>
      </w:r>
      <w:bookmarkEnd w:id="102"/>
      <w:bookmarkEnd w:id="103"/>
    </w:p>
    <w:p>
      <w:pPr>
        <w:pStyle w:val="Subsection"/>
        <w:keepNext/>
      </w:pPr>
      <w:r>
        <w:tab/>
      </w:r>
      <w:r>
        <w:tab/>
        <w:t xml:space="preserve">A person responsible for a laying hen must ensure that the laying hen has access to — </w:t>
      </w:r>
    </w:p>
    <w:p>
      <w:pPr>
        <w:pStyle w:val="Indenta"/>
      </w:pPr>
      <w:r>
        <w:tab/>
        <w:t>(a)</w:t>
      </w:r>
      <w:r>
        <w:tab/>
        <w:t>an outdoor area; or</w:t>
      </w:r>
    </w:p>
    <w:p>
      <w:pPr>
        <w:pStyle w:val="Indenta"/>
        <w:keepNext/>
      </w:pPr>
      <w:r>
        <w:lastRenderedPageBreak/>
        <w:tab/>
        <w:t>(b)</w:t>
      </w:r>
      <w:r>
        <w:tab/>
        <w:t xml:space="preserve">all of the following — </w:t>
      </w:r>
    </w:p>
    <w:p>
      <w:pPr>
        <w:pStyle w:val="Indenti"/>
        <w:keepNext/>
      </w:pPr>
      <w:r>
        <w:tab/>
        <w:t>(i)</w:t>
      </w:r>
      <w:r>
        <w:tab/>
        <w:t>substrate that is appropriate for the laying hen;</w:t>
      </w:r>
    </w:p>
    <w:p>
      <w:pPr>
        <w:pStyle w:val="Indenti"/>
      </w:pPr>
      <w:r>
        <w:tab/>
        <w:t>(ii)</w:t>
      </w:r>
      <w:r>
        <w:tab/>
        <w:t xml:space="preserve">an abrasive device used for shortening the laying hen’s claws; </w:t>
      </w:r>
    </w:p>
    <w:p>
      <w:pPr>
        <w:pStyle w:val="Indenti"/>
      </w:pPr>
      <w:r>
        <w:tab/>
        <w:t>(iii)</w:t>
      </w:r>
      <w:r>
        <w:tab/>
        <w:t>a surface area or flooring that allows the laying hen to forage and scratch.</w:t>
      </w:r>
    </w:p>
    <w:p>
      <w:pPr>
        <w:pStyle w:val="Penstart"/>
      </w:pPr>
      <w:r>
        <w:tab/>
        <w:t>Penalty: a fine of $15 000.</w:t>
      </w:r>
    </w:p>
    <w:p>
      <w:pPr>
        <w:pStyle w:val="Heading2"/>
      </w:pPr>
      <w:bookmarkStart w:id="104" w:name="_Toc184300736"/>
      <w:bookmarkStart w:id="105" w:name="_Toc184300840"/>
      <w:bookmarkStart w:id="106" w:name="_Toc184301028"/>
      <w:bookmarkStart w:id="107" w:name="_Toc184647992"/>
      <w:bookmarkStart w:id="108" w:name="_Toc184648104"/>
      <w:bookmarkStart w:id="109" w:name="_Toc184649294"/>
      <w:bookmarkStart w:id="110" w:name="_Toc201671209"/>
      <w:bookmarkStart w:id="111" w:name="_Toc201673633"/>
      <w:r>
        <w:rPr>
          <w:rStyle w:val="CharPartNo"/>
        </w:rPr>
        <w:lastRenderedPageBreak/>
        <w:t>Part 4</w:t>
      </w:r>
      <w:r>
        <w:rPr>
          <w:rStyle w:val="CharDivNo"/>
        </w:rPr>
        <w:t> </w:t>
      </w:r>
      <w:r>
        <w:t>—</w:t>
      </w:r>
      <w:r>
        <w:rPr>
          <w:rStyle w:val="CharDivText"/>
        </w:rPr>
        <w:t> </w:t>
      </w:r>
      <w:r>
        <w:rPr>
          <w:rStyle w:val="CharPartText"/>
        </w:rPr>
        <w:t>Requirements for ducks</w:t>
      </w:r>
      <w:bookmarkEnd w:id="104"/>
      <w:bookmarkEnd w:id="105"/>
      <w:bookmarkEnd w:id="106"/>
      <w:bookmarkEnd w:id="107"/>
      <w:bookmarkEnd w:id="108"/>
      <w:bookmarkEnd w:id="109"/>
      <w:bookmarkEnd w:id="110"/>
      <w:bookmarkEnd w:id="111"/>
    </w:p>
    <w:p>
      <w:pPr>
        <w:pStyle w:val="Heading5"/>
      </w:pPr>
      <w:bookmarkStart w:id="112" w:name="_Toc184300737"/>
      <w:bookmarkStart w:id="113" w:name="_Toc201673634"/>
      <w:r>
        <w:rPr>
          <w:rStyle w:val="CharSectno"/>
        </w:rPr>
        <w:t>19</w:t>
      </w:r>
      <w:r>
        <w:t>.</w:t>
      </w:r>
      <w:r>
        <w:tab/>
        <w:t>Breeding ducks to have access to water</w:t>
      </w:r>
      <w:bookmarkEnd w:id="112"/>
      <w:bookmarkEnd w:id="113"/>
    </w:p>
    <w:p>
      <w:pPr>
        <w:pStyle w:val="Subsection"/>
      </w:pPr>
      <w:r>
        <w:tab/>
        <w:t>(1)</w:t>
      </w:r>
      <w:r>
        <w:tab/>
        <w:t xml:space="preserve">A person responsible for a breeding duck at a place where breeding ducks are kept must ensure that the duck has — </w:t>
      </w:r>
    </w:p>
    <w:p>
      <w:pPr>
        <w:pStyle w:val="Indenta"/>
      </w:pPr>
      <w:r>
        <w:tab/>
        <w:t>(a)</w:t>
      </w:r>
      <w:r>
        <w:tab/>
        <w:t>reasonable access to water so that the duck can dip their head under the water; or</w:t>
      </w:r>
    </w:p>
    <w:p>
      <w:pPr>
        <w:pStyle w:val="Indenta"/>
      </w:pPr>
      <w:r>
        <w:tab/>
        <w:t>(b)</w:t>
      </w:r>
      <w:r>
        <w:tab/>
        <w:t>constant access to a bathing system that —</w:t>
      </w:r>
    </w:p>
    <w:p>
      <w:pPr>
        <w:pStyle w:val="Indenti"/>
      </w:pPr>
      <w:r>
        <w:tab/>
        <w:t>(i)</w:t>
      </w:r>
      <w:r>
        <w:tab/>
        <w:t>is appropriate for the duck; and</w:t>
      </w:r>
    </w:p>
    <w:p>
      <w:pPr>
        <w:pStyle w:val="Indenti"/>
      </w:pPr>
      <w:r>
        <w:tab/>
        <w:t>(ii)</w:t>
      </w:r>
      <w:r>
        <w:tab/>
        <w:t>gives the duck full body access to water for bathing; and</w:t>
      </w:r>
    </w:p>
    <w:p>
      <w:pPr>
        <w:pStyle w:val="Indenti"/>
      </w:pPr>
      <w:r>
        <w:tab/>
        <w:t>(iii)</w:t>
      </w:r>
      <w:r>
        <w:tab/>
        <w:t xml:space="preserve">allows the duck to wet preen and clean their eyes and nostrils. </w:t>
      </w:r>
    </w:p>
    <w:p>
      <w:pPr>
        <w:pStyle w:val="Penstart"/>
      </w:pPr>
      <w:r>
        <w:tab/>
        <w:t>Penalty for this subregulation: a fine of $15 000.</w:t>
      </w:r>
    </w:p>
    <w:p>
      <w:pPr>
        <w:pStyle w:val="Subsection"/>
      </w:pPr>
      <w:r>
        <w:tab/>
        <w:t>(2)</w:t>
      </w:r>
      <w:r>
        <w:tab/>
        <w:t xml:space="preserve">It is a defence to a charge for an offence against subregulation (1) that an act or omission constituting the offence occurs before 1 July 2032 at a place where breeding ducks are kept that began operations before 1 July 2022. </w:t>
      </w:r>
    </w:p>
    <w:p>
      <w:pPr>
        <w:pStyle w:val="Heading2"/>
      </w:pPr>
      <w:bookmarkStart w:id="114" w:name="_Toc184300738"/>
      <w:bookmarkStart w:id="115" w:name="_Toc184300842"/>
      <w:bookmarkStart w:id="116" w:name="_Toc184301030"/>
      <w:bookmarkStart w:id="117" w:name="_Toc201671211"/>
      <w:bookmarkStart w:id="118" w:name="_Toc201673635"/>
      <w:r>
        <w:rPr>
          <w:rStyle w:val="CharPartNo"/>
        </w:rPr>
        <w:lastRenderedPageBreak/>
        <w:t>Part 5</w:t>
      </w:r>
      <w:r>
        <w:rPr>
          <w:rStyle w:val="CharDivNo"/>
        </w:rPr>
        <w:t> </w:t>
      </w:r>
      <w:r>
        <w:t>—</w:t>
      </w:r>
      <w:r>
        <w:rPr>
          <w:rStyle w:val="CharDivText"/>
        </w:rPr>
        <w:t> </w:t>
      </w:r>
      <w:r>
        <w:rPr>
          <w:rStyle w:val="CharPartText"/>
        </w:rPr>
        <w:t>Poultry standards</w:t>
      </w:r>
      <w:bookmarkEnd w:id="114"/>
      <w:bookmarkEnd w:id="115"/>
      <w:bookmarkEnd w:id="116"/>
      <w:bookmarkEnd w:id="117"/>
      <w:bookmarkEnd w:id="118"/>
    </w:p>
    <w:p>
      <w:pPr>
        <w:pStyle w:val="Heading5"/>
      </w:pPr>
      <w:bookmarkStart w:id="119" w:name="_Toc184300739"/>
      <w:bookmarkStart w:id="120" w:name="_Toc184301031"/>
      <w:bookmarkStart w:id="121" w:name="_Toc201673636"/>
      <w:r>
        <w:rPr>
          <w:rStyle w:val="CharSectno"/>
        </w:rPr>
        <w:t>20</w:t>
      </w:r>
      <w:r>
        <w:t>.</w:t>
      </w:r>
      <w:r>
        <w:tab/>
        <w:t>Application of Part</w:t>
      </w:r>
      <w:bookmarkEnd w:id="119"/>
      <w:bookmarkEnd w:id="120"/>
      <w:bookmarkEnd w:id="121"/>
    </w:p>
    <w:p>
      <w:pPr>
        <w:pStyle w:val="Subsection"/>
      </w:pPr>
      <w:r>
        <w:tab/>
      </w:r>
      <w:r>
        <w:tab/>
        <w:t>This Part applies to poultry (</w:t>
      </w:r>
      <w:r>
        <w:rPr>
          <w:rStyle w:val="CharDefText"/>
        </w:rPr>
        <w:t>captive poultry</w:t>
      </w:r>
      <w:r>
        <w:t xml:space="preserve">) bred, reared or kept in captivity. </w:t>
      </w:r>
    </w:p>
    <w:p>
      <w:pPr>
        <w:pStyle w:val="Heading5"/>
      </w:pPr>
      <w:bookmarkStart w:id="122" w:name="_Toc184300740"/>
      <w:bookmarkStart w:id="123" w:name="_Toc184301032"/>
      <w:bookmarkStart w:id="124" w:name="_Toc201673637"/>
      <w:r>
        <w:rPr>
          <w:rStyle w:val="CharSectno"/>
        </w:rPr>
        <w:t>21</w:t>
      </w:r>
      <w:r>
        <w:t>.</w:t>
      </w:r>
      <w:r>
        <w:tab/>
        <w:t>Indoor housing systems for poultry to have appropriate firefighting equipment</w:t>
      </w:r>
      <w:bookmarkEnd w:id="122"/>
      <w:bookmarkEnd w:id="123"/>
      <w:bookmarkEnd w:id="124"/>
    </w:p>
    <w:p>
      <w:pPr>
        <w:pStyle w:val="Subsection"/>
      </w:pPr>
      <w:r>
        <w:tab/>
      </w:r>
      <w:r>
        <w:tab/>
        <w:t>A person responsible for captive poultry that are housed indoors must ensure that appropriate firefighting equipment is maintained for, and accessible from, the place where the poultry are housed.</w:t>
      </w:r>
    </w:p>
    <w:p>
      <w:pPr>
        <w:pStyle w:val="Penstart"/>
      </w:pPr>
      <w:r>
        <w:tab/>
        <w:t>Penalty: a fine of $15 000.</w:t>
      </w:r>
    </w:p>
    <w:p>
      <w:pPr>
        <w:pStyle w:val="Heading5"/>
      </w:pPr>
      <w:bookmarkStart w:id="125" w:name="_Toc184300741"/>
      <w:bookmarkStart w:id="126" w:name="_Toc184301033"/>
      <w:bookmarkStart w:id="127" w:name="_Toc201673638"/>
      <w:r>
        <w:rPr>
          <w:rStyle w:val="CharSectno"/>
        </w:rPr>
        <w:t>22</w:t>
      </w:r>
      <w:r>
        <w:t>.</w:t>
      </w:r>
      <w:r>
        <w:tab/>
        <w:t>Captive poultry to have access to appropriate substrate</w:t>
      </w:r>
      <w:bookmarkEnd w:id="125"/>
      <w:bookmarkEnd w:id="126"/>
      <w:bookmarkEnd w:id="127"/>
    </w:p>
    <w:p>
      <w:pPr>
        <w:pStyle w:val="Subsection"/>
      </w:pPr>
      <w:r>
        <w:tab/>
        <w:t>(1)</w:t>
      </w:r>
      <w:r>
        <w:tab/>
        <w:t>A person responsible for captive poultry must ensure that the poultry have access to substrate that is appropriate for the poultry.</w:t>
      </w:r>
    </w:p>
    <w:p>
      <w:pPr>
        <w:pStyle w:val="Penstart"/>
      </w:pPr>
      <w:r>
        <w:tab/>
        <w:t>Penalty for this subregulation: a fine of $15 000.</w:t>
      </w:r>
    </w:p>
    <w:p>
      <w:pPr>
        <w:pStyle w:val="Subsection"/>
      </w:pPr>
      <w:r>
        <w:tab/>
        <w:t>(2)</w:t>
      </w:r>
      <w:r>
        <w:tab/>
        <w:t xml:space="preserve">Subregulation (1) does not apply to captive poultry that are laying hens to which Part 2 or 3 applies. </w:t>
      </w:r>
    </w:p>
    <w:p>
      <w:pPr>
        <w:pStyle w:val="Heading5"/>
      </w:pPr>
      <w:bookmarkStart w:id="128" w:name="_Toc184300742"/>
      <w:bookmarkStart w:id="129" w:name="_Toc184301034"/>
      <w:bookmarkStart w:id="130" w:name="_Toc201673639"/>
      <w:r>
        <w:rPr>
          <w:rStyle w:val="CharSectno"/>
        </w:rPr>
        <w:t>23</w:t>
      </w:r>
      <w:r>
        <w:t>.</w:t>
      </w:r>
      <w:r>
        <w:tab/>
        <w:t>Requirements for outside areas for captive poultry</w:t>
      </w:r>
      <w:bookmarkEnd w:id="128"/>
      <w:bookmarkEnd w:id="129"/>
      <w:bookmarkEnd w:id="130"/>
    </w:p>
    <w:p>
      <w:pPr>
        <w:pStyle w:val="Subsection"/>
      </w:pPr>
      <w:r>
        <w:tab/>
      </w:r>
      <w:r>
        <w:tab/>
        <w:t xml:space="preserve">If captive poultry housed indoors have access to an outdoor area, a person responsible for the poultry must ensure that the outdoor area has all of the following areas that are appropriate for the poultry — </w:t>
      </w:r>
    </w:p>
    <w:p>
      <w:pPr>
        <w:pStyle w:val="Indenta"/>
      </w:pPr>
      <w:r>
        <w:tab/>
        <w:t>(a)</w:t>
      </w:r>
      <w:r>
        <w:tab/>
        <w:t xml:space="preserve">shaded areas; </w:t>
      </w:r>
    </w:p>
    <w:p>
      <w:pPr>
        <w:pStyle w:val="Indenta"/>
      </w:pPr>
      <w:r>
        <w:tab/>
        <w:t>(b)</w:t>
      </w:r>
      <w:r>
        <w:tab/>
        <w:t xml:space="preserve">sheltered areas that minimise threats to the poultry from predators; </w:t>
      </w:r>
    </w:p>
    <w:p>
      <w:pPr>
        <w:pStyle w:val="Indenta"/>
      </w:pPr>
      <w:r>
        <w:tab/>
        <w:t>(c)</w:t>
      </w:r>
      <w:r>
        <w:tab/>
        <w:t xml:space="preserve">an area that allows the poultry to forage and scratch; </w:t>
      </w:r>
    </w:p>
    <w:p>
      <w:pPr>
        <w:pStyle w:val="Indenta"/>
        <w:keepNext/>
        <w:keepLines/>
      </w:pPr>
      <w:r>
        <w:lastRenderedPageBreak/>
        <w:tab/>
        <w:t>(d)</w:t>
      </w:r>
      <w:r>
        <w:tab/>
        <w:t>a number of access points from indoor housing that are high and wide enough to allow the poultry to enter and leave the outdoor area with a normal posture without hitting the edges of the access point.</w:t>
      </w:r>
    </w:p>
    <w:p>
      <w:pPr>
        <w:pStyle w:val="Penstart"/>
      </w:pPr>
      <w:r>
        <w:tab/>
        <w:t>Penalty: a fine of $15 000.</w:t>
      </w:r>
    </w:p>
    <w:p>
      <w:pPr>
        <w:pStyle w:val="Heading5"/>
      </w:pPr>
      <w:bookmarkStart w:id="131" w:name="_Toc184300743"/>
      <w:bookmarkStart w:id="132" w:name="_Toc184301035"/>
      <w:bookmarkStart w:id="133" w:name="_Toc201673640"/>
      <w:r>
        <w:rPr>
          <w:rStyle w:val="CharSectno"/>
        </w:rPr>
        <w:t>24</w:t>
      </w:r>
      <w:r>
        <w:t>.</w:t>
      </w:r>
      <w:r>
        <w:tab/>
        <w:t>Light requirements</w:t>
      </w:r>
      <w:bookmarkEnd w:id="131"/>
      <w:bookmarkEnd w:id="132"/>
      <w:bookmarkEnd w:id="133"/>
    </w:p>
    <w:p>
      <w:pPr>
        <w:pStyle w:val="Subsection"/>
      </w:pPr>
      <w:r>
        <w:tab/>
        <w:t>(1)</w:t>
      </w:r>
      <w:r>
        <w:tab/>
        <w:t>A person responsible for captive poultry, other than captive poultry that are less than 7 days of age and kept under a heat lamp or in a brooder, must ensure that the place where the poultry are kept is not illuminated for any continuous period of 24 hours.</w:t>
      </w:r>
    </w:p>
    <w:p>
      <w:pPr>
        <w:pStyle w:val="PermNoteHeading"/>
      </w:pPr>
      <w:r>
        <w:tab/>
        <w:t>Note for this subregulation:</w:t>
      </w:r>
    </w:p>
    <w:p>
      <w:pPr>
        <w:pStyle w:val="PermNoteText"/>
      </w:pPr>
      <w:r>
        <w:tab/>
      </w:r>
      <w:r>
        <w:tab/>
        <w:t>See regulation 25 for the minimum darkness requirements.</w:t>
      </w:r>
    </w:p>
    <w:p>
      <w:pPr>
        <w:pStyle w:val="Penstart"/>
      </w:pPr>
      <w:r>
        <w:tab/>
        <w:t>Penalty for this subregulation: a fine of $15 000.</w:t>
      </w:r>
    </w:p>
    <w:p>
      <w:pPr>
        <w:pStyle w:val="Subsection"/>
      </w:pPr>
      <w:r>
        <w:tab/>
        <w:t>(2)</w:t>
      </w:r>
      <w:r>
        <w:tab/>
        <w:t xml:space="preserve">A person responsible for captive poultry that are less than 4 days of age must ensure that, when the place where the poultry are kept is illuminated, it is illuminated with a light intensity of at least 20 lux at bird level. </w:t>
      </w:r>
    </w:p>
    <w:p>
      <w:pPr>
        <w:pStyle w:val="Penstart"/>
      </w:pPr>
      <w:r>
        <w:tab/>
        <w:t>Penalty for this subregulation: a fine of $15 000.</w:t>
      </w:r>
    </w:p>
    <w:p>
      <w:pPr>
        <w:pStyle w:val="Subsection"/>
      </w:pPr>
      <w:r>
        <w:tab/>
        <w:t>(3)</w:t>
      </w:r>
      <w:r>
        <w:tab/>
        <w:t>A person responsible for captive poultry that are at least</w:t>
      </w:r>
      <w:r>
        <w:rPr>
          <w:szCs w:val="24"/>
        </w:rPr>
        <w:t xml:space="preserve"> 4 days of age</w:t>
      </w:r>
      <w:r>
        <w:t xml:space="preserve"> must ensure that, when the place where the poultry are kept is illuminated, it is illuminated with a light intensity of at least 10 lux at bird level.</w:t>
      </w:r>
    </w:p>
    <w:p>
      <w:pPr>
        <w:pStyle w:val="Penstart"/>
      </w:pPr>
      <w:r>
        <w:tab/>
        <w:t>Penalty for this subregulation: a fine of $15 000.</w:t>
      </w:r>
    </w:p>
    <w:p>
      <w:pPr>
        <w:pStyle w:val="Subsection"/>
        <w:keepNext/>
      </w:pPr>
      <w:r>
        <w:tab/>
        <w:t>(4)</w:t>
      </w:r>
      <w:r>
        <w:tab/>
        <w:t xml:space="preserve">Subregulation (3) does not apply if a veterinarian — </w:t>
      </w:r>
    </w:p>
    <w:p>
      <w:pPr>
        <w:pStyle w:val="Indenta"/>
      </w:pPr>
      <w:r>
        <w:tab/>
        <w:t>(a)</w:t>
      </w:r>
      <w:r>
        <w:tab/>
        <w:t>considers a light intensity of less than 10 lux at bird level for a period is necessary to control the captive poultry from pecking or eating each other; and</w:t>
      </w:r>
    </w:p>
    <w:p>
      <w:pPr>
        <w:pStyle w:val="Indenta"/>
      </w:pPr>
      <w:r>
        <w:tab/>
        <w:t>(b)</w:t>
      </w:r>
      <w:r>
        <w:tab/>
        <w:t>considers the period is the shortest period necessary to control the captive poultry from pecking or eating each other; and</w:t>
      </w:r>
    </w:p>
    <w:p>
      <w:pPr>
        <w:pStyle w:val="Indenta"/>
      </w:pPr>
      <w:r>
        <w:lastRenderedPageBreak/>
        <w:tab/>
        <w:t>(c)</w:t>
      </w:r>
      <w:r>
        <w:tab/>
        <w:t xml:space="preserve">provides instructions and guidance to the person who illuminates the place or the person responsible for the captive poultry for the period; and </w:t>
      </w:r>
    </w:p>
    <w:p>
      <w:pPr>
        <w:pStyle w:val="Indenta"/>
      </w:pPr>
      <w:r>
        <w:tab/>
        <w:t>(d)</w:t>
      </w:r>
      <w:r>
        <w:tab/>
        <w:t>oversees and evaluates how the place is illuminated by the person who illuminates the place or the person responsible for the captive poultry; and</w:t>
      </w:r>
    </w:p>
    <w:p>
      <w:pPr>
        <w:pStyle w:val="Indenta"/>
      </w:pPr>
      <w:r>
        <w:tab/>
        <w:t>(e)</w:t>
      </w:r>
      <w:r>
        <w:tab/>
        <w:t>is able to be contacted by the person who illuminates the place or the person responsible for the captive poultry.</w:t>
      </w:r>
    </w:p>
    <w:p>
      <w:pPr>
        <w:pStyle w:val="Heading5"/>
      </w:pPr>
      <w:bookmarkStart w:id="134" w:name="_Toc184300744"/>
      <w:bookmarkStart w:id="135" w:name="_Toc184301036"/>
      <w:bookmarkStart w:id="136" w:name="_Toc201673641"/>
      <w:r>
        <w:rPr>
          <w:rStyle w:val="CharSectno"/>
        </w:rPr>
        <w:t>25</w:t>
      </w:r>
      <w:r>
        <w:t>.</w:t>
      </w:r>
      <w:r>
        <w:tab/>
        <w:t>Darkness requirements</w:t>
      </w:r>
      <w:bookmarkEnd w:id="134"/>
      <w:bookmarkEnd w:id="135"/>
      <w:bookmarkEnd w:id="136"/>
    </w:p>
    <w:p>
      <w:pPr>
        <w:pStyle w:val="Subsection"/>
      </w:pPr>
      <w:r>
        <w:tab/>
        <w:t>(1)</w:t>
      </w:r>
      <w:r>
        <w:tab/>
        <w:t xml:space="preserve">In this regulation — </w:t>
      </w:r>
    </w:p>
    <w:p>
      <w:pPr>
        <w:pStyle w:val="Defstart"/>
      </w:pPr>
      <w:r>
        <w:tab/>
      </w:r>
      <w:r>
        <w:rPr>
          <w:rStyle w:val="CharDefText"/>
        </w:rPr>
        <w:t>dark</w:t>
      </w:r>
      <w:r>
        <w:t>, for a place, means all artificial lighting is turned off in the place;</w:t>
      </w:r>
    </w:p>
    <w:p>
      <w:pPr>
        <w:pStyle w:val="Defstart"/>
      </w:pPr>
      <w:r>
        <w:tab/>
      </w:r>
      <w:r>
        <w:rPr>
          <w:rStyle w:val="CharDefText"/>
        </w:rPr>
        <w:t>laying chicken</w:t>
      </w:r>
      <w:r>
        <w:t xml:space="preserve"> — </w:t>
      </w:r>
    </w:p>
    <w:p>
      <w:pPr>
        <w:pStyle w:val="Defpara"/>
      </w:pPr>
      <w:r>
        <w:tab/>
        <w:t>(a)</w:t>
      </w:r>
      <w:r>
        <w:tab/>
        <w:t>means a chicken reared, kept and managed for egg production; but</w:t>
      </w:r>
    </w:p>
    <w:p>
      <w:pPr>
        <w:pStyle w:val="Defpara"/>
      </w:pPr>
      <w:r>
        <w:tab/>
        <w:t>(b)</w:t>
      </w:r>
      <w:r>
        <w:tab/>
        <w:t>does not include a breeding chicken.</w:t>
      </w:r>
    </w:p>
    <w:p>
      <w:pPr>
        <w:pStyle w:val="Subsection"/>
      </w:pPr>
      <w:r>
        <w:tab/>
        <w:t>(2)</w:t>
      </w:r>
      <w:r>
        <w:tab/>
        <w:t>A person responsible for captive poultry that are less than 7 days of age, other than captive poultry that are kept under a heat lamp or in a brooder, must ensure that, in every 24</w:t>
      </w:r>
      <w:r>
        <w:noBreakHyphen/>
        <w:t>hour period, the place where the poultry are kept is dark for at least a continuous period of 1 hour.</w:t>
      </w:r>
    </w:p>
    <w:p>
      <w:pPr>
        <w:pStyle w:val="Penstart"/>
      </w:pPr>
      <w:r>
        <w:tab/>
        <w:t>Penalty for this subregulation: a fine of $15 000.</w:t>
      </w:r>
    </w:p>
    <w:p>
      <w:pPr>
        <w:pStyle w:val="Subsection"/>
      </w:pPr>
      <w:r>
        <w:tab/>
        <w:t>(3)</w:t>
      </w:r>
      <w:r>
        <w:tab/>
        <w:t>A person responsible for captive poultry, other than captive poultry that are less than 7 days of age and kept under a heat lamp or in a brooder, must ensure that the place where the poultry are kept is not dark for any continuous period of 24 hours.</w:t>
      </w:r>
    </w:p>
    <w:p>
      <w:pPr>
        <w:pStyle w:val="Penstart"/>
      </w:pPr>
      <w:r>
        <w:tab/>
        <w:t>Penalty for this subregulation: a fine of $15 000.</w:t>
      </w:r>
    </w:p>
    <w:p>
      <w:pPr>
        <w:pStyle w:val="Subsection"/>
        <w:keepNext/>
      </w:pPr>
      <w:r>
        <w:lastRenderedPageBreak/>
        <w:tab/>
        <w:t>(4)</w:t>
      </w:r>
      <w:r>
        <w:tab/>
        <w:t>A person responsible for captive poultry must ensure that, in every 24</w:t>
      </w:r>
      <w:r>
        <w:noBreakHyphen/>
        <w:t xml:space="preserve">hour period, the place where the poultry are kept is dark for — </w:t>
      </w:r>
    </w:p>
    <w:p>
      <w:pPr>
        <w:pStyle w:val="Indenta"/>
      </w:pPr>
      <w:r>
        <w:tab/>
        <w:t>(a)</w:t>
      </w:r>
      <w:r>
        <w:tab/>
        <w:t xml:space="preserve">at least 6 hours in total; and </w:t>
      </w:r>
    </w:p>
    <w:p>
      <w:pPr>
        <w:pStyle w:val="Indenta"/>
      </w:pPr>
      <w:r>
        <w:tab/>
        <w:t>(b)</w:t>
      </w:r>
      <w:r>
        <w:tab/>
        <w:t>at least 1 continuous period of 4 hours.</w:t>
      </w:r>
    </w:p>
    <w:p>
      <w:pPr>
        <w:pStyle w:val="Penstart"/>
      </w:pPr>
      <w:r>
        <w:tab/>
        <w:t>Penalty for this subregulation: a fine of $15 000.</w:t>
      </w:r>
    </w:p>
    <w:p>
      <w:pPr>
        <w:pStyle w:val="Subsection"/>
      </w:pPr>
      <w:r>
        <w:tab/>
        <w:t>(5)</w:t>
      </w:r>
      <w:r>
        <w:tab/>
        <w:t xml:space="preserve">Subregulation (4) does not apply if — </w:t>
      </w:r>
    </w:p>
    <w:p>
      <w:pPr>
        <w:pStyle w:val="Indenta"/>
      </w:pPr>
      <w:r>
        <w:tab/>
        <w:t>(a)</w:t>
      </w:r>
      <w:r>
        <w:tab/>
        <w:t xml:space="preserve">the captive poultry are — </w:t>
      </w:r>
    </w:p>
    <w:p>
      <w:pPr>
        <w:pStyle w:val="Indenti"/>
      </w:pPr>
      <w:r>
        <w:tab/>
        <w:t>(i)</w:t>
      </w:r>
      <w:r>
        <w:tab/>
        <w:t>less than 7 days of age; or</w:t>
      </w:r>
    </w:p>
    <w:p>
      <w:pPr>
        <w:pStyle w:val="Indenti"/>
      </w:pPr>
      <w:r>
        <w:tab/>
        <w:t>(ii)</w:t>
      </w:r>
      <w:r>
        <w:tab/>
        <w:t>laying chickens that are less than 16 weeks of age; or</w:t>
      </w:r>
    </w:p>
    <w:p>
      <w:pPr>
        <w:pStyle w:val="Indenti"/>
      </w:pPr>
      <w:r>
        <w:tab/>
        <w:t>(iii)</w:t>
      </w:r>
      <w:r>
        <w:tab/>
        <w:t>breeder poultry that are less than 16 weeks of age;</w:t>
      </w:r>
    </w:p>
    <w:p>
      <w:pPr>
        <w:pStyle w:val="Indenta"/>
      </w:pPr>
      <w:r>
        <w:tab/>
      </w:r>
      <w:r>
        <w:tab/>
        <w:t>or</w:t>
      </w:r>
    </w:p>
    <w:p>
      <w:pPr>
        <w:pStyle w:val="Indenta"/>
      </w:pPr>
      <w:r>
        <w:tab/>
        <w:t>(b)</w:t>
      </w:r>
      <w:r>
        <w:tab/>
        <w:t>the act or omission constituting the offence against subregulation (4) occurs on the day on which the captive poultry are being removed from a shed for pick up; or</w:t>
      </w:r>
    </w:p>
    <w:p>
      <w:pPr>
        <w:pStyle w:val="Indenta"/>
      </w:pPr>
      <w:r>
        <w:tab/>
        <w:t>(c)</w:t>
      </w:r>
      <w:r>
        <w:tab/>
        <w:t>the act or omission constituting the offence against subregulation (4) occurs to reduce or prevent the captive poultry huddling or clumping during periods of high temperatures in the place; or</w:t>
      </w:r>
    </w:p>
    <w:p>
      <w:pPr>
        <w:pStyle w:val="Indenta"/>
      </w:pPr>
      <w:r>
        <w:tab/>
        <w:t>(d)</w:t>
      </w:r>
      <w:r>
        <w:tab/>
        <w:t xml:space="preserve">the act or omission constituting the offence against subregulation (4) occurs during an outbreak of disease and a veterinarian — </w:t>
      </w:r>
    </w:p>
    <w:p>
      <w:pPr>
        <w:pStyle w:val="Indenti"/>
      </w:pPr>
      <w:r>
        <w:tab/>
        <w:t>(i)</w:t>
      </w:r>
      <w:r>
        <w:tab/>
        <w:t>considers the period of the contravention is the shortest period necessary to control or eliminate the outbreak; and</w:t>
      </w:r>
    </w:p>
    <w:p>
      <w:pPr>
        <w:pStyle w:val="Indenti"/>
      </w:pPr>
      <w:r>
        <w:tab/>
        <w:t>(ii)</w:t>
      </w:r>
      <w:r>
        <w:tab/>
        <w:t>provides instructions and guidance to the person who illuminates the place or the person responsible for the captive poultry for the period; and</w:t>
      </w:r>
    </w:p>
    <w:p>
      <w:pPr>
        <w:pStyle w:val="Indenti"/>
      </w:pPr>
      <w:r>
        <w:lastRenderedPageBreak/>
        <w:tab/>
        <w:t>(iii)</w:t>
      </w:r>
      <w:r>
        <w:tab/>
        <w:t>oversees and evaluates how the place is illuminated by the person who illuminates the place or the person responsible for the captive poultry; and</w:t>
      </w:r>
    </w:p>
    <w:p>
      <w:pPr>
        <w:pStyle w:val="Indenti"/>
      </w:pPr>
      <w:r>
        <w:tab/>
        <w:t>(iv)</w:t>
      </w:r>
      <w:r>
        <w:tab/>
        <w:t>is able to be contacted by the person who illuminates the place or the person responsible for the captive poultry.</w:t>
      </w:r>
    </w:p>
    <w:p>
      <w:pPr>
        <w:pStyle w:val="Heading5"/>
      </w:pPr>
      <w:bookmarkStart w:id="137" w:name="_Toc184300745"/>
      <w:bookmarkStart w:id="138" w:name="_Toc184301037"/>
      <w:bookmarkStart w:id="139" w:name="_Toc201673642"/>
      <w:r>
        <w:rPr>
          <w:rStyle w:val="CharSectno"/>
        </w:rPr>
        <w:t>26</w:t>
      </w:r>
      <w:r>
        <w:t>.</w:t>
      </w:r>
      <w:r>
        <w:tab/>
        <w:t>Limits on ammonia levels in commercial poultry production</w:t>
      </w:r>
      <w:bookmarkEnd w:id="137"/>
      <w:bookmarkEnd w:id="138"/>
      <w:bookmarkEnd w:id="139"/>
    </w:p>
    <w:p>
      <w:pPr>
        <w:pStyle w:val="Subsection"/>
      </w:pPr>
      <w:r>
        <w:tab/>
        <w:t>(1)</w:t>
      </w:r>
      <w:r>
        <w:tab/>
        <w:t xml:space="preserve">In this regulation — </w:t>
      </w:r>
    </w:p>
    <w:p>
      <w:pPr>
        <w:pStyle w:val="Defstart"/>
      </w:pPr>
      <w:r>
        <w:tab/>
      </w:r>
      <w:r>
        <w:rPr>
          <w:rStyle w:val="CharDefText"/>
        </w:rPr>
        <w:t>mechanically</w:t>
      </w:r>
      <w:r>
        <w:rPr>
          <w:rStyle w:val="CharDefText"/>
        </w:rPr>
        <w:noBreakHyphen/>
        <w:t>ventilated shed</w:t>
      </w:r>
      <w:r>
        <w:t xml:space="preserve"> means a shed that is ventilated mechanically by stirring fans and a water</w:t>
      </w:r>
      <w:r>
        <w:noBreakHyphen/>
        <w:t>based cooling system (other than an evaporative cooling system);</w:t>
      </w:r>
    </w:p>
    <w:p>
      <w:pPr>
        <w:pStyle w:val="Defstart"/>
      </w:pPr>
      <w:r>
        <w:tab/>
      </w:r>
      <w:r>
        <w:rPr>
          <w:rStyle w:val="CharDefText"/>
        </w:rPr>
        <w:t>tunnel</w:t>
      </w:r>
      <w:r>
        <w:rPr>
          <w:rStyle w:val="CharDefText"/>
        </w:rPr>
        <w:noBreakHyphen/>
        <w:t>ventilated shed</w:t>
      </w:r>
      <w:r>
        <w:t xml:space="preserve"> means a shed that is ventilated by a tunnel of air created through an extractive system that has an evaporative cooling system capable of providing 1 air exchange in each minute;</w:t>
      </w:r>
    </w:p>
    <w:p>
      <w:pPr>
        <w:pStyle w:val="Defstart"/>
        <w:keepNext/>
      </w:pPr>
      <w:r>
        <w:tab/>
      </w:r>
      <w:r>
        <w:rPr>
          <w:rStyle w:val="CharDefText"/>
        </w:rPr>
        <w:t>usable space</w:t>
      </w:r>
      <w:r>
        <w:t xml:space="preserve">, in relation to a shed where a chicken is bred, reared or otherwise kept in captivity — </w:t>
      </w:r>
    </w:p>
    <w:p>
      <w:pPr>
        <w:pStyle w:val="Defpara"/>
      </w:pPr>
      <w:r>
        <w:tab/>
        <w:t>(a)</w:t>
      </w:r>
      <w:r>
        <w:tab/>
        <w:t>means the part of the shed in which the chicken can move around freely and perform normal postures; but</w:t>
      </w:r>
    </w:p>
    <w:p>
      <w:pPr>
        <w:pStyle w:val="Defpara"/>
      </w:pPr>
      <w:r>
        <w:tab/>
        <w:t>(b)</w:t>
      </w:r>
      <w:r>
        <w:tab/>
        <w:t xml:space="preserve">does not include the parts of the shed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This regulation applies to captive poultry in sheds used for commercial poultry production other than chickens that are — </w:t>
      </w:r>
    </w:p>
    <w:p>
      <w:pPr>
        <w:pStyle w:val="Indenta"/>
      </w:pPr>
      <w:r>
        <w:tab/>
        <w:t>(a)</w:t>
      </w:r>
      <w:r>
        <w:tab/>
        <w:t>more than 10 days of age; and</w:t>
      </w:r>
    </w:p>
    <w:p>
      <w:pPr>
        <w:pStyle w:val="Indenta"/>
      </w:pPr>
      <w:r>
        <w:tab/>
        <w:t>(b)</w:t>
      </w:r>
      <w:r>
        <w:tab/>
        <w:t>bred, reared, kept and managed for meat production, unless those chickens are breeding chickens reared, kept and managed for breeding chickens for meat production; and</w:t>
      </w:r>
    </w:p>
    <w:p>
      <w:pPr>
        <w:pStyle w:val="Indenta"/>
        <w:keepNext/>
      </w:pPr>
      <w:r>
        <w:lastRenderedPageBreak/>
        <w:tab/>
        <w:t>(c)</w:t>
      </w:r>
      <w:r>
        <w:tab/>
        <w:t>kept in a shed with a stocking density of —</w:t>
      </w:r>
    </w:p>
    <w:p>
      <w:pPr>
        <w:pStyle w:val="Indenti"/>
      </w:pPr>
      <w:r>
        <w:tab/>
        <w:t>(i)</w:t>
      </w:r>
      <w:r>
        <w:tab/>
        <w:t>if the chickens are kept in a tunnel</w:t>
      </w:r>
      <w:r>
        <w:noBreakHyphen/>
        <w:t>ventilated shed — more than 34 kg of live body weight per square metre but less than 38 kg of live body weight per square metre of the shed’s usable space; and</w:t>
      </w:r>
    </w:p>
    <w:p>
      <w:pPr>
        <w:pStyle w:val="Indenti"/>
      </w:pPr>
      <w:r>
        <w:tab/>
        <w:t>(ii)</w:t>
      </w:r>
      <w:r>
        <w:tab/>
        <w:t>if the chickens are kept in a mechanically</w:t>
      </w:r>
      <w:r>
        <w:noBreakHyphen/>
        <w:t>ventilated shed and will be picked up between 1 April and 30 September — more than 34 kg of live body weight per square metre but less than 38 kg of live body weight per square metre of the shed’s usable space; and</w:t>
      </w:r>
    </w:p>
    <w:p>
      <w:pPr>
        <w:pStyle w:val="Indenti"/>
      </w:pPr>
      <w:r>
        <w:tab/>
        <w:t>(iii)</w:t>
      </w:r>
      <w:r>
        <w:tab/>
        <w:t>if the chickens are kept in a mechanically</w:t>
      </w:r>
      <w:r>
        <w:noBreakHyphen/>
        <w:t>ventilated shed and will be picked up between 1 October and 31 March — more than 34 kg of live body weight per square metre but less than 36 kg of live body weight per square metre of the shed’s usable space.</w:t>
      </w:r>
    </w:p>
    <w:p>
      <w:pPr>
        <w:pStyle w:val="Subsection"/>
      </w:pPr>
      <w:r>
        <w:tab/>
        <w:t>(3)</w:t>
      </w:r>
      <w:r>
        <w:tab/>
        <w:t>The person responsible for the captive poultry must ensure that the level of ammonia in the shed is continuously monitored.</w:t>
      </w:r>
    </w:p>
    <w:p>
      <w:pPr>
        <w:pStyle w:val="Penstart"/>
      </w:pPr>
      <w:r>
        <w:tab/>
        <w:t>Penalty for this subregulation: a fine of $15 000.</w:t>
      </w:r>
    </w:p>
    <w:p>
      <w:pPr>
        <w:pStyle w:val="Subsection"/>
      </w:pPr>
      <w:r>
        <w:tab/>
        <w:t>(4)</w:t>
      </w:r>
      <w:r>
        <w:tab/>
        <w:t>The person responsible for the captive poultry must ensure that, if the level of ammonia in the shed exceeds 15 ppm at bird level, immediate action is taken to reduce the ammonia level in the shed to below 15 ppm.</w:t>
      </w:r>
    </w:p>
    <w:p>
      <w:pPr>
        <w:pStyle w:val="Penstart"/>
      </w:pPr>
      <w:r>
        <w:tab/>
        <w:t>Penalty for this subregulation: a fine of $15 000.</w:t>
      </w:r>
    </w:p>
    <w:p>
      <w:pPr>
        <w:pStyle w:val="Heading5"/>
      </w:pPr>
      <w:bookmarkStart w:id="140" w:name="_Toc184300746"/>
      <w:bookmarkStart w:id="141" w:name="_Toc184301038"/>
      <w:bookmarkStart w:id="142" w:name="_Toc201673643"/>
      <w:r>
        <w:rPr>
          <w:rStyle w:val="CharSectno"/>
        </w:rPr>
        <w:t>27</w:t>
      </w:r>
      <w:r>
        <w:t>.</w:t>
      </w:r>
      <w:r>
        <w:tab/>
        <w:t>Beak trimming</w:t>
      </w:r>
      <w:bookmarkEnd w:id="140"/>
      <w:bookmarkEnd w:id="141"/>
      <w:bookmarkEnd w:id="142"/>
    </w:p>
    <w:p>
      <w:pPr>
        <w:pStyle w:val="Subsection"/>
        <w:keepNext/>
      </w:pPr>
      <w:r>
        <w:tab/>
        <w:t>(1)</w:t>
      </w:r>
      <w:r>
        <w:tab/>
        <w:t xml:space="preserve">In this regulation — </w:t>
      </w:r>
    </w:p>
    <w:p>
      <w:pPr>
        <w:pStyle w:val="Defstart"/>
      </w:pPr>
      <w:r>
        <w:tab/>
      </w:r>
      <w:r>
        <w:rPr>
          <w:rStyle w:val="CharDefText"/>
        </w:rPr>
        <w:t>hot blade</w:t>
      </w:r>
      <w:r>
        <w:t xml:space="preserve"> means a blade heated to a temperature between 595°C and 750°C that cuts through and cauterises the beaks of poultry;</w:t>
      </w:r>
    </w:p>
    <w:p>
      <w:pPr>
        <w:pStyle w:val="Defstart"/>
      </w:pPr>
      <w:r>
        <w:tab/>
      </w:r>
      <w:r>
        <w:rPr>
          <w:rStyle w:val="CharDefText"/>
        </w:rPr>
        <w:t>trim</w:t>
      </w:r>
      <w:r>
        <w:t>, in relation to the beaks of poultry, means remove part of the beaks of the poultry.</w:t>
      </w:r>
    </w:p>
    <w:p>
      <w:pPr>
        <w:pStyle w:val="Subsection"/>
      </w:pPr>
      <w:r>
        <w:lastRenderedPageBreak/>
        <w:tab/>
        <w:t>(2)</w:t>
      </w:r>
      <w:r>
        <w:tab/>
        <w:t xml:space="preserve">A person responsible for captive poultry kept for commercial poultry production must ensure that the beaks of the poultry are not trimmed other than as permitted under subregulation (3) or (4). </w:t>
      </w:r>
    </w:p>
    <w:p>
      <w:pPr>
        <w:pStyle w:val="Penstart"/>
      </w:pPr>
      <w:r>
        <w:tab/>
        <w:t xml:space="preserve">Penalty for this subregulation: a fine of $15 000. </w:t>
      </w:r>
    </w:p>
    <w:p>
      <w:pPr>
        <w:pStyle w:val="Subsection"/>
      </w:pPr>
      <w:r>
        <w:tab/>
        <w:t>(3)</w:t>
      </w:r>
      <w:r>
        <w:tab/>
        <w:t xml:space="preserve">A person may trim the beaks of poultry if — </w:t>
      </w:r>
    </w:p>
    <w:p>
      <w:pPr>
        <w:pStyle w:val="Indenta"/>
      </w:pPr>
      <w:r>
        <w:tab/>
        <w:t>(a)</w:t>
      </w:r>
      <w:r>
        <w:tab/>
        <w:t xml:space="preserve">the poultry are at a hatchery; and </w:t>
      </w:r>
    </w:p>
    <w:p>
      <w:pPr>
        <w:pStyle w:val="Indenta"/>
      </w:pPr>
      <w:r>
        <w:tab/>
        <w:t>(b)</w:t>
      </w:r>
      <w:r>
        <w:tab/>
        <w:t>it is done within the period of 24 hours before the poultry are moved from an incubator into a container to be transported from the hatchery; and</w:t>
      </w:r>
    </w:p>
    <w:p>
      <w:pPr>
        <w:pStyle w:val="Indenta"/>
      </w:pPr>
      <w:r>
        <w:tab/>
        <w:t>(c)</w:t>
      </w:r>
      <w:r>
        <w:tab/>
        <w:t>it is done using an infrared beam; and</w:t>
      </w:r>
    </w:p>
    <w:p>
      <w:pPr>
        <w:pStyle w:val="Indenta"/>
      </w:pPr>
      <w:r>
        <w:tab/>
        <w:t>(d)</w:t>
      </w:r>
      <w:r>
        <w:tab/>
        <w:t>no more than 30% of the upper and lower beak is removed.</w:t>
      </w:r>
    </w:p>
    <w:p>
      <w:pPr>
        <w:pStyle w:val="Subsection"/>
        <w:keepNext/>
      </w:pPr>
      <w:r>
        <w:tab/>
        <w:t>(4)</w:t>
      </w:r>
      <w:r>
        <w:tab/>
        <w:t xml:space="preserve">A person may trim the beaks of poultry if — </w:t>
      </w:r>
    </w:p>
    <w:p>
      <w:pPr>
        <w:pStyle w:val="Indenta"/>
      </w:pPr>
      <w:r>
        <w:tab/>
        <w:t>(a)</w:t>
      </w:r>
      <w:r>
        <w:tab/>
        <w:t>it is done using a hot blade; and</w:t>
      </w:r>
    </w:p>
    <w:p>
      <w:pPr>
        <w:pStyle w:val="Indenta"/>
      </w:pPr>
      <w:r>
        <w:tab/>
        <w:t>(b)</w:t>
      </w:r>
      <w:r>
        <w:tab/>
        <w:t xml:space="preserve">it is done in accordance with advice from a veterinarian; and </w:t>
      </w:r>
    </w:p>
    <w:p>
      <w:pPr>
        <w:pStyle w:val="Indenta"/>
      </w:pPr>
      <w:r>
        <w:tab/>
        <w:t>(c)</w:t>
      </w:r>
      <w:r>
        <w:tab/>
        <w:t>it is done to control harmful feather pecking; and</w:t>
      </w:r>
    </w:p>
    <w:p>
      <w:pPr>
        <w:pStyle w:val="Indenta"/>
      </w:pPr>
      <w:r>
        <w:tab/>
        <w:t>(d)</w:t>
      </w:r>
      <w:r>
        <w:tab/>
        <w:t>the person is competent under subregulation (5) using the hot blade; and</w:t>
      </w:r>
    </w:p>
    <w:p>
      <w:pPr>
        <w:pStyle w:val="Indenta"/>
      </w:pPr>
      <w:r>
        <w:tab/>
        <w:t>(e)</w:t>
      </w:r>
      <w:r>
        <w:tab/>
        <w:t>no more than 30% of the upper and lower beak is removed.</w:t>
      </w:r>
    </w:p>
    <w:p>
      <w:pPr>
        <w:pStyle w:val="Subsection"/>
        <w:keepNext/>
      </w:pPr>
      <w:r>
        <w:tab/>
        <w:t>(5)</w:t>
      </w:r>
      <w:r>
        <w:tab/>
        <w:t xml:space="preserve">For the purposes of subregulation (4)(d), a person is competent to carry out beak trimming using a hot blade if the person — </w:t>
      </w:r>
    </w:p>
    <w:p>
      <w:pPr>
        <w:pStyle w:val="Indenta"/>
      </w:pPr>
      <w:r>
        <w:tab/>
        <w:t>(a)</w:t>
      </w:r>
      <w:r>
        <w:tab/>
        <w:t>has the experience, knowledge, skills, temperament and training to do so; and</w:t>
      </w:r>
    </w:p>
    <w:p>
      <w:pPr>
        <w:pStyle w:val="Indenta"/>
        <w:keepNext/>
      </w:pPr>
      <w:r>
        <w:tab/>
        <w:t>(b)</w:t>
      </w:r>
      <w:r>
        <w:tab/>
        <w:t xml:space="preserve">has evidence of that experience, knowledge, skills, temperament and training, including evidence of — </w:t>
      </w:r>
    </w:p>
    <w:p>
      <w:pPr>
        <w:pStyle w:val="Indenti"/>
      </w:pPr>
      <w:r>
        <w:tab/>
        <w:t>(i)</w:t>
      </w:r>
      <w:r>
        <w:tab/>
        <w:t>relevant training the person has completed; and</w:t>
      </w:r>
    </w:p>
    <w:p>
      <w:pPr>
        <w:pStyle w:val="Indenti"/>
      </w:pPr>
      <w:r>
        <w:tab/>
        <w:t>(ii)</w:t>
      </w:r>
      <w:r>
        <w:tab/>
        <w:t>relevant experience, including evidence from previous supervisors.</w:t>
      </w:r>
    </w:p>
    <w:p>
      <w:pPr>
        <w:pStyle w:val="Heading2"/>
      </w:pPr>
      <w:bookmarkStart w:id="143" w:name="_Toc184300747"/>
      <w:bookmarkStart w:id="144" w:name="_Toc184300851"/>
      <w:bookmarkStart w:id="145" w:name="_Toc184301039"/>
      <w:bookmarkStart w:id="146" w:name="_Toc184648003"/>
      <w:bookmarkStart w:id="147" w:name="_Toc184648115"/>
      <w:bookmarkStart w:id="148" w:name="_Toc184649296"/>
      <w:bookmarkStart w:id="149" w:name="_Toc201671220"/>
      <w:bookmarkStart w:id="150" w:name="_Toc201673644"/>
      <w:r>
        <w:rPr>
          <w:rStyle w:val="CharPartNo"/>
        </w:rPr>
        <w:lastRenderedPageBreak/>
        <w:t>Part 6</w:t>
      </w:r>
      <w:r>
        <w:rPr>
          <w:rStyle w:val="CharDivNo"/>
        </w:rPr>
        <w:t> </w:t>
      </w:r>
      <w:r>
        <w:t>—</w:t>
      </w:r>
      <w:r>
        <w:rPr>
          <w:rStyle w:val="CharDivText"/>
        </w:rPr>
        <w:t> </w:t>
      </w:r>
      <w:r>
        <w:rPr>
          <w:rStyle w:val="CharPartText"/>
        </w:rPr>
        <w:t>Defences to offences</w:t>
      </w:r>
      <w:bookmarkEnd w:id="143"/>
      <w:bookmarkEnd w:id="144"/>
      <w:bookmarkEnd w:id="145"/>
      <w:bookmarkEnd w:id="146"/>
      <w:bookmarkEnd w:id="147"/>
      <w:bookmarkEnd w:id="148"/>
      <w:bookmarkEnd w:id="149"/>
      <w:bookmarkEnd w:id="150"/>
    </w:p>
    <w:p>
      <w:pPr>
        <w:pStyle w:val="Heading5"/>
      </w:pPr>
      <w:bookmarkStart w:id="151" w:name="_Toc184300748"/>
      <w:bookmarkStart w:id="152" w:name="_Toc201673645"/>
      <w:r>
        <w:rPr>
          <w:rStyle w:val="CharSectno"/>
        </w:rPr>
        <w:t>28</w:t>
      </w:r>
      <w:r>
        <w:t>.</w:t>
      </w:r>
      <w:r>
        <w:tab/>
        <w:t>Use of poultry under licence for scientific purposes</w:t>
      </w:r>
      <w:bookmarkEnd w:id="151"/>
      <w:bookmarkEnd w:id="152"/>
    </w:p>
    <w:p>
      <w:pPr>
        <w:pStyle w:val="Subsection"/>
        <w:rPr>
          <w:snapToGrid w:val="0"/>
        </w:rPr>
      </w:pPr>
      <w:r>
        <w:tab/>
      </w:r>
      <w:r>
        <w:tab/>
        <w:t xml:space="preserve">It is a defence to a charge for an offence against these regulations </w:t>
      </w:r>
      <w:r>
        <w:rPr>
          <w:snapToGrid w:val="0"/>
        </w:rPr>
        <w:t xml:space="preserve">that — </w:t>
      </w:r>
    </w:p>
    <w:p>
      <w:pPr>
        <w:pStyle w:val="Indenta"/>
      </w:pPr>
      <w:r>
        <w:tab/>
        <w:t>(a)</w:t>
      </w:r>
      <w:r>
        <w:tab/>
      </w:r>
      <w:r>
        <w:rPr>
          <w:snapToGrid w:val="0"/>
        </w:rPr>
        <w:t>the person charged uses the poultry</w:t>
      </w:r>
      <w:r>
        <w:t xml:space="preserve"> for scientific purposes; and</w:t>
      </w:r>
    </w:p>
    <w:p>
      <w:pPr>
        <w:pStyle w:val="Indenta"/>
      </w:pPr>
      <w:r>
        <w:tab/>
        <w:t>(b)</w:t>
      </w:r>
      <w:r>
        <w:tab/>
      </w:r>
      <w:r>
        <w:rPr>
          <w:snapToGrid w:val="0"/>
        </w:rPr>
        <w:t>the person charged</w:t>
      </w:r>
      <w:r>
        <w:t xml:space="preserve"> is a scientific establishment, or a member of staff or a student of a scientific establishment, that holds a licence authorising the use of the poultry for scientific purposes; and</w:t>
      </w:r>
    </w:p>
    <w:p>
      <w:pPr>
        <w:pStyle w:val="Indenta"/>
        <w:rPr>
          <w:snapToGrid w:val="0"/>
        </w:rPr>
      </w:pPr>
      <w:r>
        <w:rPr>
          <w:snapToGrid w:val="0"/>
        </w:rPr>
        <w:tab/>
        <w:t>(c)</w:t>
      </w:r>
      <w:r>
        <w:rPr>
          <w:snapToGrid w:val="0"/>
        </w:rPr>
        <w:tab/>
        <w:t>the animal ethics committee of the scientific establishment has given approval, in accordance with the scientific use code, for the person to so use the poultry; and</w:t>
      </w:r>
    </w:p>
    <w:p>
      <w:pPr>
        <w:pStyle w:val="Indenta"/>
        <w:rPr>
          <w:snapToGrid w:val="0"/>
        </w:rPr>
      </w:pPr>
      <w:r>
        <w:rPr>
          <w:snapToGrid w:val="0"/>
        </w:rPr>
        <w:tab/>
        <w:t>(d)</w:t>
      </w:r>
      <w:r>
        <w:rPr>
          <w:snapToGrid w:val="0"/>
        </w:rPr>
        <w:tab/>
        <w:t>the person charged uses the poultry in accordance with the licence and approval; and</w:t>
      </w:r>
    </w:p>
    <w:p>
      <w:pPr>
        <w:pStyle w:val="Indenta"/>
      </w:pPr>
      <w:r>
        <w:tab/>
        <w:t>(e)</w:t>
      </w:r>
      <w:r>
        <w:tab/>
      </w:r>
      <w:r>
        <w:rPr>
          <w:snapToGrid w:val="0"/>
        </w:rPr>
        <w:t>the person charged</w:t>
      </w:r>
      <w:r>
        <w:t xml:space="preserve"> uses the </w:t>
      </w:r>
      <w:r>
        <w:rPr>
          <w:snapToGrid w:val="0"/>
        </w:rPr>
        <w:t>poultry</w:t>
      </w:r>
      <w:r>
        <w:t xml:space="preserve"> in a humane manner.</w:t>
      </w:r>
    </w:p>
    <w:p>
      <w:pPr>
        <w:pStyle w:val="Heading5"/>
      </w:pPr>
      <w:bookmarkStart w:id="153" w:name="_Toc184300749"/>
      <w:bookmarkStart w:id="154" w:name="_Toc201673646"/>
      <w:r>
        <w:rPr>
          <w:rStyle w:val="CharSectno"/>
        </w:rPr>
        <w:t>29</w:t>
      </w:r>
      <w:r>
        <w:t>.</w:t>
      </w:r>
      <w:r>
        <w:tab/>
        <w:t>Person responsible not in actual control of poultry</w:t>
      </w:r>
      <w:bookmarkEnd w:id="153"/>
      <w:bookmarkEnd w:id="154"/>
    </w:p>
    <w:p>
      <w:pPr>
        <w:pStyle w:val="Subsection"/>
      </w:pPr>
      <w:r>
        <w:tab/>
      </w:r>
      <w:r>
        <w:tab/>
        <w:t xml:space="preserve">It is a defence to a charge for an offence against these regulations </w:t>
      </w:r>
      <w:r>
        <w:rPr>
          <w:snapToGrid w:val="0"/>
        </w:rPr>
        <w:t>that</w:t>
      </w:r>
      <w:r>
        <w:t xml:space="preserve"> — </w:t>
      </w:r>
    </w:p>
    <w:p>
      <w:pPr>
        <w:pStyle w:val="Indenta"/>
      </w:pPr>
      <w:r>
        <w:tab/>
        <w:t>(a)</w:t>
      </w:r>
      <w:r>
        <w:tab/>
      </w:r>
      <w:r>
        <w:rPr>
          <w:snapToGrid w:val="0"/>
        </w:rPr>
        <w:t xml:space="preserve">the person </w:t>
      </w:r>
      <w:r>
        <w:t xml:space="preserve">responsible for poultry who is </w:t>
      </w:r>
      <w:r>
        <w:rPr>
          <w:snapToGrid w:val="0"/>
        </w:rPr>
        <w:t>charged</w:t>
      </w:r>
      <w:r>
        <w:t xml:space="preserve"> either — </w:t>
      </w:r>
    </w:p>
    <w:p>
      <w:pPr>
        <w:pStyle w:val="Indenti"/>
      </w:pPr>
      <w:r>
        <w:tab/>
        <w:t>(i)</w:t>
      </w:r>
      <w:r>
        <w:tab/>
        <w:t>owns the poultry; or</w:t>
      </w:r>
    </w:p>
    <w:p>
      <w:pPr>
        <w:pStyle w:val="Indenti"/>
      </w:pPr>
      <w:r>
        <w:tab/>
        <w:t>(ii)</w:t>
      </w:r>
      <w:r>
        <w:tab/>
        <w:t>owns, uses, manages or controls the place or vehicle where the poultry are located;</w:t>
      </w:r>
    </w:p>
    <w:p>
      <w:pPr>
        <w:pStyle w:val="Indenta"/>
      </w:pPr>
      <w:r>
        <w:tab/>
      </w:r>
      <w:r>
        <w:tab/>
        <w:t>and</w:t>
      </w:r>
    </w:p>
    <w:p>
      <w:pPr>
        <w:pStyle w:val="Indenta"/>
      </w:pPr>
      <w:r>
        <w:tab/>
        <w:t>(b)</w:t>
      </w:r>
      <w:r>
        <w:tab/>
        <w:t>another person has care, supervision, custody or control of the poultry when the act or omission alleged to have constituted the offence occurs; and</w:t>
      </w:r>
    </w:p>
    <w:p>
      <w:pPr>
        <w:pStyle w:val="Indenta"/>
        <w:rPr>
          <w:snapToGrid w:val="0"/>
        </w:rPr>
      </w:pPr>
      <w:r>
        <w:lastRenderedPageBreak/>
        <w:tab/>
        <w:t>(c)</w:t>
      </w:r>
      <w:r>
        <w:tab/>
      </w:r>
      <w:r>
        <w:rPr>
          <w:snapToGrid w:val="0"/>
        </w:rPr>
        <w:t>the person charged</w:t>
      </w:r>
      <w:r>
        <w:t xml:space="preserve"> </w:t>
      </w:r>
      <w:r>
        <w:rPr>
          <w:snapToGrid w:val="0"/>
        </w:rPr>
        <w:t xml:space="preserve">takes reasonable steps to ensure that the poultry are properly treated and cared for when the other person has the </w:t>
      </w:r>
      <w:r>
        <w:t>care, supervision, custody or control of the poultry</w:t>
      </w:r>
      <w:r>
        <w:rPr>
          <w:snapToGrid w:val="0"/>
        </w:rPr>
        <w:t>.</w:t>
      </w:r>
    </w:p>
    <w:p>
      <w:pPr>
        <w:pStyle w:val="Heading5"/>
      </w:pPr>
      <w:bookmarkStart w:id="155" w:name="_Toc184300750"/>
      <w:bookmarkStart w:id="156" w:name="_Toc201673647"/>
      <w:r>
        <w:rPr>
          <w:rStyle w:val="CharSectno"/>
        </w:rPr>
        <w:t>30</w:t>
      </w:r>
      <w:r>
        <w:t>.</w:t>
      </w:r>
      <w:r>
        <w:tab/>
        <w:t>Offence against Parts 2 and 3 during particular periods</w:t>
      </w:r>
      <w:bookmarkEnd w:id="155"/>
      <w:bookmarkEnd w:id="156"/>
    </w:p>
    <w:p>
      <w:pPr>
        <w:pStyle w:val="Subsection"/>
      </w:pPr>
      <w:r>
        <w:tab/>
        <w:t>(1)</w:t>
      </w:r>
      <w:r>
        <w:tab/>
        <w:t xml:space="preserve">It is a defence to a charge of an offence against Part 2 that an act or omission constituting the offence did not occur during the Part 2 operative period for the laying shed to which the charge relates. </w:t>
      </w:r>
    </w:p>
    <w:p>
      <w:pPr>
        <w:pStyle w:val="Subsection"/>
      </w:pPr>
      <w:r>
        <w:tab/>
        <w:t>(2)</w:t>
      </w:r>
      <w:r>
        <w:tab/>
        <w:t xml:space="preserve">It is a defence to a charge of an offence against Part 3 that — </w:t>
      </w:r>
    </w:p>
    <w:p>
      <w:pPr>
        <w:pStyle w:val="Indenta"/>
      </w:pPr>
      <w:r>
        <w:tab/>
        <w:t>(a)</w:t>
      </w:r>
      <w:r>
        <w:tab/>
        <w:t>the shed where the laying hen to which the charge relates is housed is a laying shed; and</w:t>
      </w:r>
    </w:p>
    <w:p>
      <w:pPr>
        <w:pStyle w:val="Indenta"/>
      </w:pPr>
      <w:r>
        <w:tab/>
        <w:t>(b)</w:t>
      </w:r>
      <w:r>
        <w:tab/>
        <w:t xml:space="preserve">an act or omission constituting the offence occurs during the Part 2 operative period for the laying shed. </w:t>
      </w:r>
    </w:p>
    <w:p>
      <w:pPr>
        <w:pStyle w:val="Heading2"/>
      </w:pPr>
      <w:bookmarkStart w:id="157" w:name="_Toc184300751"/>
      <w:bookmarkStart w:id="158" w:name="_Toc184300855"/>
      <w:bookmarkStart w:id="159" w:name="_Toc184301043"/>
      <w:bookmarkStart w:id="160" w:name="_Toc184648007"/>
      <w:bookmarkStart w:id="161" w:name="_Toc184648119"/>
      <w:bookmarkStart w:id="162" w:name="_Toc184649300"/>
      <w:bookmarkStart w:id="163" w:name="_Toc201671224"/>
      <w:bookmarkStart w:id="164" w:name="_Toc201673648"/>
      <w:r>
        <w:rPr>
          <w:rStyle w:val="CharPartNo"/>
        </w:rPr>
        <w:lastRenderedPageBreak/>
        <w:t>Part 7</w:t>
      </w:r>
      <w:r>
        <w:rPr>
          <w:rStyle w:val="CharDivNo"/>
        </w:rPr>
        <w:t> </w:t>
      </w:r>
      <w:r>
        <w:t>—</w:t>
      </w:r>
      <w:r>
        <w:rPr>
          <w:rStyle w:val="CharDivText"/>
        </w:rPr>
        <w:t> </w:t>
      </w:r>
      <w:r>
        <w:rPr>
          <w:rStyle w:val="CharPartText"/>
        </w:rPr>
        <w:t>Repeal</w:t>
      </w:r>
      <w:bookmarkEnd w:id="157"/>
      <w:bookmarkEnd w:id="158"/>
      <w:bookmarkEnd w:id="159"/>
      <w:bookmarkEnd w:id="160"/>
      <w:bookmarkEnd w:id="161"/>
      <w:bookmarkEnd w:id="162"/>
      <w:bookmarkEnd w:id="163"/>
      <w:bookmarkEnd w:id="164"/>
    </w:p>
    <w:p>
      <w:pPr>
        <w:pStyle w:val="Heading5"/>
      </w:pPr>
      <w:bookmarkStart w:id="165" w:name="_Toc184300752"/>
      <w:bookmarkStart w:id="166" w:name="_Toc201673649"/>
      <w:r>
        <w:rPr>
          <w:rStyle w:val="CharSectno"/>
        </w:rPr>
        <w:t>31</w:t>
      </w:r>
      <w:r>
        <w:t>.</w:t>
      </w:r>
      <w:r>
        <w:tab/>
        <w:t>Regulations repealed</w:t>
      </w:r>
      <w:bookmarkEnd w:id="165"/>
      <w:bookmarkEnd w:id="166"/>
    </w:p>
    <w:p>
      <w:pPr>
        <w:pStyle w:val="Subsection"/>
      </w:pPr>
      <w:r>
        <w:tab/>
      </w:r>
      <w:r>
        <w:tab/>
        <w:t xml:space="preserve">The </w:t>
      </w:r>
      <w:r>
        <w:rPr>
          <w:i/>
          <w:iCs/>
        </w:rPr>
        <w:t>Animal Welfare (Commercial Poultry) Regulations 2008</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67" w:name="_Toc184648009"/>
      <w:bookmarkStart w:id="168" w:name="_Toc184648121"/>
      <w:bookmarkStart w:id="169" w:name="_Toc184649302"/>
      <w:bookmarkStart w:id="170" w:name="_Toc201671226"/>
      <w:bookmarkStart w:id="171" w:name="_Toc201673650"/>
      <w:bookmarkStart w:id="172" w:name="_Toc184301045"/>
      <w:r>
        <w:lastRenderedPageBreak/>
        <w:t>Notes</w:t>
      </w:r>
      <w:bookmarkEnd w:id="167"/>
      <w:bookmarkEnd w:id="168"/>
      <w:bookmarkEnd w:id="169"/>
      <w:bookmarkEnd w:id="170"/>
      <w:bookmarkEnd w:id="171"/>
    </w:p>
    <w:p>
      <w:pPr>
        <w:pStyle w:val="nStatement"/>
      </w:pPr>
      <w:r>
        <w:t xml:space="preserve">This is a compilation of the </w:t>
      </w:r>
      <w:r>
        <w:rPr>
          <w:i/>
          <w:noProof/>
        </w:rPr>
        <w:t>Animal Welfare (Poultry) Regulations 2024</w:t>
      </w:r>
      <w:r>
        <w:t xml:space="preserve">. For provisions that have come into operation see the compilation table. </w:t>
      </w:r>
    </w:p>
    <w:p>
      <w:pPr>
        <w:pStyle w:val="nHeading3"/>
      </w:pPr>
      <w:bookmarkStart w:id="173" w:name="_Toc201673651"/>
      <w:r>
        <w:t>Compilation table</w:t>
      </w:r>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(Poultry) Regulations 2024</w:t>
            </w:r>
          </w:p>
        </w:tc>
        <w:tc>
          <w:tcPr>
            <w:tcW w:w="1276" w:type="dxa"/>
          </w:tcPr>
          <w:p>
            <w:pPr>
              <w:pStyle w:val="nTable"/>
              <w:spacing w:after="40"/>
            </w:pPr>
            <w:r>
              <w:t>SL 2024/266 11 Dec 2024</w:t>
            </w:r>
          </w:p>
        </w:tc>
        <w:tc>
          <w:tcPr>
            <w:tcW w:w="2693" w:type="dxa"/>
          </w:tcPr>
          <w:p>
            <w:pPr>
              <w:pStyle w:val="nTable"/>
              <w:spacing w:after="40"/>
            </w:pPr>
            <w:r>
              <w:t>Pt. 1: 11 Dec 2024 (see r. 2(a));</w:t>
            </w:r>
            <w:r>
              <w:br/>
              <w:t>Regulations other than Pt. 1 and 5: 12 Dec 2024 (see r. 2(c));</w:t>
            </w:r>
            <w:r>
              <w:br/>
              <w:t>Pt. 5: 1 Jul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75" w:name="_Toc201673652"/>
      <w:bookmarkEnd w:id="172"/>
      <w:r>
        <w:rPr>
          <w:sz w:val="28"/>
        </w:rPr>
        <w:lastRenderedPageBreak/>
        <w:t>Defined terms</w:t>
      </w:r>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w:t>
      </w:r>
      <w:r>
        <w:tab/>
        <w:t>3, 4</w:t>
      </w:r>
    </w:p>
    <w:p>
      <w:pPr>
        <w:pStyle w:val="DefinedTerms"/>
      </w:pPr>
      <w:r>
        <w:t>bird level</w:t>
      </w:r>
      <w:r>
        <w:tab/>
        <w:t>3</w:t>
      </w:r>
    </w:p>
    <w:p>
      <w:pPr>
        <w:pStyle w:val="DefinedTerms"/>
      </w:pPr>
      <w:r>
        <w:t>breeding</w:t>
      </w:r>
      <w:r>
        <w:tab/>
        <w:t>3</w:t>
      </w:r>
    </w:p>
    <w:p>
      <w:pPr>
        <w:pStyle w:val="DefinedTerms"/>
      </w:pPr>
      <w:r>
        <w:t>brooder</w:t>
      </w:r>
      <w:r>
        <w:tab/>
        <w:t>3</w:t>
      </w:r>
    </w:p>
    <w:p>
      <w:pPr>
        <w:pStyle w:val="DefinedTerms"/>
      </w:pPr>
      <w:r>
        <w:t>captive poultry</w:t>
      </w:r>
      <w:r>
        <w:tab/>
        <w:t>3, 20</w:t>
      </w:r>
    </w:p>
    <w:p>
      <w:pPr>
        <w:pStyle w:val="DefinedTerms"/>
      </w:pPr>
      <w:r>
        <w:t>chicken</w:t>
      </w:r>
      <w:r>
        <w:tab/>
        <w:t>3</w:t>
      </w:r>
    </w:p>
    <w:p>
      <w:pPr>
        <w:pStyle w:val="DefinedTerms"/>
      </w:pPr>
      <w:r>
        <w:t>commercial egg production</w:t>
      </w:r>
      <w:r>
        <w:tab/>
        <w:t>3</w:t>
      </w:r>
    </w:p>
    <w:p>
      <w:pPr>
        <w:pStyle w:val="DefinedTerms"/>
      </w:pPr>
      <w:r>
        <w:t>commercial poultry production</w:t>
      </w:r>
      <w:r>
        <w:tab/>
        <w:t>3</w:t>
      </w:r>
    </w:p>
    <w:p>
      <w:pPr>
        <w:pStyle w:val="DefinedTerms"/>
      </w:pPr>
      <w:r>
        <w:t>controller</w:t>
      </w:r>
      <w:r>
        <w:tab/>
        <w:t>6</w:t>
      </w:r>
    </w:p>
    <w:p>
      <w:pPr>
        <w:pStyle w:val="DefinedTerms"/>
      </w:pPr>
      <w:r>
        <w:t>cup drinker</w:t>
      </w:r>
      <w:r>
        <w:tab/>
        <w:t>8(1)</w:t>
      </w:r>
    </w:p>
    <w:p>
      <w:pPr>
        <w:pStyle w:val="DefinedTerms"/>
      </w:pPr>
      <w:r>
        <w:t>dark</w:t>
      </w:r>
      <w:r>
        <w:tab/>
        <w:t>25(1)</w:t>
      </w:r>
    </w:p>
    <w:p>
      <w:pPr>
        <w:pStyle w:val="DefinedTerms"/>
      </w:pPr>
      <w:r>
        <w:t>floor area</w:t>
      </w:r>
      <w:r>
        <w:tab/>
        <w:t>6</w:t>
      </w:r>
    </w:p>
    <w:p>
      <w:pPr>
        <w:pStyle w:val="DefinedTerms"/>
      </w:pPr>
      <w:r>
        <w:t>hot blade</w:t>
      </w:r>
      <w:r>
        <w:tab/>
        <w:t>27(1)</w:t>
      </w:r>
    </w:p>
    <w:p>
      <w:pPr>
        <w:pStyle w:val="DefinedTerms"/>
      </w:pPr>
      <w:r>
        <w:t>laying chicken</w:t>
      </w:r>
      <w:r>
        <w:tab/>
        <w:t>25(1)</w:t>
      </w:r>
    </w:p>
    <w:p>
      <w:pPr>
        <w:pStyle w:val="DefinedTerms"/>
      </w:pPr>
      <w:r>
        <w:t>laying hen</w:t>
      </w:r>
      <w:r>
        <w:tab/>
        <w:t>3</w:t>
      </w:r>
    </w:p>
    <w:p>
      <w:pPr>
        <w:pStyle w:val="DefinedTerms"/>
      </w:pPr>
      <w:r>
        <w:t>laying shed</w:t>
      </w:r>
      <w:r>
        <w:tab/>
        <w:t>3</w:t>
      </w:r>
    </w:p>
    <w:p>
      <w:pPr>
        <w:pStyle w:val="DefinedTerms"/>
      </w:pPr>
      <w:r>
        <w:t>mechanically-ventilated shed</w:t>
      </w:r>
      <w:r>
        <w:tab/>
        <w:t>26(1)</w:t>
      </w:r>
    </w:p>
    <w:p>
      <w:pPr>
        <w:pStyle w:val="DefinedTerms"/>
      </w:pPr>
      <w:r>
        <w:t>nest area</w:t>
      </w:r>
      <w:r>
        <w:tab/>
        <w:t>3</w:t>
      </w:r>
    </w:p>
    <w:p>
      <w:pPr>
        <w:pStyle w:val="DefinedTerms"/>
      </w:pPr>
      <w:r>
        <w:t>nipple drinker</w:t>
      </w:r>
      <w:r>
        <w:tab/>
        <w:t>6</w:t>
      </w:r>
    </w:p>
    <w:p>
      <w:pPr>
        <w:pStyle w:val="DefinedTerms"/>
      </w:pPr>
      <w:r>
        <w:t>non-compliant cage</w:t>
      </w:r>
      <w:r>
        <w:tab/>
        <w:t>7(1)</w:t>
      </w:r>
    </w:p>
    <w:p>
      <w:pPr>
        <w:pStyle w:val="DefinedTerms"/>
      </w:pPr>
      <w:r>
        <w:t>Part 2 operative period</w:t>
      </w:r>
      <w:r>
        <w:tab/>
        <w:t>3</w:t>
      </w:r>
    </w:p>
    <w:p>
      <w:pPr>
        <w:pStyle w:val="DefinedTerms"/>
      </w:pPr>
      <w:r>
        <w:t>person responsible</w:t>
      </w:r>
      <w:r>
        <w:tab/>
        <w:t>3</w:t>
      </w:r>
    </w:p>
    <w:p>
      <w:pPr>
        <w:pStyle w:val="DefinedTerms"/>
      </w:pPr>
      <w:r>
        <w:t>pick up</w:t>
      </w:r>
      <w:r>
        <w:tab/>
        <w:t>3</w:t>
      </w:r>
    </w:p>
    <w:p>
      <w:pPr>
        <w:pStyle w:val="DefinedTerms"/>
      </w:pPr>
      <w:r>
        <w:t>point of lay</w:t>
      </w:r>
      <w:r>
        <w:tab/>
        <w:t>16(1)</w:t>
      </w:r>
    </w:p>
    <w:p>
      <w:pPr>
        <w:pStyle w:val="DefinedTerms"/>
      </w:pPr>
      <w:r>
        <w:t>poultry</w:t>
      </w:r>
      <w:r>
        <w:tab/>
        <w:t>3</w:t>
      </w:r>
    </w:p>
    <w:p>
      <w:pPr>
        <w:pStyle w:val="DefinedTerms"/>
      </w:pPr>
      <w:r>
        <w:t>publication day</w:t>
      </w:r>
      <w:r>
        <w:tab/>
        <w:t>2</w:t>
      </w:r>
    </w:p>
    <w:p>
      <w:pPr>
        <w:pStyle w:val="DefinedTerms"/>
      </w:pPr>
      <w:r>
        <w:t>shed</w:t>
      </w:r>
      <w:r>
        <w:tab/>
        <w:t>3</w:t>
      </w:r>
    </w:p>
    <w:p>
      <w:pPr>
        <w:pStyle w:val="DefinedTerms"/>
      </w:pPr>
      <w:r>
        <w:t>substrate</w:t>
      </w:r>
      <w:r>
        <w:tab/>
        <w:t>3</w:t>
      </w:r>
    </w:p>
    <w:p>
      <w:pPr>
        <w:pStyle w:val="DefinedTerms"/>
      </w:pPr>
      <w:r>
        <w:t>trim</w:t>
      </w:r>
      <w:r>
        <w:tab/>
        <w:t>27(1)</w:t>
      </w:r>
    </w:p>
    <w:p>
      <w:pPr>
        <w:pStyle w:val="DefinedTerms"/>
      </w:pPr>
      <w:r>
        <w:t>tunnel-ventilated shed</w:t>
      </w:r>
      <w:r>
        <w:tab/>
        <w:t>26(1)</w:t>
      </w:r>
    </w:p>
    <w:p>
      <w:pPr>
        <w:pStyle w:val="DefinedTerms"/>
      </w:pPr>
      <w:r>
        <w:t>usable space</w:t>
      </w:r>
      <w:r>
        <w:tab/>
        <w:t>15(1), 26(1)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CA52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FA5C6C" w14:textId="74620DAA" w:rsidR="00831E74" w:rsidRDefault="00831E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6F2F">
                        <w:rPr>
                          <w:sz w:val="16"/>
                        </w:rPr>
                        <w:t>2025</w:t>
                      </w:r>
                      <w:r>
                        <w:rPr>
                          <w:sz w:val="16"/>
                        </w:rPr>
                        <w:fldChar w:fldCharType="end"/>
                      </w:r>
                      <w:r>
                        <w:rPr>
                          <w:sz w:val="16"/>
                        </w:rPr>
                        <w:t>.</w:t>
                      </w:r>
                    </w:p>
                    <w:p w14:paraId="22B8826A" w14:textId="77777777" w:rsidR="00831E74" w:rsidRDefault="00831E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6FE005" w14:textId="67923856" w:rsidR="00831E74" w:rsidRDefault="00831E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6F2F">
                        <w:rPr>
                          <w:sz w:val="16"/>
                        </w:rPr>
                        <w:t>2025</w:t>
                      </w:r>
                      <w:r>
                        <w:rPr>
                          <w:sz w:val="16"/>
                        </w:rPr>
                        <w:fldChar w:fldCharType="end"/>
                      </w:r>
                      <w:r>
                        <w:rPr>
                          <w:sz w:val="16"/>
                        </w:rPr>
                        <w:t>.</w:t>
                      </w:r>
                    </w:p>
                    <w:p w14:paraId="2DF1EC8B" w14:textId="77777777" w:rsidR="00831E74" w:rsidRDefault="00831E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6" w:name="DefinedTerms"/>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4909</Words>
  <Characters>22682</Characters>
  <Application>Microsoft Office Word</Application>
  <DocSecurity>0</DocSecurity>
  <Lines>708</Lines>
  <Paragraphs>510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2024 - 00-c0-00</dc:title>
  <dc:subject/>
  <dc:creator/>
  <cp:keywords/>
  <dc:description/>
  <cp:lastModifiedBy>Master Repository Process</cp:lastModifiedBy>
  <cp:revision>4</cp:revision>
  <cp:lastPrinted>2024-09-09T03:44:00Z</cp:lastPrinted>
  <dcterms:created xsi:type="dcterms:W3CDTF">2025-06-27T01:49:00Z</dcterms:created>
  <dcterms:modified xsi:type="dcterms:W3CDTF">2025-06-27T01:49:00Z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