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Industrial Relations Act 1979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Industrial Relations Commission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Industrial Relations Commission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_Toc201657102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_Toc201657103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_Toc201657104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The office of the Registrar</w:t>
      </w:r>
    </w:p>
    <w:p>
      <w:pPr>
        <w:pStyle w:val="TOC8"/>
        <w:rPr>
          <w:rFonts w:asciiTheme="minorHAnsi" w:eastAsiaTheme="minorEastAsia" w:hAnsiTheme="minorHAnsi" w:cstheme="minorBidi"/>
          <w:szCs w:val="22"/>
        </w:rPr>
      </w:pPr>
      <w:r>
        <w:t>4.</w:t>
      </w:r>
      <w:r>
        <w:tab/>
      </w:r>
      <w:r>
        <w:rPr>
          <w:snapToGrid w:val="0"/>
        </w:rPr>
        <w:t>Lodging documents</w:t>
      </w:r>
      <w:r>
        <w:tab/>
      </w:r>
      <w:r>
        <w:fldChar w:fldCharType="begin"/>
      </w:r>
      <w:r>
        <w:instrText xml:space="preserve"> PAGEREF _Toc201657106 \h </w:instrText>
      </w:r>
      <w:r>
        <w:fldChar w:fldCharType="separate"/>
      </w:r>
      <w:r>
        <w:t>2</w:t>
      </w:r>
      <w:r>
        <w:fldChar w:fldCharType="end"/>
      </w:r>
    </w:p>
    <w:p>
      <w:pPr>
        <w:pStyle w:val="TOC8"/>
        <w:rPr>
          <w:rFonts w:asciiTheme="minorHAnsi" w:eastAsiaTheme="minorEastAsia" w:hAnsiTheme="minorHAnsi" w:cstheme="minorBidi"/>
          <w:szCs w:val="22"/>
        </w:rPr>
      </w:pPr>
      <w:r>
        <w:t>5.</w:t>
      </w:r>
      <w:r>
        <w:tab/>
        <w:t>Lodging and filing documents electronically</w:t>
      </w:r>
      <w:r>
        <w:tab/>
      </w:r>
      <w:r>
        <w:fldChar w:fldCharType="begin"/>
      </w:r>
      <w:r>
        <w:instrText xml:space="preserve"> PAGEREF _Toc201657107 \h </w:instrText>
      </w:r>
      <w:r>
        <w:fldChar w:fldCharType="separate"/>
      </w:r>
      <w:r>
        <w:t>3</w:t>
      </w:r>
      <w:r>
        <w:fldChar w:fldCharType="end"/>
      </w:r>
    </w:p>
    <w:p>
      <w:pPr>
        <w:pStyle w:val="TOC8"/>
        <w:rPr>
          <w:rFonts w:asciiTheme="minorHAnsi" w:eastAsiaTheme="minorEastAsia" w:hAnsiTheme="minorHAnsi" w:cstheme="minorBidi"/>
          <w:szCs w:val="22"/>
        </w:rPr>
      </w:pPr>
      <w:r>
        <w:t>6.</w:t>
      </w:r>
      <w:r>
        <w:tab/>
      </w:r>
      <w:r>
        <w:rPr>
          <w:snapToGrid w:val="0"/>
        </w:rPr>
        <w:t>Office of Registrar opening hours</w:t>
      </w:r>
      <w:r>
        <w:tab/>
      </w:r>
      <w:r>
        <w:fldChar w:fldCharType="begin"/>
      </w:r>
      <w:r>
        <w:instrText xml:space="preserve"> PAGEREF _Toc201657108 \h </w:instrText>
      </w:r>
      <w:r>
        <w:fldChar w:fldCharType="separate"/>
      </w:r>
      <w:r>
        <w:t>4</w:t>
      </w:r>
      <w:r>
        <w:fldChar w:fldCharType="end"/>
      </w:r>
    </w:p>
    <w:p>
      <w:pPr>
        <w:pStyle w:val="TOC8"/>
        <w:rPr>
          <w:rFonts w:asciiTheme="minorHAnsi" w:eastAsiaTheme="minorEastAsia" w:hAnsiTheme="minorHAnsi" w:cstheme="minorBidi"/>
          <w:szCs w:val="22"/>
        </w:rPr>
      </w:pPr>
      <w:r>
        <w:t>7.</w:t>
      </w:r>
      <w:r>
        <w:tab/>
      </w:r>
      <w:r>
        <w:rPr>
          <w:snapToGrid w:val="0"/>
        </w:rPr>
        <w:t>Procedure by Registrar</w:t>
      </w:r>
      <w:r>
        <w:tab/>
      </w:r>
      <w:r>
        <w:fldChar w:fldCharType="begin"/>
      </w:r>
      <w:r>
        <w:instrText xml:space="preserve"> PAGEREF _Toc201657109 \h </w:instrText>
      </w:r>
      <w:r>
        <w:fldChar w:fldCharType="separate"/>
      </w:r>
      <w:r>
        <w:t>5</w:t>
      </w:r>
      <w:r>
        <w:fldChar w:fldCharType="end"/>
      </w:r>
    </w:p>
    <w:p>
      <w:pPr>
        <w:pStyle w:val="TOC8"/>
        <w:rPr>
          <w:rFonts w:asciiTheme="minorHAnsi" w:eastAsiaTheme="minorEastAsia" w:hAnsiTheme="minorHAnsi" w:cstheme="minorBidi"/>
          <w:szCs w:val="22"/>
        </w:rPr>
      </w:pPr>
      <w:r>
        <w:t>8.</w:t>
      </w:r>
      <w:r>
        <w:tab/>
      </w:r>
      <w:r>
        <w:rPr>
          <w:snapToGrid w:val="0"/>
        </w:rPr>
        <w:t>Duties of Registrar in respect of applications</w:t>
      </w:r>
      <w:r>
        <w:tab/>
      </w:r>
      <w:r>
        <w:fldChar w:fldCharType="begin"/>
      </w:r>
      <w:r>
        <w:instrText xml:space="preserve"> PAGEREF _Toc201657110 \h </w:instrText>
      </w:r>
      <w:r>
        <w:fldChar w:fldCharType="separate"/>
      </w:r>
      <w:r>
        <w:t>6</w:t>
      </w:r>
      <w:r>
        <w:fldChar w:fldCharType="end"/>
      </w:r>
    </w:p>
    <w:p>
      <w:pPr>
        <w:pStyle w:val="TOC8"/>
        <w:rPr>
          <w:rFonts w:asciiTheme="minorHAnsi" w:eastAsiaTheme="minorEastAsia" w:hAnsiTheme="minorHAnsi" w:cstheme="minorBidi"/>
          <w:szCs w:val="22"/>
        </w:rPr>
      </w:pPr>
      <w:r>
        <w:t>9.</w:t>
      </w:r>
      <w:r>
        <w:tab/>
      </w:r>
      <w:r>
        <w:rPr>
          <w:snapToGrid w:val="0"/>
        </w:rPr>
        <w:t>Direction to Registrar to investigate and report</w:t>
      </w:r>
      <w:r>
        <w:tab/>
      </w:r>
      <w:r>
        <w:fldChar w:fldCharType="begin"/>
      </w:r>
      <w:r>
        <w:instrText xml:space="preserve"> PAGEREF _Toc201657111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napToGrid w:val="0"/>
        </w:rPr>
        <w:t>Stamp of Commission</w:t>
      </w:r>
      <w:r>
        <w:tab/>
      </w:r>
      <w:r>
        <w:fldChar w:fldCharType="begin"/>
      </w:r>
      <w:r>
        <w:instrText xml:space="preserve"> PAGEREF _Toc201657112 \h </w:instrText>
      </w:r>
      <w:r>
        <w:fldChar w:fldCharType="separate"/>
      </w:r>
      <w:r>
        <w:t>7</w:t>
      </w:r>
      <w:r>
        <w:fldChar w:fldCharType="end"/>
      </w:r>
    </w:p>
    <w:p>
      <w:pPr>
        <w:pStyle w:val="TOC8"/>
        <w:rPr>
          <w:rFonts w:asciiTheme="minorHAnsi" w:eastAsiaTheme="minorEastAsia" w:hAnsiTheme="minorHAnsi" w:cstheme="minorBidi"/>
          <w:szCs w:val="22"/>
        </w:rPr>
      </w:pPr>
      <w:r>
        <w:t>11.</w:t>
      </w:r>
      <w:r>
        <w:tab/>
      </w:r>
      <w:r>
        <w:rPr>
          <w:snapToGrid w:val="0"/>
        </w:rPr>
        <w:t>Seal of Commission</w:t>
      </w:r>
      <w:r>
        <w:tab/>
      </w:r>
      <w:r>
        <w:fldChar w:fldCharType="begin"/>
      </w:r>
      <w:r>
        <w:instrText xml:space="preserve"> PAGEREF _Toc201657113 \h </w:instrText>
      </w:r>
      <w:r>
        <w:fldChar w:fldCharType="separate"/>
      </w:r>
      <w:r>
        <w:t>7</w:t>
      </w:r>
      <w:r>
        <w:fldChar w:fldCharType="end"/>
      </w:r>
    </w:p>
    <w:p>
      <w:pPr>
        <w:pStyle w:val="TOC8"/>
        <w:rPr>
          <w:rFonts w:asciiTheme="minorHAnsi" w:eastAsiaTheme="minorEastAsia" w:hAnsiTheme="minorHAnsi" w:cstheme="minorBidi"/>
          <w:szCs w:val="22"/>
        </w:rPr>
      </w:pPr>
      <w:r>
        <w:t>12.</w:t>
      </w:r>
      <w:r>
        <w:tab/>
      </w:r>
      <w:r>
        <w:rPr>
          <w:snapToGrid w:val="0"/>
        </w:rPr>
        <w:t>Publication of information and notices</w:t>
      </w:r>
      <w:r>
        <w:tab/>
      </w:r>
      <w:r>
        <w:fldChar w:fldCharType="begin"/>
      </w:r>
      <w:r>
        <w:instrText xml:space="preserve"> PAGEREF _Toc201657114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Conduct of proceedings</w:t>
      </w:r>
    </w:p>
    <w:p>
      <w:pPr>
        <w:pStyle w:val="TOC4"/>
        <w:tabs>
          <w:tab w:val="right" w:leader="dot" w:pos="7077"/>
        </w:tabs>
        <w:rPr>
          <w:rFonts w:asciiTheme="minorHAnsi" w:eastAsiaTheme="minorEastAsia" w:hAnsiTheme="minorHAnsi" w:cstheme="minorBidi"/>
          <w:b w:val="0"/>
          <w:szCs w:val="22"/>
        </w:rPr>
      </w:pPr>
      <w:r>
        <w:t>Division 1 — Notice of application, response and parties</w:t>
      </w:r>
    </w:p>
    <w:p>
      <w:pPr>
        <w:pStyle w:val="TOC8"/>
        <w:rPr>
          <w:rFonts w:asciiTheme="minorHAnsi" w:eastAsiaTheme="minorEastAsia" w:hAnsiTheme="minorHAnsi" w:cstheme="minorBidi"/>
          <w:szCs w:val="22"/>
        </w:rPr>
      </w:pPr>
      <w:r>
        <w:t>13.</w:t>
      </w:r>
      <w:r>
        <w:tab/>
      </w:r>
      <w:r>
        <w:rPr>
          <w:snapToGrid w:val="0"/>
        </w:rPr>
        <w:t>Applications to Commission</w:t>
      </w:r>
      <w:r>
        <w:tab/>
      </w:r>
      <w:r>
        <w:fldChar w:fldCharType="begin"/>
      </w:r>
      <w:r>
        <w:instrText xml:space="preserve"> PAGEREF _Toc201657117 \h </w:instrText>
      </w:r>
      <w:r>
        <w:fldChar w:fldCharType="separate"/>
      </w:r>
      <w:r>
        <w:t>9</w:t>
      </w:r>
      <w:r>
        <w:fldChar w:fldCharType="end"/>
      </w:r>
    </w:p>
    <w:p>
      <w:pPr>
        <w:pStyle w:val="TOC8"/>
        <w:rPr>
          <w:rFonts w:asciiTheme="minorHAnsi" w:eastAsiaTheme="minorEastAsia" w:hAnsiTheme="minorHAnsi" w:cstheme="minorBidi"/>
          <w:szCs w:val="22"/>
        </w:rPr>
      </w:pPr>
      <w:r>
        <w:t>14.</w:t>
      </w:r>
      <w:r>
        <w:tab/>
        <w:t>Response</w:t>
      </w:r>
      <w:r>
        <w:tab/>
      </w:r>
      <w:r>
        <w:fldChar w:fldCharType="begin"/>
      </w:r>
      <w:r>
        <w:instrText xml:space="preserve"> PAGEREF _Toc201657118 \h </w:instrText>
      </w:r>
      <w:r>
        <w:fldChar w:fldCharType="separate"/>
      </w:r>
      <w:r>
        <w:t>10</w:t>
      </w:r>
      <w:r>
        <w:fldChar w:fldCharType="end"/>
      </w:r>
    </w:p>
    <w:p>
      <w:pPr>
        <w:pStyle w:val="TOC8"/>
        <w:rPr>
          <w:rFonts w:asciiTheme="minorHAnsi" w:eastAsiaTheme="minorEastAsia" w:hAnsiTheme="minorHAnsi" w:cstheme="minorBidi"/>
          <w:szCs w:val="22"/>
        </w:rPr>
      </w:pPr>
      <w:r>
        <w:t>15.</w:t>
      </w:r>
      <w:r>
        <w:tab/>
      </w:r>
      <w:r>
        <w:rPr>
          <w:snapToGrid w:val="0"/>
        </w:rPr>
        <w:t>General form of objection</w:t>
      </w:r>
      <w:r>
        <w:tab/>
      </w:r>
      <w:r>
        <w:fldChar w:fldCharType="begin"/>
      </w:r>
      <w:r>
        <w:instrText xml:space="preserve"> PAGEREF _Toc201657119 \h </w:instrText>
      </w:r>
      <w:r>
        <w:fldChar w:fldCharType="separate"/>
      </w:r>
      <w:r>
        <w:t>10</w:t>
      </w:r>
      <w:r>
        <w:fldChar w:fldCharType="end"/>
      </w:r>
    </w:p>
    <w:p>
      <w:pPr>
        <w:pStyle w:val="TOC8"/>
        <w:rPr>
          <w:rFonts w:asciiTheme="minorHAnsi" w:eastAsiaTheme="minorEastAsia" w:hAnsiTheme="minorHAnsi" w:cstheme="minorBidi"/>
          <w:szCs w:val="22"/>
        </w:rPr>
      </w:pPr>
      <w:r>
        <w:t>16.</w:t>
      </w:r>
      <w:r>
        <w:tab/>
        <w:t>Withdrawal or d</w:t>
      </w:r>
      <w:r>
        <w:rPr>
          <w:snapToGrid w:val="0"/>
        </w:rPr>
        <w:t>iscontinuance of application</w:t>
      </w:r>
      <w:r>
        <w:tab/>
      </w:r>
      <w:r>
        <w:fldChar w:fldCharType="begin"/>
      </w:r>
      <w:r>
        <w:instrText xml:space="preserve"> PAGEREF _Toc201657120 \h </w:instrText>
      </w:r>
      <w:r>
        <w:fldChar w:fldCharType="separate"/>
      </w:r>
      <w:r>
        <w:t>11</w:t>
      </w:r>
      <w:r>
        <w:fldChar w:fldCharType="end"/>
      </w:r>
    </w:p>
    <w:p>
      <w:pPr>
        <w:pStyle w:val="TOC8"/>
        <w:rPr>
          <w:rFonts w:asciiTheme="minorHAnsi" w:eastAsiaTheme="minorEastAsia" w:hAnsiTheme="minorHAnsi" w:cstheme="minorBidi"/>
          <w:szCs w:val="22"/>
        </w:rPr>
      </w:pPr>
      <w:r>
        <w:t>17.</w:t>
      </w:r>
      <w:r>
        <w:tab/>
        <w:t>Application to amend</w:t>
      </w:r>
      <w:r>
        <w:tab/>
      </w:r>
      <w:r>
        <w:fldChar w:fldCharType="begin"/>
      </w:r>
      <w:r>
        <w:instrText xml:space="preserve"> PAGEREF _Toc201657121 \h </w:instrText>
      </w:r>
      <w:r>
        <w:fldChar w:fldCharType="separate"/>
      </w:r>
      <w:r>
        <w:t>11</w:t>
      </w:r>
      <w:r>
        <w:fldChar w:fldCharType="end"/>
      </w:r>
    </w:p>
    <w:p>
      <w:pPr>
        <w:pStyle w:val="TOC8"/>
        <w:rPr>
          <w:rFonts w:asciiTheme="minorHAnsi" w:eastAsiaTheme="minorEastAsia" w:hAnsiTheme="minorHAnsi" w:cstheme="minorBidi"/>
          <w:szCs w:val="22"/>
        </w:rPr>
      </w:pPr>
      <w:r>
        <w:t>18.</w:t>
      </w:r>
      <w:r>
        <w:tab/>
        <w:t>Joinder of parties</w:t>
      </w:r>
      <w:r>
        <w:tab/>
      </w:r>
      <w:r>
        <w:fldChar w:fldCharType="begin"/>
      </w:r>
      <w:r>
        <w:instrText xml:space="preserve"> PAGEREF _Toc201657122 \h </w:instrText>
      </w:r>
      <w:r>
        <w:fldChar w:fldCharType="separate"/>
      </w:r>
      <w:r>
        <w:t>12</w:t>
      </w:r>
      <w:r>
        <w:fldChar w:fldCharType="end"/>
      </w:r>
    </w:p>
    <w:p>
      <w:pPr>
        <w:pStyle w:val="TOC8"/>
        <w:rPr>
          <w:rFonts w:asciiTheme="minorHAnsi" w:eastAsiaTheme="minorEastAsia" w:hAnsiTheme="minorHAnsi" w:cstheme="minorBidi"/>
          <w:szCs w:val="22"/>
        </w:rPr>
      </w:pPr>
      <w:r>
        <w:t>19.</w:t>
      </w:r>
      <w:r>
        <w:tab/>
      </w:r>
      <w:r>
        <w:rPr>
          <w:snapToGrid w:val="0"/>
        </w:rPr>
        <w:t>Intervention</w:t>
      </w:r>
      <w:r>
        <w:tab/>
      </w:r>
      <w:r>
        <w:fldChar w:fldCharType="begin"/>
      </w:r>
      <w:r>
        <w:instrText xml:space="preserve"> PAGEREF _Toc201657123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Interlocutory proceedings</w:t>
      </w:r>
    </w:p>
    <w:p>
      <w:pPr>
        <w:pStyle w:val="TOC8"/>
        <w:rPr>
          <w:rFonts w:asciiTheme="minorHAnsi" w:eastAsiaTheme="minorEastAsia" w:hAnsiTheme="minorHAnsi" w:cstheme="minorBidi"/>
          <w:szCs w:val="22"/>
        </w:rPr>
      </w:pPr>
      <w:r>
        <w:t>20.</w:t>
      </w:r>
      <w:r>
        <w:tab/>
      </w:r>
      <w:r>
        <w:rPr>
          <w:snapToGrid w:val="0"/>
        </w:rPr>
        <w:t>Discovery, production and inspection of documents</w:t>
      </w:r>
      <w:r>
        <w:tab/>
      </w:r>
      <w:r>
        <w:fldChar w:fldCharType="begin"/>
      </w:r>
      <w:r>
        <w:instrText xml:space="preserve"> PAGEREF _Toc201657125 \h </w:instrText>
      </w:r>
      <w:r>
        <w:fldChar w:fldCharType="separate"/>
      </w:r>
      <w:r>
        <w:t>14</w:t>
      </w:r>
      <w:r>
        <w:fldChar w:fldCharType="end"/>
      </w:r>
    </w:p>
    <w:p>
      <w:pPr>
        <w:pStyle w:val="TOC8"/>
        <w:rPr>
          <w:rFonts w:asciiTheme="minorHAnsi" w:eastAsiaTheme="minorEastAsia" w:hAnsiTheme="minorHAnsi" w:cstheme="minorBidi"/>
          <w:szCs w:val="22"/>
        </w:rPr>
      </w:pPr>
      <w:r>
        <w:t>21.</w:t>
      </w:r>
      <w:r>
        <w:tab/>
        <w:t>Order for production to Commission</w:t>
      </w:r>
      <w:r>
        <w:tab/>
      </w:r>
      <w:r>
        <w:fldChar w:fldCharType="begin"/>
      </w:r>
      <w:r>
        <w:instrText xml:space="preserve"> PAGEREF _Toc201657126 \h </w:instrText>
      </w:r>
      <w:r>
        <w:fldChar w:fldCharType="separate"/>
      </w:r>
      <w:r>
        <w:t>16</w:t>
      </w:r>
      <w:r>
        <w:fldChar w:fldCharType="end"/>
      </w:r>
    </w:p>
    <w:p>
      <w:pPr>
        <w:pStyle w:val="TOC8"/>
        <w:rPr>
          <w:rFonts w:asciiTheme="minorHAnsi" w:eastAsiaTheme="minorEastAsia" w:hAnsiTheme="minorHAnsi" w:cstheme="minorBidi"/>
          <w:szCs w:val="22"/>
        </w:rPr>
      </w:pPr>
      <w:r>
        <w:t>22.</w:t>
      </w:r>
      <w:r>
        <w:tab/>
      </w:r>
      <w:r>
        <w:rPr>
          <w:snapToGrid w:val="0"/>
        </w:rPr>
        <w:t>Further particulars</w:t>
      </w:r>
      <w:r>
        <w:tab/>
      </w:r>
      <w:r>
        <w:fldChar w:fldCharType="begin"/>
      </w:r>
      <w:r>
        <w:instrText xml:space="preserve"> PAGEREF _Toc201657127 \h </w:instrText>
      </w:r>
      <w:r>
        <w:fldChar w:fldCharType="separate"/>
      </w:r>
      <w:r>
        <w:t>16</w:t>
      </w:r>
      <w:r>
        <w:fldChar w:fldCharType="end"/>
      </w:r>
    </w:p>
    <w:p>
      <w:pPr>
        <w:pStyle w:val="TOC8"/>
        <w:rPr>
          <w:rFonts w:asciiTheme="minorHAnsi" w:eastAsiaTheme="minorEastAsia" w:hAnsiTheme="minorHAnsi" w:cstheme="minorBidi"/>
          <w:szCs w:val="22"/>
        </w:rPr>
      </w:pPr>
      <w:r>
        <w:t>23.</w:t>
      </w:r>
      <w:r>
        <w:tab/>
      </w:r>
      <w:r>
        <w:rPr>
          <w:snapToGrid w:val="0"/>
        </w:rPr>
        <w:t>Notice to admit</w:t>
      </w:r>
      <w:r>
        <w:tab/>
      </w:r>
      <w:r>
        <w:fldChar w:fldCharType="begin"/>
      </w:r>
      <w:r>
        <w:instrText xml:space="preserve"> PAGEREF _Toc201657128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Service</w:t>
      </w:r>
    </w:p>
    <w:p>
      <w:pPr>
        <w:pStyle w:val="TOC8"/>
        <w:rPr>
          <w:rFonts w:asciiTheme="minorHAnsi" w:eastAsiaTheme="minorEastAsia" w:hAnsiTheme="minorHAnsi" w:cstheme="minorBidi"/>
          <w:szCs w:val="22"/>
        </w:rPr>
      </w:pPr>
      <w:r>
        <w:t>24.</w:t>
      </w:r>
      <w:r>
        <w:tab/>
      </w:r>
      <w:r>
        <w:rPr>
          <w:snapToGrid w:val="0"/>
        </w:rPr>
        <w:t>Service</w:t>
      </w:r>
      <w:r>
        <w:tab/>
      </w:r>
      <w:r>
        <w:fldChar w:fldCharType="begin"/>
      </w:r>
      <w:r>
        <w:instrText xml:space="preserve"> PAGEREF _Toc201657130 \h </w:instrText>
      </w:r>
      <w:r>
        <w:fldChar w:fldCharType="separate"/>
      </w:r>
      <w:r>
        <w:t>18</w:t>
      </w:r>
      <w:r>
        <w:fldChar w:fldCharType="end"/>
      </w:r>
    </w:p>
    <w:p>
      <w:pPr>
        <w:pStyle w:val="TOC8"/>
        <w:rPr>
          <w:rFonts w:asciiTheme="minorHAnsi" w:eastAsiaTheme="minorEastAsia" w:hAnsiTheme="minorHAnsi" w:cstheme="minorBidi"/>
          <w:szCs w:val="22"/>
        </w:rPr>
      </w:pPr>
      <w:r>
        <w:t>25.</w:t>
      </w:r>
      <w:r>
        <w:tab/>
        <w:t>Electronic address for service</w:t>
      </w:r>
      <w:r>
        <w:tab/>
      </w:r>
      <w:r>
        <w:fldChar w:fldCharType="begin"/>
      </w:r>
      <w:r>
        <w:instrText xml:space="preserve"> PAGEREF _Toc201657131 \h </w:instrText>
      </w:r>
      <w:r>
        <w:fldChar w:fldCharType="separate"/>
      </w:r>
      <w:r>
        <w:t>19</w:t>
      </w:r>
      <w:r>
        <w:fldChar w:fldCharType="end"/>
      </w:r>
    </w:p>
    <w:p>
      <w:pPr>
        <w:pStyle w:val="TOC8"/>
        <w:rPr>
          <w:rFonts w:asciiTheme="minorHAnsi" w:eastAsiaTheme="minorEastAsia" w:hAnsiTheme="minorHAnsi" w:cstheme="minorBidi"/>
          <w:szCs w:val="22"/>
        </w:rPr>
      </w:pPr>
      <w:r>
        <w:t>26.</w:t>
      </w:r>
      <w:r>
        <w:tab/>
        <w:t>Service electronically</w:t>
      </w:r>
      <w:r>
        <w:tab/>
      </w:r>
      <w:r>
        <w:fldChar w:fldCharType="begin"/>
      </w:r>
      <w:r>
        <w:instrText xml:space="preserve"> PAGEREF _Toc201657132 \h </w:instrText>
      </w:r>
      <w:r>
        <w:fldChar w:fldCharType="separate"/>
      </w:r>
      <w:r>
        <w:t>19</w:t>
      </w:r>
      <w:r>
        <w:fldChar w:fldCharType="end"/>
      </w:r>
    </w:p>
    <w:p>
      <w:pPr>
        <w:pStyle w:val="TOC8"/>
        <w:rPr>
          <w:rFonts w:asciiTheme="minorHAnsi" w:eastAsiaTheme="minorEastAsia" w:hAnsiTheme="minorHAnsi" w:cstheme="minorBidi"/>
          <w:szCs w:val="22"/>
        </w:rPr>
      </w:pPr>
      <w:r>
        <w:t>27.</w:t>
      </w:r>
      <w:r>
        <w:tab/>
      </w:r>
      <w:r>
        <w:rPr>
          <w:snapToGrid w:val="0"/>
        </w:rPr>
        <w:t>Substituted service</w:t>
      </w:r>
      <w:r>
        <w:tab/>
      </w:r>
      <w:r>
        <w:fldChar w:fldCharType="begin"/>
      </w:r>
      <w:r>
        <w:instrText xml:space="preserve"> PAGEREF _Toc201657133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 — Conferences</w:t>
      </w:r>
    </w:p>
    <w:p>
      <w:pPr>
        <w:pStyle w:val="TOC8"/>
        <w:rPr>
          <w:rFonts w:asciiTheme="minorHAnsi" w:eastAsiaTheme="minorEastAsia" w:hAnsiTheme="minorHAnsi" w:cstheme="minorBidi"/>
          <w:szCs w:val="22"/>
        </w:rPr>
      </w:pPr>
      <w:r>
        <w:t>29.</w:t>
      </w:r>
      <w:r>
        <w:tab/>
        <w:t>Orders under sections 32 and 44</w:t>
      </w:r>
      <w:r>
        <w:tab/>
      </w:r>
      <w:r>
        <w:fldChar w:fldCharType="begin"/>
      </w:r>
      <w:r>
        <w:instrText xml:space="preserve"> PAGEREF _Toc201657135 \h </w:instrText>
      </w:r>
      <w:r>
        <w:fldChar w:fldCharType="separate"/>
      </w:r>
      <w:r>
        <w:t>21</w:t>
      </w:r>
      <w:r>
        <w:fldChar w:fldCharType="end"/>
      </w:r>
    </w:p>
    <w:p>
      <w:pPr>
        <w:pStyle w:val="TOC8"/>
        <w:rPr>
          <w:rFonts w:asciiTheme="minorHAnsi" w:eastAsiaTheme="minorEastAsia" w:hAnsiTheme="minorHAnsi" w:cstheme="minorBidi"/>
          <w:szCs w:val="22"/>
        </w:rPr>
      </w:pPr>
      <w:r>
        <w:t>30.</w:t>
      </w:r>
      <w:r>
        <w:tab/>
      </w:r>
      <w:r>
        <w:rPr>
          <w:snapToGrid w:val="0"/>
        </w:rPr>
        <w:t>Compulsory conference</w:t>
      </w:r>
      <w:r>
        <w:tab/>
      </w:r>
      <w:r>
        <w:fldChar w:fldCharType="begin"/>
      </w:r>
      <w:r>
        <w:instrText xml:space="preserve"> PAGEREF _Toc201657136 \h </w:instrText>
      </w:r>
      <w:r>
        <w:fldChar w:fldCharType="separate"/>
      </w:r>
      <w:r>
        <w:t>21</w:t>
      </w:r>
      <w:r>
        <w:fldChar w:fldCharType="end"/>
      </w:r>
    </w:p>
    <w:p>
      <w:pPr>
        <w:pStyle w:val="TOC8"/>
        <w:rPr>
          <w:rFonts w:asciiTheme="minorHAnsi" w:eastAsiaTheme="minorEastAsia" w:hAnsiTheme="minorHAnsi" w:cstheme="minorBidi"/>
          <w:szCs w:val="22"/>
        </w:rPr>
      </w:pPr>
      <w:r>
        <w:t>31.</w:t>
      </w:r>
      <w:r>
        <w:tab/>
      </w:r>
      <w:r>
        <w:rPr>
          <w:snapToGrid w:val="0"/>
        </w:rPr>
        <w:t>Memorandum following compulsory conference</w:t>
      </w:r>
      <w:r>
        <w:tab/>
      </w:r>
      <w:r>
        <w:fldChar w:fldCharType="begin"/>
      </w:r>
      <w:r>
        <w:instrText xml:space="preserve"> PAGEREF _Toc201657137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Conduct of hearings</w:t>
      </w:r>
    </w:p>
    <w:p>
      <w:pPr>
        <w:pStyle w:val="TOC8"/>
        <w:rPr>
          <w:rFonts w:asciiTheme="minorHAnsi" w:eastAsiaTheme="minorEastAsia" w:hAnsiTheme="minorHAnsi" w:cstheme="minorBidi"/>
          <w:szCs w:val="22"/>
        </w:rPr>
      </w:pPr>
      <w:r>
        <w:t>32.</w:t>
      </w:r>
      <w:r>
        <w:tab/>
      </w:r>
      <w:r>
        <w:rPr>
          <w:snapToGrid w:val="0"/>
        </w:rPr>
        <w:t>Application for and notice of hearing</w:t>
      </w:r>
      <w:r>
        <w:tab/>
      </w:r>
      <w:r>
        <w:fldChar w:fldCharType="begin"/>
      </w:r>
      <w:r>
        <w:instrText xml:space="preserve"> PAGEREF _Toc201657139 \h </w:instrText>
      </w:r>
      <w:r>
        <w:fldChar w:fldCharType="separate"/>
      </w:r>
      <w:r>
        <w:t>22</w:t>
      </w:r>
      <w:r>
        <w:fldChar w:fldCharType="end"/>
      </w:r>
    </w:p>
    <w:p>
      <w:pPr>
        <w:pStyle w:val="TOC8"/>
        <w:rPr>
          <w:rFonts w:asciiTheme="minorHAnsi" w:eastAsiaTheme="minorEastAsia" w:hAnsiTheme="minorHAnsi" w:cstheme="minorBidi"/>
          <w:szCs w:val="22"/>
        </w:rPr>
      </w:pPr>
      <w:r>
        <w:t>32A.</w:t>
      </w:r>
      <w:r>
        <w:tab/>
        <w:t>Proceedings may be determined on the papers</w:t>
      </w:r>
      <w:r>
        <w:tab/>
      </w:r>
      <w:r>
        <w:fldChar w:fldCharType="begin"/>
      </w:r>
      <w:r>
        <w:instrText xml:space="preserve"> PAGEREF _Toc201657140 \h </w:instrText>
      </w:r>
      <w:r>
        <w:fldChar w:fldCharType="separate"/>
      </w:r>
      <w:r>
        <w:t>23</w:t>
      </w:r>
      <w:r>
        <w:fldChar w:fldCharType="end"/>
      </w:r>
    </w:p>
    <w:p>
      <w:pPr>
        <w:pStyle w:val="TOC8"/>
        <w:rPr>
          <w:rFonts w:asciiTheme="minorHAnsi" w:eastAsiaTheme="minorEastAsia" w:hAnsiTheme="minorHAnsi" w:cstheme="minorBidi"/>
          <w:szCs w:val="22"/>
        </w:rPr>
      </w:pPr>
      <w:r>
        <w:t>33.</w:t>
      </w:r>
      <w:r>
        <w:tab/>
      </w:r>
      <w:r>
        <w:rPr>
          <w:snapToGrid w:val="0"/>
        </w:rPr>
        <w:t>Procedure before Commission</w:t>
      </w:r>
      <w:r>
        <w:tab/>
      </w:r>
      <w:r>
        <w:fldChar w:fldCharType="begin"/>
      </w:r>
      <w:r>
        <w:instrText xml:space="preserve"> PAGEREF _Toc201657141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34.</w:t>
      </w:r>
      <w:r>
        <w:tab/>
        <w:t>Elimination of delays</w:t>
      </w:r>
      <w:r>
        <w:tab/>
      </w:r>
      <w:r>
        <w:fldChar w:fldCharType="begin"/>
      </w:r>
      <w:r>
        <w:instrText xml:space="preserve"> PAGEREF _Toc201657143 \h </w:instrText>
      </w:r>
      <w:r>
        <w:fldChar w:fldCharType="separate"/>
      </w:r>
      <w:r>
        <w:t>25</w:t>
      </w:r>
      <w:r>
        <w:fldChar w:fldCharType="end"/>
      </w:r>
    </w:p>
    <w:p>
      <w:pPr>
        <w:pStyle w:val="TOC8"/>
        <w:rPr>
          <w:rFonts w:asciiTheme="minorHAnsi" w:eastAsiaTheme="minorEastAsia" w:hAnsiTheme="minorHAnsi" w:cstheme="minorBidi"/>
          <w:szCs w:val="22"/>
        </w:rPr>
      </w:pPr>
      <w:r>
        <w:t>35.</w:t>
      </w:r>
      <w:r>
        <w:tab/>
        <w:t>Electronic documents and communications</w:t>
      </w:r>
      <w:r>
        <w:tab/>
      </w:r>
      <w:r>
        <w:fldChar w:fldCharType="begin"/>
      </w:r>
      <w:r>
        <w:instrText xml:space="preserve"> PAGEREF _Toc201657144 \h </w:instrText>
      </w:r>
      <w:r>
        <w:fldChar w:fldCharType="separate"/>
      </w:r>
      <w:r>
        <w:t>26</w:t>
      </w:r>
      <w:r>
        <w:fldChar w:fldCharType="end"/>
      </w:r>
    </w:p>
    <w:p>
      <w:pPr>
        <w:pStyle w:val="TOC8"/>
        <w:rPr>
          <w:rFonts w:asciiTheme="minorHAnsi" w:eastAsiaTheme="minorEastAsia" w:hAnsiTheme="minorHAnsi" w:cstheme="minorBidi"/>
          <w:szCs w:val="22"/>
        </w:rPr>
      </w:pPr>
      <w:r>
        <w:t>36.</w:t>
      </w:r>
      <w:r>
        <w:tab/>
      </w:r>
      <w:r>
        <w:rPr>
          <w:snapToGrid w:val="0"/>
        </w:rPr>
        <w:t>Extension or abridgment of time</w:t>
      </w:r>
      <w:r>
        <w:tab/>
      </w:r>
      <w:r>
        <w:fldChar w:fldCharType="begin"/>
      </w:r>
      <w:r>
        <w:instrText xml:space="preserve"> PAGEREF _Toc201657145 \h </w:instrText>
      </w:r>
      <w:r>
        <w:fldChar w:fldCharType="separate"/>
      </w:r>
      <w:r>
        <w:t>26</w:t>
      </w:r>
      <w:r>
        <w:fldChar w:fldCharType="end"/>
      </w:r>
    </w:p>
    <w:p>
      <w:pPr>
        <w:pStyle w:val="TOC8"/>
        <w:rPr>
          <w:rFonts w:asciiTheme="minorHAnsi" w:eastAsiaTheme="minorEastAsia" w:hAnsiTheme="minorHAnsi" w:cstheme="minorBidi"/>
          <w:szCs w:val="22"/>
        </w:rPr>
      </w:pPr>
      <w:r>
        <w:t>37.</w:t>
      </w:r>
      <w:r>
        <w:tab/>
      </w:r>
      <w:r>
        <w:rPr>
          <w:snapToGrid w:val="0"/>
        </w:rPr>
        <w:t>Waiver of procedural regulations</w:t>
      </w:r>
      <w:r>
        <w:tab/>
      </w:r>
      <w:r>
        <w:fldChar w:fldCharType="begin"/>
      </w:r>
      <w:r>
        <w:instrText xml:space="preserve"> PAGEREF _Toc201657146 \h </w:instrText>
      </w:r>
      <w:r>
        <w:fldChar w:fldCharType="separate"/>
      </w:r>
      <w:r>
        <w:t>27</w:t>
      </w:r>
      <w:r>
        <w:fldChar w:fldCharType="end"/>
      </w:r>
    </w:p>
    <w:p>
      <w:pPr>
        <w:pStyle w:val="TOC8"/>
        <w:rPr>
          <w:rFonts w:asciiTheme="minorHAnsi" w:eastAsiaTheme="minorEastAsia" w:hAnsiTheme="minorHAnsi" w:cstheme="minorBidi"/>
          <w:szCs w:val="22"/>
        </w:rPr>
      </w:pPr>
      <w:r>
        <w:t>38.</w:t>
      </w:r>
      <w:r>
        <w:tab/>
      </w:r>
      <w:r>
        <w:rPr>
          <w:snapToGrid w:val="0"/>
        </w:rPr>
        <w:t>Non</w:t>
      </w:r>
      <w:r>
        <w:rPr>
          <w:snapToGrid w:val="0"/>
        </w:rPr>
        <w:noBreakHyphen/>
        <w:t>compliance with regulations</w:t>
      </w:r>
      <w:r>
        <w:tab/>
      </w:r>
      <w:r>
        <w:fldChar w:fldCharType="begin"/>
      </w:r>
      <w:r>
        <w:instrText xml:space="preserve"> PAGEREF _Toc201657147 \h </w:instrText>
      </w:r>
      <w:r>
        <w:fldChar w:fldCharType="separate"/>
      </w:r>
      <w:r>
        <w:t>27</w:t>
      </w:r>
      <w:r>
        <w:fldChar w:fldCharType="end"/>
      </w:r>
    </w:p>
    <w:p>
      <w:pPr>
        <w:pStyle w:val="TOC8"/>
        <w:rPr>
          <w:rFonts w:asciiTheme="minorHAnsi" w:eastAsiaTheme="minorEastAsia" w:hAnsiTheme="minorHAnsi" w:cstheme="minorBidi"/>
          <w:szCs w:val="22"/>
        </w:rPr>
      </w:pPr>
      <w:r>
        <w:t>39.</w:t>
      </w:r>
      <w:r>
        <w:tab/>
      </w:r>
      <w:r>
        <w:rPr>
          <w:snapToGrid w:val="0"/>
        </w:rPr>
        <w:t>Practice</w:t>
      </w:r>
      <w:r>
        <w:tab/>
      </w:r>
      <w:r>
        <w:fldChar w:fldCharType="begin"/>
      </w:r>
      <w:r>
        <w:instrText xml:space="preserve"> PAGEREF _Toc201657148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Witnesses and evidence</w:t>
      </w:r>
    </w:p>
    <w:p>
      <w:pPr>
        <w:pStyle w:val="TOC8"/>
        <w:rPr>
          <w:rFonts w:asciiTheme="minorHAnsi" w:eastAsiaTheme="minorEastAsia" w:hAnsiTheme="minorHAnsi" w:cstheme="minorBidi"/>
          <w:szCs w:val="22"/>
        </w:rPr>
      </w:pPr>
      <w:r>
        <w:t>40.</w:t>
      </w:r>
      <w:r>
        <w:tab/>
      </w:r>
      <w:r>
        <w:rPr>
          <w:snapToGrid w:val="0"/>
        </w:rPr>
        <w:t>Application for examination of witness</w:t>
      </w:r>
      <w:r>
        <w:tab/>
      </w:r>
      <w:r>
        <w:fldChar w:fldCharType="begin"/>
      </w:r>
      <w:r>
        <w:instrText xml:space="preserve"> PAGEREF _Toc201657150 \h </w:instrText>
      </w:r>
      <w:r>
        <w:fldChar w:fldCharType="separate"/>
      </w:r>
      <w:r>
        <w:t>29</w:t>
      </w:r>
      <w:r>
        <w:fldChar w:fldCharType="end"/>
      </w:r>
    </w:p>
    <w:p>
      <w:pPr>
        <w:pStyle w:val="TOC8"/>
        <w:rPr>
          <w:rFonts w:asciiTheme="minorHAnsi" w:eastAsiaTheme="minorEastAsia" w:hAnsiTheme="minorHAnsi" w:cstheme="minorBidi"/>
          <w:szCs w:val="22"/>
        </w:rPr>
      </w:pPr>
      <w:r>
        <w:t>41.</w:t>
      </w:r>
      <w:r>
        <w:tab/>
      </w:r>
      <w:r>
        <w:rPr>
          <w:snapToGrid w:val="0"/>
        </w:rPr>
        <w:t>Summons to witness</w:t>
      </w:r>
      <w:r>
        <w:tab/>
      </w:r>
      <w:r>
        <w:fldChar w:fldCharType="begin"/>
      </w:r>
      <w:r>
        <w:instrText xml:space="preserve"> PAGEREF _Toc201657151 \h </w:instrText>
      </w:r>
      <w:r>
        <w:fldChar w:fldCharType="separate"/>
      </w:r>
      <w:r>
        <w:t>30</w:t>
      </w:r>
      <w:r>
        <w:fldChar w:fldCharType="end"/>
      </w:r>
    </w:p>
    <w:p>
      <w:pPr>
        <w:pStyle w:val="TOC8"/>
        <w:rPr>
          <w:rFonts w:asciiTheme="minorHAnsi" w:eastAsiaTheme="minorEastAsia" w:hAnsiTheme="minorHAnsi" w:cstheme="minorBidi"/>
          <w:szCs w:val="22"/>
        </w:rPr>
      </w:pPr>
      <w:r>
        <w:t>42.</w:t>
      </w:r>
      <w:r>
        <w:tab/>
      </w:r>
      <w:r>
        <w:rPr>
          <w:snapToGrid w:val="0"/>
        </w:rPr>
        <w:t>Application to set aside witness summons</w:t>
      </w:r>
      <w:r>
        <w:tab/>
      </w:r>
      <w:r>
        <w:fldChar w:fldCharType="begin"/>
      </w:r>
      <w:r>
        <w:instrText xml:space="preserve"> PAGEREF _Toc201657152 \h </w:instrText>
      </w:r>
      <w:r>
        <w:fldChar w:fldCharType="separate"/>
      </w:r>
      <w:r>
        <w:t>31</w:t>
      </w:r>
      <w:r>
        <w:fldChar w:fldCharType="end"/>
      </w:r>
    </w:p>
    <w:p>
      <w:pPr>
        <w:pStyle w:val="TOC8"/>
        <w:rPr>
          <w:rFonts w:asciiTheme="minorHAnsi" w:eastAsiaTheme="minorEastAsia" w:hAnsiTheme="minorHAnsi" w:cstheme="minorBidi"/>
          <w:szCs w:val="22"/>
        </w:rPr>
      </w:pPr>
      <w:r>
        <w:t>43.</w:t>
      </w:r>
      <w:r>
        <w:tab/>
        <w:t>Witness statements and outlines of evidence</w:t>
      </w:r>
      <w:r>
        <w:tab/>
      </w:r>
      <w:r>
        <w:fldChar w:fldCharType="begin"/>
      </w:r>
      <w:r>
        <w:instrText xml:space="preserve"> PAGEREF _Toc201657153 \h </w:instrText>
      </w:r>
      <w:r>
        <w:fldChar w:fldCharType="separate"/>
      </w:r>
      <w:r>
        <w:t>32</w:t>
      </w:r>
      <w:r>
        <w:fldChar w:fldCharType="end"/>
      </w:r>
    </w:p>
    <w:p>
      <w:pPr>
        <w:pStyle w:val="TOC8"/>
        <w:rPr>
          <w:rFonts w:asciiTheme="minorHAnsi" w:eastAsiaTheme="minorEastAsia" w:hAnsiTheme="minorHAnsi" w:cstheme="minorBidi"/>
          <w:szCs w:val="22"/>
        </w:rPr>
      </w:pPr>
      <w:r>
        <w:t>44.</w:t>
      </w:r>
      <w:r>
        <w:tab/>
        <w:t>Evidence or submissions by video</w:t>
      </w:r>
      <w:r>
        <w:noBreakHyphen/>
        <w:t>link or telephone</w:t>
      </w:r>
      <w:r>
        <w:tab/>
      </w:r>
      <w:r>
        <w:fldChar w:fldCharType="begin"/>
      </w:r>
      <w:r>
        <w:instrText xml:space="preserve"> PAGEREF _Toc201657154 \h </w:instrText>
      </w:r>
      <w:r>
        <w:fldChar w:fldCharType="separate"/>
      </w:r>
      <w:r>
        <w:t>33</w:t>
      </w:r>
      <w:r>
        <w:fldChar w:fldCharType="end"/>
      </w:r>
    </w:p>
    <w:p>
      <w:pPr>
        <w:pStyle w:val="TOC8"/>
        <w:rPr>
          <w:rFonts w:asciiTheme="minorHAnsi" w:eastAsiaTheme="minorEastAsia" w:hAnsiTheme="minorHAnsi" w:cstheme="minorBidi"/>
          <w:szCs w:val="22"/>
        </w:rPr>
      </w:pPr>
      <w:r>
        <w:t>45.</w:t>
      </w:r>
      <w:r>
        <w:tab/>
        <w:t>Disclosure of expert’s report</w:t>
      </w:r>
      <w:r>
        <w:tab/>
      </w:r>
      <w:r>
        <w:fldChar w:fldCharType="begin"/>
      </w:r>
      <w:r>
        <w:instrText xml:space="preserve"> PAGEREF _Toc201657155 \h </w:instrText>
      </w:r>
      <w:r>
        <w:fldChar w:fldCharType="separate"/>
      </w:r>
      <w:r>
        <w:t>34</w:t>
      </w:r>
      <w:r>
        <w:fldChar w:fldCharType="end"/>
      </w:r>
    </w:p>
    <w:p>
      <w:pPr>
        <w:pStyle w:val="TOC8"/>
        <w:rPr>
          <w:rFonts w:asciiTheme="minorHAnsi" w:eastAsiaTheme="minorEastAsia" w:hAnsiTheme="minorHAnsi" w:cstheme="minorBidi"/>
          <w:szCs w:val="22"/>
        </w:rPr>
      </w:pPr>
      <w:r>
        <w:t>46.</w:t>
      </w:r>
      <w:r>
        <w:tab/>
      </w:r>
      <w:r>
        <w:rPr>
          <w:snapToGrid w:val="0"/>
        </w:rPr>
        <w:t>Exhibits</w:t>
      </w:r>
      <w:r>
        <w:tab/>
      </w:r>
      <w:r>
        <w:fldChar w:fldCharType="begin"/>
      </w:r>
      <w:r>
        <w:instrText xml:space="preserve"> PAGEREF _Toc201657156 \h </w:instrText>
      </w:r>
      <w:r>
        <w:fldChar w:fldCharType="separate"/>
      </w:r>
      <w:r>
        <w:t>36</w:t>
      </w:r>
      <w:r>
        <w:fldChar w:fldCharType="end"/>
      </w:r>
    </w:p>
    <w:p>
      <w:pPr>
        <w:pStyle w:val="TOC8"/>
        <w:rPr>
          <w:rFonts w:asciiTheme="minorHAnsi" w:eastAsiaTheme="minorEastAsia" w:hAnsiTheme="minorHAnsi" w:cstheme="minorBidi"/>
          <w:szCs w:val="22"/>
        </w:rPr>
      </w:pPr>
      <w:r>
        <w:t>47.</w:t>
      </w:r>
      <w:r>
        <w:tab/>
      </w:r>
      <w:r>
        <w:rPr>
          <w:snapToGrid w:val="0"/>
        </w:rPr>
        <w:t>Declarations and affidavits</w:t>
      </w:r>
      <w:r>
        <w:tab/>
      </w:r>
      <w:r>
        <w:fldChar w:fldCharType="begin"/>
      </w:r>
      <w:r>
        <w:instrText xml:space="preserve"> PAGEREF _Toc201657157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Various applications under Act</w:t>
      </w:r>
    </w:p>
    <w:p>
      <w:pPr>
        <w:pStyle w:val="TOC8"/>
        <w:rPr>
          <w:rFonts w:asciiTheme="minorHAnsi" w:eastAsiaTheme="minorEastAsia" w:hAnsiTheme="minorHAnsi" w:cstheme="minorBidi"/>
          <w:szCs w:val="22"/>
        </w:rPr>
      </w:pPr>
      <w:r>
        <w:t>48.</w:t>
      </w:r>
      <w:r>
        <w:tab/>
      </w:r>
      <w:r>
        <w:rPr>
          <w:snapToGrid w:val="0"/>
        </w:rPr>
        <w:t>Application for award</w:t>
      </w:r>
      <w:r>
        <w:tab/>
      </w:r>
      <w:r>
        <w:fldChar w:fldCharType="begin"/>
      </w:r>
      <w:r>
        <w:instrText xml:space="preserve"> PAGEREF _Toc201657159 \h </w:instrText>
      </w:r>
      <w:r>
        <w:fldChar w:fldCharType="separate"/>
      </w:r>
      <w:r>
        <w:t>37</w:t>
      </w:r>
      <w:r>
        <w:fldChar w:fldCharType="end"/>
      </w:r>
    </w:p>
    <w:p>
      <w:pPr>
        <w:pStyle w:val="TOC8"/>
        <w:rPr>
          <w:rFonts w:asciiTheme="minorHAnsi" w:eastAsiaTheme="minorEastAsia" w:hAnsiTheme="minorHAnsi" w:cstheme="minorBidi"/>
          <w:szCs w:val="22"/>
        </w:rPr>
      </w:pPr>
      <w:r>
        <w:t>49.</w:t>
      </w:r>
      <w:r>
        <w:tab/>
      </w:r>
      <w:r>
        <w:rPr>
          <w:snapToGrid w:val="0"/>
        </w:rPr>
        <w:t>Application to vary area of operation of award</w:t>
      </w:r>
      <w:r>
        <w:tab/>
      </w:r>
      <w:r>
        <w:fldChar w:fldCharType="begin"/>
      </w:r>
      <w:r>
        <w:instrText xml:space="preserve"> PAGEREF _Toc201657160 \h </w:instrText>
      </w:r>
      <w:r>
        <w:fldChar w:fldCharType="separate"/>
      </w:r>
      <w:r>
        <w:t>39</w:t>
      </w:r>
      <w:r>
        <w:fldChar w:fldCharType="end"/>
      </w:r>
    </w:p>
    <w:p>
      <w:pPr>
        <w:pStyle w:val="TOC8"/>
        <w:rPr>
          <w:rFonts w:asciiTheme="minorHAnsi" w:eastAsiaTheme="minorEastAsia" w:hAnsiTheme="minorHAnsi" w:cstheme="minorBidi"/>
          <w:szCs w:val="22"/>
        </w:rPr>
      </w:pPr>
      <w:r>
        <w:t>50.</w:t>
      </w:r>
      <w:r>
        <w:tab/>
      </w:r>
      <w:r>
        <w:rPr>
          <w:snapToGrid w:val="0"/>
        </w:rPr>
        <w:t>Application to vary award</w:t>
      </w:r>
      <w:r>
        <w:tab/>
      </w:r>
      <w:r>
        <w:fldChar w:fldCharType="begin"/>
      </w:r>
      <w:r>
        <w:instrText xml:space="preserve"> PAGEREF _Toc201657161 \h </w:instrText>
      </w:r>
      <w:r>
        <w:fldChar w:fldCharType="separate"/>
      </w:r>
      <w:r>
        <w:t>39</w:t>
      </w:r>
      <w:r>
        <w:fldChar w:fldCharType="end"/>
      </w:r>
    </w:p>
    <w:p>
      <w:pPr>
        <w:pStyle w:val="TOC8"/>
        <w:rPr>
          <w:rFonts w:asciiTheme="minorHAnsi" w:eastAsiaTheme="minorEastAsia" w:hAnsiTheme="minorHAnsi" w:cstheme="minorBidi"/>
          <w:szCs w:val="22"/>
        </w:rPr>
      </w:pPr>
      <w:r>
        <w:t>51.</w:t>
      </w:r>
      <w:r>
        <w:tab/>
      </w:r>
      <w:r>
        <w:rPr>
          <w:snapToGrid w:val="0"/>
        </w:rPr>
        <w:t>Application for joinder of party to award</w:t>
      </w:r>
      <w:r>
        <w:tab/>
      </w:r>
      <w:r>
        <w:fldChar w:fldCharType="begin"/>
      </w:r>
      <w:r>
        <w:instrText xml:space="preserve"> PAGEREF _Toc201657162 \h </w:instrText>
      </w:r>
      <w:r>
        <w:fldChar w:fldCharType="separate"/>
      </w:r>
      <w:r>
        <w:t>41</w:t>
      </w:r>
      <w:r>
        <w:fldChar w:fldCharType="end"/>
      </w:r>
    </w:p>
    <w:p>
      <w:pPr>
        <w:pStyle w:val="TOC8"/>
        <w:rPr>
          <w:rFonts w:asciiTheme="minorHAnsi" w:eastAsiaTheme="minorEastAsia" w:hAnsiTheme="minorHAnsi" w:cstheme="minorBidi"/>
          <w:szCs w:val="22"/>
        </w:rPr>
      </w:pPr>
      <w:r>
        <w:t>52.</w:t>
      </w:r>
      <w:r>
        <w:tab/>
      </w:r>
      <w:r>
        <w:rPr>
          <w:snapToGrid w:val="0"/>
        </w:rPr>
        <w:t>Application for interpretation of award or industrial agreement</w:t>
      </w:r>
      <w:r>
        <w:tab/>
      </w:r>
      <w:r>
        <w:fldChar w:fldCharType="begin"/>
      </w:r>
      <w:r>
        <w:instrText xml:space="preserve"> PAGEREF _Toc201657163 \h </w:instrText>
      </w:r>
      <w:r>
        <w:fldChar w:fldCharType="separate"/>
      </w:r>
      <w:r>
        <w:t>42</w:t>
      </w:r>
      <w:r>
        <w:fldChar w:fldCharType="end"/>
      </w:r>
    </w:p>
    <w:p>
      <w:pPr>
        <w:pStyle w:val="TOC8"/>
        <w:rPr>
          <w:rFonts w:asciiTheme="minorHAnsi" w:eastAsiaTheme="minorEastAsia" w:hAnsiTheme="minorHAnsi" w:cstheme="minorBidi"/>
          <w:szCs w:val="22"/>
        </w:rPr>
      </w:pPr>
      <w:r>
        <w:t>53.</w:t>
      </w:r>
      <w:r>
        <w:tab/>
        <w:t>Bargaining for industrial agreement</w:t>
      </w:r>
      <w:r>
        <w:tab/>
      </w:r>
      <w:r>
        <w:fldChar w:fldCharType="begin"/>
      </w:r>
      <w:r>
        <w:instrText xml:space="preserve"> PAGEREF _Toc201657164 \h </w:instrText>
      </w:r>
      <w:r>
        <w:fldChar w:fldCharType="separate"/>
      </w:r>
      <w:r>
        <w:t>42</w:t>
      </w:r>
      <w:r>
        <w:fldChar w:fldCharType="end"/>
      </w:r>
    </w:p>
    <w:p>
      <w:pPr>
        <w:pStyle w:val="TOC8"/>
        <w:rPr>
          <w:rFonts w:asciiTheme="minorHAnsi" w:eastAsiaTheme="minorEastAsia" w:hAnsiTheme="minorHAnsi" w:cstheme="minorBidi"/>
          <w:szCs w:val="22"/>
        </w:rPr>
      </w:pPr>
      <w:r>
        <w:t>54A.</w:t>
      </w:r>
      <w:r>
        <w:tab/>
        <w:t>Orders as to specified matters on which agreement has not been reached</w:t>
      </w:r>
      <w:r>
        <w:tab/>
      </w:r>
      <w:r>
        <w:fldChar w:fldCharType="begin"/>
      </w:r>
      <w:r>
        <w:instrText xml:space="preserve"> PAGEREF _Toc201657165 \h </w:instrText>
      </w:r>
      <w:r>
        <w:fldChar w:fldCharType="separate"/>
      </w:r>
      <w:r>
        <w:t>43</w:t>
      </w:r>
      <w:r>
        <w:fldChar w:fldCharType="end"/>
      </w:r>
    </w:p>
    <w:p>
      <w:pPr>
        <w:pStyle w:val="TOC8"/>
        <w:rPr>
          <w:rFonts w:asciiTheme="minorHAnsi" w:eastAsiaTheme="minorEastAsia" w:hAnsiTheme="minorHAnsi" w:cstheme="minorBidi"/>
          <w:szCs w:val="22"/>
        </w:rPr>
      </w:pPr>
      <w:r>
        <w:t>54.</w:t>
      </w:r>
      <w:r>
        <w:tab/>
        <w:t>Enterprise order</w:t>
      </w:r>
      <w:r>
        <w:tab/>
      </w:r>
      <w:r>
        <w:fldChar w:fldCharType="begin"/>
      </w:r>
      <w:r>
        <w:instrText xml:space="preserve"> PAGEREF _Toc201657166 \h </w:instrText>
      </w:r>
      <w:r>
        <w:fldChar w:fldCharType="separate"/>
      </w:r>
      <w:r>
        <w:t>44</w:t>
      </w:r>
      <w:r>
        <w:fldChar w:fldCharType="end"/>
      </w:r>
    </w:p>
    <w:p>
      <w:pPr>
        <w:pStyle w:val="TOC8"/>
        <w:rPr>
          <w:rFonts w:asciiTheme="minorHAnsi" w:eastAsiaTheme="minorEastAsia" w:hAnsiTheme="minorHAnsi" w:cstheme="minorBidi"/>
          <w:szCs w:val="22"/>
        </w:rPr>
      </w:pPr>
      <w:r>
        <w:t>55.</w:t>
      </w:r>
      <w:r>
        <w:tab/>
      </w:r>
      <w:r>
        <w:rPr>
          <w:snapToGrid w:val="0"/>
        </w:rPr>
        <w:t>Application for industrial agreement</w:t>
      </w:r>
      <w:r>
        <w:tab/>
      </w:r>
      <w:r>
        <w:fldChar w:fldCharType="begin"/>
      </w:r>
      <w:r>
        <w:instrText xml:space="preserve"> PAGEREF _Toc201657167 \h </w:instrText>
      </w:r>
      <w:r>
        <w:fldChar w:fldCharType="separate"/>
      </w:r>
      <w:r>
        <w:t>44</w:t>
      </w:r>
      <w:r>
        <w:fldChar w:fldCharType="end"/>
      </w:r>
    </w:p>
    <w:p>
      <w:pPr>
        <w:pStyle w:val="TOC8"/>
        <w:rPr>
          <w:rFonts w:asciiTheme="minorHAnsi" w:eastAsiaTheme="minorEastAsia" w:hAnsiTheme="minorHAnsi" w:cstheme="minorBidi"/>
          <w:szCs w:val="22"/>
        </w:rPr>
      </w:pPr>
      <w:r>
        <w:t>56.</w:t>
      </w:r>
      <w:r>
        <w:tab/>
        <w:t>Retirement from industrial agreement</w:t>
      </w:r>
      <w:r>
        <w:tab/>
      </w:r>
      <w:r>
        <w:fldChar w:fldCharType="begin"/>
      </w:r>
      <w:r>
        <w:instrText xml:space="preserve"> PAGEREF _Toc201657168 \h </w:instrText>
      </w:r>
      <w:r>
        <w:fldChar w:fldCharType="separate"/>
      </w:r>
      <w:r>
        <w:t>45</w:t>
      </w:r>
      <w:r>
        <w:fldChar w:fldCharType="end"/>
      </w:r>
    </w:p>
    <w:p>
      <w:pPr>
        <w:pStyle w:val="TOC8"/>
        <w:rPr>
          <w:rFonts w:asciiTheme="minorHAnsi" w:eastAsiaTheme="minorEastAsia" w:hAnsiTheme="minorHAnsi" w:cstheme="minorBidi"/>
          <w:szCs w:val="22"/>
        </w:rPr>
      </w:pPr>
      <w:r>
        <w:t>57.</w:t>
      </w:r>
      <w:r>
        <w:tab/>
      </w:r>
      <w:r>
        <w:rPr>
          <w:snapToGrid w:val="0"/>
        </w:rPr>
        <w:t>Variation of industrial agreement by subsequent agreement</w:t>
      </w:r>
      <w:r>
        <w:tab/>
      </w:r>
      <w:r>
        <w:fldChar w:fldCharType="begin"/>
      </w:r>
      <w:r>
        <w:instrText xml:space="preserve"> PAGEREF _Toc201657169 \h </w:instrText>
      </w:r>
      <w:r>
        <w:fldChar w:fldCharType="separate"/>
      </w:r>
      <w:r>
        <w:t>45</w:t>
      </w:r>
      <w:r>
        <w:fldChar w:fldCharType="end"/>
      </w:r>
    </w:p>
    <w:p>
      <w:pPr>
        <w:pStyle w:val="TOC8"/>
        <w:rPr>
          <w:rFonts w:asciiTheme="minorHAnsi" w:eastAsiaTheme="minorEastAsia" w:hAnsiTheme="minorHAnsi" w:cstheme="minorBidi"/>
          <w:szCs w:val="22"/>
        </w:rPr>
      </w:pPr>
      <w:r>
        <w:t>58.</w:t>
      </w:r>
      <w:r>
        <w:tab/>
        <w:t>Application to waive notice required for production of records</w:t>
      </w:r>
      <w:r>
        <w:tab/>
      </w:r>
      <w:r>
        <w:fldChar w:fldCharType="begin"/>
      </w:r>
      <w:r>
        <w:instrText xml:space="preserve"> PAGEREF _Toc201657170 \h </w:instrText>
      </w:r>
      <w:r>
        <w:fldChar w:fldCharType="separate"/>
      </w:r>
      <w:r>
        <w:t>45</w:t>
      </w:r>
      <w:r>
        <w:fldChar w:fldCharType="end"/>
      </w:r>
    </w:p>
    <w:p>
      <w:pPr>
        <w:pStyle w:val="TOC8"/>
        <w:rPr>
          <w:rFonts w:asciiTheme="minorHAnsi" w:eastAsiaTheme="minorEastAsia" w:hAnsiTheme="minorHAnsi" w:cstheme="minorBidi"/>
          <w:szCs w:val="22"/>
        </w:rPr>
      </w:pPr>
      <w:r>
        <w:t>59.</w:t>
      </w:r>
      <w:r>
        <w:tab/>
      </w:r>
      <w:r>
        <w:rPr>
          <w:snapToGrid w:val="0"/>
        </w:rPr>
        <w:t>Section 66 applications and directions</w:t>
      </w:r>
      <w:r>
        <w:tab/>
      </w:r>
      <w:r>
        <w:fldChar w:fldCharType="begin"/>
      </w:r>
      <w:r>
        <w:instrText xml:space="preserve"> PAGEREF _Toc201657171 \h </w:instrText>
      </w:r>
      <w:r>
        <w:fldChar w:fldCharType="separate"/>
      </w:r>
      <w:r>
        <w:t>46</w:t>
      </w:r>
      <w:r>
        <w:fldChar w:fldCharType="end"/>
      </w:r>
    </w:p>
    <w:p>
      <w:pPr>
        <w:pStyle w:val="TOC8"/>
        <w:rPr>
          <w:rFonts w:asciiTheme="minorHAnsi" w:eastAsiaTheme="minorEastAsia" w:hAnsiTheme="minorHAnsi" w:cstheme="minorBidi"/>
          <w:szCs w:val="22"/>
        </w:rPr>
      </w:pPr>
      <w:r>
        <w:t>60.</w:t>
      </w:r>
      <w:r>
        <w:tab/>
      </w:r>
      <w:r>
        <w:rPr>
          <w:snapToGrid w:val="0"/>
        </w:rPr>
        <w:t>Proceedings before Full Bench for enforcement of Act</w:t>
      </w:r>
      <w:r>
        <w:tab/>
      </w:r>
      <w:r>
        <w:fldChar w:fldCharType="begin"/>
      </w:r>
      <w:r>
        <w:instrText xml:space="preserve"> PAGEREF _Toc201657172 \h </w:instrText>
      </w:r>
      <w:r>
        <w:fldChar w:fldCharType="separate"/>
      </w:r>
      <w:r>
        <w:t>47</w:t>
      </w:r>
      <w:r>
        <w:fldChar w:fldCharType="end"/>
      </w:r>
    </w:p>
    <w:p>
      <w:pPr>
        <w:pStyle w:val="TOC8"/>
        <w:rPr>
          <w:rFonts w:asciiTheme="minorHAnsi" w:eastAsiaTheme="minorEastAsia" w:hAnsiTheme="minorHAnsi" w:cstheme="minorBidi"/>
          <w:szCs w:val="22"/>
        </w:rPr>
      </w:pPr>
      <w:r>
        <w:t>60AA.</w:t>
      </w:r>
      <w:r>
        <w:tab/>
        <w:t xml:space="preserve">Industrial matter under </w:t>
      </w:r>
      <w:r>
        <w:rPr>
          <w:i/>
          <w:iCs/>
        </w:rPr>
        <w:t>Public Sector Management Act 1994</w:t>
      </w:r>
      <w:r>
        <w:t xml:space="preserve"> s. 95 or s. 96A</w:t>
      </w:r>
      <w:r>
        <w:tab/>
      </w:r>
      <w:r>
        <w:fldChar w:fldCharType="begin"/>
      </w:r>
      <w:r>
        <w:instrText xml:space="preserve"> PAGEREF _Toc201657173 \h </w:instrText>
      </w:r>
      <w:r>
        <w:fldChar w:fldCharType="separate"/>
      </w:r>
      <w:r>
        <w:t>48</w:t>
      </w:r>
      <w:r>
        <w:fldChar w:fldCharType="end"/>
      </w:r>
    </w:p>
    <w:p>
      <w:pPr>
        <w:pStyle w:val="TOC8"/>
        <w:rPr>
          <w:rFonts w:asciiTheme="minorHAnsi" w:eastAsiaTheme="minorEastAsia" w:hAnsiTheme="minorHAnsi" w:cstheme="minorBidi"/>
          <w:szCs w:val="22"/>
        </w:rPr>
      </w:pPr>
      <w:r>
        <w:t>60A.</w:t>
      </w:r>
      <w:r>
        <w:tab/>
        <w:t>Applications for equal remuneration orders</w:t>
      </w:r>
      <w:r>
        <w:tab/>
      </w:r>
      <w:r>
        <w:fldChar w:fldCharType="begin"/>
      </w:r>
      <w:r>
        <w:instrText xml:space="preserve"> PAGEREF _Toc201657174 \h </w:instrText>
      </w:r>
      <w:r>
        <w:fldChar w:fldCharType="separate"/>
      </w:r>
      <w:r>
        <w:t>49</w:t>
      </w:r>
      <w:r>
        <w:fldChar w:fldCharType="end"/>
      </w:r>
    </w:p>
    <w:p>
      <w:pPr>
        <w:pStyle w:val="TOC8"/>
        <w:rPr>
          <w:rFonts w:asciiTheme="minorHAnsi" w:eastAsiaTheme="minorEastAsia" w:hAnsiTheme="minorHAnsi" w:cstheme="minorBidi"/>
          <w:szCs w:val="22"/>
        </w:rPr>
      </w:pPr>
      <w:r>
        <w:t>61.</w:t>
      </w:r>
      <w:r>
        <w:tab/>
        <w:t>Unfair dismissal and contractual benefit claims by employees</w:t>
      </w:r>
      <w:r>
        <w:tab/>
      </w:r>
      <w:r>
        <w:fldChar w:fldCharType="begin"/>
      </w:r>
      <w:r>
        <w:instrText xml:space="preserve"> PAGEREF _Toc201657175 \h </w:instrText>
      </w:r>
      <w:r>
        <w:fldChar w:fldCharType="separate"/>
      </w:r>
      <w:r>
        <w:t>51</w:t>
      </w:r>
      <w:r>
        <w:fldChar w:fldCharType="end"/>
      </w:r>
    </w:p>
    <w:p>
      <w:pPr>
        <w:pStyle w:val="TOC8"/>
        <w:rPr>
          <w:rFonts w:asciiTheme="minorHAnsi" w:eastAsiaTheme="minorEastAsia" w:hAnsiTheme="minorHAnsi" w:cstheme="minorBidi"/>
          <w:szCs w:val="22"/>
        </w:rPr>
      </w:pPr>
      <w:r>
        <w:t>62.</w:t>
      </w:r>
      <w:r>
        <w:tab/>
        <w:t>Stop bullying application</w:t>
      </w:r>
      <w:r>
        <w:tab/>
      </w:r>
      <w:r>
        <w:fldChar w:fldCharType="begin"/>
      </w:r>
      <w:r>
        <w:instrText xml:space="preserve"> PAGEREF _Toc201657176 \h </w:instrText>
      </w:r>
      <w:r>
        <w:fldChar w:fldCharType="separate"/>
      </w:r>
      <w:r>
        <w:t>52</w:t>
      </w:r>
      <w:r>
        <w:fldChar w:fldCharType="end"/>
      </w:r>
    </w:p>
    <w:p>
      <w:pPr>
        <w:pStyle w:val="TOC8"/>
        <w:rPr>
          <w:rFonts w:asciiTheme="minorHAnsi" w:eastAsiaTheme="minorEastAsia" w:hAnsiTheme="minorHAnsi" w:cstheme="minorBidi"/>
          <w:szCs w:val="22"/>
        </w:rPr>
      </w:pPr>
      <w:r>
        <w:t>62A.</w:t>
      </w:r>
      <w:r>
        <w:tab/>
        <w:t>Stop sexual harassment application</w:t>
      </w:r>
      <w:r>
        <w:tab/>
      </w:r>
      <w:r>
        <w:fldChar w:fldCharType="begin"/>
      </w:r>
      <w:r>
        <w:instrText xml:space="preserve"> PAGEREF _Toc201657177 \h </w:instrText>
      </w:r>
      <w:r>
        <w:fldChar w:fldCharType="separate"/>
      </w:r>
      <w:r>
        <w:t>53</w:t>
      </w:r>
      <w:r>
        <w:fldChar w:fldCharType="end"/>
      </w:r>
    </w:p>
    <w:p>
      <w:pPr>
        <w:pStyle w:val="TOC8"/>
        <w:rPr>
          <w:rFonts w:asciiTheme="minorHAnsi" w:eastAsiaTheme="minorEastAsia" w:hAnsiTheme="minorHAnsi" w:cstheme="minorBidi"/>
          <w:szCs w:val="22"/>
        </w:rPr>
      </w:pPr>
      <w:r>
        <w:t>62B.</w:t>
      </w:r>
      <w:r>
        <w:tab/>
        <w:t>Sexual harassment referral</w:t>
      </w:r>
      <w:r>
        <w:tab/>
      </w:r>
      <w:r>
        <w:fldChar w:fldCharType="begin"/>
      </w:r>
      <w:r>
        <w:instrText xml:space="preserve"> PAGEREF _Toc201657178 \h </w:instrText>
      </w:r>
      <w:r>
        <w:fldChar w:fldCharType="separate"/>
      </w:r>
      <w:r>
        <w:t>55</w:t>
      </w:r>
      <w:r>
        <w:fldChar w:fldCharType="end"/>
      </w:r>
    </w:p>
    <w:p>
      <w:pPr>
        <w:pStyle w:val="TOC8"/>
        <w:rPr>
          <w:rFonts w:asciiTheme="minorHAnsi" w:eastAsiaTheme="minorEastAsia" w:hAnsiTheme="minorHAnsi" w:cstheme="minorBidi"/>
          <w:szCs w:val="22"/>
        </w:rPr>
      </w:pPr>
      <w:r>
        <w:t>62C.</w:t>
      </w:r>
      <w:r>
        <w:tab/>
        <w:t>Interpretation of conditions of service</w:t>
      </w:r>
      <w:r>
        <w:tab/>
      </w:r>
      <w:r>
        <w:fldChar w:fldCharType="begin"/>
      </w:r>
      <w:r>
        <w:instrText xml:space="preserve"> PAGEREF _Toc201657179 \h </w:instrText>
      </w:r>
      <w:r>
        <w:fldChar w:fldCharType="separate"/>
      </w:r>
      <w:r>
        <w:t>57</w:t>
      </w:r>
      <w:r>
        <w:fldChar w:fldCharType="end"/>
      </w:r>
    </w:p>
    <w:p>
      <w:pPr>
        <w:pStyle w:val="TOC8"/>
        <w:rPr>
          <w:rFonts w:asciiTheme="minorHAnsi" w:eastAsiaTheme="minorEastAsia" w:hAnsiTheme="minorHAnsi" w:cstheme="minorBidi"/>
          <w:szCs w:val="22"/>
        </w:rPr>
      </w:pPr>
      <w:r>
        <w:t>62D.</w:t>
      </w:r>
      <w:r>
        <w:tab/>
        <w:t>Reclassification claim</w:t>
      </w:r>
      <w:r>
        <w:tab/>
      </w:r>
      <w:r>
        <w:fldChar w:fldCharType="begin"/>
      </w:r>
      <w:r>
        <w:instrText xml:space="preserve"> PAGEREF _Toc201657180 \h </w:instrText>
      </w:r>
      <w:r>
        <w:fldChar w:fldCharType="separate"/>
      </w:r>
      <w:r>
        <w:t>58</w:t>
      </w:r>
      <w:r>
        <w:fldChar w:fldCharType="end"/>
      </w:r>
    </w:p>
    <w:p>
      <w:pPr>
        <w:pStyle w:val="TOC8"/>
        <w:rPr>
          <w:rFonts w:asciiTheme="minorHAnsi" w:eastAsiaTheme="minorEastAsia" w:hAnsiTheme="minorHAnsi" w:cstheme="minorBidi"/>
          <w:szCs w:val="22"/>
        </w:rPr>
      </w:pPr>
      <w:r>
        <w:t>62E.</w:t>
      </w:r>
      <w:r>
        <w:tab/>
        <w:t xml:space="preserve">Industrial matter under </w:t>
      </w:r>
      <w:r>
        <w:rPr>
          <w:i/>
          <w:iCs/>
        </w:rPr>
        <w:t>Public Sector Management Act 1994</w:t>
      </w:r>
      <w:r>
        <w:t xml:space="preserve"> s. 78 or </w:t>
      </w:r>
      <w:r>
        <w:rPr>
          <w:i/>
        </w:rPr>
        <w:t>Health Services Act 2016</w:t>
      </w:r>
      <w:r>
        <w:rPr>
          <w:iCs/>
        </w:rPr>
        <w:t xml:space="preserve"> s. </w:t>
      </w:r>
      <w:r>
        <w:t>171</w:t>
      </w:r>
      <w:r>
        <w:tab/>
      </w:r>
      <w:r>
        <w:fldChar w:fldCharType="begin"/>
      </w:r>
      <w:r>
        <w:instrText xml:space="preserve"> PAGEREF _Toc201657181 \h </w:instrText>
      </w:r>
      <w:r>
        <w:fldChar w:fldCharType="separate"/>
      </w:r>
      <w:r>
        <w:t>59</w:t>
      </w:r>
      <w:r>
        <w:fldChar w:fldCharType="end"/>
      </w:r>
    </w:p>
    <w:p>
      <w:pPr>
        <w:pStyle w:val="TOC8"/>
        <w:rPr>
          <w:rFonts w:asciiTheme="minorHAnsi" w:eastAsiaTheme="minorEastAsia" w:hAnsiTheme="minorHAnsi" w:cstheme="minorBidi"/>
          <w:szCs w:val="22"/>
        </w:rPr>
      </w:pPr>
      <w:r>
        <w:t>62F.</w:t>
      </w:r>
      <w:r>
        <w:tab/>
        <w:t>Flexible working arrangement dispute</w:t>
      </w:r>
      <w:r>
        <w:tab/>
      </w:r>
      <w:r>
        <w:fldChar w:fldCharType="begin"/>
      </w:r>
      <w:r>
        <w:instrText xml:space="preserve"> PAGEREF _Toc201657182 \h </w:instrText>
      </w:r>
      <w:r>
        <w:fldChar w:fldCharType="separate"/>
      </w:r>
      <w:r>
        <w:t>60</w:t>
      </w:r>
      <w:r>
        <w:fldChar w:fldCharType="end"/>
      </w:r>
    </w:p>
    <w:p>
      <w:pPr>
        <w:pStyle w:val="TOC8"/>
        <w:rPr>
          <w:rFonts w:asciiTheme="minorHAnsi" w:eastAsiaTheme="minorEastAsia" w:hAnsiTheme="minorHAnsi" w:cstheme="minorBidi"/>
          <w:szCs w:val="22"/>
        </w:rPr>
      </w:pPr>
      <w:r>
        <w:t>62G.</w:t>
      </w:r>
      <w:r>
        <w:tab/>
        <w:t>Breach of public sector standards claim</w:t>
      </w:r>
      <w:r>
        <w:tab/>
      </w:r>
      <w:r>
        <w:fldChar w:fldCharType="begin"/>
      </w:r>
      <w:r>
        <w:instrText xml:space="preserve"> PAGEREF _Toc201657183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6 — Agents</w:t>
      </w:r>
    </w:p>
    <w:p>
      <w:pPr>
        <w:pStyle w:val="TOC8"/>
        <w:rPr>
          <w:rFonts w:asciiTheme="minorHAnsi" w:eastAsiaTheme="minorEastAsia" w:hAnsiTheme="minorHAnsi" w:cstheme="minorBidi"/>
          <w:szCs w:val="22"/>
        </w:rPr>
      </w:pPr>
      <w:r>
        <w:t>63.</w:t>
      </w:r>
      <w:r>
        <w:tab/>
      </w:r>
      <w:r>
        <w:rPr>
          <w:snapToGrid w:val="0"/>
        </w:rPr>
        <w:t>Appointment of agent</w:t>
      </w:r>
      <w:r>
        <w:tab/>
      </w:r>
      <w:r>
        <w:fldChar w:fldCharType="begin"/>
      </w:r>
      <w:r>
        <w:instrText xml:space="preserve"> PAGEREF _Toc201657185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6A — Delegation to Registrars</w:t>
      </w:r>
    </w:p>
    <w:p>
      <w:pPr>
        <w:pStyle w:val="TOC8"/>
        <w:rPr>
          <w:rFonts w:asciiTheme="minorHAnsi" w:eastAsiaTheme="minorEastAsia" w:hAnsiTheme="minorHAnsi" w:cstheme="minorBidi"/>
          <w:szCs w:val="22"/>
        </w:rPr>
      </w:pPr>
      <w:r>
        <w:t>64.</w:t>
      </w:r>
      <w:r>
        <w:tab/>
        <w:t>Delegation to Registrars</w:t>
      </w:r>
      <w:r>
        <w:tab/>
      </w:r>
      <w:r>
        <w:fldChar w:fldCharType="begin"/>
      </w:r>
      <w:r>
        <w:instrText xml:space="preserve"> PAGEREF _Toc201657187 \h </w:instrText>
      </w:r>
      <w:r>
        <w:fldChar w:fldCharType="separate"/>
      </w:r>
      <w:r>
        <w:t>66</w:t>
      </w:r>
      <w:r>
        <w:fldChar w:fldCharType="end"/>
      </w:r>
    </w:p>
    <w:p>
      <w:pPr>
        <w:pStyle w:val="TOC8"/>
        <w:rPr>
          <w:rFonts w:asciiTheme="minorHAnsi" w:eastAsiaTheme="minorEastAsia" w:hAnsiTheme="minorHAnsi" w:cstheme="minorBidi"/>
          <w:szCs w:val="22"/>
        </w:rPr>
      </w:pPr>
      <w:r>
        <w:t>65.</w:t>
      </w:r>
      <w:r>
        <w:tab/>
        <w:t>Time limits for review of decisions of Registrars</w:t>
      </w:r>
      <w:r>
        <w:tab/>
      </w:r>
      <w:r>
        <w:fldChar w:fldCharType="begin"/>
      </w:r>
      <w:r>
        <w:instrText xml:space="preserve"> PAGEREF _Toc201657188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Organisations and associations</w:t>
      </w:r>
    </w:p>
    <w:p>
      <w:pPr>
        <w:pStyle w:val="TOC4"/>
        <w:tabs>
          <w:tab w:val="right" w:leader="dot" w:pos="7077"/>
        </w:tabs>
        <w:rPr>
          <w:rFonts w:asciiTheme="minorHAnsi" w:eastAsiaTheme="minorEastAsia" w:hAnsiTheme="minorHAnsi" w:cstheme="minorBidi"/>
          <w:b w:val="0"/>
          <w:szCs w:val="22"/>
        </w:rPr>
      </w:pPr>
      <w:r>
        <w:t>Division 1 — Registration, status and coverage</w:t>
      </w:r>
    </w:p>
    <w:p>
      <w:pPr>
        <w:pStyle w:val="TOC8"/>
        <w:rPr>
          <w:rFonts w:asciiTheme="minorHAnsi" w:eastAsiaTheme="minorEastAsia" w:hAnsiTheme="minorHAnsi" w:cstheme="minorBidi"/>
          <w:szCs w:val="22"/>
        </w:rPr>
      </w:pPr>
      <w:r>
        <w:t>66.</w:t>
      </w:r>
      <w:r>
        <w:tab/>
      </w:r>
      <w:r>
        <w:rPr>
          <w:snapToGrid w:val="0"/>
        </w:rPr>
        <w:t>Registration of organisation</w:t>
      </w:r>
      <w:r>
        <w:tab/>
      </w:r>
      <w:r>
        <w:fldChar w:fldCharType="begin"/>
      </w:r>
      <w:r>
        <w:instrText xml:space="preserve"> PAGEREF _Toc201657191 \h </w:instrText>
      </w:r>
      <w:r>
        <w:fldChar w:fldCharType="separate"/>
      </w:r>
      <w:r>
        <w:t>68</w:t>
      </w:r>
      <w:r>
        <w:fldChar w:fldCharType="end"/>
      </w:r>
    </w:p>
    <w:p>
      <w:pPr>
        <w:pStyle w:val="TOC8"/>
        <w:rPr>
          <w:rFonts w:asciiTheme="minorHAnsi" w:eastAsiaTheme="minorEastAsia" w:hAnsiTheme="minorHAnsi" w:cstheme="minorBidi"/>
          <w:szCs w:val="22"/>
        </w:rPr>
      </w:pPr>
      <w:r>
        <w:t>67.</w:t>
      </w:r>
      <w:r>
        <w:tab/>
        <w:t>Registration of association</w:t>
      </w:r>
      <w:r>
        <w:tab/>
      </w:r>
      <w:r>
        <w:fldChar w:fldCharType="begin"/>
      </w:r>
      <w:r>
        <w:instrText xml:space="preserve"> PAGEREF _Toc201657192 \h </w:instrText>
      </w:r>
      <w:r>
        <w:fldChar w:fldCharType="separate"/>
      </w:r>
      <w:r>
        <w:t>69</w:t>
      </w:r>
      <w:r>
        <w:fldChar w:fldCharType="end"/>
      </w:r>
    </w:p>
    <w:p>
      <w:pPr>
        <w:pStyle w:val="TOC8"/>
        <w:rPr>
          <w:rFonts w:asciiTheme="minorHAnsi" w:eastAsiaTheme="minorEastAsia" w:hAnsiTheme="minorHAnsi" w:cstheme="minorBidi"/>
          <w:szCs w:val="22"/>
        </w:rPr>
      </w:pPr>
      <w:r>
        <w:t>68.</w:t>
      </w:r>
      <w:r>
        <w:tab/>
      </w:r>
      <w:r>
        <w:rPr>
          <w:snapToGrid w:val="0"/>
        </w:rPr>
        <w:t>Amalgamation of organisations</w:t>
      </w:r>
      <w:r>
        <w:tab/>
      </w:r>
      <w:r>
        <w:fldChar w:fldCharType="begin"/>
      </w:r>
      <w:r>
        <w:instrText xml:space="preserve"> PAGEREF _Toc201657193 \h </w:instrText>
      </w:r>
      <w:r>
        <w:fldChar w:fldCharType="separate"/>
      </w:r>
      <w:r>
        <w:t>70</w:t>
      </w:r>
      <w:r>
        <w:fldChar w:fldCharType="end"/>
      </w:r>
    </w:p>
    <w:p>
      <w:pPr>
        <w:pStyle w:val="TOC8"/>
        <w:rPr>
          <w:rFonts w:asciiTheme="minorHAnsi" w:eastAsiaTheme="minorEastAsia" w:hAnsiTheme="minorHAnsi" w:cstheme="minorBidi"/>
          <w:szCs w:val="22"/>
        </w:rPr>
      </w:pPr>
      <w:r>
        <w:t>72.</w:t>
      </w:r>
      <w:r>
        <w:tab/>
        <w:t>Counterpart certificates</w:t>
      </w:r>
      <w:r>
        <w:tab/>
      </w:r>
      <w:r>
        <w:fldChar w:fldCharType="begin"/>
      </w:r>
      <w:r>
        <w:instrText xml:space="preserve"> PAGEREF _Toc201657194 \h </w:instrText>
      </w:r>
      <w:r>
        <w:fldChar w:fldCharType="separate"/>
      </w:r>
      <w:r>
        <w:t>71</w:t>
      </w:r>
      <w:r>
        <w:fldChar w:fldCharType="end"/>
      </w:r>
    </w:p>
    <w:p>
      <w:pPr>
        <w:pStyle w:val="TOC8"/>
        <w:rPr>
          <w:rFonts w:asciiTheme="minorHAnsi" w:eastAsiaTheme="minorEastAsia" w:hAnsiTheme="minorHAnsi" w:cstheme="minorBidi"/>
          <w:szCs w:val="22"/>
        </w:rPr>
      </w:pPr>
      <w:r>
        <w:t>73.</w:t>
      </w:r>
      <w:r>
        <w:tab/>
        <w:t>Order as to whom employee organisation represents</w:t>
      </w:r>
      <w:r>
        <w:tab/>
      </w:r>
      <w:r>
        <w:fldChar w:fldCharType="begin"/>
      </w:r>
      <w:r>
        <w:instrText xml:space="preserve"> PAGEREF _Toc201657195 \h </w:instrText>
      </w:r>
      <w:r>
        <w:fldChar w:fldCharType="separate"/>
      </w:r>
      <w:r>
        <w:t>72</w:t>
      </w:r>
      <w:r>
        <w:fldChar w:fldCharType="end"/>
      </w:r>
    </w:p>
    <w:p>
      <w:pPr>
        <w:pStyle w:val="TOC8"/>
        <w:rPr>
          <w:rFonts w:asciiTheme="minorHAnsi" w:eastAsiaTheme="minorEastAsia" w:hAnsiTheme="minorHAnsi" w:cstheme="minorBidi"/>
          <w:szCs w:val="22"/>
        </w:rPr>
      </w:pPr>
      <w:r>
        <w:t>74.</w:t>
      </w:r>
      <w:r>
        <w:tab/>
        <w:t>Summons for cancellation or suspension of registration of organisation or association</w:t>
      </w:r>
      <w:r>
        <w:tab/>
      </w:r>
      <w:r>
        <w:fldChar w:fldCharType="begin"/>
      </w:r>
      <w:r>
        <w:instrText xml:space="preserve"> PAGEREF _Toc201657196 \h </w:instrText>
      </w:r>
      <w:r>
        <w:fldChar w:fldCharType="separate"/>
      </w:r>
      <w:r>
        <w:t>73</w:t>
      </w:r>
      <w:r>
        <w:fldChar w:fldCharType="end"/>
      </w:r>
    </w:p>
    <w:p>
      <w:pPr>
        <w:pStyle w:val="TOC8"/>
        <w:rPr>
          <w:rFonts w:asciiTheme="minorHAnsi" w:eastAsiaTheme="minorEastAsia" w:hAnsiTheme="minorHAnsi" w:cstheme="minorBidi"/>
          <w:szCs w:val="22"/>
        </w:rPr>
      </w:pPr>
      <w:r>
        <w:t>75.</w:t>
      </w:r>
      <w:r>
        <w:tab/>
      </w:r>
      <w:r>
        <w:rPr>
          <w:snapToGrid w:val="0"/>
        </w:rPr>
        <w:t>Request by organisation or association for cancellation of registration</w:t>
      </w:r>
      <w:r>
        <w:tab/>
      </w:r>
      <w:r>
        <w:fldChar w:fldCharType="begin"/>
      </w:r>
      <w:r>
        <w:instrText xml:space="preserve"> PAGEREF _Toc201657197 \h </w:instrText>
      </w:r>
      <w:r>
        <w:fldChar w:fldCharType="separate"/>
      </w:r>
      <w:r>
        <w:t>74</w:t>
      </w:r>
      <w:r>
        <w:fldChar w:fldCharType="end"/>
      </w:r>
    </w:p>
    <w:p>
      <w:pPr>
        <w:pStyle w:val="TOC8"/>
        <w:rPr>
          <w:rFonts w:asciiTheme="minorHAnsi" w:eastAsiaTheme="minorEastAsia" w:hAnsiTheme="minorHAnsi" w:cstheme="minorBidi"/>
          <w:szCs w:val="22"/>
        </w:rPr>
      </w:pPr>
      <w:r>
        <w:t>76.</w:t>
      </w:r>
      <w:r>
        <w:tab/>
      </w:r>
      <w:r>
        <w:rPr>
          <w:snapToGrid w:val="0"/>
        </w:rPr>
        <w:t>Application by Registrar for cancellation of registration</w:t>
      </w:r>
      <w:r>
        <w:tab/>
      </w:r>
      <w:r>
        <w:fldChar w:fldCharType="begin"/>
      </w:r>
      <w:r>
        <w:instrText xml:space="preserve"> PAGEREF _Toc201657198 \h </w:instrText>
      </w:r>
      <w:r>
        <w:fldChar w:fldCharType="separate"/>
      </w:r>
      <w:r>
        <w:t>74</w:t>
      </w:r>
      <w:r>
        <w:fldChar w:fldCharType="end"/>
      </w:r>
    </w:p>
    <w:p>
      <w:pPr>
        <w:pStyle w:val="TOC8"/>
        <w:rPr>
          <w:rFonts w:asciiTheme="minorHAnsi" w:eastAsiaTheme="minorEastAsia" w:hAnsiTheme="minorHAnsi" w:cstheme="minorBidi"/>
          <w:szCs w:val="22"/>
        </w:rPr>
      </w:pPr>
      <w:r>
        <w:t>77.</w:t>
      </w:r>
      <w:r>
        <w:tab/>
      </w:r>
      <w:r>
        <w:rPr>
          <w:snapToGrid w:val="0"/>
        </w:rPr>
        <w:t>Certificates of registration</w:t>
      </w:r>
      <w:r>
        <w:tab/>
      </w:r>
      <w:r>
        <w:fldChar w:fldCharType="begin"/>
      </w:r>
      <w:r>
        <w:instrText xml:space="preserve"> PAGEREF _Toc201657199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Rules of organisations</w:t>
      </w:r>
    </w:p>
    <w:p>
      <w:pPr>
        <w:pStyle w:val="TOC8"/>
        <w:rPr>
          <w:rFonts w:asciiTheme="minorHAnsi" w:eastAsiaTheme="minorEastAsia" w:hAnsiTheme="minorHAnsi" w:cstheme="minorBidi"/>
          <w:szCs w:val="22"/>
        </w:rPr>
      </w:pPr>
      <w:r>
        <w:t>77A.</w:t>
      </w:r>
      <w:r>
        <w:tab/>
        <w:t>Alteration of rules</w:t>
      </w:r>
      <w:r>
        <w:tab/>
      </w:r>
      <w:r>
        <w:fldChar w:fldCharType="begin"/>
      </w:r>
      <w:r>
        <w:instrText xml:space="preserve"> PAGEREF _Toc201657201 \h </w:instrText>
      </w:r>
      <w:r>
        <w:fldChar w:fldCharType="separate"/>
      </w:r>
      <w:r>
        <w:t>75</w:t>
      </w:r>
      <w:r>
        <w:fldChar w:fldCharType="end"/>
      </w:r>
    </w:p>
    <w:p>
      <w:pPr>
        <w:pStyle w:val="TOC8"/>
        <w:rPr>
          <w:rFonts w:asciiTheme="minorHAnsi" w:eastAsiaTheme="minorEastAsia" w:hAnsiTheme="minorHAnsi" w:cstheme="minorBidi"/>
          <w:szCs w:val="22"/>
        </w:rPr>
      </w:pPr>
      <w:r>
        <w:t>77B.</w:t>
      </w:r>
      <w:r>
        <w:tab/>
        <w:t>Substitution of new set of rules</w:t>
      </w:r>
      <w:r>
        <w:tab/>
      </w:r>
      <w:r>
        <w:fldChar w:fldCharType="begin"/>
      </w:r>
      <w:r>
        <w:instrText xml:space="preserve"> PAGEREF _Toc201657202 \h </w:instrText>
      </w:r>
      <w:r>
        <w:fldChar w:fldCharType="separate"/>
      </w:r>
      <w:r>
        <w:t>77</w:t>
      </w:r>
      <w:r>
        <w:fldChar w:fldCharType="end"/>
      </w:r>
    </w:p>
    <w:p>
      <w:pPr>
        <w:pStyle w:val="TOC8"/>
        <w:rPr>
          <w:rFonts w:asciiTheme="minorHAnsi" w:eastAsiaTheme="minorEastAsia" w:hAnsiTheme="minorHAnsi" w:cstheme="minorBidi"/>
          <w:szCs w:val="22"/>
        </w:rPr>
      </w:pPr>
      <w:r>
        <w:t>77C.</w:t>
      </w:r>
      <w:r>
        <w:tab/>
        <w:t>Change of name</w:t>
      </w:r>
      <w:r>
        <w:tab/>
      </w:r>
      <w:r>
        <w:fldChar w:fldCharType="begin"/>
      </w:r>
      <w:r>
        <w:instrText xml:space="preserve"> PAGEREF _Toc201657203 \h </w:instrText>
      </w:r>
      <w:r>
        <w:fldChar w:fldCharType="separate"/>
      </w:r>
      <w:r>
        <w:t>78</w:t>
      </w:r>
      <w:r>
        <w:fldChar w:fldCharType="end"/>
      </w:r>
    </w:p>
    <w:p>
      <w:pPr>
        <w:pStyle w:val="TOC8"/>
        <w:rPr>
          <w:rFonts w:asciiTheme="minorHAnsi" w:eastAsiaTheme="minorEastAsia" w:hAnsiTheme="minorHAnsi" w:cstheme="minorBidi"/>
          <w:szCs w:val="22"/>
        </w:rPr>
      </w:pPr>
      <w:r>
        <w:t>77D.</w:t>
      </w:r>
      <w:r>
        <w:tab/>
        <w:t>Certificate of registration after certain changes</w:t>
      </w:r>
      <w:r>
        <w:tab/>
      </w:r>
      <w:r>
        <w:fldChar w:fldCharType="begin"/>
      </w:r>
      <w:r>
        <w:instrText xml:space="preserve"> PAGEREF _Toc201657204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Right of entry</w:t>
      </w:r>
    </w:p>
    <w:p>
      <w:pPr>
        <w:pStyle w:val="TOC8"/>
        <w:rPr>
          <w:rFonts w:asciiTheme="minorHAnsi" w:eastAsiaTheme="minorEastAsia" w:hAnsiTheme="minorHAnsi" w:cstheme="minorBidi"/>
          <w:szCs w:val="22"/>
        </w:rPr>
      </w:pPr>
      <w:r>
        <w:t>77E.</w:t>
      </w:r>
      <w:r>
        <w:tab/>
        <w:t>Requirements for application for right of entry permit (Act s. 49N(2))</w:t>
      </w:r>
      <w:r>
        <w:tab/>
      </w:r>
      <w:r>
        <w:fldChar w:fldCharType="begin"/>
      </w:r>
      <w:r>
        <w:instrText xml:space="preserve"> PAGEREF _Toc201657206 \h </w:instrText>
      </w:r>
      <w:r>
        <w:fldChar w:fldCharType="separate"/>
      </w:r>
      <w:r>
        <w:t>79</w:t>
      </w:r>
      <w:r>
        <w:fldChar w:fldCharType="end"/>
      </w:r>
    </w:p>
    <w:p>
      <w:pPr>
        <w:pStyle w:val="TOC8"/>
        <w:rPr>
          <w:rFonts w:asciiTheme="minorHAnsi" w:eastAsiaTheme="minorEastAsia" w:hAnsiTheme="minorHAnsi" w:cstheme="minorBidi"/>
          <w:szCs w:val="22"/>
        </w:rPr>
      </w:pPr>
      <w:r>
        <w:t>77F.</w:t>
      </w:r>
      <w:r>
        <w:tab/>
        <w:t>Form of right of entry permit</w:t>
      </w:r>
      <w:r>
        <w:tab/>
      </w:r>
      <w:r>
        <w:fldChar w:fldCharType="begin"/>
      </w:r>
      <w:r>
        <w:instrText xml:space="preserve"> PAGEREF _Toc201657207 \h </w:instrText>
      </w:r>
      <w:r>
        <w:fldChar w:fldCharType="separate"/>
      </w:r>
      <w:r>
        <w:t>81</w:t>
      </w:r>
      <w:r>
        <w:fldChar w:fldCharType="end"/>
      </w:r>
    </w:p>
    <w:p>
      <w:pPr>
        <w:pStyle w:val="TOC8"/>
        <w:rPr>
          <w:rFonts w:asciiTheme="minorHAnsi" w:eastAsiaTheme="minorEastAsia" w:hAnsiTheme="minorHAnsi" w:cstheme="minorBidi"/>
          <w:szCs w:val="22"/>
        </w:rPr>
      </w:pPr>
      <w:r>
        <w:t>77G.</w:t>
      </w:r>
      <w:r>
        <w:tab/>
        <w:t>When Commission may impose or change conditions, suspend or revoke right of entry permit</w:t>
      </w:r>
      <w:r>
        <w:tab/>
      </w:r>
      <w:r>
        <w:fldChar w:fldCharType="begin"/>
      </w:r>
      <w:r>
        <w:instrText xml:space="preserve"> PAGEREF _Toc201657208 \h </w:instrText>
      </w:r>
      <w:r>
        <w:fldChar w:fldCharType="separate"/>
      </w:r>
      <w:r>
        <w:t>82</w:t>
      </w:r>
      <w:r>
        <w:fldChar w:fldCharType="end"/>
      </w:r>
    </w:p>
    <w:p>
      <w:pPr>
        <w:pStyle w:val="TOC8"/>
        <w:rPr>
          <w:rFonts w:asciiTheme="minorHAnsi" w:eastAsiaTheme="minorEastAsia" w:hAnsiTheme="minorHAnsi" w:cstheme="minorBidi"/>
          <w:szCs w:val="22"/>
        </w:rPr>
      </w:pPr>
      <w:r>
        <w:t>77H.</w:t>
      </w:r>
      <w:r>
        <w:tab/>
        <w:t>Revocation of right of entry permit on application of secretary of organisation</w:t>
      </w:r>
      <w:r>
        <w:tab/>
      </w:r>
      <w:r>
        <w:fldChar w:fldCharType="begin"/>
      </w:r>
      <w:r>
        <w:instrText xml:space="preserve"> PAGEREF _Toc201657209 \h </w:instrText>
      </w:r>
      <w:r>
        <w:fldChar w:fldCharType="separate"/>
      </w:r>
      <w:r>
        <w:t>82</w:t>
      </w:r>
      <w:r>
        <w:fldChar w:fldCharType="end"/>
      </w:r>
    </w:p>
    <w:p>
      <w:pPr>
        <w:pStyle w:val="TOC8"/>
        <w:rPr>
          <w:rFonts w:asciiTheme="minorHAnsi" w:eastAsiaTheme="minorEastAsia" w:hAnsiTheme="minorHAnsi" w:cstheme="minorBidi"/>
          <w:szCs w:val="22"/>
        </w:rPr>
      </w:pPr>
      <w:r>
        <w:t>77I.</w:t>
      </w:r>
      <w:r>
        <w:tab/>
        <w:t>Register of right of entry permits</w:t>
      </w:r>
      <w:r>
        <w:tab/>
      </w:r>
      <w:r>
        <w:fldChar w:fldCharType="begin"/>
      </w:r>
      <w:r>
        <w:instrText xml:space="preserve"> PAGEREF _Toc201657210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4 — Records and accounts</w:t>
      </w:r>
    </w:p>
    <w:p>
      <w:pPr>
        <w:pStyle w:val="TOC8"/>
        <w:rPr>
          <w:rFonts w:asciiTheme="minorHAnsi" w:eastAsiaTheme="minorEastAsia" w:hAnsiTheme="minorHAnsi" w:cstheme="minorBidi"/>
          <w:szCs w:val="22"/>
        </w:rPr>
      </w:pPr>
      <w:r>
        <w:t>78.</w:t>
      </w:r>
      <w:r>
        <w:tab/>
        <w:t>Filing records of organisation or association</w:t>
      </w:r>
      <w:r>
        <w:tab/>
      </w:r>
      <w:r>
        <w:fldChar w:fldCharType="begin"/>
      </w:r>
      <w:r>
        <w:instrText xml:space="preserve"> PAGEREF _Toc201657212 \h </w:instrText>
      </w:r>
      <w:r>
        <w:fldChar w:fldCharType="separate"/>
      </w:r>
      <w:r>
        <w:t>83</w:t>
      </w:r>
      <w:r>
        <w:fldChar w:fldCharType="end"/>
      </w:r>
    </w:p>
    <w:p>
      <w:pPr>
        <w:pStyle w:val="TOC8"/>
        <w:rPr>
          <w:rFonts w:asciiTheme="minorHAnsi" w:eastAsiaTheme="minorEastAsia" w:hAnsiTheme="minorHAnsi" w:cstheme="minorBidi"/>
          <w:szCs w:val="22"/>
        </w:rPr>
      </w:pPr>
      <w:r>
        <w:t>79.</w:t>
      </w:r>
      <w:r>
        <w:tab/>
      </w:r>
      <w:r>
        <w:rPr>
          <w:snapToGrid w:val="0"/>
        </w:rPr>
        <w:t>Balance sheet etc. of organisation</w:t>
      </w:r>
      <w:r>
        <w:tab/>
      </w:r>
      <w:r>
        <w:fldChar w:fldCharType="begin"/>
      </w:r>
      <w:r>
        <w:instrText xml:space="preserve"> PAGEREF _Toc201657213 \h </w:instrText>
      </w:r>
      <w:r>
        <w:fldChar w:fldCharType="separate"/>
      </w:r>
      <w:r>
        <w:t>83</w:t>
      </w:r>
      <w:r>
        <w:fldChar w:fldCharType="end"/>
      </w:r>
    </w:p>
    <w:p>
      <w:pPr>
        <w:pStyle w:val="TOC8"/>
        <w:rPr>
          <w:rFonts w:asciiTheme="minorHAnsi" w:eastAsiaTheme="minorEastAsia" w:hAnsiTheme="minorHAnsi" w:cstheme="minorBidi"/>
          <w:szCs w:val="22"/>
        </w:rPr>
      </w:pPr>
      <w:r>
        <w:t>80.</w:t>
      </w:r>
      <w:r>
        <w:tab/>
        <w:t>Inspection of documents</w:t>
      </w:r>
      <w:r>
        <w:tab/>
      </w:r>
      <w:r>
        <w:fldChar w:fldCharType="begin"/>
      </w:r>
      <w:r>
        <w:instrText xml:space="preserve"> PAGEREF _Toc201657214 \h </w:instrText>
      </w:r>
      <w:r>
        <w:fldChar w:fldCharType="separate"/>
      </w:r>
      <w:r>
        <w:t>84</w:t>
      </w:r>
      <w:r>
        <w:fldChar w:fldCharType="end"/>
      </w:r>
    </w:p>
    <w:p>
      <w:pPr>
        <w:pStyle w:val="TOC8"/>
        <w:rPr>
          <w:rFonts w:asciiTheme="minorHAnsi" w:eastAsiaTheme="minorEastAsia" w:hAnsiTheme="minorHAnsi" w:cstheme="minorBidi"/>
          <w:szCs w:val="22"/>
        </w:rPr>
      </w:pPr>
      <w:r>
        <w:lastRenderedPageBreak/>
        <w:t>81.</w:t>
      </w:r>
      <w:r>
        <w:tab/>
      </w:r>
      <w:r>
        <w:rPr>
          <w:snapToGrid w:val="0"/>
        </w:rPr>
        <w:t>Notification of change of address</w:t>
      </w:r>
      <w:r>
        <w:tab/>
      </w:r>
      <w:r>
        <w:fldChar w:fldCharType="begin"/>
      </w:r>
      <w:r>
        <w:instrText xml:space="preserve"> PAGEREF _Toc201657215 \h </w:instrText>
      </w:r>
      <w:r>
        <w:fldChar w:fldCharType="separate"/>
      </w:r>
      <w:r>
        <w:t>84</w:t>
      </w:r>
      <w:r>
        <w:fldChar w:fldCharType="end"/>
      </w:r>
    </w:p>
    <w:p>
      <w:pPr>
        <w:pStyle w:val="TOC8"/>
        <w:rPr>
          <w:rFonts w:asciiTheme="minorHAnsi" w:eastAsiaTheme="minorEastAsia" w:hAnsiTheme="minorHAnsi" w:cstheme="minorBidi"/>
          <w:szCs w:val="22"/>
        </w:rPr>
      </w:pPr>
      <w:r>
        <w:t>82.</w:t>
      </w:r>
      <w:r>
        <w:tab/>
        <w:t>Return about current right of entry permit holders</w:t>
      </w:r>
      <w:r>
        <w:tab/>
      </w:r>
      <w:r>
        <w:fldChar w:fldCharType="begin"/>
      </w:r>
      <w:r>
        <w:instrText xml:space="preserve"> PAGEREF _Toc201657216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8 — Applications and appeals under Part VID Division 9 of the Act</w:t>
      </w:r>
    </w:p>
    <w:p>
      <w:pPr>
        <w:pStyle w:val="TOC4"/>
        <w:tabs>
          <w:tab w:val="right" w:leader="dot" w:pos="7077"/>
        </w:tabs>
        <w:rPr>
          <w:rFonts w:asciiTheme="minorHAnsi" w:eastAsiaTheme="minorEastAsia" w:hAnsiTheme="minorHAnsi" w:cstheme="minorBidi"/>
          <w:b w:val="0"/>
          <w:szCs w:val="22"/>
        </w:rPr>
      </w:pPr>
      <w:r>
        <w:t>Division 1 — Applications</w:t>
      </w:r>
    </w:p>
    <w:p>
      <w:pPr>
        <w:pStyle w:val="TOC8"/>
        <w:rPr>
          <w:rFonts w:asciiTheme="minorHAnsi" w:eastAsiaTheme="minorEastAsia" w:hAnsiTheme="minorHAnsi" w:cstheme="minorBidi"/>
          <w:szCs w:val="22"/>
        </w:rPr>
      </w:pPr>
      <w:r>
        <w:t>83.</w:t>
      </w:r>
      <w:r>
        <w:tab/>
        <w:t>Establishing that proposed representative is qualified and consents to application under section 97WV or 97XM</w:t>
      </w:r>
      <w:r>
        <w:tab/>
      </w:r>
      <w:r>
        <w:fldChar w:fldCharType="begin"/>
      </w:r>
      <w:r>
        <w:instrText xml:space="preserve"> PAGEREF _Toc201657219 \h </w:instrText>
      </w:r>
      <w:r>
        <w:fldChar w:fldCharType="separate"/>
      </w:r>
      <w:r>
        <w:t>86</w:t>
      </w:r>
      <w:r>
        <w:fldChar w:fldCharType="end"/>
      </w:r>
    </w:p>
    <w:p>
      <w:pPr>
        <w:pStyle w:val="TOC8"/>
        <w:rPr>
          <w:rFonts w:asciiTheme="minorHAnsi" w:eastAsiaTheme="minorEastAsia" w:hAnsiTheme="minorHAnsi" w:cstheme="minorBidi"/>
          <w:szCs w:val="22"/>
        </w:rPr>
      </w:pPr>
      <w:r>
        <w:t>84.</w:t>
      </w:r>
      <w:r>
        <w:tab/>
        <w:t>Notice of application for approval to be given to employer</w:t>
      </w:r>
      <w:r>
        <w:tab/>
      </w:r>
      <w:r>
        <w:fldChar w:fldCharType="begin"/>
      </w:r>
      <w:r>
        <w:instrText xml:space="preserve"> PAGEREF _Toc201657220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Appeals under section 97XB or 97XQ of the Act</w:t>
      </w:r>
    </w:p>
    <w:p>
      <w:pPr>
        <w:pStyle w:val="TOC8"/>
        <w:rPr>
          <w:rFonts w:asciiTheme="minorHAnsi" w:eastAsiaTheme="minorEastAsia" w:hAnsiTheme="minorHAnsi" w:cstheme="minorBidi"/>
          <w:szCs w:val="22"/>
        </w:rPr>
      </w:pPr>
      <w:r>
        <w:t>85.</w:t>
      </w:r>
      <w:r>
        <w:tab/>
        <w:t>Appeal against refusal to give approval</w:t>
      </w:r>
      <w:r>
        <w:tab/>
      </w:r>
      <w:r>
        <w:fldChar w:fldCharType="begin"/>
      </w:r>
      <w:r>
        <w:instrText xml:space="preserve"> PAGEREF _Toc201657222 \h </w:instrText>
      </w:r>
      <w:r>
        <w:fldChar w:fldCharType="separate"/>
      </w:r>
      <w:r>
        <w:t>87</w:t>
      </w:r>
      <w:r>
        <w:fldChar w:fldCharType="end"/>
      </w:r>
    </w:p>
    <w:p>
      <w:pPr>
        <w:pStyle w:val="TOC8"/>
        <w:rPr>
          <w:rFonts w:asciiTheme="minorHAnsi" w:eastAsiaTheme="minorEastAsia" w:hAnsiTheme="minorHAnsi" w:cstheme="minorBidi"/>
          <w:szCs w:val="22"/>
        </w:rPr>
      </w:pPr>
      <w:r>
        <w:t>86.</w:t>
      </w:r>
      <w:r>
        <w:tab/>
      </w:r>
      <w:r>
        <w:rPr>
          <w:snapToGrid w:val="0"/>
        </w:rPr>
        <w:t>Service of appeal notice</w:t>
      </w:r>
      <w:r>
        <w:tab/>
      </w:r>
      <w:r>
        <w:fldChar w:fldCharType="begin"/>
      </w:r>
      <w:r>
        <w:instrText xml:space="preserve"> PAGEREF _Toc201657223 \h </w:instrText>
      </w:r>
      <w:r>
        <w:fldChar w:fldCharType="separate"/>
      </w:r>
      <w:r>
        <w:t>87</w:t>
      </w:r>
      <w:r>
        <w:fldChar w:fldCharType="end"/>
      </w:r>
    </w:p>
    <w:p>
      <w:pPr>
        <w:pStyle w:val="TOC8"/>
        <w:rPr>
          <w:rFonts w:asciiTheme="minorHAnsi" w:eastAsiaTheme="minorEastAsia" w:hAnsiTheme="minorHAnsi" w:cstheme="minorBidi"/>
          <w:szCs w:val="22"/>
        </w:rPr>
      </w:pPr>
      <w:r>
        <w:t>87.</w:t>
      </w:r>
      <w:r>
        <w:tab/>
      </w:r>
      <w:r>
        <w:rPr>
          <w:snapToGrid w:val="0"/>
        </w:rPr>
        <w:t>Person served entitled but not required to be heard</w:t>
      </w:r>
      <w:r>
        <w:tab/>
      </w:r>
      <w:r>
        <w:fldChar w:fldCharType="begin"/>
      </w:r>
      <w:r>
        <w:instrText xml:space="preserve"> PAGEREF _Toc201657224 \h </w:instrText>
      </w:r>
      <w:r>
        <w:fldChar w:fldCharType="separate"/>
      </w:r>
      <w:r>
        <w:t>88</w:t>
      </w:r>
      <w:r>
        <w:fldChar w:fldCharType="end"/>
      </w:r>
    </w:p>
    <w:p>
      <w:pPr>
        <w:pStyle w:val="TOC8"/>
        <w:rPr>
          <w:rFonts w:asciiTheme="minorHAnsi" w:eastAsiaTheme="minorEastAsia" w:hAnsiTheme="minorHAnsi" w:cstheme="minorBidi"/>
          <w:szCs w:val="22"/>
        </w:rPr>
      </w:pPr>
      <w:r>
        <w:t>88.</w:t>
      </w:r>
      <w:r>
        <w:tab/>
      </w:r>
      <w:r>
        <w:rPr>
          <w:snapToGrid w:val="0"/>
        </w:rPr>
        <w:t>Registrar to provide records to Commissioner</w:t>
      </w:r>
      <w:r>
        <w:tab/>
      </w:r>
      <w:r>
        <w:fldChar w:fldCharType="begin"/>
      </w:r>
      <w:r>
        <w:instrText xml:space="preserve"> PAGEREF _Toc201657225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9A — Appeals under </w:t>
      </w:r>
      <w:r>
        <w:rPr>
          <w:i/>
        </w:rPr>
        <w:t>Prisons Act 1981</w:t>
      </w:r>
      <w:r>
        <w:t xml:space="preserve"> section 106</w:t>
      </w:r>
    </w:p>
    <w:p>
      <w:pPr>
        <w:pStyle w:val="TOC8"/>
        <w:rPr>
          <w:rFonts w:asciiTheme="minorHAnsi" w:eastAsiaTheme="minorEastAsia" w:hAnsiTheme="minorHAnsi" w:cstheme="minorBidi"/>
          <w:szCs w:val="22"/>
        </w:rPr>
      </w:pPr>
      <w:r>
        <w:t>89A.</w:t>
      </w:r>
      <w:r>
        <w:tab/>
        <w:t>Terms used</w:t>
      </w:r>
      <w:r>
        <w:tab/>
      </w:r>
      <w:r>
        <w:fldChar w:fldCharType="begin"/>
      </w:r>
      <w:r>
        <w:instrText xml:space="preserve"> PAGEREF _Toc201657227 \h </w:instrText>
      </w:r>
      <w:r>
        <w:fldChar w:fldCharType="separate"/>
      </w:r>
      <w:r>
        <w:t>89</w:t>
      </w:r>
      <w:r>
        <w:fldChar w:fldCharType="end"/>
      </w:r>
    </w:p>
    <w:p>
      <w:pPr>
        <w:pStyle w:val="TOC8"/>
        <w:rPr>
          <w:rFonts w:asciiTheme="minorHAnsi" w:eastAsiaTheme="minorEastAsia" w:hAnsiTheme="minorHAnsi" w:cstheme="minorBidi"/>
          <w:szCs w:val="22"/>
        </w:rPr>
      </w:pPr>
      <w:r>
        <w:t>89B.</w:t>
      </w:r>
      <w:r>
        <w:tab/>
        <w:t>Notice of appeal against removal action</w:t>
      </w:r>
      <w:r>
        <w:tab/>
      </w:r>
      <w:r>
        <w:fldChar w:fldCharType="begin"/>
      </w:r>
      <w:r>
        <w:instrText xml:space="preserve"> PAGEREF _Toc201657228 \h </w:instrText>
      </w:r>
      <w:r>
        <w:fldChar w:fldCharType="separate"/>
      </w:r>
      <w:r>
        <w:t>89</w:t>
      </w:r>
      <w:r>
        <w:fldChar w:fldCharType="end"/>
      </w:r>
    </w:p>
    <w:p>
      <w:pPr>
        <w:pStyle w:val="TOC8"/>
        <w:rPr>
          <w:rFonts w:asciiTheme="minorHAnsi" w:eastAsiaTheme="minorEastAsia" w:hAnsiTheme="minorHAnsi" w:cstheme="minorBidi"/>
          <w:szCs w:val="22"/>
        </w:rPr>
      </w:pPr>
      <w:r>
        <w:t>89C.</w:t>
      </w:r>
      <w:r>
        <w:tab/>
        <w:t>Service of notice of appeal against removal action</w:t>
      </w:r>
      <w:r>
        <w:tab/>
      </w:r>
      <w:r>
        <w:fldChar w:fldCharType="begin"/>
      </w:r>
      <w:r>
        <w:instrText xml:space="preserve"> PAGEREF _Toc201657229 \h </w:instrText>
      </w:r>
      <w:r>
        <w:fldChar w:fldCharType="separate"/>
      </w:r>
      <w:r>
        <w:t>90</w:t>
      </w:r>
      <w:r>
        <w:fldChar w:fldCharType="end"/>
      </w:r>
    </w:p>
    <w:p>
      <w:pPr>
        <w:pStyle w:val="TOC8"/>
        <w:rPr>
          <w:rFonts w:asciiTheme="minorHAnsi" w:eastAsiaTheme="minorEastAsia" w:hAnsiTheme="minorHAnsi" w:cstheme="minorBidi"/>
          <w:szCs w:val="22"/>
        </w:rPr>
      </w:pPr>
      <w:r>
        <w:t>89D.</w:t>
      </w:r>
      <w:r>
        <w:tab/>
        <w:t>Response by chief executive officer</w:t>
      </w:r>
      <w:r>
        <w:tab/>
      </w:r>
      <w:r>
        <w:fldChar w:fldCharType="begin"/>
      </w:r>
      <w:r>
        <w:instrText xml:space="preserve"> PAGEREF _Toc201657230 \h </w:instrText>
      </w:r>
      <w:r>
        <w:fldChar w:fldCharType="separate"/>
      </w:r>
      <w:r>
        <w:t>90</w:t>
      </w:r>
      <w:r>
        <w:fldChar w:fldCharType="end"/>
      </w:r>
    </w:p>
    <w:p>
      <w:pPr>
        <w:pStyle w:val="TOC8"/>
        <w:rPr>
          <w:rFonts w:asciiTheme="minorHAnsi" w:eastAsiaTheme="minorEastAsia" w:hAnsiTheme="minorHAnsi" w:cstheme="minorBidi"/>
          <w:szCs w:val="22"/>
        </w:rPr>
      </w:pPr>
      <w:r>
        <w:t>89E.</w:t>
      </w:r>
      <w:r>
        <w:tab/>
        <w:t>Documents relied on to be filed and served</w:t>
      </w:r>
      <w:r>
        <w:tab/>
      </w:r>
      <w:r>
        <w:fldChar w:fldCharType="begin"/>
      </w:r>
      <w:r>
        <w:instrText xml:space="preserve"> PAGEREF _Toc201657231 \h </w:instrText>
      </w:r>
      <w:r>
        <w:fldChar w:fldCharType="separate"/>
      </w:r>
      <w:r>
        <w:t>91</w:t>
      </w:r>
      <w:r>
        <w:fldChar w:fldCharType="end"/>
      </w:r>
    </w:p>
    <w:p>
      <w:pPr>
        <w:pStyle w:val="TOC8"/>
        <w:rPr>
          <w:rFonts w:asciiTheme="minorHAnsi" w:eastAsiaTheme="minorEastAsia" w:hAnsiTheme="minorHAnsi" w:cstheme="minorBidi"/>
          <w:szCs w:val="22"/>
        </w:rPr>
      </w:pPr>
      <w:r>
        <w:t>89F.</w:t>
      </w:r>
      <w:r>
        <w:tab/>
        <w:t xml:space="preserve">Notice of reformulated reasons under </w:t>
      </w:r>
      <w:r>
        <w:rPr>
          <w:i/>
        </w:rPr>
        <w:t>Prisons Act 1981</w:t>
      </w:r>
      <w:r>
        <w:t xml:space="preserve"> s. 110A(4)</w:t>
      </w:r>
      <w:r>
        <w:tab/>
      </w:r>
      <w:r>
        <w:fldChar w:fldCharType="begin"/>
      </w:r>
      <w:r>
        <w:instrText xml:space="preserve"> PAGEREF _Toc201657232 \h </w:instrText>
      </w:r>
      <w:r>
        <w:fldChar w:fldCharType="separate"/>
      </w:r>
      <w:r>
        <w:t>91</w:t>
      </w:r>
      <w:r>
        <w:fldChar w:fldCharType="end"/>
      </w:r>
    </w:p>
    <w:p>
      <w:pPr>
        <w:pStyle w:val="TOC8"/>
        <w:rPr>
          <w:rFonts w:asciiTheme="minorHAnsi" w:eastAsiaTheme="minorEastAsia" w:hAnsiTheme="minorHAnsi" w:cstheme="minorBidi"/>
          <w:szCs w:val="22"/>
        </w:rPr>
      </w:pPr>
      <w:r>
        <w:t>89G.</w:t>
      </w:r>
      <w:r>
        <w:tab/>
        <w:t>Withdrawal or discontinuance of appeal against removal</w:t>
      </w:r>
      <w:r>
        <w:tab/>
      </w:r>
      <w:r>
        <w:fldChar w:fldCharType="begin"/>
      </w:r>
      <w:r>
        <w:instrText xml:space="preserve"> PAGEREF _Toc201657233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9B — Appeals under </w:t>
      </w:r>
      <w:r>
        <w:rPr>
          <w:i/>
        </w:rPr>
        <w:t>Young Offenders Act 1994</w:t>
      </w:r>
      <w:r>
        <w:t xml:space="preserve"> section 11CH</w:t>
      </w:r>
    </w:p>
    <w:p>
      <w:pPr>
        <w:pStyle w:val="TOC8"/>
        <w:rPr>
          <w:rFonts w:asciiTheme="minorHAnsi" w:eastAsiaTheme="minorEastAsia" w:hAnsiTheme="minorHAnsi" w:cstheme="minorBidi"/>
          <w:szCs w:val="22"/>
        </w:rPr>
      </w:pPr>
      <w:r>
        <w:t>89H.</w:t>
      </w:r>
      <w:r>
        <w:tab/>
        <w:t>Terms used</w:t>
      </w:r>
      <w:r>
        <w:tab/>
      </w:r>
      <w:r>
        <w:fldChar w:fldCharType="begin"/>
      </w:r>
      <w:r>
        <w:instrText xml:space="preserve"> PAGEREF _Toc201657235 \h </w:instrText>
      </w:r>
      <w:r>
        <w:fldChar w:fldCharType="separate"/>
      </w:r>
      <w:r>
        <w:t>93</w:t>
      </w:r>
      <w:r>
        <w:fldChar w:fldCharType="end"/>
      </w:r>
    </w:p>
    <w:p>
      <w:pPr>
        <w:pStyle w:val="TOC8"/>
        <w:rPr>
          <w:rFonts w:asciiTheme="minorHAnsi" w:eastAsiaTheme="minorEastAsia" w:hAnsiTheme="minorHAnsi" w:cstheme="minorBidi"/>
          <w:szCs w:val="22"/>
        </w:rPr>
      </w:pPr>
      <w:r>
        <w:t>89I.</w:t>
      </w:r>
      <w:r>
        <w:tab/>
        <w:t>Notice of appeal against removal action</w:t>
      </w:r>
      <w:r>
        <w:tab/>
      </w:r>
      <w:r>
        <w:fldChar w:fldCharType="begin"/>
      </w:r>
      <w:r>
        <w:instrText xml:space="preserve"> PAGEREF _Toc201657236 \h </w:instrText>
      </w:r>
      <w:r>
        <w:fldChar w:fldCharType="separate"/>
      </w:r>
      <w:r>
        <w:t>93</w:t>
      </w:r>
      <w:r>
        <w:fldChar w:fldCharType="end"/>
      </w:r>
    </w:p>
    <w:p>
      <w:pPr>
        <w:pStyle w:val="TOC8"/>
        <w:rPr>
          <w:rFonts w:asciiTheme="minorHAnsi" w:eastAsiaTheme="minorEastAsia" w:hAnsiTheme="minorHAnsi" w:cstheme="minorBidi"/>
          <w:szCs w:val="22"/>
        </w:rPr>
      </w:pPr>
      <w:r>
        <w:t>89J.</w:t>
      </w:r>
      <w:r>
        <w:tab/>
        <w:t>Service of notice of appeal against removal action</w:t>
      </w:r>
      <w:r>
        <w:tab/>
      </w:r>
      <w:r>
        <w:fldChar w:fldCharType="begin"/>
      </w:r>
      <w:r>
        <w:instrText xml:space="preserve"> PAGEREF _Toc201657237 \h </w:instrText>
      </w:r>
      <w:r>
        <w:fldChar w:fldCharType="separate"/>
      </w:r>
      <w:r>
        <w:t>94</w:t>
      </w:r>
      <w:r>
        <w:fldChar w:fldCharType="end"/>
      </w:r>
    </w:p>
    <w:p>
      <w:pPr>
        <w:pStyle w:val="TOC8"/>
        <w:rPr>
          <w:rFonts w:asciiTheme="minorHAnsi" w:eastAsiaTheme="minorEastAsia" w:hAnsiTheme="minorHAnsi" w:cstheme="minorBidi"/>
          <w:szCs w:val="22"/>
        </w:rPr>
      </w:pPr>
      <w:r>
        <w:t>89K.</w:t>
      </w:r>
      <w:r>
        <w:tab/>
        <w:t>Response by chief executive officer</w:t>
      </w:r>
      <w:r>
        <w:tab/>
      </w:r>
      <w:r>
        <w:fldChar w:fldCharType="begin"/>
      </w:r>
      <w:r>
        <w:instrText xml:space="preserve"> PAGEREF _Toc201657238 \h </w:instrText>
      </w:r>
      <w:r>
        <w:fldChar w:fldCharType="separate"/>
      </w:r>
      <w:r>
        <w:t>94</w:t>
      </w:r>
      <w:r>
        <w:fldChar w:fldCharType="end"/>
      </w:r>
    </w:p>
    <w:p>
      <w:pPr>
        <w:pStyle w:val="TOC8"/>
        <w:rPr>
          <w:rFonts w:asciiTheme="minorHAnsi" w:eastAsiaTheme="minorEastAsia" w:hAnsiTheme="minorHAnsi" w:cstheme="minorBidi"/>
          <w:szCs w:val="22"/>
        </w:rPr>
      </w:pPr>
      <w:r>
        <w:t>89L.</w:t>
      </w:r>
      <w:r>
        <w:tab/>
        <w:t>Documents relied on to be filed and served</w:t>
      </w:r>
      <w:r>
        <w:tab/>
      </w:r>
      <w:r>
        <w:fldChar w:fldCharType="begin"/>
      </w:r>
      <w:r>
        <w:instrText xml:space="preserve"> PAGEREF _Toc201657239 \h </w:instrText>
      </w:r>
      <w:r>
        <w:fldChar w:fldCharType="separate"/>
      </w:r>
      <w:r>
        <w:t>95</w:t>
      </w:r>
      <w:r>
        <w:fldChar w:fldCharType="end"/>
      </w:r>
    </w:p>
    <w:p>
      <w:pPr>
        <w:pStyle w:val="TOC8"/>
        <w:rPr>
          <w:rFonts w:asciiTheme="minorHAnsi" w:eastAsiaTheme="minorEastAsia" w:hAnsiTheme="minorHAnsi" w:cstheme="minorBidi"/>
          <w:szCs w:val="22"/>
        </w:rPr>
      </w:pPr>
      <w:r>
        <w:lastRenderedPageBreak/>
        <w:t>89M.</w:t>
      </w:r>
      <w:r>
        <w:tab/>
        <w:t xml:space="preserve">Notice of reformulated reasons under </w:t>
      </w:r>
      <w:r>
        <w:rPr>
          <w:i/>
        </w:rPr>
        <w:t>Young Offenders Act 1994</w:t>
      </w:r>
      <w:r>
        <w:t xml:space="preserve"> s. 11CL(4)</w:t>
      </w:r>
      <w:r>
        <w:tab/>
      </w:r>
      <w:r>
        <w:fldChar w:fldCharType="begin"/>
      </w:r>
      <w:r>
        <w:instrText xml:space="preserve"> PAGEREF _Toc201657240 \h </w:instrText>
      </w:r>
      <w:r>
        <w:fldChar w:fldCharType="separate"/>
      </w:r>
      <w:r>
        <w:t>95</w:t>
      </w:r>
      <w:r>
        <w:fldChar w:fldCharType="end"/>
      </w:r>
    </w:p>
    <w:p>
      <w:pPr>
        <w:pStyle w:val="TOC8"/>
        <w:rPr>
          <w:rFonts w:asciiTheme="minorHAnsi" w:eastAsiaTheme="minorEastAsia" w:hAnsiTheme="minorHAnsi" w:cstheme="minorBidi"/>
          <w:szCs w:val="22"/>
        </w:rPr>
      </w:pPr>
      <w:r>
        <w:t>89N.</w:t>
      </w:r>
      <w:r>
        <w:tab/>
        <w:t>Withdrawal or discontinuance of appeal against removal</w:t>
      </w:r>
      <w:r>
        <w:tab/>
      </w:r>
      <w:r>
        <w:fldChar w:fldCharType="begin"/>
      </w:r>
      <w:r>
        <w:instrText xml:space="preserve"> PAGEREF _Toc201657241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Appeals under the </w:t>
      </w:r>
      <w:r>
        <w:rPr>
          <w:i/>
          <w:iCs/>
        </w:rPr>
        <w:t>Police Act 1892</w:t>
      </w:r>
      <w:r>
        <w:t xml:space="preserve"> section 33P</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_Toc201657243 \h </w:instrText>
      </w:r>
      <w:r>
        <w:fldChar w:fldCharType="separate"/>
      </w:r>
      <w:r>
        <w:t>97</w:t>
      </w:r>
      <w:r>
        <w:fldChar w:fldCharType="end"/>
      </w:r>
    </w:p>
    <w:p>
      <w:pPr>
        <w:pStyle w:val="TOC8"/>
        <w:rPr>
          <w:rFonts w:asciiTheme="minorHAnsi" w:eastAsiaTheme="minorEastAsia" w:hAnsiTheme="minorHAnsi" w:cstheme="minorBidi"/>
          <w:szCs w:val="22"/>
        </w:rPr>
      </w:pPr>
      <w:r>
        <w:t>90.</w:t>
      </w:r>
      <w:r>
        <w:tab/>
        <w:t>Notice of appeal against removal action</w:t>
      </w:r>
      <w:r>
        <w:tab/>
      </w:r>
      <w:r>
        <w:fldChar w:fldCharType="begin"/>
      </w:r>
      <w:r>
        <w:instrText xml:space="preserve"> PAGEREF _Toc201657244 \h </w:instrText>
      </w:r>
      <w:r>
        <w:fldChar w:fldCharType="separate"/>
      </w:r>
      <w:r>
        <w:t>97</w:t>
      </w:r>
      <w:r>
        <w:fldChar w:fldCharType="end"/>
      </w:r>
    </w:p>
    <w:p>
      <w:pPr>
        <w:pStyle w:val="TOC8"/>
        <w:rPr>
          <w:rFonts w:asciiTheme="minorHAnsi" w:eastAsiaTheme="minorEastAsia" w:hAnsiTheme="minorHAnsi" w:cstheme="minorBidi"/>
          <w:szCs w:val="22"/>
        </w:rPr>
      </w:pPr>
      <w:r>
        <w:t>91A.</w:t>
      </w:r>
      <w:r>
        <w:tab/>
        <w:t>Service of notice of appeal against removal action</w:t>
      </w:r>
      <w:r>
        <w:tab/>
      </w:r>
      <w:r>
        <w:fldChar w:fldCharType="begin"/>
      </w:r>
      <w:r>
        <w:instrText xml:space="preserve"> PAGEREF _Toc201657245 \h </w:instrText>
      </w:r>
      <w:r>
        <w:fldChar w:fldCharType="separate"/>
      </w:r>
      <w:r>
        <w:t>97</w:t>
      </w:r>
      <w:r>
        <w:fldChar w:fldCharType="end"/>
      </w:r>
    </w:p>
    <w:p>
      <w:pPr>
        <w:pStyle w:val="TOC8"/>
        <w:rPr>
          <w:rFonts w:asciiTheme="minorHAnsi" w:eastAsiaTheme="minorEastAsia" w:hAnsiTheme="minorHAnsi" w:cstheme="minorBidi"/>
          <w:szCs w:val="22"/>
        </w:rPr>
      </w:pPr>
      <w:r>
        <w:t>91.</w:t>
      </w:r>
      <w:r>
        <w:tab/>
        <w:t>Response by Commissioner of Police</w:t>
      </w:r>
      <w:r>
        <w:tab/>
      </w:r>
      <w:r>
        <w:fldChar w:fldCharType="begin"/>
      </w:r>
      <w:r>
        <w:instrText xml:space="preserve"> PAGEREF _Toc201657246 \h </w:instrText>
      </w:r>
      <w:r>
        <w:fldChar w:fldCharType="separate"/>
      </w:r>
      <w:r>
        <w:t>98</w:t>
      </w:r>
      <w:r>
        <w:fldChar w:fldCharType="end"/>
      </w:r>
    </w:p>
    <w:p>
      <w:pPr>
        <w:pStyle w:val="TOC8"/>
        <w:rPr>
          <w:rFonts w:asciiTheme="minorHAnsi" w:eastAsiaTheme="minorEastAsia" w:hAnsiTheme="minorHAnsi" w:cstheme="minorBidi"/>
          <w:szCs w:val="22"/>
        </w:rPr>
      </w:pPr>
      <w:r>
        <w:t>92.</w:t>
      </w:r>
      <w:r>
        <w:tab/>
        <w:t>Documents relied on to be filed and served</w:t>
      </w:r>
      <w:r>
        <w:tab/>
      </w:r>
      <w:r>
        <w:fldChar w:fldCharType="begin"/>
      </w:r>
      <w:r>
        <w:instrText xml:space="preserve"> PAGEREF _Toc201657247 \h </w:instrText>
      </w:r>
      <w:r>
        <w:fldChar w:fldCharType="separate"/>
      </w:r>
      <w:r>
        <w:t>98</w:t>
      </w:r>
      <w:r>
        <w:fldChar w:fldCharType="end"/>
      </w:r>
    </w:p>
    <w:p>
      <w:pPr>
        <w:pStyle w:val="TOC8"/>
        <w:rPr>
          <w:rFonts w:asciiTheme="minorHAnsi" w:eastAsiaTheme="minorEastAsia" w:hAnsiTheme="minorHAnsi" w:cstheme="minorBidi"/>
          <w:szCs w:val="22"/>
        </w:rPr>
      </w:pPr>
      <w:r>
        <w:t>93.</w:t>
      </w:r>
      <w:r>
        <w:tab/>
        <w:t xml:space="preserve">Notice of reformulated reasons under </w:t>
      </w:r>
      <w:r>
        <w:rPr>
          <w:i/>
          <w:iCs/>
        </w:rPr>
        <w:t>Police Act 1892</w:t>
      </w:r>
      <w:r>
        <w:rPr>
          <w:i/>
        </w:rPr>
        <w:t xml:space="preserve"> </w:t>
      </w:r>
      <w:r>
        <w:t>s. 33R(10)</w:t>
      </w:r>
      <w:r>
        <w:tab/>
      </w:r>
      <w:r>
        <w:fldChar w:fldCharType="begin"/>
      </w:r>
      <w:r>
        <w:instrText xml:space="preserve"> PAGEREF _Toc201657248 \h </w:instrText>
      </w:r>
      <w:r>
        <w:fldChar w:fldCharType="separate"/>
      </w:r>
      <w:r>
        <w:t>99</w:t>
      </w:r>
      <w:r>
        <w:fldChar w:fldCharType="end"/>
      </w:r>
    </w:p>
    <w:p>
      <w:pPr>
        <w:pStyle w:val="TOC8"/>
        <w:rPr>
          <w:rFonts w:asciiTheme="minorHAnsi" w:eastAsiaTheme="minorEastAsia" w:hAnsiTheme="minorHAnsi" w:cstheme="minorBidi"/>
          <w:szCs w:val="22"/>
        </w:rPr>
      </w:pPr>
      <w:r>
        <w:t>94.</w:t>
      </w:r>
      <w:r>
        <w:tab/>
        <w:t>Withdrawal or discontinuance of appeal against removal</w:t>
      </w:r>
      <w:r>
        <w:tab/>
      </w:r>
      <w:r>
        <w:fldChar w:fldCharType="begin"/>
      </w:r>
      <w:r>
        <w:instrText xml:space="preserve"> PAGEREF _Toc201657249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9C — Appeals under the </w:t>
      </w:r>
      <w:r>
        <w:rPr>
          <w:i/>
        </w:rPr>
        <w:t>Police Act 1892</w:t>
      </w:r>
      <w:r>
        <w:t xml:space="preserve"> section 33ZI</w:t>
      </w:r>
    </w:p>
    <w:p>
      <w:pPr>
        <w:pStyle w:val="TOC8"/>
        <w:rPr>
          <w:rFonts w:asciiTheme="minorHAnsi" w:eastAsiaTheme="minorEastAsia" w:hAnsiTheme="minorHAnsi" w:cstheme="minorBidi"/>
          <w:szCs w:val="22"/>
        </w:rPr>
      </w:pPr>
      <w:r>
        <w:t>94A.</w:t>
      </w:r>
      <w:r>
        <w:tab/>
        <w:t>Terms used</w:t>
      </w:r>
      <w:r>
        <w:tab/>
      </w:r>
      <w:r>
        <w:fldChar w:fldCharType="begin"/>
      </w:r>
      <w:r>
        <w:instrText xml:space="preserve"> PAGEREF _Toc201657251 \h </w:instrText>
      </w:r>
      <w:r>
        <w:fldChar w:fldCharType="separate"/>
      </w:r>
      <w:r>
        <w:t>101</w:t>
      </w:r>
      <w:r>
        <w:fldChar w:fldCharType="end"/>
      </w:r>
    </w:p>
    <w:p>
      <w:pPr>
        <w:pStyle w:val="TOC8"/>
        <w:rPr>
          <w:rFonts w:asciiTheme="minorHAnsi" w:eastAsiaTheme="minorEastAsia" w:hAnsiTheme="minorHAnsi" w:cstheme="minorBidi"/>
          <w:szCs w:val="22"/>
        </w:rPr>
      </w:pPr>
      <w:r>
        <w:t>94B.</w:t>
      </w:r>
      <w:r>
        <w:tab/>
        <w:t>Notice of appeal against retirement on medical grounds</w:t>
      </w:r>
      <w:r>
        <w:tab/>
      </w:r>
      <w:r>
        <w:fldChar w:fldCharType="begin"/>
      </w:r>
      <w:r>
        <w:instrText xml:space="preserve"> PAGEREF _Toc201657252 \h </w:instrText>
      </w:r>
      <w:r>
        <w:fldChar w:fldCharType="separate"/>
      </w:r>
      <w:r>
        <w:t>101</w:t>
      </w:r>
      <w:r>
        <w:fldChar w:fldCharType="end"/>
      </w:r>
    </w:p>
    <w:p>
      <w:pPr>
        <w:pStyle w:val="TOC8"/>
        <w:rPr>
          <w:rFonts w:asciiTheme="minorHAnsi" w:eastAsiaTheme="minorEastAsia" w:hAnsiTheme="minorHAnsi" w:cstheme="minorBidi"/>
          <w:szCs w:val="22"/>
        </w:rPr>
      </w:pPr>
      <w:r>
        <w:t>94C.</w:t>
      </w:r>
      <w:r>
        <w:tab/>
        <w:t>Service of notice of appeal against retirement on medical grounds</w:t>
      </w:r>
      <w:r>
        <w:tab/>
      </w:r>
      <w:r>
        <w:fldChar w:fldCharType="begin"/>
      </w:r>
      <w:r>
        <w:instrText xml:space="preserve"> PAGEREF _Toc201657253 \h </w:instrText>
      </w:r>
      <w:r>
        <w:fldChar w:fldCharType="separate"/>
      </w:r>
      <w:r>
        <w:t>101</w:t>
      </w:r>
      <w:r>
        <w:fldChar w:fldCharType="end"/>
      </w:r>
    </w:p>
    <w:p>
      <w:pPr>
        <w:pStyle w:val="TOC8"/>
        <w:rPr>
          <w:rFonts w:asciiTheme="minorHAnsi" w:eastAsiaTheme="minorEastAsia" w:hAnsiTheme="minorHAnsi" w:cstheme="minorBidi"/>
          <w:szCs w:val="22"/>
        </w:rPr>
      </w:pPr>
      <w:r>
        <w:t>94D.</w:t>
      </w:r>
      <w:r>
        <w:tab/>
        <w:t>Response by Commissioner of Police</w:t>
      </w:r>
      <w:r>
        <w:tab/>
      </w:r>
      <w:r>
        <w:fldChar w:fldCharType="begin"/>
      </w:r>
      <w:r>
        <w:instrText xml:space="preserve"> PAGEREF _Toc201657254 \h </w:instrText>
      </w:r>
      <w:r>
        <w:fldChar w:fldCharType="separate"/>
      </w:r>
      <w:r>
        <w:t>102</w:t>
      </w:r>
      <w:r>
        <w:fldChar w:fldCharType="end"/>
      </w:r>
    </w:p>
    <w:p>
      <w:pPr>
        <w:pStyle w:val="TOC8"/>
        <w:rPr>
          <w:rFonts w:asciiTheme="minorHAnsi" w:eastAsiaTheme="minorEastAsia" w:hAnsiTheme="minorHAnsi" w:cstheme="minorBidi"/>
          <w:szCs w:val="22"/>
        </w:rPr>
      </w:pPr>
      <w:r>
        <w:t>94E.</w:t>
      </w:r>
      <w:r>
        <w:tab/>
        <w:t>Documents relied on to be filed and served</w:t>
      </w:r>
      <w:r>
        <w:tab/>
      </w:r>
      <w:r>
        <w:fldChar w:fldCharType="begin"/>
      </w:r>
      <w:r>
        <w:instrText xml:space="preserve"> PAGEREF _Toc201657255 \h </w:instrText>
      </w:r>
      <w:r>
        <w:fldChar w:fldCharType="separate"/>
      </w:r>
      <w:r>
        <w:t>102</w:t>
      </w:r>
      <w:r>
        <w:fldChar w:fldCharType="end"/>
      </w:r>
    </w:p>
    <w:p>
      <w:pPr>
        <w:pStyle w:val="TOC8"/>
        <w:rPr>
          <w:rFonts w:asciiTheme="minorHAnsi" w:eastAsiaTheme="minorEastAsia" w:hAnsiTheme="minorHAnsi" w:cstheme="minorBidi"/>
          <w:szCs w:val="22"/>
        </w:rPr>
      </w:pPr>
      <w:r>
        <w:t>94F.</w:t>
      </w:r>
      <w:r>
        <w:tab/>
        <w:t xml:space="preserve">Notice of reformulated reasons under </w:t>
      </w:r>
      <w:r>
        <w:rPr>
          <w:i/>
        </w:rPr>
        <w:t xml:space="preserve">Police Act 1892 </w:t>
      </w:r>
      <w:r>
        <w:t>s. 33ZK(11)</w:t>
      </w:r>
      <w:r>
        <w:tab/>
      </w:r>
      <w:r>
        <w:fldChar w:fldCharType="begin"/>
      </w:r>
      <w:r>
        <w:instrText xml:space="preserve"> PAGEREF _Toc201657256 \h </w:instrText>
      </w:r>
      <w:r>
        <w:fldChar w:fldCharType="separate"/>
      </w:r>
      <w:r>
        <w:t>103</w:t>
      </w:r>
      <w:r>
        <w:fldChar w:fldCharType="end"/>
      </w:r>
    </w:p>
    <w:p>
      <w:pPr>
        <w:pStyle w:val="TOC8"/>
        <w:rPr>
          <w:rFonts w:asciiTheme="minorHAnsi" w:eastAsiaTheme="minorEastAsia" w:hAnsiTheme="minorHAnsi" w:cstheme="minorBidi"/>
          <w:szCs w:val="22"/>
        </w:rPr>
      </w:pPr>
      <w:r>
        <w:t>94G.</w:t>
      </w:r>
      <w:r>
        <w:tab/>
        <w:t>Withdrawal or discontinuance of appeal against retirement on medical grounds</w:t>
      </w:r>
      <w:r>
        <w:tab/>
      </w:r>
      <w:r>
        <w:fldChar w:fldCharType="begin"/>
      </w:r>
      <w:r>
        <w:instrText xml:space="preserve"> PAGEREF _Toc201657257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9D — Disputes under the </w:t>
      </w:r>
      <w:r>
        <w:rPr>
          <w:i/>
        </w:rPr>
        <w:t>Police Act 1892</w:t>
      </w:r>
      <w:r>
        <w:t xml:space="preserve"> Part 2D Division 3</w:t>
      </w:r>
    </w:p>
    <w:p>
      <w:pPr>
        <w:pStyle w:val="TOC8"/>
        <w:rPr>
          <w:rFonts w:asciiTheme="minorHAnsi" w:eastAsiaTheme="minorEastAsia" w:hAnsiTheme="minorHAnsi" w:cstheme="minorBidi"/>
          <w:szCs w:val="22"/>
        </w:rPr>
      </w:pPr>
      <w:r>
        <w:t>94H.</w:t>
      </w:r>
      <w:r>
        <w:tab/>
        <w:t>Term used: Tribunal</w:t>
      </w:r>
      <w:r>
        <w:tab/>
      </w:r>
      <w:r>
        <w:fldChar w:fldCharType="begin"/>
      </w:r>
      <w:r>
        <w:instrText xml:space="preserve"> PAGEREF _Toc201657259 \h </w:instrText>
      </w:r>
      <w:r>
        <w:fldChar w:fldCharType="separate"/>
      </w:r>
      <w:r>
        <w:t>105</w:t>
      </w:r>
      <w:r>
        <w:fldChar w:fldCharType="end"/>
      </w:r>
    </w:p>
    <w:p>
      <w:pPr>
        <w:pStyle w:val="TOC8"/>
        <w:rPr>
          <w:rFonts w:asciiTheme="minorHAnsi" w:eastAsiaTheme="minorEastAsia" w:hAnsiTheme="minorHAnsi" w:cstheme="minorBidi"/>
          <w:szCs w:val="22"/>
        </w:rPr>
      </w:pPr>
      <w:r>
        <w:t>94I.</w:t>
      </w:r>
      <w:r>
        <w:tab/>
        <w:t>Application of Part</w:t>
      </w:r>
      <w:r>
        <w:tab/>
      </w:r>
      <w:r>
        <w:fldChar w:fldCharType="begin"/>
      </w:r>
      <w:r>
        <w:instrText xml:space="preserve"> PAGEREF _Toc201657260 \h </w:instrText>
      </w:r>
      <w:r>
        <w:fldChar w:fldCharType="separate"/>
      </w:r>
      <w:r>
        <w:t>105</w:t>
      </w:r>
      <w:r>
        <w:fldChar w:fldCharType="end"/>
      </w:r>
    </w:p>
    <w:p>
      <w:pPr>
        <w:pStyle w:val="TOC8"/>
        <w:rPr>
          <w:rFonts w:asciiTheme="minorHAnsi" w:eastAsiaTheme="minorEastAsia" w:hAnsiTheme="minorHAnsi" w:cstheme="minorBidi"/>
          <w:szCs w:val="22"/>
        </w:rPr>
      </w:pPr>
      <w:r>
        <w:t>94J.</w:t>
      </w:r>
      <w:r>
        <w:tab/>
        <w:t>Lodgment of dispute by medically retired member</w:t>
      </w:r>
      <w:r>
        <w:tab/>
      </w:r>
      <w:r>
        <w:fldChar w:fldCharType="begin"/>
      </w:r>
      <w:r>
        <w:instrText xml:space="preserve"> PAGEREF _Toc201657261 \h </w:instrText>
      </w:r>
      <w:r>
        <w:fldChar w:fldCharType="separate"/>
      </w:r>
      <w:r>
        <w:t>105</w:t>
      </w:r>
      <w:r>
        <w:fldChar w:fldCharType="end"/>
      </w:r>
    </w:p>
    <w:p>
      <w:pPr>
        <w:pStyle w:val="TOC8"/>
        <w:rPr>
          <w:rFonts w:asciiTheme="minorHAnsi" w:eastAsiaTheme="minorEastAsia" w:hAnsiTheme="minorHAnsi" w:cstheme="minorBidi"/>
          <w:szCs w:val="22"/>
        </w:rPr>
      </w:pPr>
      <w:r>
        <w:t>94K.</w:t>
      </w:r>
      <w:r>
        <w:tab/>
        <w:t>Lodgment of dispute on behalf of medically retired member</w:t>
      </w:r>
      <w:r>
        <w:tab/>
      </w:r>
      <w:r>
        <w:fldChar w:fldCharType="begin"/>
      </w:r>
      <w:r>
        <w:instrText xml:space="preserve"> PAGEREF _Toc201657262 \h </w:instrText>
      </w:r>
      <w:r>
        <w:fldChar w:fldCharType="separate"/>
      </w:r>
      <w:r>
        <w:t>105</w:t>
      </w:r>
      <w:r>
        <w:fldChar w:fldCharType="end"/>
      </w:r>
    </w:p>
    <w:p>
      <w:pPr>
        <w:pStyle w:val="TOC8"/>
        <w:rPr>
          <w:rFonts w:asciiTheme="minorHAnsi" w:eastAsiaTheme="minorEastAsia" w:hAnsiTheme="minorHAnsi" w:cstheme="minorBidi"/>
          <w:szCs w:val="22"/>
        </w:rPr>
      </w:pPr>
      <w:r>
        <w:t>94L.</w:t>
      </w:r>
      <w:r>
        <w:tab/>
        <w:t>Application of certain regulations</w:t>
      </w:r>
      <w:r>
        <w:tab/>
      </w:r>
      <w:r>
        <w:fldChar w:fldCharType="begin"/>
      </w:r>
      <w:r>
        <w:instrText xml:space="preserve"> PAGEREF _Toc201657263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94M.</w:t>
      </w:r>
      <w:r>
        <w:tab/>
        <w:t>Procedures specific to Tribunal proceedings</w:t>
      </w:r>
      <w:r>
        <w:tab/>
      </w:r>
      <w:r>
        <w:fldChar w:fldCharType="begin"/>
      </w:r>
      <w:r>
        <w:instrText xml:space="preserve"> PAGEREF _Toc201657264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10 — Work Health and Safety Tribunal</w:t>
      </w:r>
    </w:p>
    <w:p>
      <w:pPr>
        <w:pStyle w:val="TOC8"/>
        <w:rPr>
          <w:rFonts w:asciiTheme="minorHAnsi" w:eastAsiaTheme="minorEastAsia" w:hAnsiTheme="minorHAnsi" w:cstheme="minorBidi"/>
          <w:szCs w:val="22"/>
        </w:rPr>
      </w:pPr>
      <w:r>
        <w:t>95.</w:t>
      </w:r>
      <w:r>
        <w:tab/>
        <w:t>Term used: Tribunal</w:t>
      </w:r>
      <w:r>
        <w:tab/>
      </w:r>
      <w:r>
        <w:fldChar w:fldCharType="begin"/>
      </w:r>
      <w:r>
        <w:instrText xml:space="preserve"> PAGEREF _Toc201657266 \h </w:instrText>
      </w:r>
      <w:r>
        <w:fldChar w:fldCharType="separate"/>
      </w:r>
      <w:r>
        <w:t>109</w:t>
      </w:r>
      <w:r>
        <w:fldChar w:fldCharType="end"/>
      </w:r>
    </w:p>
    <w:p>
      <w:pPr>
        <w:pStyle w:val="TOC8"/>
        <w:rPr>
          <w:rFonts w:asciiTheme="minorHAnsi" w:eastAsiaTheme="minorEastAsia" w:hAnsiTheme="minorHAnsi" w:cstheme="minorBidi"/>
          <w:szCs w:val="22"/>
        </w:rPr>
      </w:pPr>
      <w:r>
        <w:t>95A.</w:t>
      </w:r>
      <w:r>
        <w:tab/>
        <w:t>Application of Part</w:t>
      </w:r>
      <w:r>
        <w:tab/>
      </w:r>
      <w:r>
        <w:fldChar w:fldCharType="begin"/>
      </w:r>
      <w:r>
        <w:instrText xml:space="preserve"> PAGEREF _Toc201657267 \h </w:instrText>
      </w:r>
      <w:r>
        <w:fldChar w:fldCharType="separate"/>
      </w:r>
      <w:r>
        <w:t>109</w:t>
      </w:r>
      <w:r>
        <w:fldChar w:fldCharType="end"/>
      </w:r>
    </w:p>
    <w:p>
      <w:pPr>
        <w:pStyle w:val="TOC8"/>
        <w:rPr>
          <w:rFonts w:asciiTheme="minorHAnsi" w:eastAsiaTheme="minorEastAsia" w:hAnsiTheme="minorHAnsi" w:cstheme="minorBidi"/>
          <w:szCs w:val="22"/>
        </w:rPr>
      </w:pPr>
      <w:r>
        <w:t>96.</w:t>
      </w:r>
      <w:r>
        <w:tab/>
        <w:t>Applications to Tribunal</w:t>
      </w:r>
      <w:r>
        <w:tab/>
      </w:r>
      <w:r>
        <w:fldChar w:fldCharType="begin"/>
      </w:r>
      <w:r>
        <w:instrText xml:space="preserve"> PAGEREF _Toc201657268 \h </w:instrText>
      </w:r>
      <w:r>
        <w:fldChar w:fldCharType="separate"/>
      </w:r>
      <w:r>
        <w:t>109</w:t>
      </w:r>
      <w:r>
        <w:fldChar w:fldCharType="end"/>
      </w:r>
    </w:p>
    <w:p>
      <w:pPr>
        <w:pStyle w:val="TOC8"/>
        <w:rPr>
          <w:rFonts w:asciiTheme="minorHAnsi" w:eastAsiaTheme="minorEastAsia" w:hAnsiTheme="minorHAnsi" w:cstheme="minorBidi"/>
          <w:szCs w:val="22"/>
        </w:rPr>
      </w:pPr>
      <w:r>
        <w:t>97.</w:t>
      </w:r>
      <w:r>
        <w:tab/>
        <w:t>Application of certain regulations</w:t>
      </w:r>
      <w:r>
        <w:tab/>
      </w:r>
      <w:r>
        <w:fldChar w:fldCharType="begin"/>
      </w:r>
      <w:r>
        <w:instrText xml:space="preserve"> PAGEREF _Toc201657269 \h </w:instrText>
      </w:r>
      <w:r>
        <w:fldChar w:fldCharType="separate"/>
      </w:r>
      <w:r>
        <w:t>109</w:t>
      </w:r>
      <w:r>
        <w:fldChar w:fldCharType="end"/>
      </w:r>
    </w:p>
    <w:p>
      <w:pPr>
        <w:pStyle w:val="TOC8"/>
        <w:rPr>
          <w:rFonts w:asciiTheme="minorHAnsi" w:eastAsiaTheme="minorEastAsia" w:hAnsiTheme="minorHAnsi" w:cstheme="minorBidi"/>
          <w:szCs w:val="22"/>
        </w:rPr>
      </w:pPr>
      <w:r>
        <w:t>98.</w:t>
      </w:r>
      <w:r>
        <w:tab/>
        <w:t>Procedures specific to Tribunal proceedings</w:t>
      </w:r>
      <w:r>
        <w:tab/>
      </w:r>
      <w:r>
        <w:fldChar w:fldCharType="begin"/>
      </w:r>
      <w:r>
        <w:instrText xml:space="preserve"> PAGEREF _Toc201657270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10A — Road Freight Transport Industry Tribunal</w:t>
      </w:r>
    </w:p>
    <w:p>
      <w:pPr>
        <w:pStyle w:val="TOC8"/>
        <w:rPr>
          <w:rFonts w:asciiTheme="minorHAnsi" w:eastAsiaTheme="minorEastAsia" w:hAnsiTheme="minorHAnsi" w:cstheme="minorBidi"/>
          <w:szCs w:val="22"/>
        </w:rPr>
      </w:pPr>
      <w:r>
        <w:t>99A.</w:t>
      </w:r>
      <w:r>
        <w:tab/>
        <w:t>Terms used</w:t>
      </w:r>
      <w:r>
        <w:tab/>
      </w:r>
      <w:r>
        <w:fldChar w:fldCharType="begin"/>
      </w:r>
      <w:r>
        <w:instrText xml:space="preserve"> PAGEREF _Toc201657272 \h </w:instrText>
      </w:r>
      <w:r>
        <w:fldChar w:fldCharType="separate"/>
      </w:r>
      <w:r>
        <w:t>112</w:t>
      </w:r>
      <w:r>
        <w:fldChar w:fldCharType="end"/>
      </w:r>
    </w:p>
    <w:p>
      <w:pPr>
        <w:pStyle w:val="TOC8"/>
        <w:rPr>
          <w:rFonts w:asciiTheme="minorHAnsi" w:eastAsiaTheme="minorEastAsia" w:hAnsiTheme="minorHAnsi" w:cstheme="minorBidi"/>
          <w:szCs w:val="22"/>
        </w:rPr>
      </w:pPr>
      <w:r>
        <w:t>99B.</w:t>
      </w:r>
      <w:r>
        <w:tab/>
        <w:t>Referrals to Tribunal</w:t>
      </w:r>
      <w:r>
        <w:tab/>
      </w:r>
      <w:r>
        <w:fldChar w:fldCharType="begin"/>
      </w:r>
      <w:r>
        <w:instrText xml:space="preserve"> PAGEREF _Toc201657273 \h </w:instrText>
      </w:r>
      <w:r>
        <w:fldChar w:fldCharType="separate"/>
      </w:r>
      <w:r>
        <w:t>112</w:t>
      </w:r>
      <w:r>
        <w:fldChar w:fldCharType="end"/>
      </w:r>
    </w:p>
    <w:p>
      <w:pPr>
        <w:pStyle w:val="TOC8"/>
        <w:rPr>
          <w:rFonts w:asciiTheme="minorHAnsi" w:eastAsiaTheme="minorEastAsia" w:hAnsiTheme="minorHAnsi" w:cstheme="minorBidi"/>
          <w:szCs w:val="22"/>
        </w:rPr>
      </w:pPr>
      <w:r>
        <w:t>99C.</w:t>
      </w:r>
      <w:r>
        <w:tab/>
        <w:t>Application of certain regulations</w:t>
      </w:r>
      <w:r>
        <w:tab/>
      </w:r>
      <w:r>
        <w:fldChar w:fldCharType="begin"/>
      </w:r>
      <w:r>
        <w:instrText xml:space="preserve"> PAGEREF _Toc201657274 \h </w:instrText>
      </w:r>
      <w:r>
        <w:fldChar w:fldCharType="separate"/>
      </w:r>
      <w:r>
        <w:t>112</w:t>
      </w:r>
      <w:r>
        <w:fldChar w:fldCharType="end"/>
      </w:r>
    </w:p>
    <w:p>
      <w:pPr>
        <w:pStyle w:val="TOC8"/>
        <w:rPr>
          <w:rFonts w:asciiTheme="minorHAnsi" w:eastAsiaTheme="minorEastAsia" w:hAnsiTheme="minorHAnsi" w:cstheme="minorBidi"/>
          <w:szCs w:val="22"/>
        </w:rPr>
      </w:pPr>
      <w:r>
        <w:t>99D.</w:t>
      </w:r>
      <w:r>
        <w:tab/>
        <w:t>Procedures specific to Tribunal proceedings</w:t>
      </w:r>
      <w:r>
        <w:tab/>
      </w:r>
      <w:r>
        <w:fldChar w:fldCharType="begin"/>
      </w:r>
      <w:r>
        <w:instrText xml:space="preserve"> PAGEREF _Toc201657275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11 — Appeals generally</w:t>
      </w:r>
    </w:p>
    <w:p>
      <w:pPr>
        <w:pStyle w:val="TOC4"/>
        <w:tabs>
          <w:tab w:val="right" w:leader="dot" w:pos="7077"/>
        </w:tabs>
        <w:rPr>
          <w:rFonts w:asciiTheme="minorHAnsi" w:eastAsiaTheme="minorEastAsia" w:hAnsiTheme="minorHAnsi" w:cstheme="minorBidi"/>
          <w:b w:val="0"/>
          <w:szCs w:val="22"/>
        </w:rPr>
      </w:pPr>
      <w:r>
        <w:t>Division 1 — Appeals to Commission</w:t>
      </w:r>
    </w:p>
    <w:p>
      <w:pPr>
        <w:pStyle w:val="TOC8"/>
        <w:rPr>
          <w:rFonts w:asciiTheme="minorHAnsi" w:eastAsiaTheme="minorEastAsia" w:hAnsiTheme="minorHAnsi" w:cstheme="minorBidi"/>
          <w:szCs w:val="22"/>
        </w:rPr>
      </w:pPr>
      <w:r>
        <w:t>100.</w:t>
      </w:r>
      <w:r>
        <w:tab/>
        <w:t>Appeals under section 97VM</w:t>
      </w:r>
      <w:r>
        <w:tab/>
      </w:r>
      <w:r>
        <w:fldChar w:fldCharType="begin"/>
      </w:r>
      <w:r>
        <w:instrText xml:space="preserve"> PAGEREF _Toc201657278 \h </w:instrText>
      </w:r>
      <w:r>
        <w:fldChar w:fldCharType="separate"/>
      </w:r>
      <w:r>
        <w:t>115</w:t>
      </w:r>
      <w:r>
        <w:fldChar w:fldCharType="end"/>
      </w:r>
    </w:p>
    <w:p>
      <w:pPr>
        <w:pStyle w:val="TOC8"/>
        <w:rPr>
          <w:rFonts w:asciiTheme="minorHAnsi" w:eastAsiaTheme="minorEastAsia" w:hAnsiTheme="minorHAnsi" w:cstheme="minorBidi"/>
          <w:szCs w:val="22"/>
        </w:rPr>
      </w:pPr>
      <w:r>
        <w:t>101.</w:t>
      </w:r>
      <w:r>
        <w:tab/>
        <w:t xml:space="preserve">Appeal under </w:t>
      </w:r>
      <w:r>
        <w:rPr>
          <w:i/>
        </w:rPr>
        <w:t>Vocational Education and Training Act 1996</w:t>
      </w:r>
      <w:r>
        <w:tab/>
      </w:r>
      <w:r>
        <w:fldChar w:fldCharType="begin"/>
      </w:r>
      <w:r>
        <w:instrText xml:space="preserve"> PAGEREF _Toc201657279 \h </w:instrText>
      </w:r>
      <w:r>
        <w:fldChar w:fldCharType="separate"/>
      </w:r>
      <w:r>
        <w:t>115</w:t>
      </w:r>
      <w:r>
        <w:fldChar w:fldCharType="end"/>
      </w:r>
    </w:p>
    <w:p>
      <w:pPr>
        <w:pStyle w:val="TOC8"/>
        <w:rPr>
          <w:rFonts w:asciiTheme="minorHAnsi" w:eastAsiaTheme="minorEastAsia" w:hAnsiTheme="minorHAnsi" w:cstheme="minorBidi"/>
          <w:szCs w:val="22"/>
        </w:rPr>
      </w:pPr>
      <w:r>
        <w:t>102A.</w:t>
      </w:r>
      <w:r>
        <w:tab/>
        <w:t>Review of decisions of Construction Industry Long Service Leave Payments Board</w:t>
      </w:r>
      <w:r>
        <w:tab/>
      </w:r>
      <w:r>
        <w:fldChar w:fldCharType="begin"/>
      </w:r>
      <w:r>
        <w:instrText xml:space="preserve"> PAGEREF _Toc201657280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Appeals to Full Bench</w:t>
      </w:r>
    </w:p>
    <w:p>
      <w:pPr>
        <w:pStyle w:val="TOC8"/>
        <w:rPr>
          <w:rFonts w:asciiTheme="minorHAnsi" w:eastAsiaTheme="minorEastAsia" w:hAnsiTheme="minorHAnsi" w:cstheme="minorBidi"/>
          <w:szCs w:val="22"/>
        </w:rPr>
      </w:pPr>
      <w:r>
        <w:t>102.</w:t>
      </w:r>
      <w:r>
        <w:tab/>
      </w:r>
      <w:r>
        <w:rPr>
          <w:snapToGrid w:val="0"/>
        </w:rPr>
        <w:t>Appeals to Full Bench</w:t>
      </w:r>
      <w:r>
        <w:tab/>
      </w:r>
      <w:r>
        <w:fldChar w:fldCharType="begin"/>
      </w:r>
      <w:r>
        <w:instrText xml:space="preserve"> PAGEREF _Toc201657282 \h </w:instrText>
      </w:r>
      <w:r>
        <w:fldChar w:fldCharType="separate"/>
      </w:r>
      <w:r>
        <w:t>117</w:t>
      </w:r>
      <w:r>
        <w:fldChar w:fldCharType="end"/>
      </w:r>
    </w:p>
    <w:p>
      <w:pPr>
        <w:pStyle w:val="TOC8"/>
        <w:rPr>
          <w:rFonts w:asciiTheme="minorHAnsi" w:eastAsiaTheme="minorEastAsia" w:hAnsiTheme="minorHAnsi" w:cstheme="minorBidi"/>
          <w:szCs w:val="22"/>
        </w:rPr>
      </w:pPr>
      <w:r>
        <w:t>103.</w:t>
      </w:r>
      <w:r>
        <w:tab/>
      </w:r>
      <w:r>
        <w:rPr>
          <w:snapToGrid w:val="0"/>
        </w:rPr>
        <w:t>Procedure for listing matters before Full Bench</w:t>
      </w:r>
      <w:r>
        <w:tab/>
      </w:r>
      <w:r>
        <w:fldChar w:fldCharType="begin"/>
      </w:r>
      <w:r>
        <w:instrText xml:space="preserve"> PAGEREF _Toc201657283 \h </w:instrText>
      </w:r>
      <w:r>
        <w:fldChar w:fldCharType="separate"/>
      </w:r>
      <w:r>
        <w:t>120</w:t>
      </w:r>
      <w:r>
        <w:fldChar w:fldCharType="end"/>
      </w:r>
    </w:p>
    <w:p>
      <w:pPr>
        <w:pStyle w:val="TOC8"/>
        <w:rPr>
          <w:rFonts w:asciiTheme="minorHAnsi" w:eastAsiaTheme="minorEastAsia" w:hAnsiTheme="minorHAnsi" w:cstheme="minorBidi"/>
          <w:szCs w:val="22"/>
        </w:rPr>
      </w:pPr>
      <w:r>
        <w:t>103A.</w:t>
      </w:r>
      <w:r>
        <w:tab/>
        <w:t>Discontinuance of appeal to Full Bench</w:t>
      </w:r>
      <w:r>
        <w:tab/>
      </w:r>
      <w:r>
        <w:fldChar w:fldCharType="begin"/>
      </w:r>
      <w:r>
        <w:instrText xml:space="preserve"> PAGEREF _Toc201657284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105.</w:t>
      </w:r>
      <w:r>
        <w:tab/>
        <w:t>Notice of certain orders</w:t>
      </w:r>
      <w:r>
        <w:tab/>
      </w:r>
      <w:r>
        <w:fldChar w:fldCharType="begin"/>
      </w:r>
      <w:r>
        <w:instrText xml:space="preserve"> PAGEREF _Toc201657286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13 — Transitional provisions for </w:t>
      </w:r>
      <w:r>
        <w:rPr>
          <w:i/>
          <w:iCs/>
        </w:rPr>
        <w:t>Industrial Relations Legislation Amendment Act 2024</w:t>
      </w:r>
    </w:p>
    <w:p>
      <w:pPr>
        <w:pStyle w:val="TOC8"/>
        <w:rPr>
          <w:rFonts w:asciiTheme="minorHAnsi" w:eastAsiaTheme="minorEastAsia" w:hAnsiTheme="minorHAnsi" w:cstheme="minorBidi"/>
          <w:szCs w:val="22"/>
        </w:rPr>
      </w:pPr>
      <w:r>
        <w:t>106.</w:t>
      </w:r>
      <w:r>
        <w:tab/>
        <w:t>Bullying and sexual harassment at work before 31 January 2025</w:t>
      </w:r>
      <w:r>
        <w:tab/>
      </w:r>
      <w:r>
        <w:fldChar w:fldCharType="begin"/>
      </w:r>
      <w:r>
        <w:instrText xml:space="preserve"> PAGEREF _Toc201657288 \h </w:instrText>
      </w:r>
      <w:r>
        <w:fldChar w:fldCharType="separate"/>
      </w:r>
      <w:r>
        <w:t>124</w:t>
      </w:r>
      <w:r>
        <w:fldChar w:fldCharType="end"/>
      </w:r>
    </w:p>
    <w:p>
      <w:pPr>
        <w:pStyle w:val="TOC8"/>
        <w:rPr>
          <w:rFonts w:asciiTheme="minorHAnsi" w:eastAsiaTheme="minorEastAsia" w:hAnsiTheme="minorHAnsi" w:cstheme="minorBidi"/>
          <w:szCs w:val="22"/>
        </w:rPr>
      </w:pPr>
      <w:r>
        <w:t>107.</w:t>
      </w:r>
      <w:r>
        <w:tab/>
        <w:t>Office of public service arbitrator abolished</w:t>
      </w:r>
      <w:r>
        <w:tab/>
      </w:r>
      <w:r>
        <w:fldChar w:fldCharType="begin"/>
      </w:r>
      <w:r>
        <w:instrText xml:space="preserve"> PAGEREF _Toc201657289 \h </w:instrText>
      </w:r>
      <w:r>
        <w:fldChar w:fldCharType="separate"/>
      </w:r>
      <w:r>
        <w:t>124</w:t>
      </w:r>
      <w:r>
        <w:fldChar w:fldCharType="end"/>
      </w:r>
    </w:p>
    <w:p>
      <w:pPr>
        <w:pStyle w:val="TOC8"/>
        <w:rPr>
          <w:rFonts w:asciiTheme="minorHAnsi" w:eastAsiaTheme="minorEastAsia" w:hAnsiTheme="minorHAnsi" w:cstheme="minorBidi"/>
          <w:szCs w:val="22"/>
        </w:rPr>
      </w:pPr>
      <w:r>
        <w:t>108.</w:t>
      </w:r>
      <w:r>
        <w:tab/>
        <w:t>Public Service Appeal Board abolished</w:t>
      </w:r>
      <w:r>
        <w:tab/>
      </w:r>
      <w:r>
        <w:fldChar w:fldCharType="begin"/>
      </w:r>
      <w:r>
        <w:instrText xml:space="preserve"> PAGEREF _Toc201657290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_Toc201657292 \h </w:instrText>
      </w:r>
      <w:r>
        <w:fldChar w:fldCharType="separate"/>
      </w:r>
      <w:r>
        <w:t>126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_Toc201657293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Industrial Relations Act 1979</w:t>
      </w:r>
    </w:p>
    <w:p>
      <w:pPr>
        <w:pStyle w:val="NameofActReg"/>
        <w:spacing w:before="720" w:after="840"/>
      </w:pPr>
      <w:r>
        <w:t>Industrial Relations Commission Regulations 2005</w:t>
      </w:r>
    </w:p>
    <w:p>
      <w:pPr>
        <w:pStyle w:val="Heading2"/>
        <w:pageBreakBefore w:val="0"/>
        <w:spacing w:before="240"/>
      </w:pPr>
      <w:bookmarkStart w:id="2" w:name="_Toc201648911"/>
      <w:bookmarkStart w:id="3" w:name="_Toc201649105"/>
      <w:bookmarkStart w:id="4" w:name="_Toc201649964"/>
      <w:bookmarkStart w:id="5" w:name="_Toc201650292"/>
      <w:bookmarkStart w:id="6" w:name="_Toc20165710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01657102"/>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Industrial Relations Commission Regulations 2005</w:t>
      </w:r>
      <w:r>
        <w:t>.</w:t>
      </w:r>
    </w:p>
    <w:p>
      <w:pPr>
        <w:pStyle w:val="Heading5"/>
        <w:rPr>
          <w:spacing w:val="-2"/>
        </w:rPr>
      </w:pPr>
      <w:bookmarkStart w:id="8" w:name="_Toc20165710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on </w:t>
      </w:r>
      <w:r>
        <w:t>1 September 2005.</w:t>
      </w:r>
    </w:p>
    <w:p>
      <w:pPr>
        <w:pStyle w:val="Heading5"/>
        <w:rPr>
          <w:snapToGrid w:val="0"/>
        </w:rPr>
      </w:pPr>
      <w:bookmarkStart w:id="9" w:name="_Toc201657104"/>
      <w:r>
        <w:rPr>
          <w:rStyle w:val="CharSectno"/>
        </w:rPr>
        <w:t>3</w:t>
      </w:r>
      <w:r>
        <w:t>.</w:t>
      </w:r>
      <w:r>
        <w:tab/>
      </w:r>
      <w:r>
        <w:rPr>
          <w:snapToGrid w:val="0"/>
        </w:rPr>
        <w:t>Terms used</w:t>
      </w:r>
      <w:bookmarkEnd w:id="9"/>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Commission</w:t>
      </w:r>
      <w:r>
        <w:rPr>
          <w:bCs/>
        </w:rPr>
        <w:t>,</w:t>
      </w:r>
      <w:r>
        <w:t xml:space="preserve"> in relation to proceedings, means the Commission as defined in the Act however constituted for the purpose of those proceedings;</w:t>
      </w:r>
    </w:p>
    <w:p>
      <w:pPr>
        <w:pStyle w:val="Defstart"/>
      </w:pPr>
      <w:r>
        <w:rPr>
          <w:b/>
        </w:rPr>
        <w:tab/>
      </w:r>
      <w:r>
        <w:rPr>
          <w:rStyle w:val="CharDefText"/>
        </w:rPr>
        <w:t>electronic document</w:t>
      </w:r>
      <w:r>
        <w:t xml:space="preserve"> means a document that exists in a digital form and is capable of transmission, storage and duplication by electronic means;</w:t>
      </w:r>
    </w:p>
    <w:p>
      <w:pPr>
        <w:pStyle w:val="Defstart"/>
      </w:pPr>
      <w:r>
        <w:tab/>
      </w:r>
      <w:r>
        <w:rPr>
          <w:rStyle w:val="CharDefText"/>
        </w:rPr>
        <w:t>lodged electronically</w:t>
      </w:r>
      <w:r>
        <w:t>, in relation to a document, means the document is lodged under regulation 5(1) or received at the office of the Registrar by email;</w:t>
      </w:r>
    </w:p>
    <w:p>
      <w:pPr>
        <w:pStyle w:val="Defstart"/>
        <w:keepNext/>
      </w:pPr>
      <w:r>
        <w:rPr>
          <w:b/>
        </w:rPr>
        <w:tab/>
      </w:r>
      <w:r>
        <w:rPr>
          <w:rStyle w:val="CharDefText"/>
        </w:rPr>
        <w:t>Registrar</w:t>
      </w:r>
      <w:r>
        <w:t xml:space="preserve"> includes a deputy registrar;</w:t>
      </w:r>
    </w:p>
    <w:p>
      <w:pPr>
        <w:pStyle w:val="Defstart"/>
        <w:keepNext/>
      </w:pPr>
      <w:r>
        <w:rPr>
          <w:b/>
        </w:rPr>
        <w:tab/>
      </w:r>
      <w:r>
        <w:rPr>
          <w:rStyle w:val="CharDefText"/>
        </w:rPr>
        <w:t>writing</w:t>
      </w:r>
      <w:r>
        <w:t xml:space="preserve"> includes an electronic document.</w:t>
      </w:r>
    </w:p>
    <w:p>
      <w:pPr>
        <w:pStyle w:val="Footnotesection"/>
      </w:pPr>
      <w:r>
        <w:tab/>
        <w:t>[Regulation 3 amended: Gazette 5 Mar 2019 p. 585</w:t>
      </w:r>
      <w:r>
        <w:noBreakHyphen/>
        <w:t>6; SL 2022/75 r. 4.]</w:t>
      </w:r>
    </w:p>
    <w:p>
      <w:pPr>
        <w:pStyle w:val="Heading2"/>
      </w:pPr>
      <w:bookmarkStart w:id="10" w:name="_Toc201648915"/>
      <w:bookmarkStart w:id="11" w:name="_Toc201649109"/>
      <w:bookmarkStart w:id="12" w:name="_Toc201649968"/>
      <w:bookmarkStart w:id="13" w:name="_Toc201650296"/>
      <w:bookmarkStart w:id="14" w:name="_Toc201657105"/>
      <w:r>
        <w:rPr>
          <w:rStyle w:val="CharPartNo"/>
        </w:rPr>
        <w:lastRenderedPageBreak/>
        <w:t>Part 2</w:t>
      </w:r>
      <w:r>
        <w:rPr>
          <w:rStyle w:val="CharDivNo"/>
        </w:rPr>
        <w:t> </w:t>
      </w:r>
      <w:r>
        <w:t>—</w:t>
      </w:r>
      <w:r>
        <w:rPr>
          <w:rStyle w:val="CharDivText"/>
        </w:rPr>
        <w:t> </w:t>
      </w:r>
      <w:r>
        <w:rPr>
          <w:rStyle w:val="CharPartText"/>
        </w:rPr>
        <w:t>The office of the Registrar</w:t>
      </w:r>
      <w:bookmarkEnd w:id="10"/>
      <w:bookmarkEnd w:id="11"/>
      <w:bookmarkEnd w:id="12"/>
      <w:bookmarkEnd w:id="13"/>
      <w:bookmarkEnd w:id="14"/>
    </w:p>
    <w:p>
      <w:pPr>
        <w:pStyle w:val="Heading5"/>
        <w:rPr>
          <w:snapToGrid w:val="0"/>
        </w:rPr>
      </w:pPr>
      <w:bookmarkStart w:id="15" w:name="_Toc201657106"/>
      <w:r>
        <w:rPr>
          <w:rStyle w:val="CharSectno"/>
        </w:rPr>
        <w:t>4</w:t>
      </w:r>
      <w:r>
        <w:t>.</w:t>
      </w:r>
      <w:r>
        <w:tab/>
      </w:r>
      <w:r>
        <w:rPr>
          <w:snapToGrid w:val="0"/>
        </w:rPr>
        <w:t>Lodging documents</w:t>
      </w:r>
      <w:bookmarkEnd w:id="15"/>
    </w:p>
    <w:p>
      <w:pPr>
        <w:pStyle w:val="Subsection"/>
        <w:rPr>
          <w:snapToGrid w:val="0"/>
        </w:rPr>
      </w:pPr>
      <w:r>
        <w:rPr>
          <w:snapToGrid w:val="0"/>
        </w:rPr>
        <w:tab/>
        <w:t>(1)</w:t>
      </w:r>
      <w:r>
        <w:rPr>
          <w:snapToGrid w:val="0"/>
        </w:rPr>
        <w:tab/>
        <w:t>All documents required to be filed or lodged under the Act or these regulations must be filed or lodged as the case requires in the office of the Registrar.</w:t>
      </w:r>
    </w:p>
    <w:p>
      <w:pPr>
        <w:pStyle w:val="Subsection"/>
        <w:rPr>
          <w:snapToGrid w:val="0"/>
        </w:rPr>
      </w:pPr>
      <w:r>
        <w:rPr>
          <w:snapToGrid w:val="0"/>
        </w:rPr>
        <w:tab/>
        <w:t>(2)</w:t>
      </w:r>
      <w:r>
        <w:rPr>
          <w:snapToGrid w:val="0"/>
        </w:rPr>
        <w:tab/>
      </w:r>
      <w:r>
        <w:t>Subject to this regulation and regulations 5 and 6, documents</w:t>
      </w:r>
      <w:r>
        <w:rPr>
          <w:snapToGrid w:val="0"/>
        </w:rPr>
        <w:t xml:space="preserve"> required to be filed or lodged under the Act or these regulations must, unless in a particular case the Commission otherwise expressly approves, be </w:t>
      </w:r>
      <w:r>
        <w:t xml:space="preserve">lodged </w:t>
      </w:r>
      <w:r>
        <w:rPr>
          <w:snapToGrid w:val="0"/>
        </w:rPr>
        <w:t>at a time when the office of the Registrar is open for business.</w:t>
      </w:r>
    </w:p>
    <w:p>
      <w:pPr>
        <w:pStyle w:val="Subsection"/>
        <w:rPr>
          <w:snapToGrid w:val="0"/>
        </w:rPr>
      </w:pPr>
      <w:r>
        <w:rPr>
          <w:snapToGrid w:val="0"/>
        </w:rPr>
        <w:tab/>
        <w:t>(3)</w:t>
      </w:r>
      <w:r>
        <w:rPr>
          <w:snapToGrid w:val="0"/>
        </w:rPr>
        <w:tab/>
        <w:t>Where a document is required to be filed or lodged within a prescribed time and the office of the Registrar is not open for business on the last day on which it may be filed or lodged, it is taken to have been filed or lodged within time if it is filed or lodged on the next day that the office of the Registrar is open for business.</w:t>
      </w:r>
    </w:p>
    <w:p>
      <w:pPr>
        <w:pStyle w:val="Subsection"/>
        <w:rPr>
          <w:snapToGrid w:val="0"/>
        </w:rPr>
      </w:pPr>
      <w:r>
        <w:rPr>
          <w:snapToGrid w:val="0"/>
        </w:rPr>
        <w:tab/>
        <w:t>(4)</w:t>
      </w:r>
      <w:r>
        <w:rPr>
          <w:snapToGrid w:val="0"/>
        </w:rPr>
        <w:tab/>
        <w:t>Every document required to be filed or lodged under the Act or these regulations and every copy for service must be in the form required by these regulations, clearly written or typed or reproduced on one side only with an adequate margin.</w:t>
      </w:r>
    </w:p>
    <w:p>
      <w:pPr>
        <w:pStyle w:val="Subsection"/>
        <w:rPr>
          <w:snapToGrid w:val="0"/>
        </w:rPr>
      </w:pPr>
      <w:r>
        <w:rPr>
          <w:snapToGrid w:val="0"/>
        </w:rPr>
        <w:tab/>
        <w:t>(5)</w:t>
      </w:r>
      <w:r>
        <w:rPr>
          <w:snapToGrid w:val="0"/>
        </w:rPr>
        <w:tab/>
        <w:t>The Registrar is not to accept any document unless it has been fully and correctly completed in accordance with the Act and these regulations.</w:t>
      </w:r>
    </w:p>
    <w:p>
      <w:pPr>
        <w:pStyle w:val="Subsection"/>
        <w:rPr>
          <w:snapToGrid w:val="0"/>
        </w:rPr>
      </w:pPr>
      <w:r>
        <w:rPr>
          <w:snapToGrid w:val="0"/>
        </w:rPr>
        <w:tab/>
        <w:t>(6)</w:t>
      </w:r>
      <w:r>
        <w:rPr>
          <w:snapToGrid w:val="0"/>
        </w:rPr>
        <w:tab/>
        <w:t>Appeal books lodged in relation to appeals under sections 49 and 84 of the Act are not documents for the purposes of subregulation (5).</w:t>
      </w:r>
    </w:p>
    <w:p>
      <w:pPr>
        <w:pStyle w:val="Subsection"/>
        <w:rPr>
          <w:snapToGrid w:val="0"/>
        </w:rPr>
      </w:pPr>
      <w:r>
        <w:rPr>
          <w:snapToGrid w:val="0"/>
        </w:rPr>
        <w:tab/>
        <w:t>(7)</w:t>
      </w:r>
      <w:r>
        <w:rPr>
          <w:snapToGrid w:val="0"/>
        </w:rPr>
        <w:tab/>
        <w:t>Except where otherwise provided by these regulations or otherwise directed by the Commission, one copy of every document for the use of the Commission together with at least as many copies as there are parties must be filed or lodged in the office of the Registrar.</w:t>
      </w:r>
    </w:p>
    <w:p>
      <w:pPr>
        <w:pStyle w:val="Subsection"/>
        <w:rPr>
          <w:snapToGrid w:val="0"/>
        </w:rPr>
      </w:pPr>
      <w:r>
        <w:rPr>
          <w:snapToGrid w:val="0"/>
        </w:rPr>
        <w:lastRenderedPageBreak/>
        <w:tab/>
        <w:t>(8)</w:t>
      </w:r>
      <w:r>
        <w:rPr>
          <w:snapToGrid w:val="0"/>
        </w:rPr>
        <w:tab/>
      </w:r>
      <w:r>
        <w:t>Where an application is received by the office of the Registrar for which a fee is prescribed for filing and the applicant does not pay the prescribed fee within 7 days from the date the application was received, the Registrar is to inform the applicant in writing of the requirement to pay the prescribed fee.</w:t>
      </w:r>
    </w:p>
    <w:p>
      <w:pPr>
        <w:pStyle w:val="Subsection"/>
      </w:pPr>
      <w:r>
        <w:tab/>
        <w:t>(9)</w:t>
      </w:r>
      <w:r>
        <w:tab/>
        <w:t>If the applicant does not pay the prescribed fee within 7 days after being informed under subregulation (8), the Registrar is to forward the application with a memorandum to that effect to the Chief Commissioner.</w:t>
      </w:r>
    </w:p>
    <w:p>
      <w:pPr>
        <w:pStyle w:val="Footnotesection"/>
      </w:pPr>
      <w:r>
        <w:tab/>
        <w:t>[Regulation 4 amended: Gazette 28 Apr 2006 p. 1651; 12 Oct 2010 p. 5153; 19 Dec 2018 p. 4837; 5 Mar 2019 p. 586.]</w:t>
      </w:r>
    </w:p>
    <w:p>
      <w:pPr>
        <w:pStyle w:val="Heading5"/>
      </w:pPr>
      <w:bookmarkStart w:id="16" w:name="_Toc201657107"/>
      <w:r>
        <w:rPr>
          <w:rStyle w:val="CharSectno"/>
        </w:rPr>
        <w:t>5</w:t>
      </w:r>
      <w:r>
        <w:t>.</w:t>
      </w:r>
      <w:r>
        <w:tab/>
        <w:t>Lodging and filing documents electronically</w:t>
      </w:r>
      <w:bookmarkEnd w:id="16"/>
    </w:p>
    <w:p>
      <w:pPr>
        <w:pStyle w:val="Subsection"/>
      </w:pPr>
      <w:r>
        <w:tab/>
        <w:t>(1)</w:t>
      </w:r>
      <w:r>
        <w:tab/>
        <w:t xml:space="preserve">Subject to the requirements of the Commission’s website and this regulation a party may lodge an approved form electronically by completing the form on the Commission’s website at </w:t>
      </w:r>
      <w:hyperlink r:id="rId21" w:history="1">
        <w:r>
          <w:rPr>
            <w:rStyle w:val="Hyperlink"/>
          </w:rPr>
          <w:t>http://www.wairc.wa.gov.au</w:t>
        </w:r>
      </w:hyperlink>
      <w:r>
        <w:t>.</w:t>
      </w:r>
    </w:p>
    <w:p>
      <w:pPr>
        <w:pStyle w:val="Subsection"/>
      </w:pPr>
      <w:r>
        <w:tab/>
        <w:t>(2A)</w:t>
      </w:r>
      <w:r>
        <w:tab/>
        <w:t>Any requirement in these regulations for a signature does not apply if an approved form is lodged under subregulation (1).</w:t>
      </w:r>
    </w:p>
    <w:p>
      <w:pPr>
        <w:pStyle w:val="Subsection"/>
      </w:pPr>
      <w:r>
        <w:tab/>
      </w:r>
      <w:r>
        <w:rPr>
          <w:snapToGrid w:val="0"/>
        </w:rPr>
        <w:t>(2)</w:t>
      </w:r>
      <w:r>
        <w:tab/>
        <w:t>A document sent by email to the office of the Registrar must be sent to an email address which is approved by the Registrar and published on the Commission’s website and must —</w:t>
      </w:r>
    </w:p>
    <w:p>
      <w:pPr>
        <w:pStyle w:val="Indenta"/>
      </w:pPr>
      <w:r>
        <w:tab/>
        <w:t>(a)</w:t>
      </w:r>
      <w:r>
        <w:tab/>
        <w:t>be in an electronic format approved by the Chief Commissioner; and</w:t>
      </w:r>
    </w:p>
    <w:p>
      <w:pPr>
        <w:pStyle w:val="Indenta"/>
      </w:pPr>
      <w:r>
        <w:tab/>
        <w:t>(b)</w:t>
      </w:r>
      <w:r>
        <w:tab/>
        <w:t>be capable of being printed in the form and with the content visible on screen; and</w:t>
      </w:r>
    </w:p>
    <w:p>
      <w:pPr>
        <w:pStyle w:val="Indenta"/>
      </w:pPr>
      <w:r>
        <w:tab/>
        <w:t>(c)</w:t>
      </w:r>
      <w:r>
        <w:tab/>
        <w:t>clearly state —</w:t>
      </w:r>
    </w:p>
    <w:p>
      <w:pPr>
        <w:pStyle w:val="Indenti"/>
      </w:pPr>
      <w:r>
        <w:tab/>
        <w:t>(i)</w:t>
      </w:r>
      <w:r>
        <w:tab/>
        <w:t>the sender’s name, postal address and telephone number; and</w:t>
      </w:r>
    </w:p>
    <w:p>
      <w:pPr>
        <w:pStyle w:val="Indenti"/>
      </w:pPr>
      <w:r>
        <w:tab/>
        <w:t>(ii)</w:t>
      </w:r>
      <w:r>
        <w:tab/>
        <w:t>if applicable, the sender’s document exchange number and email address; and</w:t>
      </w:r>
    </w:p>
    <w:p>
      <w:pPr>
        <w:pStyle w:val="Indenti"/>
      </w:pPr>
      <w:r>
        <w:lastRenderedPageBreak/>
        <w:tab/>
        <w:t>(iii)</w:t>
      </w:r>
      <w:r>
        <w:tab/>
        <w:t>what the sender requests the Registrar do with the document.</w:t>
      </w:r>
    </w:p>
    <w:p>
      <w:pPr>
        <w:pStyle w:val="Ednotesubsection"/>
      </w:pPr>
      <w:r>
        <w:tab/>
        <w:t>[(3)</w:t>
      </w:r>
      <w:r>
        <w:noBreakHyphen/>
        <w:t>(5)</w:t>
      </w:r>
      <w:r>
        <w:tab/>
        <w:t>deleted]</w:t>
      </w:r>
    </w:p>
    <w:p>
      <w:pPr>
        <w:pStyle w:val="Subsection"/>
        <w:keepNext/>
      </w:pPr>
      <w:r>
        <w:tab/>
      </w:r>
      <w:r>
        <w:rPr>
          <w:snapToGrid w:val="0"/>
        </w:rPr>
        <w:t>(6)</w:t>
      </w:r>
      <w:r>
        <w:tab/>
        <w:t>If a document is sent by email to the office of the Registrar but not in accordance with this regulation —</w:t>
      </w:r>
    </w:p>
    <w:p>
      <w:pPr>
        <w:pStyle w:val="Indenta"/>
      </w:pPr>
      <w:r>
        <w:tab/>
        <w:t>(a)</w:t>
      </w:r>
      <w:r>
        <w:tab/>
        <w:t>the document is taken not to have been lodged at the office of the Registrar; and</w:t>
      </w:r>
    </w:p>
    <w:p>
      <w:pPr>
        <w:pStyle w:val="Indenta"/>
      </w:pPr>
      <w:r>
        <w:tab/>
        <w:t>(b)</w:t>
      </w:r>
      <w:r>
        <w:tab/>
        <w:t>the Registrar must notify the person who sent it that the document has been taken not to have been lodged.</w:t>
      </w:r>
    </w:p>
    <w:p>
      <w:pPr>
        <w:pStyle w:val="Subsection"/>
      </w:pPr>
      <w:r>
        <w:tab/>
      </w:r>
      <w:r>
        <w:rPr>
          <w:snapToGrid w:val="0"/>
        </w:rPr>
        <w:t>(7)</w:t>
      </w:r>
      <w:r>
        <w:tab/>
        <w:t>A document sent electronically need only comply with regulation 4(4) to the extent practicable.</w:t>
      </w:r>
    </w:p>
    <w:p>
      <w:pPr>
        <w:pStyle w:val="Subsection"/>
      </w:pPr>
      <w:r>
        <w:tab/>
        <w:t>(8)</w:t>
      </w:r>
      <w:r>
        <w:tab/>
        <w:t>If a document is lodged in accordance with subregulation (2), the Registrar must send an acknowledgment of the filing to the lodging party.</w:t>
      </w:r>
    </w:p>
    <w:p>
      <w:pPr>
        <w:pStyle w:val="Subsection"/>
      </w:pPr>
      <w:r>
        <w:tab/>
        <w:t>(9)</w:t>
      </w:r>
      <w:r>
        <w:tab/>
        <w:t>If a document that is lodged under subregulation (2) and accepted by the Registrar is a document that is required to be signed or stamped by the Registrar and returned to the lodging party the Registrar may return the document by sending it electronically to the email address of the lodging party.</w:t>
      </w:r>
    </w:p>
    <w:p>
      <w:pPr>
        <w:pStyle w:val="Subsection"/>
      </w:pPr>
      <w:r>
        <w:tab/>
        <w:t>(9A)</w:t>
      </w:r>
      <w:r>
        <w:tab/>
        <w:t>Any requirement in these regulations for 2 or more copies of a document to be filed or lodged in the office of the Registrar is taken to have been satisfied if the document is lodged electronically in accordance with these regulations.</w:t>
      </w:r>
    </w:p>
    <w:p>
      <w:pPr>
        <w:pStyle w:val="Ednotesubsection"/>
        <w:keepNext/>
      </w:pPr>
      <w:r>
        <w:tab/>
        <w:t>[(10), (11)</w:t>
      </w:r>
      <w:r>
        <w:tab/>
        <w:t>deleted]</w:t>
      </w:r>
    </w:p>
    <w:p>
      <w:pPr>
        <w:pStyle w:val="Footnotesection"/>
      </w:pPr>
      <w:r>
        <w:tab/>
        <w:t>[Regulation 5 amended: Gazette 28 Apr 2006 p. 1651; 12 Oct 2010 p. 5153; 21 Aug 2015 p. 3337; 5 Mar 2019 p. 586; SL 2022/75 r. 5.]</w:t>
      </w:r>
    </w:p>
    <w:p>
      <w:pPr>
        <w:pStyle w:val="Heading5"/>
        <w:rPr>
          <w:snapToGrid w:val="0"/>
        </w:rPr>
      </w:pPr>
      <w:bookmarkStart w:id="17" w:name="_Toc201657108"/>
      <w:r>
        <w:rPr>
          <w:rStyle w:val="CharSectno"/>
        </w:rPr>
        <w:t>6</w:t>
      </w:r>
      <w:r>
        <w:t>.</w:t>
      </w:r>
      <w:r>
        <w:tab/>
      </w:r>
      <w:r>
        <w:rPr>
          <w:snapToGrid w:val="0"/>
        </w:rPr>
        <w:t>Office of Registrar opening hours</w:t>
      </w:r>
      <w:bookmarkEnd w:id="17"/>
    </w:p>
    <w:p>
      <w:pPr>
        <w:pStyle w:val="Subsection"/>
        <w:rPr>
          <w:snapToGrid w:val="0"/>
        </w:rPr>
      </w:pPr>
      <w:r>
        <w:rPr>
          <w:snapToGrid w:val="0"/>
        </w:rPr>
        <w:tab/>
        <w:t>(1)</w:t>
      </w:r>
      <w:r>
        <w:rPr>
          <w:snapToGrid w:val="0"/>
        </w:rPr>
        <w:tab/>
        <w:t xml:space="preserve">Subject to subregulation (2), the office of the Registrar is to be open to the public for the </w:t>
      </w:r>
      <w:r>
        <w:t xml:space="preserve">transaction </w:t>
      </w:r>
      <w:r>
        <w:rPr>
          <w:snapToGrid w:val="0"/>
        </w:rPr>
        <w:t xml:space="preserve">of business </w:t>
      </w:r>
      <w:r>
        <w:t xml:space="preserve">on the days </w:t>
      </w:r>
      <w:r>
        <w:lastRenderedPageBreak/>
        <w:t xml:space="preserve">and at the times determined by the Registrar, after consultation with the Chief Commissioner, </w:t>
      </w:r>
      <w:r>
        <w:rPr>
          <w:snapToGrid w:val="0"/>
        </w:rPr>
        <w:t>except on public holidays and on any other days on which public offices are closed.</w:t>
      </w:r>
    </w:p>
    <w:p>
      <w:pPr>
        <w:pStyle w:val="Subsection"/>
        <w:rPr>
          <w:snapToGrid w:val="0"/>
        </w:rPr>
      </w:pPr>
      <w:r>
        <w:rPr>
          <w:snapToGrid w:val="0"/>
        </w:rPr>
        <w:tab/>
        <w:t>(2)</w:t>
      </w:r>
      <w:r>
        <w:rPr>
          <w:snapToGrid w:val="0"/>
        </w:rPr>
        <w:tab/>
        <w:t xml:space="preserve">A </w:t>
      </w:r>
      <w:r>
        <w:t>commissioner</w:t>
      </w:r>
      <w:r>
        <w:rPr>
          <w:snapToGrid w:val="0"/>
        </w:rPr>
        <w:t xml:space="preserve"> or the Registrar may, in special circumstances, direct that the office of the Registrar be open at times outside those </w:t>
      </w:r>
      <w:r>
        <w:t>determined under</w:t>
      </w:r>
      <w:r>
        <w:rPr>
          <w:snapToGrid w:val="0"/>
        </w:rPr>
        <w:t xml:space="preserve"> subregulation (1).</w:t>
      </w:r>
    </w:p>
    <w:p>
      <w:pPr>
        <w:pStyle w:val="Subsection"/>
      </w:pPr>
      <w:r>
        <w:tab/>
        <w:t>(3)</w:t>
      </w:r>
      <w:r>
        <w:tab/>
        <w:t>Subject to subregulation (3A), a document is taken to have been received on a particular day in the office of the Registrar if it is lodged electronically at any time on that day up to and including midnight.</w:t>
      </w:r>
    </w:p>
    <w:p>
      <w:pPr>
        <w:pStyle w:val="Subsection"/>
      </w:pPr>
      <w:r>
        <w:tab/>
        <w:t>(3A)</w:t>
      </w:r>
      <w:r>
        <w:tab/>
        <w:t>If, in accordance with subregulation (3), a document lodged electronically would be received in the office of the Registrar on a Saturday, Sunday or public holiday, the document is taken to have been received in the office of the Registrar on the next day when the office of the Registrar opens to the public for the transaction of business.</w:t>
      </w:r>
    </w:p>
    <w:p>
      <w:pPr>
        <w:pStyle w:val="Subsection"/>
        <w:keepNext/>
      </w:pPr>
      <w:r>
        <w:tab/>
        <w:t>(4)</w:t>
      </w:r>
      <w:r>
        <w:tab/>
        <w:t xml:space="preserve">Opening hours determined under subregulation (1) are to be published on the Commission’s website at </w:t>
      </w:r>
      <w:hyperlink r:id="rId22" w:history="1">
        <w:r>
          <w:rPr>
            <w:rStyle w:val="Hyperlink"/>
          </w:rPr>
          <w:t>http://www.wairc.wa.gov.au</w:t>
        </w:r>
      </w:hyperlink>
      <w:r>
        <w:t>.</w:t>
      </w:r>
    </w:p>
    <w:p>
      <w:pPr>
        <w:pStyle w:val="Footnotesection"/>
      </w:pPr>
      <w:r>
        <w:tab/>
        <w:t>[Regulation 6 amended: Gazette 28 Apr 2006 p. 1651; 12 Oct 2010 p. 5154; 19 Dec 2018 p. 4838; 5 Mar 2019 p. 587.]</w:t>
      </w:r>
    </w:p>
    <w:p>
      <w:pPr>
        <w:pStyle w:val="Heading5"/>
        <w:rPr>
          <w:snapToGrid w:val="0"/>
        </w:rPr>
      </w:pPr>
      <w:bookmarkStart w:id="18" w:name="_Toc201657109"/>
      <w:r>
        <w:rPr>
          <w:rStyle w:val="CharSectno"/>
        </w:rPr>
        <w:t>7</w:t>
      </w:r>
      <w:r>
        <w:t>.</w:t>
      </w:r>
      <w:r>
        <w:tab/>
      </w:r>
      <w:r>
        <w:rPr>
          <w:snapToGrid w:val="0"/>
        </w:rPr>
        <w:t>Procedure by Registrar</w:t>
      </w:r>
      <w:bookmarkEnd w:id="18"/>
    </w:p>
    <w:p>
      <w:pPr>
        <w:pStyle w:val="Subsection"/>
        <w:rPr>
          <w:snapToGrid w:val="0"/>
        </w:rPr>
      </w:pPr>
      <w:r>
        <w:rPr>
          <w:snapToGrid w:val="0"/>
        </w:rPr>
        <w:tab/>
        <w:t>(1)</w:t>
      </w:r>
      <w:r>
        <w:rPr>
          <w:snapToGrid w:val="0"/>
        </w:rPr>
        <w:tab/>
        <w:t>The Registrar is to issue all processes out of the Commission and each document presented to the office of the Registrar for filing or issue under the Act or these regulations is to be stamped with the stamp of the Commission endorsed with the date and time of filing.</w:t>
      </w:r>
    </w:p>
    <w:p>
      <w:pPr>
        <w:pStyle w:val="Subsection"/>
        <w:rPr>
          <w:snapToGrid w:val="0"/>
        </w:rPr>
      </w:pPr>
      <w:r>
        <w:rPr>
          <w:snapToGrid w:val="0"/>
        </w:rPr>
        <w:tab/>
        <w:t>(2)</w:t>
      </w:r>
      <w:r>
        <w:rPr>
          <w:snapToGrid w:val="0"/>
        </w:rPr>
        <w:tab/>
        <w:t>The Registrar is to mark each originating process with a distinguishing number and all documents filed and any award, order, declaration or direction made by the Commission in relation to the matter is to be distinguished by the same number.</w:t>
      </w:r>
    </w:p>
    <w:p>
      <w:pPr>
        <w:pStyle w:val="Subsection"/>
        <w:rPr>
          <w:snapToGrid w:val="0"/>
        </w:rPr>
      </w:pPr>
      <w:r>
        <w:rPr>
          <w:snapToGrid w:val="0"/>
        </w:rPr>
        <w:lastRenderedPageBreak/>
        <w:tab/>
        <w:t>(3)</w:t>
      </w:r>
      <w:r>
        <w:rPr>
          <w:snapToGrid w:val="0"/>
        </w:rPr>
        <w:tab/>
        <w:t>The Registrar is to keep a register of all proceedings in and awards, orders and declarations made by the Commission and the entries in the records kept with regard to each matter are to be entered together and kept separate from the entries with respect to any other matter.</w:t>
      </w:r>
    </w:p>
    <w:p>
      <w:pPr>
        <w:pStyle w:val="Subsection"/>
      </w:pPr>
      <w:r>
        <w:tab/>
        <w:t>(4)</w:t>
      </w:r>
      <w:r>
        <w:tab/>
        <w:t>Every decision of the Commission deposited in the office of the Registrar is to have the date it is deposited stamped upon it.</w:t>
      </w:r>
    </w:p>
    <w:p>
      <w:pPr>
        <w:pStyle w:val="Subsection"/>
      </w:pPr>
      <w:r>
        <w:tab/>
        <w:t>(5)</w:t>
      </w:r>
      <w:r>
        <w:tab/>
        <w:t>If the decision of the Commission is deposited electronically the Registrar is to electronically embed in the decision the date it is deposited.</w:t>
      </w:r>
    </w:p>
    <w:p>
      <w:pPr>
        <w:pStyle w:val="Subsection"/>
      </w:pPr>
      <w:r>
        <w:tab/>
        <w:t>(6)</w:t>
      </w:r>
      <w:r>
        <w:tab/>
      </w:r>
      <w:r>
        <w:rPr>
          <w:snapToGrid w:val="0"/>
        </w:rPr>
        <w:t xml:space="preserve">The register referred to in these regulations may be in the form of a record or information stored </w:t>
      </w:r>
      <w:r>
        <w:t>by electronic means</w:t>
      </w:r>
      <w:r>
        <w:rPr>
          <w:snapToGrid w:val="0"/>
        </w:rPr>
        <w:t>.</w:t>
      </w:r>
    </w:p>
    <w:p>
      <w:pPr>
        <w:pStyle w:val="Subsection"/>
        <w:rPr>
          <w:snapToGrid w:val="0"/>
        </w:rPr>
      </w:pPr>
      <w:r>
        <w:rPr>
          <w:snapToGrid w:val="0"/>
        </w:rPr>
        <w:tab/>
        <w:t>(7)</w:t>
      </w:r>
      <w:r>
        <w:rPr>
          <w:snapToGrid w:val="0"/>
        </w:rPr>
        <w:tab/>
        <w:t>Subject to the provisions of these regulations relating to documents being accepted for filing, and the provisions requiring the party lodging the documents to complete the copies as endorsed by the Registrar, the Registrar is to cause the copies to be stamped and returned to the party.</w:t>
      </w:r>
    </w:p>
    <w:p>
      <w:pPr>
        <w:pStyle w:val="Heading5"/>
        <w:keepLines w:val="0"/>
        <w:rPr>
          <w:snapToGrid w:val="0"/>
        </w:rPr>
      </w:pPr>
      <w:bookmarkStart w:id="19" w:name="_Toc201657110"/>
      <w:r>
        <w:rPr>
          <w:rStyle w:val="CharSectno"/>
        </w:rPr>
        <w:t>8</w:t>
      </w:r>
      <w:r>
        <w:t>.</w:t>
      </w:r>
      <w:r>
        <w:tab/>
      </w:r>
      <w:r>
        <w:rPr>
          <w:snapToGrid w:val="0"/>
        </w:rPr>
        <w:t>Duties of Registrar in respect of applications</w:t>
      </w:r>
      <w:bookmarkEnd w:id="19"/>
    </w:p>
    <w:p>
      <w:pPr>
        <w:pStyle w:val="Subsection"/>
      </w:pPr>
      <w:r>
        <w:tab/>
        <w:t>(1)</w:t>
      </w:r>
      <w:r>
        <w:tab/>
        <w:t>The Registrar is to take such action in respect of applications to the Commission as the Chief Commissioner, either generally or in the particular case, may direct.</w:t>
      </w:r>
    </w:p>
    <w:p>
      <w:pPr>
        <w:pStyle w:val="Subsection"/>
        <w:rPr>
          <w:snapToGrid w:val="0"/>
        </w:rPr>
      </w:pPr>
      <w:r>
        <w:rPr>
          <w:snapToGrid w:val="0"/>
        </w:rPr>
        <w:tab/>
        <w:t>(2)</w:t>
      </w:r>
      <w:r>
        <w:rPr>
          <w:snapToGrid w:val="0"/>
        </w:rPr>
        <w:tab/>
        <w:t>The Registrar is to keep a register</w:t>
      </w:r>
      <w:r>
        <w:t xml:space="preserve"> in which the Registrar is to enter each filed application</w:t>
      </w:r>
      <w:r>
        <w:rPr>
          <w:snapToGrid w:val="0"/>
        </w:rPr>
        <w:t>, the action taken by the Registrar in relation to it, and the date on which the action is taken.</w:t>
      </w:r>
    </w:p>
    <w:p>
      <w:pPr>
        <w:pStyle w:val="Subsection"/>
        <w:rPr>
          <w:snapToGrid w:val="0"/>
        </w:rPr>
      </w:pPr>
      <w:r>
        <w:rPr>
          <w:snapToGrid w:val="0"/>
        </w:rPr>
        <w:tab/>
        <w:t>(3)</w:t>
      </w:r>
      <w:r>
        <w:rPr>
          <w:snapToGrid w:val="0"/>
        </w:rPr>
        <w:tab/>
        <w:t xml:space="preserve">Unless in any particular case the Chief </w:t>
      </w:r>
      <w:r>
        <w:t>Commissioner</w:t>
      </w:r>
      <w:r>
        <w:rPr>
          <w:snapToGrid w:val="0"/>
        </w:rPr>
        <w:t xml:space="preserve"> otherwise directs, the Registrar is to present each application to the Chief Commissioner for allocation when the Registrar is satisfied that the procedures necessary to enable the matter to be listed for hearing, including, when appropriate, the procedures referred to in sections 29A(2), (3) and (4) of the Act have been complied with.</w:t>
      </w:r>
    </w:p>
    <w:p>
      <w:pPr>
        <w:pStyle w:val="Subsection"/>
        <w:rPr>
          <w:snapToGrid w:val="0"/>
        </w:rPr>
      </w:pPr>
      <w:r>
        <w:rPr>
          <w:snapToGrid w:val="0"/>
        </w:rPr>
        <w:lastRenderedPageBreak/>
        <w:tab/>
        <w:t>(4)</w:t>
      </w:r>
      <w:r>
        <w:rPr>
          <w:snapToGrid w:val="0"/>
        </w:rPr>
        <w:tab/>
        <w:t>Where the Chief Commissioner directs that the issues to be referred to the Commission for determination by arbitration are to be settled before the matter is allocated, those issues are to be settled before the Registrar unless the Chief Commissioner otherwise directs in that particular case.</w:t>
      </w:r>
    </w:p>
    <w:p>
      <w:pPr>
        <w:pStyle w:val="Footnotesection"/>
      </w:pPr>
      <w:r>
        <w:tab/>
        <w:t>[Regulation 8 amended: Gazette 19 Dec 2018 p. 4838.]</w:t>
      </w:r>
    </w:p>
    <w:p>
      <w:pPr>
        <w:pStyle w:val="Heading5"/>
        <w:rPr>
          <w:snapToGrid w:val="0"/>
        </w:rPr>
      </w:pPr>
      <w:bookmarkStart w:id="20" w:name="_Toc201657111"/>
      <w:r>
        <w:rPr>
          <w:rStyle w:val="CharSectno"/>
        </w:rPr>
        <w:t>9</w:t>
      </w:r>
      <w:r>
        <w:t>.</w:t>
      </w:r>
      <w:r>
        <w:tab/>
      </w:r>
      <w:r>
        <w:rPr>
          <w:snapToGrid w:val="0"/>
        </w:rPr>
        <w:t>Direction to Registrar to investigate and report</w:t>
      </w:r>
      <w:bookmarkEnd w:id="20"/>
    </w:p>
    <w:p>
      <w:pPr>
        <w:pStyle w:val="Subsection"/>
        <w:rPr>
          <w:snapToGrid w:val="0"/>
        </w:rPr>
      </w:pPr>
      <w:r>
        <w:rPr>
          <w:snapToGrid w:val="0"/>
        </w:rPr>
        <w:tab/>
      </w:r>
      <w:r>
        <w:rPr>
          <w:snapToGrid w:val="0"/>
        </w:rPr>
        <w:tab/>
        <w:t>A direction under section 93(8) of the Act may be given orally or in writing, but if given orally the direction is to be confirmed in writing.</w:t>
      </w:r>
    </w:p>
    <w:p>
      <w:pPr>
        <w:pStyle w:val="Heading5"/>
        <w:rPr>
          <w:snapToGrid w:val="0"/>
        </w:rPr>
      </w:pPr>
      <w:bookmarkStart w:id="21" w:name="_Toc201657112"/>
      <w:r>
        <w:rPr>
          <w:rStyle w:val="CharSectno"/>
        </w:rPr>
        <w:t>10</w:t>
      </w:r>
      <w:r>
        <w:t>.</w:t>
      </w:r>
      <w:r>
        <w:tab/>
      </w:r>
      <w:r>
        <w:rPr>
          <w:snapToGrid w:val="0"/>
        </w:rPr>
        <w:t>Stamp of Commission</w:t>
      </w:r>
      <w:bookmarkEnd w:id="21"/>
    </w:p>
    <w:p>
      <w:pPr>
        <w:pStyle w:val="Subsection"/>
        <w:rPr>
          <w:snapToGrid w:val="0"/>
        </w:rPr>
      </w:pPr>
      <w:r>
        <w:rPr>
          <w:snapToGrid w:val="0"/>
        </w:rPr>
        <w:tab/>
        <w:t>(1)</w:t>
      </w:r>
      <w:r>
        <w:rPr>
          <w:snapToGrid w:val="0"/>
        </w:rPr>
        <w:tab/>
        <w:t>There is to be a stamp which is to —</w:t>
      </w:r>
    </w:p>
    <w:p>
      <w:pPr>
        <w:pStyle w:val="Indenta"/>
        <w:rPr>
          <w:snapToGrid w:val="0"/>
        </w:rPr>
      </w:pPr>
      <w:r>
        <w:rPr>
          <w:snapToGrid w:val="0"/>
        </w:rPr>
        <w:tab/>
        <w:t>(a)</w:t>
      </w:r>
      <w:r>
        <w:rPr>
          <w:snapToGrid w:val="0"/>
        </w:rPr>
        <w:tab/>
        <w:t>bear the words “The Stamp of the Western Australian Industrial Relations Commission”; and</w:t>
      </w:r>
    </w:p>
    <w:p>
      <w:pPr>
        <w:pStyle w:val="Indenta"/>
        <w:rPr>
          <w:snapToGrid w:val="0"/>
        </w:rPr>
      </w:pPr>
      <w:r>
        <w:rPr>
          <w:snapToGrid w:val="0"/>
        </w:rPr>
        <w:tab/>
        <w:t>(b)</w:t>
      </w:r>
      <w:r>
        <w:rPr>
          <w:snapToGrid w:val="0"/>
        </w:rPr>
        <w:tab/>
        <w:t>provide for a date and a facsimile of the signature of the Registrar.</w:t>
      </w:r>
    </w:p>
    <w:p>
      <w:pPr>
        <w:pStyle w:val="Subsection"/>
        <w:rPr>
          <w:snapToGrid w:val="0"/>
        </w:rPr>
      </w:pPr>
      <w:r>
        <w:rPr>
          <w:snapToGrid w:val="0"/>
        </w:rPr>
        <w:tab/>
        <w:t>(2)</w:t>
      </w:r>
      <w:r>
        <w:rPr>
          <w:snapToGrid w:val="0"/>
        </w:rPr>
        <w:tab/>
        <w:t>The stamp is to be in the custody of the Registrar.</w:t>
      </w:r>
    </w:p>
    <w:p>
      <w:pPr>
        <w:pStyle w:val="Subsection"/>
        <w:rPr>
          <w:snapToGrid w:val="0"/>
        </w:rPr>
      </w:pPr>
      <w:r>
        <w:rPr>
          <w:snapToGrid w:val="0"/>
        </w:rPr>
        <w:tab/>
        <w:t>(3)</w:t>
      </w:r>
      <w:r>
        <w:rPr>
          <w:snapToGrid w:val="0"/>
        </w:rPr>
        <w:tab/>
        <w:t>In addition to any other requirement of these regulations the stamp is to be affixed by the Registrar or at his or her direction to all documents issued in the Registrar’s name in relation to proceedings before the Commission.</w:t>
      </w:r>
    </w:p>
    <w:p>
      <w:pPr>
        <w:pStyle w:val="Subsection"/>
        <w:rPr>
          <w:snapToGrid w:val="0"/>
        </w:rPr>
      </w:pPr>
      <w:r>
        <w:rPr>
          <w:snapToGrid w:val="0"/>
        </w:rPr>
        <w:tab/>
        <w:t>(4)</w:t>
      </w:r>
      <w:r>
        <w:rPr>
          <w:snapToGrid w:val="0"/>
        </w:rPr>
        <w:tab/>
        <w:t>An electronic document may be stamped by having a digital version of the stamp embedded within it.</w:t>
      </w:r>
    </w:p>
    <w:p>
      <w:pPr>
        <w:pStyle w:val="Heading5"/>
        <w:rPr>
          <w:snapToGrid w:val="0"/>
        </w:rPr>
      </w:pPr>
      <w:bookmarkStart w:id="22" w:name="_Toc201657113"/>
      <w:r>
        <w:rPr>
          <w:rStyle w:val="CharSectno"/>
        </w:rPr>
        <w:t>11</w:t>
      </w:r>
      <w:r>
        <w:t>.</w:t>
      </w:r>
      <w:r>
        <w:tab/>
      </w:r>
      <w:r>
        <w:rPr>
          <w:snapToGrid w:val="0"/>
        </w:rPr>
        <w:t>Seal of Commission</w:t>
      </w:r>
      <w:bookmarkEnd w:id="22"/>
    </w:p>
    <w:p>
      <w:pPr>
        <w:pStyle w:val="Subsection"/>
        <w:rPr>
          <w:snapToGrid w:val="0"/>
        </w:rPr>
      </w:pPr>
      <w:r>
        <w:rPr>
          <w:snapToGrid w:val="0"/>
        </w:rPr>
        <w:tab/>
        <w:t>(1)</w:t>
      </w:r>
      <w:r>
        <w:rPr>
          <w:snapToGrid w:val="0"/>
        </w:rPr>
        <w:tab/>
        <w:t>The Seal of the Commission is to bear the Royal Coat of Arms and the words “The Seal of the Western Australian Industrial Relations Commission”.</w:t>
      </w:r>
    </w:p>
    <w:p>
      <w:pPr>
        <w:pStyle w:val="Subsection"/>
        <w:rPr>
          <w:snapToGrid w:val="0"/>
        </w:rPr>
      </w:pPr>
      <w:r>
        <w:rPr>
          <w:snapToGrid w:val="0"/>
        </w:rPr>
        <w:tab/>
        <w:t>(2)</w:t>
      </w:r>
      <w:r>
        <w:rPr>
          <w:snapToGrid w:val="0"/>
        </w:rPr>
        <w:tab/>
        <w:t>The Seal is to be in the custody of the Registrar.</w:t>
      </w:r>
    </w:p>
    <w:p>
      <w:pPr>
        <w:pStyle w:val="Subsection"/>
        <w:rPr>
          <w:snapToGrid w:val="0"/>
        </w:rPr>
      </w:pPr>
      <w:r>
        <w:rPr>
          <w:snapToGrid w:val="0"/>
        </w:rPr>
        <w:lastRenderedPageBreak/>
        <w:tab/>
        <w:t>(3)</w:t>
      </w:r>
      <w:r>
        <w:rPr>
          <w:snapToGrid w:val="0"/>
        </w:rPr>
        <w:tab/>
        <w:t>The Seal is to be affixed by the Registrar or at his or her direction to all awards and orders of the Commission and to such other documents as the Commission may direct.</w:t>
      </w:r>
    </w:p>
    <w:p>
      <w:pPr>
        <w:pStyle w:val="Subsection"/>
      </w:pPr>
      <w:r>
        <w:tab/>
        <w:t>(4)</w:t>
      </w:r>
      <w:r>
        <w:tab/>
        <w:t>An electronic document may have a digital version of the Seal embedded within it.</w:t>
      </w:r>
    </w:p>
    <w:p>
      <w:pPr>
        <w:pStyle w:val="Heading5"/>
        <w:rPr>
          <w:snapToGrid w:val="0"/>
        </w:rPr>
      </w:pPr>
      <w:bookmarkStart w:id="23" w:name="_Toc201657114"/>
      <w:r>
        <w:rPr>
          <w:rStyle w:val="CharSectno"/>
        </w:rPr>
        <w:t>12</w:t>
      </w:r>
      <w:r>
        <w:t>.</w:t>
      </w:r>
      <w:r>
        <w:tab/>
      </w:r>
      <w:r>
        <w:rPr>
          <w:snapToGrid w:val="0"/>
        </w:rPr>
        <w:t>Publication of information and notices</w:t>
      </w:r>
      <w:bookmarkEnd w:id="23"/>
    </w:p>
    <w:p>
      <w:pPr>
        <w:pStyle w:val="Subsection"/>
        <w:rPr>
          <w:snapToGrid w:val="0"/>
        </w:rPr>
      </w:pPr>
      <w:r>
        <w:rPr>
          <w:snapToGrid w:val="0"/>
        </w:rPr>
        <w:tab/>
        <w:t>(1)</w:t>
      </w:r>
      <w:r>
        <w:rPr>
          <w:snapToGrid w:val="0"/>
        </w:rPr>
        <w:tab/>
        <w:t xml:space="preserve">The Registrar may only publish on a website maintained by the Commission such material as is authorised by the Act, these regulations or by a </w:t>
      </w:r>
      <w:r>
        <w:t>commissioner.</w:t>
      </w:r>
    </w:p>
    <w:p>
      <w:pPr>
        <w:pStyle w:val="Subsection"/>
        <w:keepNext/>
      </w:pPr>
      <w:r>
        <w:rPr>
          <w:snapToGrid w:val="0"/>
        </w:rPr>
        <w:tab/>
        <w:t>(2)</w:t>
      </w:r>
      <w:r>
        <w:rPr>
          <w:snapToGrid w:val="0"/>
        </w:rPr>
        <w:tab/>
        <w:t>Where under this regulation the Registrar publishes on a website maintained by the Commission a notice or other material required by these regulations the Registrar is to ensure that the notice or material clearly states the authorisation and the day on which the notice or material is first published on the website.</w:t>
      </w:r>
    </w:p>
    <w:p>
      <w:pPr>
        <w:pStyle w:val="Footnotesection"/>
      </w:pPr>
      <w:r>
        <w:tab/>
        <w:t>[Regulation 12 amended: Gazette 19 Dec 2018 p. 4838.]</w:t>
      </w:r>
    </w:p>
    <w:p>
      <w:pPr>
        <w:pStyle w:val="Heading2"/>
      </w:pPr>
      <w:bookmarkStart w:id="24" w:name="_Toc201648925"/>
      <w:bookmarkStart w:id="25" w:name="_Toc201649119"/>
      <w:bookmarkStart w:id="26" w:name="_Toc201649978"/>
      <w:bookmarkStart w:id="27" w:name="_Toc201650306"/>
      <w:bookmarkStart w:id="28" w:name="_Toc201657115"/>
      <w:r>
        <w:rPr>
          <w:rStyle w:val="CharPartNo"/>
        </w:rPr>
        <w:lastRenderedPageBreak/>
        <w:t>Part 3</w:t>
      </w:r>
      <w:r>
        <w:t> — </w:t>
      </w:r>
      <w:r>
        <w:rPr>
          <w:rStyle w:val="CharPartText"/>
        </w:rPr>
        <w:t>Conduct of proceedings</w:t>
      </w:r>
      <w:bookmarkEnd w:id="24"/>
      <w:bookmarkEnd w:id="25"/>
      <w:bookmarkEnd w:id="26"/>
      <w:bookmarkEnd w:id="27"/>
      <w:bookmarkEnd w:id="28"/>
    </w:p>
    <w:p>
      <w:pPr>
        <w:pStyle w:val="Heading3"/>
      </w:pPr>
      <w:bookmarkStart w:id="29" w:name="_Toc201648926"/>
      <w:bookmarkStart w:id="30" w:name="_Toc201649120"/>
      <w:bookmarkStart w:id="31" w:name="_Toc201649979"/>
      <w:bookmarkStart w:id="32" w:name="_Toc201650307"/>
      <w:bookmarkStart w:id="33" w:name="_Toc201657116"/>
      <w:r>
        <w:rPr>
          <w:rStyle w:val="CharDivNo"/>
        </w:rPr>
        <w:t>Division 1</w:t>
      </w:r>
      <w:r>
        <w:t> — </w:t>
      </w:r>
      <w:r>
        <w:rPr>
          <w:rStyle w:val="CharDivText"/>
        </w:rPr>
        <w:t>Notice of application, response and parties</w:t>
      </w:r>
      <w:bookmarkEnd w:id="29"/>
      <w:bookmarkEnd w:id="30"/>
      <w:bookmarkEnd w:id="31"/>
      <w:bookmarkEnd w:id="32"/>
      <w:bookmarkEnd w:id="33"/>
    </w:p>
    <w:p>
      <w:pPr>
        <w:pStyle w:val="Footnoteheading"/>
      </w:pPr>
      <w:r>
        <w:tab/>
        <w:t>[Heading amended: Gazette 5 Mar 2019 p. 619.]</w:t>
      </w:r>
    </w:p>
    <w:p>
      <w:pPr>
        <w:pStyle w:val="Heading5"/>
        <w:rPr>
          <w:snapToGrid w:val="0"/>
        </w:rPr>
      </w:pPr>
      <w:bookmarkStart w:id="34" w:name="_Toc201657117"/>
      <w:r>
        <w:rPr>
          <w:rStyle w:val="CharSectno"/>
        </w:rPr>
        <w:t>13</w:t>
      </w:r>
      <w:r>
        <w:t>.</w:t>
      </w:r>
      <w:r>
        <w:tab/>
      </w:r>
      <w:r>
        <w:rPr>
          <w:snapToGrid w:val="0"/>
        </w:rPr>
        <w:t>Applications to Commission</w:t>
      </w:r>
      <w:bookmarkEnd w:id="34"/>
    </w:p>
    <w:p>
      <w:pPr>
        <w:pStyle w:val="Subsection"/>
        <w:rPr>
          <w:snapToGrid w:val="0"/>
        </w:rPr>
      </w:pPr>
      <w:r>
        <w:rPr>
          <w:snapToGrid w:val="0"/>
        </w:rPr>
        <w:tab/>
        <w:t>(1)</w:t>
      </w:r>
      <w:r>
        <w:rPr>
          <w:snapToGrid w:val="0"/>
        </w:rPr>
        <w:tab/>
      </w:r>
      <w:r>
        <w:t xml:space="preserve">Except </w:t>
      </w:r>
      <w:r>
        <w:rPr>
          <w:snapToGrid w:val="0"/>
        </w:rPr>
        <w:t xml:space="preserve">as otherwise provided by the Act or by these regulations proceedings before the Commission however constituted may be commenced by notice of application in the </w:t>
      </w:r>
      <w:r>
        <w:t>approved form</w:t>
      </w:r>
      <w:r>
        <w:rPr>
          <w:snapToGrid w:val="0"/>
        </w:rPr>
        <w:t xml:space="preserve"> to which must be attached such statements, statutory or other declarations or other documents as are required by these regulations or as are directed by the Commission or by an officer authorised by the Commission, to be attached.</w:t>
      </w:r>
    </w:p>
    <w:p>
      <w:pPr>
        <w:pStyle w:val="Ednotesubsection"/>
      </w:pPr>
      <w:r>
        <w:tab/>
        <w:t>[(2)</w:t>
      </w:r>
      <w:r>
        <w:tab/>
        <w:t>deleted]</w:t>
      </w:r>
    </w:p>
    <w:p>
      <w:pPr>
        <w:pStyle w:val="Subsection"/>
        <w:rPr>
          <w:snapToGrid w:val="0"/>
        </w:rPr>
      </w:pPr>
      <w:r>
        <w:rPr>
          <w:snapToGrid w:val="0"/>
        </w:rPr>
        <w:tab/>
        <w:t>(3)</w:t>
      </w:r>
      <w:r>
        <w:rPr>
          <w:snapToGrid w:val="0"/>
        </w:rPr>
        <w:tab/>
        <w:t>A notice of application must — </w:t>
      </w:r>
    </w:p>
    <w:p>
      <w:pPr>
        <w:pStyle w:val="Indenta"/>
      </w:pPr>
      <w:r>
        <w:tab/>
        <w:t>(a)</w:t>
      </w:r>
      <w:r>
        <w:tab/>
        <w:t>be signed by the applicant or the applicant’s agent and, where necessary, be sealed by the applicant; and</w:t>
      </w:r>
    </w:p>
    <w:p>
      <w:pPr>
        <w:pStyle w:val="Indenta"/>
      </w:pPr>
      <w:r>
        <w:tab/>
        <w:t>(b)</w:t>
      </w:r>
      <w:r>
        <w:tab/>
        <w:t>accurately describe all of the parties to the application, and their respective addresses for service; and</w:t>
      </w:r>
    </w:p>
    <w:p>
      <w:pPr>
        <w:pStyle w:val="Indenta"/>
      </w:pPr>
      <w:r>
        <w:tab/>
        <w:t>(c)</w:t>
      </w:r>
      <w:r>
        <w:tab/>
        <w:t>have attached a written statement of claim that clearly and concisely specifies the particulars of the applicant’s claim, the exact nature of the relief sought and the purpose of the application.</w:t>
      </w:r>
    </w:p>
    <w:p>
      <w:pPr>
        <w:pStyle w:val="Subsection"/>
        <w:rPr>
          <w:snapToGrid w:val="0"/>
        </w:rPr>
      </w:pPr>
      <w:r>
        <w:rPr>
          <w:snapToGrid w:val="0"/>
        </w:rPr>
        <w:tab/>
        <w:t>(4)</w:t>
      </w:r>
      <w:r>
        <w:rPr>
          <w:snapToGrid w:val="0"/>
        </w:rPr>
        <w:tab/>
        <w:t xml:space="preserve">Subject to subregulation (5), on receiving an application the Registrar is to endorse on the notice of application whether </w:t>
      </w:r>
      <w:r>
        <w:t>a response</w:t>
      </w:r>
      <w:r>
        <w:rPr>
          <w:snapToGrid w:val="0"/>
        </w:rPr>
        <w:t xml:space="preserve"> under regulation 14 is required within the time required by subregulation (6).</w:t>
      </w:r>
    </w:p>
    <w:p>
      <w:pPr>
        <w:pStyle w:val="Subsection"/>
        <w:rPr>
          <w:snapToGrid w:val="0"/>
        </w:rPr>
      </w:pPr>
      <w:r>
        <w:rPr>
          <w:snapToGrid w:val="0"/>
        </w:rPr>
        <w:tab/>
        <w:t>(5)</w:t>
      </w:r>
      <w:r>
        <w:rPr>
          <w:snapToGrid w:val="0"/>
        </w:rPr>
        <w:tab/>
        <w:t xml:space="preserve">The applicant may make an application to the Commission for a shortened time for </w:t>
      </w:r>
      <w:r>
        <w:t>responses</w:t>
      </w:r>
      <w:r>
        <w:rPr>
          <w:snapToGrid w:val="0"/>
        </w:rPr>
        <w:t xml:space="preserve"> in which case the copies of the application required to be lodged by these regulations are not to be returned to the applicant until the application for shortened time for </w:t>
      </w:r>
      <w:r>
        <w:t>responses</w:t>
      </w:r>
      <w:r>
        <w:rPr>
          <w:snapToGrid w:val="0"/>
        </w:rPr>
        <w:t xml:space="preserve"> has been determined by the Commission.</w:t>
      </w:r>
    </w:p>
    <w:p>
      <w:pPr>
        <w:pStyle w:val="Subsection"/>
        <w:rPr>
          <w:snapToGrid w:val="0"/>
        </w:rPr>
      </w:pPr>
      <w:r>
        <w:rPr>
          <w:snapToGrid w:val="0"/>
        </w:rPr>
        <w:lastRenderedPageBreak/>
        <w:tab/>
        <w:t>(6)</w:t>
      </w:r>
      <w:r>
        <w:rPr>
          <w:snapToGrid w:val="0"/>
        </w:rPr>
        <w:tab/>
        <w:t xml:space="preserve">Subject to these regulations or the direction of the Commission otherwise, the time required for filing any </w:t>
      </w:r>
      <w:r>
        <w:t>response</w:t>
      </w:r>
      <w:r>
        <w:rPr>
          <w:snapToGrid w:val="0"/>
        </w:rPr>
        <w:t xml:space="preserve"> under regulation 14 is 21 days from the date of being served with the notice of application.</w:t>
      </w:r>
    </w:p>
    <w:p>
      <w:pPr>
        <w:pStyle w:val="Subsection"/>
        <w:rPr>
          <w:snapToGrid w:val="0"/>
        </w:rPr>
      </w:pPr>
      <w:r>
        <w:rPr>
          <w:snapToGrid w:val="0"/>
        </w:rPr>
        <w:tab/>
        <w:t>(7)</w:t>
      </w:r>
      <w:r>
        <w:rPr>
          <w:snapToGrid w:val="0"/>
        </w:rPr>
        <w:tab/>
        <w:t xml:space="preserve">An application to shorten the time for filing </w:t>
      </w:r>
      <w:r>
        <w:t>a response</w:t>
      </w:r>
      <w:r>
        <w:rPr>
          <w:snapToGrid w:val="0"/>
        </w:rPr>
        <w:t xml:space="preserve"> need not be served on the respondent and is to be determined by the Commission after making such inquiries as it considers appropriate in the circumstances of the case.</w:t>
      </w:r>
    </w:p>
    <w:p>
      <w:pPr>
        <w:pStyle w:val="Footnotesection"/>
      </w:pPr>
      <w:r>
        <w:tab/>
        <w:t>[Regulation 13 amended: Gazette 28 Apr 2006 p. 1651; 5 Mar 2019 p. 619 and 622.]</w:t>
      </w:r>
    </w:p>
    <w:p>
      <w:pPr>
        <w:pStyle w:val="Heading5"/>
        <w:rPr>
          <w:snapToGrid w:val="0"/>
        </w:rPr>
      </w:pPr>
      <w:bookmarkStart w:id="35" w:name="_Toc201657118"/>
      <w:r>
        <w:rPr>
          <w:rStyle w:val="CharSectno"/>
        </w:rPr>
        <w:t>14</w:t>
      </w:r>
      <w:r>
        <w:t>.</w:t>
      </w:r>
      <w:r>
        <w:tab/>
        <w:t>Response</w:t>
      </w:r>
      <w:bookmarkEnd w:id="35"/>
    </w:p>
    <w:p>
      <w:pPr>
        <w:pStyle w:val="Subsection"/>
        <w:rPr>
          <w:snapToGrid w:val="0"/>
        </w:rPr>
      </w:pPr>
      <w:r>
        <w:tab/>
      </w:r>
      <w:r>
        <w:tab/>
      </w:r>
      <w:r>
        <w:rPr>
          <w:snapToGrid w:val="0"/>
        </w:rPr>
        <w:t xml:space="preserve">A </w:t>
      </w:r>
      <w:r>
        <w:t>response</w:t>
      </w:r>
      <w:r>
        <w:rPr>
          <w:snapToGrid w:val="0"/>
        </w:rPr>
        <w:t xml:space="preserve"> must be in the </w:t>
      </w:r>
      <w:r>
        <w:t>approved form</w:t>
      </w:r>
      <w:r>
        <w:rPr>
          <w:snapToGrid w:val="0"/>
        </w:rPr>
        <w:t xml:space="preserve"> and must specify with particularity </w:t>
      </w:r>
      <w:r>
        <w:t>the response</w:t>
      </w:r>
      <w:r>
        <w:rPr>
          <w:snapToGrid w:val="0"/>
        </w:rPr>
        <w:t xml:space="preserve"> and the basis on which it is given.</w:t>
      </w:r>
    </w:p>
    <w:p>
      <w:pPr>
        <w:pStyle w:val="Footnotesection"/>
      </w:pPr>
      <w:r>
        <w:tab/>
        <w:t>[Regulation 14 inserted: Gazette 4 Jul 2014 p. 2389; amended: Gazette 5 Mar 2019 p. 619</w:t>
      </w:r>
      <w:r>
        <w:noBreakHyphen/>
        <w:t>20 and 622.]</w:t>
      </w:r>
    </w:p>
    <w:p>
      <w:pPr>
        <w:pStyle w:val="Heading5"/>
        <w:rPr>
          <w:snapToGrid w:val="0"/>
        </w:rPr>
      </w:pPr>
      <w:bookmarkStart w:id="36" w:name="_Toc201657119"/>
      <w:r>
        <w:rPr>
          <w:rStyle w:val="CharSectno"/>
        </w:rPr>
        <w:t>15</w:t>
      </w:r>
      <w:r>
        <w:t>.</w:t>
      </w:r>
      <w:r>
        <w:tab/>
      </w:r>
      <w:r>
        <w:rPr>
          <w:snapToGrid w:val="0"/>
        </w:rPr>
        <w:t>General form of objection</w:t>
      </w:r>
      <w:bookmarkEnd w:id="36"/>
    </w:p>
    <w:p>
      <w:pPr>
        <w:pStyle w:val="Subsection"/>
        <w:rPr>
          <w:snapToGrid w:val="0"/>
        </w:rPr>
      </w:pPr>
      <w:r>
        <w:rPr>
          <w:snapToGrid w:val="0"/>
        </w:rPr>
        <w:tab/>
        <w:t>(1)</w:t>
      </w:r>
      <w:r>
        <w:rPr>
          <w:snapToGrid w:val="0"/>
        </w:rPr>
        <w:tab/>
        <w:t xml:space="preserve">Except as otherwise provided in the Act or these regulations, a person who is entitled to be heard in objection to any application and who desires to be so heard must file a notice of objection in the </w:t>
      </w:r>
      <w:r>
        <w:t>approved form</w:t>
      </w:r>
      <w:r>
        <w:rPr>
          <w:snapToGrid w:val="0"/>
        </w:rPr>
        <w:t xml:space="preserve"> and serve it on the person to whom the objection is directed not less than 7 days before the hearing of the matter that is the subject of the objection.</w:t>
      </w:r>
    </w:p>
    <w:p>
      <w:pPr>
        <w:pStyle w:val="Subsection"/>
        <w:rPr>
          <w:snapToGrid w:val="0"/>
        </w:rPr>
      </w:pPr>
      <w:r>
        <w:rPr>
          <w:snapToGrid w:val="0"/>
        </w:rPr>
        <w:tab/>
        <w:t>(2)</w:t>
      </w:r>
      <w:r>
        <w:rPr>
          <w:snapToGrid w:val="0"/>
        </w:rPr>
        <w:tab/>
        <w:t>The notice must state clearly the grounds of objection and must specify with particularity the manner in which the objector is or is likely to be affected by the application.</w:t>
      </w:r>
    </w:p>
    <w:p>
      <w:pPr>
        <w:pStyle w:val="Subsection"/>
        <w:rPr>
          <w:snapToGrid w:val="0"/>
        </w:rPr>
      </w:pPr>
      <w:r>
        <w:rPr>
          <w:snapToGrid w:val="0"/>
        </w:rPr>
        <w:tab/>
        <w:t>(3)</w:t>
      </w:r>
      <w:r>
        <w:rPr>
          <w:snapToGrid w:val="0"/>
        </w:rPr>
        <w:tab/>
        <w:t>At the hearing of the application an objector is restricted to the grounds set out in the notice of objection</w:t>
      </w:r>
      <w:r>
        <w:t xml:space="preserve"> unless leave is granted by the Commission</w:t>
      </w:r>
      <w:r>
        <w:rPr>
          <w:snapToGrid w:val="0"/>
        </w:rPr>
        <w:t>.</w:t>
      </w:r>
    </w:p>
    <w:p>
      <w:pPr>
        <w:pStyle w:val="Footnotesection"/>
      </w:pPr>
      <w:r>
        <w:tab/>
        <w:t>[Regulation 15 amended: Gazette 5 Mar 2019 p. 622.]</w:t>
      </w:r>
    </w:p>
    <w:p>
      <w:pPr>
        <w:pStyle w:val="Heading5"/>
        <w:pageBreakBefore/>
        <w:spacing w:before="0"/>
        <w:rPr>
          <w:snapToGrid w:val="0"/>
        </w:rPr>
      </w:pPr>
      <w:bookmarkStart w:id="37" w:name="_Toc201657120"/>
      <w:r>
        <w:rPr>
          <w:rStyle w:val="CharSectno"/>
        </w:rPr>
        <w:lastRenderedPageBreak/>
        <w:t>16</w:t>
      </w:r>
      <w:r>
        <w:t>.</w:t>
      </w:r>
      <w:r>
        <w:tab/>
        <w:t>Withdrawal or d</w:t>
      </w:r>
      <w:r>
        <w:rPr>
          <w:snapToGrid w:val="0"/>
        </w:rPr>
        <w:t>iscontinuance of application</w:t>
      </w:r>
      <w:bookmarkEnd w:id="37"/>
    </w:p>
    <w:p>
      <w:pPr>
        <w:pStyle w:val="Subsection"/>
        <w:rPr>
          <w:snapToGrid w:val="0"/>
        </w:rPr>
      </w:pPr>
      <w:r>
        <w:rPr>
          <w:snapToGrid w:val="0"/>
        </w:rPr>
        <w:tab/>
        <w:t>(1)</w:t>
      </w:r>
      <w:r>
        <w:rPr>
          <w:snapToGrid w:val="0"/>
        </w:rPr>
        <w:tab/>
        <w:t xml:space="preserve">Subject to subregulation (4) an applicant may withdraw or wholly discontinue an application against any respondent or withdraw any part of the claim contained in the application at any time before it has been set down for hearing by filing a notice in the </w:t>
      </w:r>
      <w:r>
        <w:t>approved form</w:t>
      </w:r>
      <w:r>
        <w:rPr>
          <w:snapToGrid w:val="0"/>
        </w:rPr>
        <w:t xml:space="preserve"> in the office of the Registrar or by giving advice in writing to the Commission and to every respondent affected by it.</w:t>
      </w:r>
    </w:p>
    <w:p>
      <w:pPr>
        <w:pStyle w:val="Subsection"/>
        <w:rPr>
          <w:snapToGrid w:val="0"/>
        </w:rPr>
      </w:pPr>
      <w:r>
        <w:rPr>
          <w:snapToGrid w:val="0"/>
        </w:rPr>
        <w:tab/>
        <w:t>(2)</w:t>
      </w:r>
      <w:r>
        <w:rPr>
          <w:snapToGrid w:val="0"/>
        </w:rPr>
        <w:tab/>
        <w:t>Subject to subregulation (4), the filing of a notice in accordance with subregulation (1) withdraws or discontinues the application</w:t>
      </w:r>
      <w:r>
        <w:t xml:space="preserve"> or part of the claim, as the case may be, and the Registrar is to advise the parties accordingly after the notice has been filed.</w:t>
      </w:r>
    </w:p>
    <w:p>
      <w:pPr>
        <w:pStyle w:val="Subsection"/>
        <w:rPr>
          <w:snapToGrid w:val="0"/>
        </w:rPr>
      </w:pPr>
      <w:r>
        <w:rPr>
          <w:snapToGrid w:val="0"/>
        </w:rPr>
        <w:tab/>
        <w:t>(3)</w:t>
      </w:r>
      <w:r>
        <w:rPr>
          <w:snapToGrid w:val="0"/>
        </w:rPr>
        <w:tab/>
        <w:t>After being filed, a copy of the notice must be served on every respondent directly affected by it.</w:t>
      </w:r>
    </w:p>
    <w:p>
      <w:pPr>
        <w:pStyle w:val="Subsection"/>
        <w:rPr>
          <w:snapToGrid w:val="0"/>
        </w:rPr>
      </w:pPr>
      <w:r>
        <w:rPr>
          <w:snapToGrid w:val="0"/>
        </w:rPr>
        <w:tab/>
        <w:t>(4)</w:t>
      </w:r>
      <w:r>
        <w:rPr>
          <w:snapToGrid w:val="0"/>
        </w:rPr>
        <w:tab/>
        <w:t xml:space="preserve">Where a counter-proposal has been filed in </w:t>
      </w:r>
      <w:r>
        <w:t xml:space="preserve">response </w:t>
      </w:r>
      <w:r>
        <w:rPr>
          <w:snapToGrid w:val="0"/>
        </w:rPr>
        <w:t xml:space="preserve">to an application the application may only be withdrawn under subregulation (1) with the consent of the respondent making the counter-proposal in the </w:t>
      </w:r>
      <w:r>
        <w:t>approved form.</w:t>
      </w:r>
    </w:p>
    <w:p>
      <w:pPr>
        <w:pStyle w:val="Subsection"/>
        <w:rPr>
          <w:snapToGrid w:val="0"/>
        </w:rPr>
      </w:pPr>
      <w:r>
        <w:rPr>
          <w:snapToGrid w:val="0"/>
        </w:rPr>
        <w:tab/>
        <w:t>(5)</w:t>
      </w:r>
      <w:r>
        <w:rPr>
          <w:snapToGrid w:val="0"/>
        </w:rPr>
        <w:tab/>
        <w:t>Except as otherwise provided in this regulation it is not competent for an applicant to withdraw or discontinue the application without leave of the Commission but the Commission may before, at or after the hearing, order the application be discontinued or dismissed or any part of it be struck out.</w:t>
      </w:r>
    </w:p>
    <w:p>
      <w:pPr>
        <w:pStyle w:val="Footnotesection"/>
      </w:pPr>
      <w:r>
        <w:tab/>
        <w:t>[Regulation 16 amended: Gazette 28 Apr 2006 p. 1651; 5 Mar 2019 p. 619 and 622.]</w:t>
      </w:r>
    </w:p>
    <w:p>
      <w:pPr>
        <w:pStyle w:val="Heading5"/>
      </w:pPr>
      <w:bookmarkStart w:id="38" w:name="_Toc201657121"/>
      <w:r>
        <w:rPr>
          <w:rStyle w:val="CharSectno"/>
        </w:rPr>
        <w:t>17</w:t>
      </w:r>
      <w:r>
        <w:t>.</w:t>
      </w:r>
      <w:r>
        <w:tab/>
        <w:t>Application to amend</w:t>
      </w:r>
      <w:bookmarkEnd w:id="38"/>
    </w:p>
    <w:p>
      <w:pPr>
        <w:pStyle w:val="Subsection"/>
      </w:pPr>
      <w:r>
        <w:tab/>
        <w:t>(1)</w:t>
      </w:r>
      <w:r>
        <w:tab/>
        <w:t>A party to proceedings may apply to amend any document filed.</w:t>
      </w:r>
    </w:p>
    <w:p>
      <w:pPr>
        <w:pStyle w:val="Subsection"/>
        <w:keepNext/>
      </w:pPr>
      <w:r>
        <w:lastRenderedPageBreak/>
        <w:tab/>
        <w:t>(2)</w:t>
      </w:r>
      <w:r>
        <w:tab/>
        <w:t xml:space="preserve">The application </w:t>
      </w:r>
      <w:r>
        <w:rPr>
          <w:snapToGrid w:val="0"/>
        </w:rPr>
        <w:t>must</w:t>
      </w:r>
      <w:r>
        <w:t xml:space="preserve"> be in writing to the Commission citing the distinguishing number of the proceedings to which it relates and </w:t>
      </w:r>
      <w:r>
        <w:rPr>
          <w:snapToGrid w:val="0"/>
        </w:rPr>
        <w:t>must</w:t>
      </w:r>
      <w:r>
        <w:t xml:space="preserve"> include —</w:t>
      </w:r>
    </w:p>
    <w:p>
      <w:pPr>
        <w:pStyle w:val="Indenta"/>
      </w:pPr>
      <w:r>
        <w:tab/>
        <w:t>(a)</w:t>
      </w:r>
      <w:r>
        <w:tab/>
        <w:t>a statement setting out the amendment sought to be made; and</w:t>
      </w:r>
    </w:p>
    <w:p>
      <w:pPr>
        <w:pStyle w:val="Indenta"/>
      </w:pPr>
      <w:r>
        <w:tab/>
        <w:t>(b)</w:t>
      </w:r>
      <w:r>
        <w:tab/>
        <w:t>the grounds for seeking leave to amend; and</w:t>
      </w:r>
    </w:p>
    <w:p>
      <w:pPr>
        <w:pStyle w:val="Indenta"/>
      </w:pPr>
      <w:r>
        <w:tab/>
        <w:t>(c)</w:t>
      </w:r>
      <w:r>
        <w:tab/>
        <w:t>where the time for filing the document in accordance with these regulations has expired, reasons why leave should be granted.</w:t>
      </w:r>
    </w:p>
    <w:p>
      <w:pPr>
        <w:pStyle w:val="Subsection"/>
      </w:pPr>
      <w:r>
        <w:tab/>
        <w:t>(3)</w:t>
      </w:r>
      <w:r>
        <w:tab/>
      </w:r>
      <w:r>
        <w:rPr>
          <w:snapToGrid w:val="0"/>
        </w:rPr>
        <w:t>As soon as practicable after the application is filed</w:t>
      </w:r>
      <w:r>
        <w:t xml:space="preserve"> the Registrar </w:t>
      </w:r>
      <w:r>
        <w:rPr>
          <w:snapToGrid w:val="0"/>
        </w:rPr>
        <w:t>must</w:t>
      </w:r>
      <w:r>
        <w:t xml:space="preserve"> serve a copy of the application on the other parties to the application or such parties as directed by the Commission in a particular case.</w:t>
      </w:r>
    </w:p>
    <w:p>
      <w:pPr>
        <w:pStyle w:val="Subsection"/>
      </w:pPr>
      <w:r>
        <w:tab/>
        <w:t>(4)</w:t>
      </w:r>
      <w:r>
        <w:tab/>
        <w:t>It is not necessary for a party served with an application to file a response to the application.</w:t>
      </w:r>
    </w:p>
    <w:p>
      <w:pPr>
        <w:pStyle w:val="Subsection"/>
      </w:pPr>
      <w:r>
        <w:tab/>
        <w:t>(5)</w:t>
      </w:r>
      <w:r>
        <w:tab/>
        <w:t>Despite subregulations (1) to (4), the Commission may at any stage during the hearing of any matter before it permit an application to be made orally for the amendment of any document on such terms as the Commission thinks just.</w:t>
      </w:r>
    </w:p>
    <w:p>
      <w:pPr>
        <w:pStyle w:val="Footnotesection"/>
      </w:pPr>
      <w:r>
        <w:tab/>
        <w:t>[Regulation 17 amended: Gazette 5 Mar 2019 p. 587 and 621.]</w:t>
      </w:r>
    </w:p>
    <w:p>
      <w:pPr>
        <w:pStyle w:val="Heading5"/>
      </w:pPr>
      <w:bookmarkStart w:id="39" w:name="_Toc201657122"/>
      <w:r>
        <w:rPr>
          <w:rStyle w:val="CharSectno"/>
        </w:rPr>
        <w:t>18</w:t>
      </w:r>
      <w:r>
        <w:t>.</w:t>
      </w:r>
      <w:r>
        <w:tab/>
        <w:t>Joinder of parties</w:t>
      </w:r>
      <w:bookmarkEnd w:id="39"/>
    </w:p>
    <w:p>
      <w:pPr>
        <w:pStyle w:val="Subsection"/>
      </w:pPr>
      <w:r>
        <w:tab/>
        <w:t>(1)</w:t>
      </w:r>
      <w:r>
        <w:tab/>
        <w:t xml:space="preserve">An application to join any person as a party to proceedings before the Commission (the </w:t>
      </w:r>
      <w:r>
        <w:rPr>
          <w:rStyle w:val="CharDefText"/>
        </w:rPr>
        <w:t>substantive proceedings</w:t>
      </w:r>
      <w:r>
        <w:t xml:space="preserve">) must — </w:t>
      </w:r>
    </w:p>
    <w:p>
      <w:pPr>
        <w:pStyle w:val="Indenta"/>
      </w:pPr>
      <w:r>
        <w:tab/>
        <w:t>(a)</w:t>
      </w:r>
      <w:r>
        <w:tab/>
        <w:t xml:space="preserve">be made in the approved form; and </w:t>
      </w:r>
    </w:p>
    <w:p>
      <w:pPr>
        <w:pStyle w:val="Indenta"/>
      </w:pPr>
      <w:r>
        <w:tab/>
        <w:t>(b)</w:t>
      </w:r>
      <w:r>
        <w:tab/>
        <w:t xml:space="preserve">name the person the applicant seeks to be joined as a party to the substantive proceedings (the </w:t>
      </w:r>
      <w:r>
        <w:rPr>
          <w:rStyle w:val="CharDefText"/>
        </w:rPr>
        <w:t>person to be joined</w:t>
      </w:r>
      <w:r>
        <w:t>); and</w:t>
      </w:r>
    </w:p>
    <w:p>
      <w:pPr>
        <w:pStyle w:val="Indenta"/>
      </w:pPr>
      <w:r>
        <w:tab/>
        <w:t>(c)</w:t>
      </w:r>
      <w:r>
        <w:tab/>
        <w:t>have attached a written statement of the grounds on which the application is made and the facts to show that the applicant is entitled to make the application.</w:t>
      </w:r>
    </w:p>
    <w:p>
      <w:pPr>
        <w:pStyle w:val="Subsection"/>
      </w:pPr>
      <w:r>
        <w:lastRenderedPageBreak/>
        <w:tab/>
        <w:t>(2)</w:t>
      </w:r>
      <w:r>
        <w:tab/>
        <w:t>The Registrar is to give an application made under subregulation (1) the same distinguishing number as the substantive proceedings to which it relates.</w:t>
      </w:r>
    </w:p>
    <w:p>
      <w:pPr>
        <w:pStyle w:val="Subsection"/>
      </w:pPr>
      <w:r>
        <w:tab/>
        <w:t>(3)</w:t>
      </w:r>
      <w:r>
        <w:tab/>
        <w:t xml:space="preserve">The Registrar must serve a copy of the application and the attachments on — </w:t>
      </w:r>
    </w:p>
    <w:p>
      <w:pPr>
        <w:pStyle w:val="Indenta"/>
      </w:pPr>
      <w:r>
        <w:tab/>
        <w:t>(a)</w:t>
      </w:r>
      <w:r>
        <w:tab/>
        <w:t>the person to be joined; and</w:t>
      </w:r>
    </w:p>
    <w:p>
      <w:pPr>
        <w:pStyle w:val="Indenta"/>
      </w:pPr>
      <w:r>
        <w:tab/>
        <w:t>(b)</w:t>
      </w:r>
      <w:r>
        <w:tab/>
        <w:t>each other party to the substantive proceedings.</w:t>
      </w:r>
    </w:p>
    <w:p>
      <w:pPr>
        <w:pStyle w:val="Subsection"/>
        <w:keepNext/>
      </w:pPr>
      <w:r>
        <w:tab/>
        <w:t>(4)</w:t>
      </w:r>
      <w:r>
        <w:tab/>
        <w:t xml:space="preserve">The application is not to be listed for hearing unless — </w:t>
      </w:r>
    </w:p>
    <w:p>
      <w:pPr>
        <w:pStyle w:val="Indenta"/>
      </w:pPr>
      <w:r>
        <w:tab/>
        <w:t>(a)</w:t>
      </w:r>
      <w:r>
        <w:tab/>
        <w:t>a response has been received from the person to be joined; or</w:t>
      </w:r>
    </w:p>
    <w:p>
      <w:pPr>
        <w:pStyle w:val="Indenta"/>
      </w:pPr>
      <w:r>
        <w:tab/>
        <w:t>(b)</w:t>
      </w:r>
      <w:r>
        <w:tab/>
        <w:t>the time for filing a response has expired; or</w:t>
      </w:r>
    </w:p>
    <w:p>
      <w:pPr>
        <w:pStyle w:val="Indenta"/>
      </w:pPr>
      <w:r>
        <w:tab/>
        <w:t>(c)</w:t>
      </w:r>
      <w:r>
        <w:tab/>
        <w:t>the Commission otherwise directs.</w:t>
      </w:r>
    </w:p>
    <w:p>
      <w:pPr>
        <w:pStyle w:val="Footnotesection"/>
      </w:pPr>
      <w:r>
        <w:tab/>
        <w:t>[Regulation 18 inserted: Gazette 9 Jan 2015 p. 211-12; amended: Gazette 5 Mar 2019 p. 619, 621 and 622.]</w:t>
      </w:r>
    </w:p>
    <w:p>
      <w:pPr>
        <w:pStyle w:val="Heading5"/>
        <w:spacing w:before="180"/>
        <w:rPr>
          <w:snapToGrid w:val="0"/>
        </w:rPr>
      </w:pPr>
      <w:bookmarkStart w:id="40" w:name="_Toc201657123"/>
      <w:r>
        <w:rPr>
          <w:rStyle w:val="CharSectno"/>
        </w:rPr>
        <w:t>19</w:t>
      </w:r>
      <w:r>
        <w:t>.</w:t>
      </w:r>
      <w:r>
        <w:tab/>
      </w:r>
      <w:r>
        <w:rPr>
          <w:snapToGrid w:val="0"/>
        </w:rPr>
        <w:t>Intervention</w:t>
      </w:r>
      <w:bookmarkEnd w:id="40"/>
    </w:p>
    <w:p>
      <w:pPr>
        <w:pStyle w:val="Subsection"/>
        <w:rPr>
          <w:snapToGrid w:val="0"/>
        </w:rPr>
      </w:pPr>
      <w:r>
        <w:rPr>
          <w:snapToGrid w:val="0"/>
        </w:rPr>
        <w:tab/>
        <w:t>(1)</w:t>
      </w:r>
      <w:r>
        <w:rPr>
          <w:snapToGrid w:val="0"/>
        </w:rPr>
        <w:tab/>
        <w:t>Where under the Act a person intends to intervene or, as the case may be, intends to seek leave to intervene in any proceedings before the Commission, the person must give notice accordingly to the Commission and to the parties to those proceedings.</w:t>
      </w:r>
    </w:p>
    <w:p>
      <w:pPr>
        <w:pStyle w:val="Subsection"/>
        <w:rPr>
          <w:snapToGrid w:val="0"/>
        </w:rPr>
      </w:pPr>
      <w:r>
        <w:rPr>
          <w:snapToGrid w:val="0"/>
        </w:rPr>
        <w:tab/>
        <w:t>(2)</w:t>
      </w:r>
      <w:r>
        <w:rPr>
          <w:snapToGrid w:val="0"/>
        </w:rPr>
        <w:tab/>
        <w:t>Where practicable, a notice under subregulation (1) — </w:t>
      </w:r>
    </w:p>
    <w:p>
      <w:pPr>
        <w:pStyle w:val="Indenta"/>
      </w:pPr>
      <w:r>
        <w:tab/>
        <w:t>(a)</w:t>
      </w:r>
      <w:r>
        <w:tab/>
      </w:r>
      <w:r>
        <w:rPr>
          <w:snapToGrid w:val="0"/>
        </w:rPr>
        <w:t>must</w:t>
      </w:r>
      <w:r>
        <w:t xml:space="preserve"> be in writing; and</w:t>
      </w:r>
    </w:p>
    <w:p>
      <w:pPr>
        <w:pStyle w:val="Indenta"/>
      </w:pPr>
      <w:r>
        <w:tab/>
        <w:t>(b)</w:t>
      </w:r>
      <w:r>
        <w:tab/>
        <w:t>must be given not less than 5 days (or as the Commission may otherwise direct in a particular case) before the day on which the intervener intends to appear in those proceedings; and</w:t>
      </w:r>
    </w:p>
    <w:p>
      <w:pPr>
        <w:pStyle w:val="Indenta"/>
      </w:pPr>
      <w:r>
        <w:tab/>
        <w:t>(c)</w:t>
      </w:r>
      <w:r>
        <w:tab/>
      </w:r>
      <w:r>
        <w:rPr>
          <w:snapToGrid w:val="0"/>
        </w:rPr>
        <w:t>must</w:t>
      </w:r>
      <w:r>
        <w:t xml:space="preserve"> state the grounds on which intervention is made or intended.</w:t>
      </w:r>
    </w:p>
    <w:p>
      <w:pPr>
        <w:pStyle w:val="Footnotesection"/>
      </w:pPr>
      <w:r>
        <w:tab/>
        <w:t>[Regulation 19 amended: Gazette 5 Mar 2019 p. 587.]</w:t>
      </w:r>
    </w:p>
    <w:p>
      <w:pPr>
        <w:pStyle w:val="Heading3"/>
        <w:pageBreakBefore/>
        <w:spacing w:before="0"/>
      </w:pPr>
      <w:bookmarkStart w:id="41" w:name="_Toc201648934"/>
      <w:bookmarkStart w:id="42" w:name="_Toc201649128"/>
      <w:bookmarkStart w:id="43" w:name="_Toc201649987"/>
      <w:bookmarkStart w:id="44" w:name="_Toc201650315"/>
      <w:bookmarkStart w:id="45" w:name="_Toc201657124"/>
      <w:r>
        <w:rPr>
          <w:rStyle w:val="CharDivNo"/>
        </w:rPr>
        <w:lastRenderedPageBreak/>
        <w:t>Division 2</w:t>
      </w:r>
      <w:r>
        <w:t> — </w:t>
      </w:r>
      <w:r>
        <w:rPr>
          <w:rStyle w:val="CharDivText"/>
        </w:rPr>
        <w:t>Interlocutory proceedings</w:t>
      </w:r>
      <w:bookmarkEnd w:id="41"/>
      <w:bookmarkEnd w:id="42"/>
      <w:bookmarkEnd w:id="43"/>
      <w:bookmarkEnd w:id="44"/>
      <w:bookmarkEnd w:id="45"/>
    </w:p>
    <w:p>
      <w:pPr>
        <w:pStyle w:val="Heading5"/>
        <w:spacing w:before="240"/>
        <w:rPr>
          <w:snapToGrid w:val="0"/>
        </w:rPr>
      </w:pPr>
      <w:bookmarkStart w:id="46" w:name="_Toc201657125"/>
      <w:r>
        <w:rPr>
          <w:rStyle w:val="CharSectno"/>
        </w:rPr>
        <w:t>20</w:t>
      </w:r>
      <w:r>
        <w:t>.</w:t>
      </w:r>
      <w:r>
        <w:tab/>
      </w:r>
      <w:r>
        <w:rPr>
          <w:snapToGrid w:val="0"/>
        </w:rPr>
        <w:t>Discovery, production and inspection of documents</w:t>
      </w:r>
      <w:bookmarkEnd w:id="46"/>
    </w:p>
    <w:p>
      <w:pPr>
        <w:pStyle w:val="Subsection"/>
      </w:pPr>
      <w:r>
        <w:tab/>
        <w:t>(1)</w:t>
      </w:r>
      <w:r>
        <w:tab/>
        <w:t>For the purposes of this regulation —</w:t>
      </w:r>
    </w:p>
    <w:p>
      <w:pPr>
        <w:pStyle w:val="Defstart"/>
      </w:pPr>
      <w:r>
        <w:rPr>
          <w:b/>
        </w:rPr>
        <w:tab/>
      </w:r>
      <w:r>
        <w:rPr>
          <w:rStyle w:val="CharDefText"/>
        </w:rPr>
        <w:t>discovery</w:t>
      </w:r>
      <w:r>
        <w:t xml:space="preserve"> means disclosure to the other party of the existence of all documents in the party’s possession, custody or power that relate to a matter in question in the substantive application before the Commission;</w:t>
      </w:r>
    </w:p>
    <w:p>
      <w:pPr>
        <w:pStyle w:val="Defstart"/>
      </w:pPr>
      <w:r>
        <w:rPr>
          <w:b/>
        </w:rPr>
        <w:tab/>
      </w:r>
      <w:r>
        <w:rPr>
          <w:rStyle w:val="CharDefText"/>
        </w:rPr>
        <w:t>document</w:t>
      </w:r>
      <w:r>
        <w:t xml:space="preserve"> means any record of information in the possession, custody or power of the party in any way relating to the proceedings and includes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video or other device in which one or more visual images are embodied so as to be capable, with or without the aid of some other device, of being reproduced from it;</w:t>
      </w:r>
    </w:p>
    <w:p>
      <w:pPr>
        <w:pStyle w:val="Defstart"/>
      </w:pPr>
      <w:r>
        <w:rPr>
          <w:b/>
        </w:rPr>
        <w:tab/>
      </w:r>
      <w:r>
        <w:rPr>
          <w:rStyle w:val="CharDefText"/>
        </w:rPr>
        <w:t>inspection</w:t>
      </w:r>
      <w:r>
        <w:t>, in relation to a document that is not in writing or otherwise capable of being inspected by visual means alone, includes the right to require the party making discovery to supply a copy of the document in a form in which it is in writing or otherwise capable of being inspected by visual means alone.</w:t>
      </w:r>
    </w:p>
    <w:p>
      <w:pPr>
        <w:pStyle w:val="Subsection"/>
        <w:rPr>
          <w:snapToGrid w:val="0"/>
        </w:rPr>
      </w:pPr>
      <w:r>
        <w:rPr>
          <w:snapToGrid w:val="0"/>
        </w:rPr>
        <w:tab/>
        <w:t>(2)</w:t>
      </w:r>
      <w:r>
        <w:rPr>
          <w:snapToGrid w:val="0"/>
        </w:rPr>
        <w:tab/>
        <w:t>A party to any proceedings before the Commission may apply to the Commission in Chambers for an order under section 27(1)(o) of the Act to require a party to —</w:t>
      </w:r>
    </w:p>
    <w:p>
      <w:pPr>
        <w:pStyle w:val="Indenta"/>
        <w:rPr>
          <w:snapToGrid w:val="0"/>
        </w:rPr>
      </w:pPr>
      <w:r>
        <w:rPr>
          <w:snapToGrid w:val="0"/>
        </w:rPr>
        <w:tab/>
        <w:t>(a)</w:t>
      </w:r>
      <w:r>
        <w:rPr>
          <w:snapToGrid w:val="0"/>
        </w:rPr>
        <w:tab/>
        <w:t>prepare a list of discoverable documents in an approved form; and</w:t>
      </w:r>
    </w:p>
    <w:p>
      <w:pPr>
        <w:pStyle w:val="Indenta"/>
        <w:rPr>
          <w:snapToGrid w:val="0"/>
        </w:rPr>
      </w:pPr>
      <w:r>
        <w:rPr>
          <w:snapToGrid w:val="0"/>
        </w:rPr>
        <w:tab/>
        <w:t>(b)</w:t>
      </w:r>
      <w:r>
        <w:rPr>
          <w:snapToGrid w:val="0"/>
        </w:rPr>
        <w:tab/>
        <w:t>file and serve the list of documents within the time specified by the order; and</w:t>
      </w:r>
    </w:p>
    <w:p>
      <w:pPr>
        <w:pStyle w:val="Indenta"/>
        <w:rPr>
          <w:snapToGrid w:val="0"/>
        </w:rPr>
      </w:pPr>
      <w:r>
        <w:rPr>
          <w:snapToGrid w:val="0"/>
        </w:rPr>
        <w:tab/>
        <w:t>(c)</w:t>
      </w:r>
      <w:r>
        <w:rPr>
          <w:snapToGrid w:val="0"/>
        </w:rPr>
        <w:tab/>
        <w:t>make the documents specified in the list available for inspection and copying.</w:t>
      </w:r>
    </w:p>
    <w:p>
      <w:pPr>
        <w:pStyle w:val="Subsection"/>
        <w:rPr>
          <w:snapToGrid w:val="0"/>
        </w:rPr>
      </w:pPr>
      <w:r>
        <w:rPr>
          <w:snapToGrid w:val="0"/>
        </w:rPr>
        <w:lastRenderedPageBreak/>
        <w:tab/>
        <w:t>(3)</w:t>
      </w:r>
      <w:r>
        <w:rPr>
          <w:snapToGrid w:val="0"/>
        </w:rPr>
        <w:tab/>
        <w:t>The application must be in writing to the Commission citing the distinguishing number of the proceedings to which it relates.</w:t>
      </w:r>
    </w:p>
    <w:p>
      <w:pPr>
        <w:pStyle w:val="Subsection"/>
        <w:rPr>
          <w:snapToGrid w:val="0"/>
        </w:rPr>
      </w:pPr>
      <w:r>
        <w:rPr>
          <w:snapToGrid w:val="0"/>
        </w:rPr>
        <w:tab/>
        <w:t>(4)</w:t>
      </w:r>
      <w:r>
        <w:rPr>
          <w:snapToGrid w:val="0"/>
        </w:rPr>
        <w:tab/>
        <w:t xml:space="preserve">As soon as practicable after the application is filed the </w:t>
      </w:r>
      <w:r>
        <w:t>Registrar</w:t>
      </w:r>
      <w:r>
        <w:rPr>
          <w:snapToGrid w:val="0"/>
        </w:rPr>
        <w:t xml:space="preserve"> must serve a copy of the application on the respondent.</w:t>
      </w:r>
    </w:p>
    <w:p>
      <w:pPr>
        <w:pStyle w:val="Subsection"/>
      </w:pPr>
      <w:r>
        <w:tab/>
        <w:t>(5)</w:t>
      </w:r>
      <w:r>
        <w:tab/>
        <w:t>It is not necessary for the respondent to file a response to the application.</w:t>
      </w:r>
    </w:p>
    <w:p>
      <w:pPr>
        <w:pStyle w:val="Ednotesubsection"/>
      </w:pPr>
      <w:r>
        <w:tab/>
        <w:t>[(6)</w:t>
      </w:r>
      <w:r>
        <w:tab/>
        <w:t>deleted]</w:t>
      </w:r>
    </w:p>
    <w:p>
      <w:pPr>
        <w:pStyle w:val="Subsection"/>
        <w:rPr>
          <w:snapToGrid w:val="0"/>
        </w:rPr>
      </w:pPr>
      <w:r>
        <w:rPr>
          <w:snapToGrid w:val="0"/>
        </w:rPr>
        <w:tab/>
        <w:t>(7)</w:t>
      </w:r>
      <w:r>
        <w:rPr>
          <w:snapToGrid w:val="0"/>
        </w:rPr>
        <w:tab/>
        <w:t>Where there has not been a conference of the parties held by the Commission, or the Registrar as the case may be, an order of the kind mentioned in subregulation (2) cannot be made unless the Commission decides that the circumstances of the proceedings make it fair and just to make the order.</w:t>
      </w:r>
    </w:p>
    <w:p>
      <w:pPr>
        <w:pStyle w:val="Subsection"/>
        <w:rPr>
          <w:snapToGrid w:val="0"/>
        </w:rPr>
      </w:pPr>
      <w:r>
        <w:rPr>
          <w:snapToGrid w:val="0"/>
        </w:rPr>
        <w:tab/>
        <w:t>(8)</w:t>
      </w:r>
      <w:r>
        <w:rPr>
          <w:snapToGrid w:val="0"/>
        </w:rPr>
        <w:tab/>
        <w:t>Where the Commission makes an order for discovery under this regulation, the discovery is not required to be provided on oath unless the Commission specifically orders that it be so provided.</w:t>
      </w:r>
    </w:p>
    <w:p>
      <w:pPr>
        <w:pStyle w:val="Subsection"/>
        <w:rPr>
          <w:snapToGrid w:val="0"/>
        </w:rPr>
      </w:pPr>
      <w:r>
        <w:rPr>
          <w:snapToGrid w:val="0"/>
        </w:rPr>
        <w:tab/>
        <w:t>(9)</w:t>
      </w:r>
      <w:r>
        <w:rPr>
          <w:snapToGrid w:val="0"/>
        </w:rPr>
        <w:tab/>
        <w:t>The Commission may order a party to pay the reasonable costs of supplying a copy of a document in a form in which it is capable of being inspected by visual means alone.</w:t>
      </w:r>
    </w:p>
    <w:p>
      <w:pPr>
        <w:pStyle w:val="Subsection"/>
        <w:rPr>
          <w:snapToGrid w:val="0"/>
        </w:rPr>
      </w:pPr>
      <w:r>
        <w:rPr>
          <w:snapToGrid w:val="0"/>
        </w:rPr>
        <w:tab/>
        <w:t>(10)</w:t>
      </w:r>
      <w:r>
        <w:rPr>
          <w:snapToGrid w:val="0"/>
        </w:rPr>
        <w:tab/>
        <w:t>A document in the possession, custody or power of the party must not be used by the party as evidence in the hearing of the proceedings if it is not disclosed —</w:t>
      </w:r>
    </w:p>
    <w:p>
      <w:pPr>
        <w:pStyle w:val="Indenta"/>
        <w:rPr>
          <w:snapToGrid w:val="0"/>
        </w:rPr>
      </w:pPr>
      <w:r>
        <w:rPr>
          <w:snapToGrid w:val="0"/>
        </w:rPr>
        <w:tab/>
        <w:t>(a)</w:t>
      </w:r>
      <w:r>
        <w:rPr>
          <w:snapToGrid w:val="0"/>
        </w:rPr>
        <w:tab/>
        <w:t>in the list of documents; or</w:t>
      </w:r>
    </w:p>
    <w:p>
      <w:pPr>
        <w:pStyle w:val="Indenta"/>
        <w:rPr>
          <w:snapToGrid w:val="0"/>
        </w:rPr>
      </w:pPr>
      <w:r>
        <w:rPr>
          <w:snapToGrid w:val="0"/>
        </w:rPr>
        <w:tab/>
        <w:t>(b)</w:t>
      </w:r>
      <w:r>
        <w:rPr>
          <w:snapToGrid w:val="0"/>
        </w:rPr>
        <w:tab/>
        <w:t>otherwise before the hearing of the proceedings.</w:t>
      </w:r>
    </w:p>
    <w:p>
      <w:pPr>
        <w:pStyle w:val="Subsection"/>
        <w:rPr>
          <w:snapToGrid w:val="0"/>
        </w:rPr>
      </w:pPr>
      <w:r>
        <w:rPr>
          <w:snapToGrid w:val="0"/>
        </w:rPr>
        <w:tab/>
        <w:t>(11)</w:t>
      </w:r>
      <w:r>
        <w:rPr>
          <w:snapToGrid w:val="0"/>
        </w:rPr>
        <w:tab/>
        <w:t>Despite subregulation (10), the Commission may, on an interlocutory application by the party or on an oral application by the party at the hearing, order that the document be used as evidence.</w:t>
      </w:r>
    </w:p>
    <w:p>
      <w:pPr>
        <w:pStyle w:val="Subsection"/>
        <w:rPr>
          <w:snapToGrid w:val="0"/>
        </w:rPr>
      </w:pPr>
      <w:r>
        <w:rPr>
          <w:snapToGrid w:val="0"/>
        </w:rPr>
        <w:tab/>
        <w:t>(12)</w:t>
      </w:r>
      <w:r>
        <w:rPr>
          <w:snapToGrid w:val="0"/>
        </w:rPr>
        <w:tab/>
        <w:t xml:space="preserve">A party that has been ordered under this regulation to give discovery is, subject to any further order made, under a continuing obligation until the conclusion of the hearing to give </w:t>
      </w:r>
      <w:r>
        <w:rPr>
          <w:snapToGrid w:val="0"/>
        </w:rPr>
        <w:lastRenderedPageBreak/>
        <w:t>discovery of any document in any way relating to the proceedings and not already discovered by that party.</w:t>
      </w:r>
    </w:p>
    <w:p>
      <w:pPr>
        <w:pStyle w:val="Subsection"/>
        <w:rPr>
          <w:snapToGrid w:val="0"/>
        </w:rPr>
      </w:pPr>
      <w:r>
        <w:rPr>
          <w:snapToGrid w:val="0"/>
        </w:rPr>
        <w:tab/>
        <w:t>(13)</w:t>
      </w:r>
      <w:r>
        <w:rPr>
          <w:snapToGrid w:val="0"/>
        </w:rPr>
        <w:tab/>
        <w:t>Any order that has been made under this regulation may be revoked or varied by a subsequent order of the Commission made before the hearing of the proceedings.</w:t>
      </w:r>
    </w:p>
    <w:p>
      <w:pPr>
        <w:pStyle w:val="Subsection"/>
        <w:rPr>
          <w:snapToGrid w:val="0"/>
        </w:rPr>
      </w:pPr>
      <w:r>
        <w:rPr>
          <w:snapToGrid w:val="0"/>
        </w:rPr>
        <w:tab/>
        <w:t>(14)</w:t>
      </w:r>
      <w:r>
        <w:rPr>
          <w:snapToGrid w:val="0"/>
        </w:rPr>
        <w:tab/>
        <w:t>Despite the provisions of this regulation, the Commission may at any stage during the hearing of any matter before it permit an application to be instituted orally for the production of documents on such terms as the Commission thinks just.</w:t>
      </w:r>
    </w:p>
    <w:p>
      <w:pPr>
        <w:pStyle w:val="Footnotesection"/>
      </w:pPr>
      <w:r>
        <w:tab/>
        <w:t>[Regulation 20 amended: Gazette 5 Mar 2019 p. 588 and 621; SL 2025/94 r. 4.]</w:t>
      </w:r>
    </w:p>
    <w:p>
      <w:pPr>
        <w:pStyle w:val="Heading5"/>
        <w:spacing w:before="180"/>
      </w:pPr>
      <w:bookmarkStart w:id="47" w:name="_Toc201657126"/>
      <w:r>
        <w:rPr>
          <w:rStyle w:val="CharSectno"/>
        </w:rPr>
        <w:t>21</w:t>
      </w:r>
      <w:r>
        <w:t>.</w:t>
      </w:r>
      <w:r>
        <w:tab/>
        <w:t>Order for production to Commission</w:t>
      </w:r>
      <w:bookmarkEnd w:id="47"/>
    </w:p>
    <w:p>
      <w:pPr>
        <w:pStyle w:val="Subsection"/>
      </w:pPr>
      <w:r>
        <w:tab/>
        <w:t>(1)</w:t>
      </w:r>
      <w:r>
        <w:tab/>
        <w:t>At any stage of the proceedings the Commission may order any party to produce to the Commission any document in the party’s possession, custody or power, relating to any matter in question in the proceedings.</w:t>
      </w:r>
    </w:p>
    <w:p>
      <w:pPr>
        <w:pStyle w:val="Subsection"/>
      </w:pPr>
      <w:r>
        <w:tab/>
        <w:t>(2)</w:t>
      </w:r>
      <w:r>
        <w:tab/>
        <w:t>No order for production of any documents to the Commission can be made unless the Commission is of the opinion that the order is necessary either for disposing fairly of the matter or for saving costs.</w:t>
      </w:r>
    </w:p>
    <w:p>
      <w:pPr>
        <w:pStyle w:val="Heading5"/>
        <w:spacing w:before="180"/>
        <w:rPr>
          <w:snapToGrid w:val="0"/>
        </w:rPr>
      </w:pPr>
      <w:bookmarkStart w:id="48" w:name="_Toc201657127"/>
      <w:r>
        <w:rPr>
          <w:rStyle w:val="CharSectno"/>
        </w:rPr>
        <w:t>22</w:t>
      </w:r>
      <w:r>
        <w:t>.</w:t>
      </w:r>
      <w:r>
        <w:tab/>
      </w:r>
      <w:r>
        <w:rPr>
          <w:snapToGrid w:val="0"/>
        </w:rPr>
        <w:t>Further particulars</w:t>
      </w:r>
      <w:bookmarkEnd w:id="48"/>
    </w:p>
    <w:p>
      <w:pPr>
        <w:pStyle w:val="Subsection"/>
        <w:rPr>
          <w:snapToGrid w:val="0"/>
        </w:rPr>
      </w:pPr>
      <w:r>
        <w:rPr>
          <w:snapToGrid w:val="0"/>
        </w:rPr>
        <w:tab/>
        <w:t>(1)</w:t>
      </w:r>
      <w:r>
        <w:rPr>
          <w:snapToGrid w:val="0"/>
        </w:rPr>
        <w:tab/>
        <w:t xml:space="preserve">A party to any matter before the Commission, or a person who has applied to become a party to the matter, may apply to the Commission in Chambers for an order that any other party to the matter furnish further and better particulars of any claim, </w:t>
      </w:r>
      <w:r>
        <w:t xml:space="preserve">response, </w:t>
      </w:r>
      <w:r>
        <w:rPr>
          <w:snapToGrid w:val="0"/>
        </w:rPr>
        <w:t>counter-proposal or any other matter stated in or in relation to the matter.</w:t>
      </w:r>
    </w:p>
    <w:p>
      <w:pPr>
        <w:pStyle w:val="Subsection"/>
      </w:pPr>
      <w:r>
        <w:tab/>
        <w:t>(2)</w:t>
      </w:r>
      <w:r>
        <w:tab/>
        <w:t xml:space="preserve">The application </w:t>
      </w:r>
      <w:r>
        <w:rPr>
          <w:snapToGrid w:val="0"/>
        </w:rPr>
        <w:t>must</w:t>
      </w:r>
      <w:r>
        <w:t xml:space="preserve"> be in writing to the Commission citing the distinguishing number of the proceedings to which it relates.</w:t>
      </w:r>
    </w:p>
    <w:p>
      <w:pPr>
        <w:pStyle w:val="Subsection"/>
        <w:rPr>
          <w:snapToGrid w:val="0"/>
        </w:rPr>
      </w:pPr>
      <w:r>
        <w:rPr>
          <w:snapToGrid w:val="0"/>
        </w:rPr>
        <w:tab/>
        <w:t>(3)</w:t>
      </w:r>
      <w:r>
        <w:rPr>
          <w:snapToGrid w:val="0"/>
        </w:rPr>
        <w:tab/>
        <w:t>The application must detail the nature of the particulars sought.</w:t>
      </w:r>
    </w:p>
    <w:p>
      <w:pPr>
        <w:pStyle w:val="Subsection"/>
        <w:rPr>
          <w:snapToGrid w:val="0"/>
        </w:rPr>
      </w:pPr>
      <w:r>
        <w:rPr>
          <w:snapToGrid w:val="0"/>
        </w:rPr>
        <w:lastRenderedPageBreak/>
        <w:tab/>
        <w:t>(4)</w:t>
      </w:r>
      <w:r>
        <w:rPr>
          <w:snapToGrid w:val="0"/>
        </w:rPr>
        <w:tab/>
        <w:t xml:space="preserve">As soon as practicable after the application is filed the </w:t>
      </w:r>
      <w:r>
        <w:t>Registrar</w:t>
      </w:r>
      <w:r>
        <w:rPr>
          <w:snapToGrid w:val="0"/>
        </w:rPr>
        <w:t xml:space="preserve"> must serve a copy of the application on the respondent.</w:t>
      </w:r>
    </w:p>
    <w:p>
      <w:pPr>
        <w:pStyle w:val="Subsection"/>
      </w:pPr>
      <w:r>
        <w:tab/>
        <w:t>(5)</w:t>
      </w:r>
      <w:r>
        <w:tab/>
        <w:t>It is not necessary to file a response to the application.</w:t>
      </w:r>
    </w:p>
    <w:p>
      <w:pPr>
        <w:pStyle w:val="Subsection"/>
        <w:rPr>
          <w:snapToGrid w:val="0"/>
        </w:rPr>
      </w:pPr>
      <w:r>
        <w:rPr>
          <w:snapToGrid w:val="0"/>
        </w:rPr>
        <w:tab/>
        <w:t>(6)</w:t>
      </w:r>
      <w:r>
        <w:rPr>
          <w:snapToGrid w:val="0"/>
        </w:rPr>
        <w:tab/>
        <w:t>Despite the provisions of this regulation, the Commission may at any stage during the hearing of any proceedings before it, of its own motion or on an application by a party to the proceedings, direct further and better particulars of the kind referred to in subregulation (1) be furnished on such terms as the Commission thinks just.</w:t>
      </w:r>
    </w:p>
    <w:p>
      <w:pPr>
        <w:pStyle w:val="Footnotesection"/>
      </w:pPr>
      <w:r>
        <w:tab/>
        <w:t>[Regulation 22 amended: Gazette 5 Mar 2019 p. 588, 619 and 621.]</w:t>
      </w:r>
    </w:p>
    <w:p>
      <w:pPr>
        <w:pStyle w:val="Heading5"/>
        <w:rPr>
          <w:snapToGrid w:val="0"/>
        </w:rPr>
      </w:pPr>
      <w:bookmarkStart w:id="49" w:name="_Toc201657128"/>
      <w:r>
        <w:rPr>
          <w:rStyle w:val="CharSectno"/>
        </w:rPr>
        <w:t>23</w:t>
      </w:r>
      <w:r>
        <w:t>.</w:t>
      </w:r>
      <w:r>
        <w:tab/>
      </w:r>
      <w:r>
        <w:rPr>
          <w:snapToGrid w:val="0"/>
        </w:rPr>
        <w:t>Notice to admit</w:t>
      </w:r>
      <w:bookmarkEnd w:id="49"/>
    </w:p>
    <w:p>
      <w:pPr>
        <w:pStyle w:val="Subsection"/>
        <w:rPr>
          <w:snapToGrid w:val="0"/>
        </w:rPr>
      </w:pPr>
      <w:r>
        <w:rPr>
          <w:snapToGrid w:val="0"/>
        </w:rPr>
        <w:tab/>
        <w:t>(1)</w:t>
      </w:r>
      <w:r>
        <w:rPr>
          <w:snapToGrid w:val="0"/>
        </w:rPr>
        <w:tab/>
        <w:t xml:space="preserve">In relation to any matter before the Commission any party to a matter before the Commission may, at least 10 days (or such other time as may be fixed by the Commission) before the date fixed for the hearing of the matter, </w:t>
      </w:r>
      <w:r>
        <w:t xml:space="preserve">file a notice in the approved form (a </w:t>
      </w:r>
      <w:r>
        <w:rPr>
          <w:rStyle w:val="CharDefText"/>
        </w:rPr>
        <w:t>notice to admit</w:t>
      </w:r>
      <w:r>
        <w:t>) requiring any other</w:t>
      </w:r>
      <w:r>
        <w:rPr>
          <w:snapToGrid w:val="0"/>
        </w:rPr>
        <w:t xml:space="preserve"> party to admit any fact relative to the issue.</w:t>
      </w:r>
    </w:p>
    <w:p>
      <w:pPr>
        <w:pStyle w:val="Subsection"/>
      </w:pPr>
      <w:r>
        <w:tab/>
        <w:t>(1A)</w:t>
      </w:r>
      <w:r>
        <w:tab/>
        <w:t>The Registrar must serve the notice to admit on the other party.</w:t>
      </w:r>
    </w:p>
    <w:p>
      <w:pPr>
        <w:pStyle w:val="Subsection"/>
        <w:rPr>
          <w:snapToGrid w:val="0"/>
        </w:rPr>
      </w:pPr>
      <w:r>
        <w:rPr>
          <w:snapToGrid w:val="0"/>
        </w:rPr>
        <w:tab/>
        <w:t>(2)</w:t>
      </w:r>
      <w:r>
        <w:rPr>
          <w:snapToGrid w:val="0"/>
        </w:rPr>
        <w:tab/>
        <w:t xml:space="preserve">A party on whom a notice to admit has been served shall, within 7 days or such other time as the Commission, on the application of that party, may direct, </w:t>
      </w:r>
      <w:r>
        <w:t>file</w:t>
      </w:r>
      <w:r>
        <w:rPr>
          <w:snapToGrid w:val="0"/>
        </w:rPr>
        <w:t xml:space="preserve"> a reply in writing admitting or denying the fact with or without qualification, as the case may be.</w:t>
      </w:r>
    </w:p>
    <w:p>
      <w:pPr>
        <w:pStyle w:val="Subsection"/>
      </w:pPr>
      <w:r>
        <w:tab/>
        <w:t>(3)</w:t>
      </w:r>
      <w:r>
        <w:tab/>
        <w:t>The Registrar must serve the reply on the party who filed the notice to admit.</w:t>
      </w:r>
    </w:p>
    <w:p>
      <w:pPr>
        <w:pStyle w:val="Subsection"/>
        <w:spacing w:after="200"/>
        <w:rPr>
          <w:snapToGrid w:val="0"/>
        </w:rPr>
      </w:pPr>
      <w:r>
        <w:rPr>
          <w:snapToGrid w:val="0"/>
        </w:rPr>
        <w:tab/>
        <w:t>(4)</w:t>
      </w:r>
      <w:r>
        <w:rPr>
          <w:snapToGrid w:val="0"/>
        </w:rPr>
        <w:tab/>
        <w:t>In the case of a failure to reply to a notice to admit within the time prescribed or directed the Commission may direct the party in default to pay the costs of establishing the fact referred to in the notice.</w:t>
      </w:r>
    </w:p>
    <w:p>
      <w:pPr>
        <w:pStyle w:val="Footnotesection"/>
      </w:pPr>
      <w:r>
        <w:tab/>
        <w:t>[Regulation 23 amended: Gazette 5 Mar 2019 p. 588</w:t>
      </w:r>
      <w:r>
        <w:noBreakHyphen/>
        <w:t>9.]</w:t>
      </w:r>
    </w:p>
    <w:p>
      <w:pPr>
        <w:pStyle w:val="Heading3"/>
        <w:pageBreakBefore/>
        <w:spacing w:before="0"/>
      </w:pPr>
      <w:bookmarkStart w:id="50" w:name="_Toc201648939"/>
      <w:bookmarkStart w:id="51" w:name="_Toc201649133"/>
      <w:bookmarkStart w:id="52" w:name="_Toc201649992"/>
      <w:bookmarkStart w:id="53" w:name="_Toc201650320"/>
      <w:bookmarkStart w:id="54" w:name="_Toc201657129"/>
      <w:r>
        <w:rPr>
          <w:rStyle w:val="CharDivNo"/>
        </w:rPr>
        <w:lastRenderedPageBreak/>
        <w:t>Division 3</w:t>
      </w:r>
      <w:r>
        <w:t> — </w:t>
      </w:r>
      <w:r>
        <w:rPr>
          <w:rStyle w:val="CharDivText"/>
        </w:rPr>
        <w:t>Service</w:t>
      </w:r>
      <w:bookmarkEnd w:id="50"/>
      <w:bookmarkEnd w:id="51"/>
      <w:bookmarkEnd w:id="52"/>
      <w:bookmarkEnd w:id="53"/>
      <w:bookmarkEnd w:id="54"/>
    </w:p>
    <w:p>
      <w:pPr>
        <w:pStyle w:val="Heading5"/>
        <w:rPr>
          <w:snapToGrid w:val="0"/>
        </w:rPr>
      </w:pPr>
      <w:bookmarkStart w:id="55" w:name="_Toc201657130"/>
      <w:r>
        <w:rPr>
          <w:rStyle w:val="CharSectno"/>
        </w:rPr>
        <w:t>24</w:t>
      </w:r>
      <w:r>
        <w:t>.</w:t>
      </w:r>
      <w:r>
        <w:tab/>
      </w:r>
      <w:r>
        <w:rPr>
          <w:snapToGrid w:val="0"/>
        </w:rPr>
        <w:t>Service</w:t>
      </w:r>
      <w:bookmarkEnd w:id="55"/>
    </w:p>
    <w:p>
      <w:pPr>
        <w:pStyle w:val="Subsection"/>
      </w:pPr>
      <w:r>
        <w:tab/>
        <w:t>(1)</w:t>
      </w:r>
      <w:r>
        <w:tab/>
        <w:t>Except as otherwise provided in these regulations or as the Commission otherwise directs in a particular case, as soon as practicable after any notice or document is filed or issued in proceedings before the Commission, the Registrar must serve a copy of the notice or document on each party entitled to be served.</w:t>
      </w:r>
    </w:p>
    <w:p>
      <w:pPr>
        <w:pStyle w:val="Subsection"/>
        <w:rPr>
          <w:snapToGrid w:val="0"/>
        </w:rPr>
      </w:pPr>
      <w:r>
        <w:rPr>
          <w:snapToGrid w:val="0"/>
        </w:rPr>
        <w:tab/>
        <w:t>(2)</w:t>
      </w:r>
      <w:r>
        <w:rPr>
          <w:snapToGrid w:val="0"/>
        </w:rPr>
        <w:tab/>
        <w:t>Where any notice or document is required to be served under the Act or these regulations such service may be effected — </w:t>
      </w:r>
    </w:p>
    <w:p>
      <w:pPr>
        <w:pStyle w:val="Indenta"/>
      </w:pPr>
      <w:r>
        <w:tab/>
        <w:t>(a)</w:t>
      </w:r>
      <w:r>
        <w:tab/>
        <w:t>in the case of an organisation in the manner prescribed by section 60(3)</w:t>
      </w:r>
      <w:r>
        <w:rPr>
          <w:snapToGrid w:val="0"/>
        </w:rPr>
        <w:t xml:space="preserve"> of the Act</w:t>
      </w:r>
      <w:r>
        <w:t>; or</w:t>
      </w:r>
    </w:p>
    <w:p>
      <w:pPr>
        <w:pStyle w:val="Indenta"/>
      </w:pPr>
      <w:r>
        <w:tab/>
        <w:t>(b)</w:t>
      </w:r>
      <w:r>
        <w:tab/>
        <w:t>in the case of a corporation (other than an organisation), by leaving it at, or sending it by pre-paid post to, its principal place of business or principal office in the State or the registered office of the corporation; or</w:t>
      </w:r>
    </w:p>
    <w:p>
      <w:pPr>
        <w:pStyle w:val="Indenta"/>
      </w:pPr>
      <w:r>
        <w:tab/>
        <w:t>(c)</w:t>
      </w:r>
      <w:r>
        <w:tab/>
        <w:t>in the case of a partnership, firm or unincorporated company or body, by leaving it at, or sending it by pre</w:t>
      </w:r>
      <w:r>
        <w:noBreakHyphen/>
        <w:t>paid post to its principal place of business in Western Australia; or</w:t>
      </w:r>
    </w:p>
    <w:p>
      <w:pPr>
        <w:pStyle w:val="Indenta"/>
      </w:pPr>
      <w:r>
        <w:tab/>
        <w:t>(ca)</w:t>
      </w:r>
      <w:r>
        <w:tab/>
        <w:t xml:space="preserve">in the case of a public sector body, as defined in the </w:t>
      </w:r>
      <w:r>
        <w:rPr>
          <w:i/>
        </w:rPr>
        <w:t>Public Sector Management Act 1994</w:t>
      </w:r>
      <w:r>
        <w:t xml:space="preserve"> section 3(1) — </w:t>
      </w:r>
    </w:p>
    <w:p>
      <w:pPr>
        <w:pStyle w:val="Indenti"/>
      </w:pPr>
      <w:r>
        <w:tab/>
        <w:t>(i)</w:t>
      </w:r>
      <w:r>
        <w:tab/>
        <w:t>by serving it in a manner described in paragraph (c) on the public sector body; or</w:t>
      </w:r>
    </w:p>
    <w:p>
      <w:pPr>
        <w:pStyle w:val="Indenti"/>
      </w:pPr>
      <w:r>
        <w:tab/>
        <w:t>(ii)</w:t>
      </w:r>
      <w:r>
        <w:tab/>
        <w:t>by serving it in a manner described in paragraph (d) on an agent appointed by the public sector body under regulation 63;</w:t>
      </w:r>
    </w:p>
    <w:p>
      <w:pPr>
        <w:pStyle w:val="Indenta"/>
      </w:pPr>
      <w:r>
        <w:tab/>
      </w:r>
      <w:r>
        <w:tab/>
        <w:t>or</w:t>
      </w:r>
    </w:p>
    <w:p>
      <w:pPr>
        <w:pStyle w:val="Indenta"/>
      </w:pPr>
      <w:r>
        <w:tab/>
        <w:t>(d)</w:t>
      </w:r>
      <w:r>
        <w:tab/>
        <w:t>in the case of any other person —</w:t>
      </w:r>
    </w:p>
    <w:p>
      <w:pPr>
        <w:pStyle w:val="Indenti"/>
      </w:pPr>
      <w:r>
        <w:tab/>
        <w:t>(i)</w:t>
      </w:r>
      <w:r>
        <w:tab/>
        <w:t>by delivering it to the person personally; or</w:t>
      </w:r>
    </w:p>
    <w:p>
      <w:pPr>
        <w:pStyle w:val="Indenti"/>
      </w:pPr>
      <w:r>
        <w:tab/>
        <w:t>(ii)</w:t>
      </w:r>
      <w:r>
        <w:tab/>
        <w:t xml:space="preserve">by leaving it for the person at his or her usual or last known place of abode, or if the person is a </w:t>
      </w:r>
      <w:r>
        <w:lastRenderedPageBreak/>
        <w:t>principal of a business at his or her usual or last known place of business; or</w:t>
      </w:r>
    </w:p>
    <w:p>
      <w:pPr>
        <w:pStyle w:val="Indenti"/>
      </w:pPr>
      <w:r>
        <w:tab/>
        <w:t>(iii)</w:t>
      </w:r>
      <w:r>
        <w:tab/>
        <w:t>by sending it by pre-paid post to the person’s usual or last known place of abode, or if the person is a principal of a business, to his or her usual or last known place of business.</w:t>
      </w:r>
    </w:p>
    <w:p>
      <w:pPr>
        <w:pStyle w:val="Subsection"/>
      </w:pPr>
      <w:r>
        <w:tab/>
        <w:t>(3)</w:t>
      </w:r>
      <w:r>
        <w:tab/>
        <w:t>Service of any notice or document by pre</w:t>
      </w:r>
      <w:r>
        <w:noBreakHyphen/>
        <w:t>paid post may not be effected by sending it to a post office box address.</w:t>
      </w:r>
    </w:p>
    <w:p>
      <w:pPr>
        <w:pStyle w:val="Subsection"/>
      </w:pPr>
      <w:r>
        <w:tab/>
        <w:t>(4)</w:t>
      </w:r>
      <w:r>
        <w:tab/>
        <w:t xml:space="preserve">Service of any document outside the State of Western Australia </w:t>
      </w:r>
      <w:r>
        <w:rPr>
          <w:snapToGrid w:val="0"/>
        </w:rPr>
        <w:t>must</w:t>
      </w:r>
      <w:r>
        <w:t xml:space="preserve"> be in accordance with the </w:t>
      </w:r>
      <w:r>
        <w:rPr>
          <w:i/>
        </w:rPr>
        <w:t>Service and Execution of Process Act 1992</w:t>
      </w:r>
      <w:r>
        <w:t xml:space="preserve"> of the Commonwealth section 51.</w:t>
      </w:r>
    </w:p>
    <w:p>
      <w:pPr>
        <w:pStyle w:val="Footnotesection"/>
      </w:pPr>
      <w:r>
        <w:tab/>
        <w:t>[Regulation 24 amended: Gazette 5 Mar 2019 p. 589.]</w:t>
      </w:r>
    </w:p>
    <w:p>
      <w:pPr>
        <w:pStyle w:val="Heading5"/>
      </w:pPr>
      <w:bookmarkStart w:id="56" w:name="_Toc201657131"/>
      <w:r>
        <w:rPr>
          <w:rStyle w:val="CharSectno"/>
        </w:rPr>
        <w:t>25</w:t>
      </w:r>
      <w:r>
        <w:t>.</w:t>
      </w:r>
      <w:r>
        <w:tab/>
        <w:t>Electronic address for service</w:t>
      </w:r>
      <w:bookmarkEnd w:id="56"/>
    </w:p>
    <w:p>
      <w:pPr>
        <w:pStyle w:val="Ednotesubsection"/>
      </w:pPr>
      <w:r>
        <w:tab/>
        <w:t>[(1)</w:t>
      </w:r>
      <w:r>
        <w:tab/>
        <w:t>deleted]</w:t>
      </w:r>
    </w:p>
    <w:p>
      <w:pPr>
        <w:pStyle w:val="Subsection"/>
      </w:pPr>
      <w:r>
        <w:tab/>
        <w:t>(2)</w:t>
      </w:r>
      <w:r>
        <w:tab/>
        <w:t>For the purposes of enabling the service by email of documents that these regulations require to be served a person may, in addition to providing an address for service, provide an email address operating at that address.</w:t>
      </w:r>
    </w:p>
    <w:p>
      <w:pPr>
        <w:pStyle w:val="Subsection"/>
      </w:pPr>
      <w:r>
        <w:tab/>
        <w:t>(3)</w:t>
      </w:r>
      <w:r>
        <w:tab/>
        <w:t>A person who provides an email address is to be taken to have consented to being served with documents as an attachment to an email sent to that email address.</w:t>
      </w:r>
    </w:p>
    <w:p>
      <w:pPr>
        <w:pStyle w:val="Subsection"/>
      </w:pPr>
      <w:r>
        <w:tab/>
        <w:t>(4)</w:t>
      </w:r>
      <w:r>
        <w:tab/>
        <w:t>If a party’s email address provided under this regulation changes, the party must lodge and serve a notice of change of address as soon as practicable after the change occurs.</w:t>
      </w:r>
    </w:p>
    <w:p>
      <w:pPr>
        <w:pStyle w:val="Footnotesection"/>
      </w:pPr>
      <w:r>
        <w:tab/>
        <w:t>[Regulation 25 amended: Gazette 5 Mar 2019 p. 589</w:t>
      </w:r>
      <w:r>
        <w:noBreakHyphen/>
        <w:t>90.]</w:t>
      </w:r>
    </w:p>
    <w:p>
      <w:pPr>
        <w:pStyle w:val="Heading5"/>
      </w:pPr>
      <w:bookmarkStart w:id="57" w:name="_Toc201657132"/>
      <w:r>
        <w:rPr>
          <w:rStyle w:val="CharSectno"/>
        </w:rPr>
        <w:t>26</w:t>
      </w:r>
      <w:r>
        <w:t>.</w:t>
      </w:r>
      <w:r>
        <w:tab/>
        <w:t>Service electronically</w:t>
      </w:r>
      <w:bookmarkEnd w:id="57"/>
    </w:p>
    <w:p>
      <w:pPr>
        <w:pStyle w:val="Subsection"/>
        <w:keepNext/>
      </w:pPr>
      <w:r>
        <w:tab/>
        <w:t>(1)</w:t>
      </w:r>
      <w:r>
        <w:tab/>
        <w:t xml:space="preserve">If — </w:t>
      </w:r>
    </w:p>
    <w:p>
      <w:pPr>
        <w:pStyle w:val="Indenta"/>
      </w:pPr>
      <w:r>
        <w:tab/>
        <w:t>(a)</w:t>
      </w:r>
      <w:r>
        <w:tab/>
        <w:t>these regulations require a document to be served; and</w:t>
      </w:r>
    </w:p>
    <w:p>
      <w:pPr>
        <w:pStyle w:val="Indenta"/>
        <w:keepNext/>
      </w:pPr>
      <w:r>
        <w:lastRenderedPageBreak/>
        <w:tab/>
        <w:t>(b)</w:t>
      </w:r>
      <w:r>
        <w:tab/>
        <w:t>the party to be served has provided an email address under regulation 25(2),</w:t>
      </w:r>
    </w:p>
    <w:p>
      <w:pPr>
        <w:pStyle w:val="Subsection"/>
      </w:pPr>
      <w:r>
        <w:tab/>
      </w:r>
      <w:r>
        <w:tab/>
        <w:t>then, unless the contrary intention appears, the document may be served as an attachment to an email sent to that address.</w:t>
      </w:r>
    </w:p>
    <w:p>
      <w:pPr>
        <w:pStyle w:val="Subsection"/>
      </w:pPr>
      <w:r>
        <w:tab/>
        <w:t>(2)</w:t>
      </w:r>
      <w:r>
        <w:tab/>
        <w:t>A document cannot be served by email under this regulation if it cannot be lodged electronically.</w:t>
      </w:r>
    </w:p>
    <w:p>
      <w:pPr>
        <w:pStyle w:val="Ednotesubsection"/>
      </w:pPr>
      <w:r>
        <w:tab/>
        <w:t>[(3)</w:t>
      </w:r>
      <w:r>
        <w:tab/>
        <w:t>deleted]</w:t>
      </w:r>
    </w:p>
    <w:p>
      <w:pPr>
        <w:pStyle w:val="Subsection"/>
      </w:pPr>
      <w:r>
        <w:tab/>
        <w:t>(4)</w:t>
      </w:r>
      <w:r>
        <w:tab/>
        <w:t xml:space="preserve">A document that is served by email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(5)</w:t>
      </w:r>
      <w:r>
        <w:tab/>
        <w:t>This regulation does not prevent a person from consenting to being served in a manner other than in accordance with these regulations.</w:t>
      </w:r>
    </w:p>
    <w:p>
      <w:pPr>
        <w:pStyle w:val="Footnotesection"/>
      </w:pPr>
      <w:r>
        <w:tab/>
        <w:t>[Regulation 26 amended: Gazette 5 Mar 2019 p. 590.]</w:t>
      </w:r>
    </w:p>
    <w:p>
      <w:pPr>
        <w:pStyle w:val="Heading5"/>
        <w:rPr>
          <w:snapToGrid w:val="0"/>
        </w:rPr>
      </w:pPr>
      <w:bookmarkStart w:id="58" w:name="_Toc201657133"/>
      <w:r>
        <w:rPr>
          <w:rStyle w:val="CharSectno"/>
        </w:rPr>
        <w:t>27</w:t>
      </w:r>
      <w:r>
        <w:t>.</w:t>
      </w:r>
      <w:r>
        <w:tab/>
      </w:r>
      <w:r>
        <w:rPr>
          <w:snapToGrid w:val="0"/>
        </w:rPr>
        <w:t>Substituted service</w:t>
      </w:r>
      <w:bookmarkEnd w:id="58"/>
    </w:p>
    <w:p>
      <w:pPr>
        <w:pStyle w:val="Subsection"/>
        <w:rPr>
          <w:snapToGrid w:val="0"/>
        </w:rPr>
      </w:pPr>
      <w:r>
        <w:rPr>
          <w:snapToGrid w:val="0"/>
        </w:rPr>
        <w:tab/>
        <w:t>(1)</w:t>
      </w:r>
      <w:r>
        <w:rPr>
          <w:snapToGrid w:val="0"/>
        </w:rPr>
        <w:tab/>
        <w:t>Where provision is made for personal or other service of any notice or document in or in relation to proceedings before the Commission, the Commission may subject to the Act, make such order for substituted or other service or for the substitution, for the service otherwise required, of notice by letter, public advertisement or otherwise, as it thinks just.</w:t>
      </w:r>
    </w:p>
    <w:p>
      <w:pPr>
        <w:pStyle w:val="Subsection"/>
        <w:rPr>
          <w:snapToGrid w:val="0"/>
        </w:rPr>
      </w:pPr>
      <w:r>
        <w:rPr>
          <w:snapToGrid w:val="0"/>
        </w:rPr>
        <w:tab/>
        <w:t>(2)</w:t>
      </w:r>
      <w:r>
        <w:rPr>
          <w:snapToGrid w:val="0"/>
        </w:rPr>
        <w:tab/>
        <w:t xml:space="preserve">An application for substituted service may be dealt with </w:t>
      </w:r>
      <w:r>
        <w:rPr>
          <w:iCs/>
          <w:snapToGrid w:val="0"/>
        </w:rPr>
        <w:t>ex parte</w:t>
      </w:r>
      <w:r>
        <w:rPr>
          <w:snapToGrid w:val="0"/>
        </w:rPr>
        <w:t xml:space="preserve"> in Chambers unless the Commission otherwise directs in a particular case.</w:t>
      </w:r>
    </w:p>
    <w:p>
      <w:pPr>
        <w:pStyle w:val="Subsection"/>
        <w:rPr>
          <w:snapToGrid w:val="0"/>
        </w:rPr>
      </w:pPr>
      <w:r>
        <w:rPr>
          <w:snapToGrid w:val="0"/>
        </w:rPr>
        <w:tab/>
        <w:t>(3)</w:t>
      </w:r>
      <w:r>
        <w:rPr>
          <w:snapToGrid w:val="0"/>
        </w:rPr>
        <w:tab/>
        <w:t xml:space="preserve">Any application for substituted service must be in the form of a notice of application in </w:t>
      </w:r>
      <w:r>
        <w:t>the approved form</w:t>
      </w:r>
      <w:r>
        <w:rPr>
          <w:snapToGrid w:val="0"/>
        </w:rPr>
        <w:t xml:space="preserve"> </w:t>
      </w:r>
      <w:r>
        <w:t xml:space="preserve">and must </w:t>
      </w:r>
      <w:r>
        <w:rPr>
          <w:snapToGrid w:val="0"/>
        </w:rPr>
        <w:t>have attached to it a statement that clearly and concisely sets out the grounds relied on in support of the application.</w:t>
      </w:r>
    </w:p>
    <w:p>
      <w:pPr>
        <w:pStyle w:val="Subsection"/>
        <w:rPr>
          <w:snapToGrid w:val="0"/>
        </w:rPr>
      </w:pPr>
      <w:r>
        <w:rPr>
          <w:snapToGrid w:val="0"/>
        </w:rPr>
        <w:lastRenderedPageBreak/>
        <w:tab/>
        <w:t>(4)</w:t>
      </w:r>
      <w:r>
        <w:rPr>
          <w:snapToGrid w:val="0"/>
        </w:rPr>
        <w:tab/>
        <w:t>Where the Commission orders that notice by public advertisement be substituted for the service otherwise required, the notice must contain such particulars as the Commission directs in a particular case.</w:t>
      </w:r>
    </w:p>
    <w:p>
      <w:pPr>
        <w:pStyle w:val="Footnotesection"/>
      </w:pPr>
      <w:r>
        <w:tab/>
        <w:t>[Regulation 27 amended: Gazette 15 May 2015 p. 1722; 5 Mar 2019 p. 622.]</w:t>
      </w:r>
    </w:p>
    <w:p>
      <w:pPr>
        <w:pStyle w:val="Ednotesection"/>
      </w:pPr>
      <w:r>
        <w:t>[</w:t>
      </w:r>
      <w:r>
        <w:rPr>
          <w:b/>
        </w:rPr>
        <w:t>28.</w:t>
      </w:r>
      <w:r>
        <w:tab/>
        <w:t>Deleted: Gazette 5 Mar 2019 p. 590.]</w:t>
      </w:r>
    </w:p>
    <w:p>
      <w:pPr>
        <w:pStyle w:val="Heading3"/>
      </w:pPr>
      <w:bookmarkStart w:id="59" w:name="_Toc201648944"/>
      <w:bookmarkStart w:id="60" w:name="_Toc201649138"/>
      <w:bookmarkStart w:id="61" w:name="_Toc201649997"/>
      <w:bookmarkStart w:id="62" w:name="_Toc201650325"/>
      <w:bookmarkStart w:id="63" w:name="_Toc201657134"/>
      <w:r>
        <w:rPr>
          <w:rStyle w:val="CharDivNo"/>
        </w:rPr>
        <w:t>Division 4</w:t>
      </w:r>
      <w:r>
        <w:t> — </w:t>
      </w:r>
      <w:r>
        <w:rPr>
          <w:rStyle w:val="CharDivText"/>
        </w:rPr>
        <w:t>Conferences</w:t>
      </w:r>
      <w:bookmarkEnd w:id="59"/>
      <w:bookmarkEnd w:id="60"/>
      <w:bookmarkEnd w:id="61"/>
      <w:bookmarkEnd w:id="62"/>
      <w:bookmarkEnd w:id="63"/>
    </w:p>
    <w:p>
      <w:pPr>
        <w:pStyle w:val="Heading5"/>
      </w:pPr>
      <w:bookmarkStart w:id="64" w:name="_Toc201657135"/>
      <w:r>
        <w:rPr>
          <w:rStyle w:val="CharSectno"/>
        </w:rPr>
        <w:t>29</w:t>
      </w:r>
      <w:r>
        <w:t>.</w:t>
      </w:r>
      <w:r>
        <w:tab/>
        <w:t>Orders under sections 32 and 44</w:t>
      </w:r>
      <w:bookmarkEnd w:id="64"/>
    </w:p>
    <w:p>
      <w:pPr>
        <w:pStyle w:val="Subsection"/>
      </w:pPr>
      <w:r>
        <w:tab/>
        <w:t>(1)</w:t>
      </w:r>
      <w:r>
        <w:tab/>
        <w:t xml:space="preserve">If the Commission gives or makes a direction, order or declaration under section 32(8) or 44(6)(ba) or (bb) of the Act in writing or reduces it to writing (a </w:t>
      </w:r>
      <w:r>
        <w:rPr>
          <w:rStyle w:val="CharDefText"/>
        </w:rPr>
        <w:t>conciliation document</w:t>
      </w:r>
      <w:r>
        <w:t xml:space="preserve">), the Commission may give a direction (a </w:t>
      </w:r>
      <w:r>
        <w:rPr>
          <w:rStyle w:val="CharDefText"/>
        </w:rPr>
        <w:t>service direction</w:t>
      </w:r>
      <w:r>
        <w:t>) as to service of the conciliation document.</w:t>
      </w:r>
    </w:p>
    <w:p>
      <w:pPr>
        <w:pStyle w:val="Subsection"/>
      </w:pPr>
      <w:r>
        <w:tab/>
        <w:t>(2)</w:t>
      </w:r>
      <w:r>
        <w:tab/>
        <w:t xml:space="preserve">The conciliation document must be — </w:t>
      </w:r>
    </w:p>
    <w:p>
      <w:pPr>
        <w:pStyle w:val="Indenta"/>
      </w:pPr>
      <w:r>
        <w:tab/>
        <w:t>(a)</w:t>
      </w:r>
      <w:r>
        <w:tab/>
        <w:t>sealed; and</w:t>
      </w:r>
    </w:p>
    <w:p>
      <w:pPr>
        <w:pStyle w:val="Indenta"/>
      </w:pPr>
      <w:r>
        <w:tab/>
        <w:t>(b)</w:t>
      </w:r>
      <w:r>
        <w:tab/>
        <w:t xml:space="preserve">served — </w:t>
      </w:r>
    </w:p>
    <w:p>
      <w:pPr>
        <w:pStyle w:val="Indenti"/>
      </w:pPr>
      <w:r>
        <w:tab/>
        <w:t>(i)</w:t>
      </w:r>
      <w:r>
        <w:tab/>
        <w:t>if a service direction is made — in accordance with the service direction; or</w:t>
      </w:r>
    </w:p>
    <w:p>
      <w:pPr>
        <w:pStyle w:val="Indenti"/>
      </w:pPr>
      <w:r>
        <w:tab/>
        <w:t>(ii)</w:t>
      </w:r>
      <w:r>
        <w:tab/>
        <w:t>otherwise — by the Registrar on the parties.</w:t>
      </w:r>
    </w:p>
    <w:p>
      <w:pPr>
        <w:pStyle w:val="Footnotesection"/>
      </w:pPr>
      <w:r>
        <w:tab/>
        <w:t>[Regulation 29 inserted: SL 2022/19 r. 4.]</w:t>
      </w:r>
    </w:p>
    <w:p>
      <w:pPr>
        <w:pStyle w:val="Heading5"/>
        <w:rPr>
          <w:snapToGrid w:val="0"/>
        </w:rPr>
      </w:pPr>
      <w:bookmarkStart w:id="65" w:name="_Toc201657136"/>
      <w:r>
        <w:rPr>
          <w:rStyle w:val="CharSectno"/>
        </w:rPr>
        <w:t>30</w:t>
      </w:r>
      <w:r>
        <w:t>.</w:t>
      </w:r>
      <w:r>
        <w:tab/>
      </w:r>
      <w:r>
        <w:rPr>
          <w:snapToGrid w:val="0"/>
        </w:rPr>
        <w:t>Compulsory conference</w:t>
      </w:r>
      <w:bookmarkEnd w:id="65"/>
    </w:p>
    <w:p>
      <w:pPr>
        <w:pStyle w:val="Subsection"/>
        <w:rPr>
          <w:snapToGrid w:val="0"/>
        </w:rPr>
      </w:pPr>
      <w:r>
        <w:rPr>
          <w:snapToGrid w:val="0"/>
        </w:rPr>
        <w:tab/>
        <w:t>(1)</w:t>
      </w:r>
      <w:r>
        <w:rPr>
          <w:snapToGrid w:val="0"/>
        </w:rPr>
        <w:tab/>
        <w:t xml:space="preserve">An application for a conference under section 44 of the Act must </w:t>
      </w:r>
      <w:r>
        <w:t>be made in the approved form and must</w:t>
      </w:r>
      <w:r>
        <w:rPr>
          <w:snapToGrid w:val="0"/>
        </w:rPr>
        <w:t xml:space="preserve"> set out the reasons for which the conference is sought.</w:t>
      </w:r>
    </w:p>
    <w:p>
      <w:pPr>
        <w:pStyle w:val="Subsection"/>
        <w:rPr>
          <w:snapToGrid w:val="0"/>
        </w:rPr>
      </w:pPr>
      <w:r>
        <w:rPr>
          <w:snapToGrid w:val="0"/>
        </w:rPr>
        <w:tab/>
        <w:t>(2)</w:t>
      </w:r>
      <w:r>
        <w:rPr>
          <w:snapToGrid w:val="0"/>
        </w:rPr>
        <w:tab/>
        <w:t xml:space="preserve">No </w:t>
      </w:r>
      <w:r>
        <w:t>response</w:t>
      </w:r>
      <w:r>
        <w:rPr>
          <w:snapToGrid w:val="0"/>
        </w:rPr>
        <w:t xml:space="preserve"> need be filed to an application for a conference under section 44 of the Act.</w:t>
      </w:r>
    </w:p>
    <w:p>
      <w:pPr>
        <w:pStyle w:val="Subsection"/>
        <w:keepNext/>
        <w:keepLines/>
        <w:rPr>
          <w:snapToGrid w:val="0"/>
        </w:rPr>
      </w:pPr>
      <w:r>
        <w:rPr>
          <w:snapToGrid w:val="0"/>
        </w:rPr>
        <w:lastRenderedPageBreak/>
        <w:tab/>
        <w:t>(3)</w:t>
      </w:r>
      <w:r>
        <w:rPr>
          <w:snapToGrid w:val="0"/>
        </w:rPr>
        <w:tab/>
        <w:t>A summons to a conference under section 44 of the Act may be given by the Commission or by any officer of the Commission at the direction of the Commission, orally, in writing, by telephone</w:t>
      </w:r>
      <w:r>
        <w:t xml:space="preserve"> or by email</w:t>
      </w:r>
      <w:r>
        <w:rPr>
          <w:snapToGrid w:val="0"/>
        </w:rPr>
        <w:t>.</w:t>
      </w:r>
    </w:p>
    <w:p>
      <w:pPr>
        <w:pStyle w:val="Footnotesection"/>
      </w:pPr>
      <w:r>
        <w:tab/>
        <w:t>[Regulation 30 amended: Gazette 5 Mar 2019 p. 590</w:t>
      </w:r>
      <w:r>
        <w:noBreakHyphen/>
        <w:t>1 and 619.]</w:t>
      </w:r>
    </w:p>
    <w:p>
      <w:pPr>
        <w:pStyle w:val="Heading5"/>
        <w:rPr>
          <w:snapToGrid w:val="0"/>
        </w:rPr>
      </w:pPr>
      <w:bookmarkStart w:id="66" w:name="_Toc201657137"/>
      <w:r>
        <w:rPr>
          <w:rStyle w:val="CharSectno"/>
        </w:rPr>
        <w:t>31</w:t>
      </w:r>
      <w:r>
        <w:t>.</w:t>
      </w:r>
      <w:r>
        <w:tab/>
      </w:r>
      <w:r>
        <w:rPr>
          <w:snapToGrid w:val="0"/>
        </w:rPr>
        <w:t>Memorandum following compulsory conference</w:t>
      </w:r>
      <w:bookmarkEnd w:id="66"/>
    </w:p>
    <w:p>
      <w:pPr>
        <w:pStyle w:val="Subsection"/>
        <w:keepNext/>
        <w:rPr>
          <w:snapToGrid w:val="0"/>
        </w:rPr>
      </w:pPr>
      <w:r>
        <w:rPr>
          <w:snapToGrid w:val="0"/>
        </w:rPr>
        <w:tab/>
      </w:r>
      <w:r>
        <w:rPr>
          <w:snapToGrid w:val="0"/>
        </w:rPr>
        <w:tab/>
        <w:t xml:space="preserve">Where at the conclusion of a conference under section 44 of the Act a matter is to be heard and determined by the Commission, the Commission is to draw up or cause to be drawn up and sign, a memorandum of the matter requiring hearing and determination and for that purpose may direct parties to file statements of claim, </w:t>
      </w:r>
      <w:r>
        <w:t xml:space="preserve">responses, </w:t>
      </w:r>
      <w:r>
        <w:rPr>
          <w:snapToGrid w:val="0"/>
        </w:rPr>
        <w:t>counter-proposals and replies in such manner and within such time as the Commission sees fit.</w:t>
      </w:r>
    </w:p>
    <w:p>
      <w:pPr>
        <w:pStyle w:val="Footnotesection"/>
      </w:pPr>
      <w:r>
        <w:tab/>
        <w:t>[Regulation 31 amended: Gazette 5 Mar 2019 p. 619</w:t>
      </w:r>
      <w:r>
        <w:noBreakHyphen/>
        <w:t>20.]</w:t>
      </w:r>
    </w:p>
    <w:p>
      <w:pPr>
        <w:pStyle w:val="Heading3"/>
      </w:pPr>
      <w:bookmarkStart w:id="67" w:name="_Toc201648948"/>
      <w:bookmarkStart w:id="68" w:name="_Toc201649142"/>
      <w:bookmarkStart w:id="69" w:name="_Toc201650001"/>
      <w:bookmarkStart w:id="70" w:name="_Toc201650329"/>
      <w:bookmarkStart w:id="71" w:name="_Toc201657138"/>
      <w:r>
        <w:rPr>
          <w:rStyle w:val="CharDivNo"/>
        </w:rPr>
        <w:t>Division 5</w:t>
      </w:r>
      <w:r>
        <w:t> — </w:t>
      </w:r>
      <w:r>
        <w:rPr>
          <w:rStyle w:val="CharDivText"/>
        </w:rPr>
        <w:t>Conduct of hearings</w:t>
      </w:r>
      <w:bookmarkEnd w:id="67"/>
      <w:bookmarkEnd w:id="68"/>
      <w:bookmarkEnd w:id="69"/>
      <w:bookmarkEnd w:id="70"/>
      <w:bookmarkEnd w:id="71"/>
    </w:p>
    <w:p>
      <w:pPr>
        <w:pStyle w:val="Heading5"/>
        <w:rPr>
          <w:snapToGrid w:val="0"/>
        </w:rPr>
      </w:pPr>
      <w:bookmarkStart w:id="72" w:name="_Toc201657139"/>
      <w:r>
        <w:rPr>
          <w:rStyle w:val="CharSectno"/>
        </w:rPr>
        <w:t>32</w:t>
      </w:r>
      <w:r>
        <w:t>.</w:t>
      </w:r>
      <w:r>
        <w:tab/>
      </w:r>
      <w:r>
        <w:rPr>
          <w:snapToGrid w:val="0"/>
        </w:rPr>
        <w:t>Application for and notice of hearing</w:t>
      </w:r>
      <w:bookmarkEnd w:id="72"/>
    </w:p>
    <w:p>
      <w:pPr>
        <w:pStyle w:val="Subsection"/>
      </w:pPr>
      <w:r>
        <w:tab/>
        <w:t>(1)</w:t>
      </w:r>
      <w:r>
        <w:tab/>
        <w:t>Any party to an application may request the Registrar to fix a date and place for the hearing of the application.</w:t>
      </w:r>
    </w:p>
    <w:p>
      <w:pPr>
        <w:pStyle w:val="Subsection"/>
        <w:rPr>
          <w:snapToGrid w:val="0"/>
        </w:rPr>
      </w:pPr>
      <w:r>
        <w:rPr>
          <w:snapToGrid w:val="0"/>
        </w:rPr>
        <w:tab/>
        <w:t>(2)</w:t>
      </w:r>
      <w:r>
        <w:rPr>
          <w:snapToGrid w:val="0"/>
        </w:rPr>
        <w:tab/>
        <w:t xml:space="preserve">Except where otherwise provided in the Act or in these regulations, each party to any proceedings is to be given at least 7 days’ notice (or such shorter notice as the Commission may, in a particular case, direct) in the </w:t>
      </w:r>
      <w:r>
        <w:t>approved form</w:t>
      </w:r>
      <w:r>
        <w:rPr>
          <w:snapToGrid w:val="0"/>
        </w:rPr>
        <w:t xml:space="preserve"> of the time and place fixed for hearing.</w:t>
      </w:r>
    </w:p>
    <w:p>
      <w:pPr>
        <w:pStyle w:val="Subsection"/>
        <w:keepNext/>
        <w:rPr>
          <w:snapToGrid w:val="0"/>
        </w:rPr>
      </w:pPr>
      <w:r>
        <w:rPr>
          <w:snapToGrid w:val="0"/>
        </w:rPr>
        <w:tab/>
        <w:t>(3)</w:t>
      </w:r>
      <w:r>
        <w:rPr>
          <w:snapToGrid w:val="0"/>
        </w:rPr>
        <w:tab/>
      </w:r>
      <w:r>
        <w:t>A</w:t>
      </w:r>
      <w:r>
        <w:rPr>
          <w:snapToGrid w:val="0"/>
        </w:rPr>
        <w:t xml:space="preserve"> matter may be listed for hearing by the Commission without a request from any party where the Commission considers it appropriate in the circumstances of the case to do so.</w:t>
      </w:r>
    </w:p>
    <w:p>
      <w:pPr>
        <w:pStyle w:val="Footnotesection"/>
      </w:pPr>
      <w:r>
        <w:tab/>
        <w:t>[Regulation 32 amended: Gazette 5 Mar 2019 p. 591 and 622.]</w:t>
      </w:r>
    </w:p>
    <w:p>
      <w:pPr>
        <w:pStyle w:val="Heading5"/>
      </w:pPr>
      <w:bookmarkStart w:id="73" w:name="_Toc201657140"/>
      <w:r>
        <w:rPr>
          <w:rStyle w:val="CharSectno"/>
        </w:rPr>
        <w:lastRenderedPageBreak/>
        <w:t>32A</w:t>
      </w:r>
      <w:r>
        <w:t>.</w:t>
      </w:r>
      <w:r>
        <w:tab/>
        <w:t>Proceedings may be determined on the papers</w:t>
      </w:r>
      <w:bookmarkEnd w:id="73"/>
    </w:p>
    <w:p>
      <w:pPr>
        <w:pStyle w:val="Subsection"/>
        <w:keepNext/>
      </w:pPr>
      <w:r>
        <w:tab/>
        <w:t>(1)</w:t>
      </w:r>
      <w:r>
        <w:tab/>
        <w:t xml:space="preserve">Subregulation (2) applies in relation to any proceedings before the Commission unless — </w:t>
      </w:r>
    </w:p>
    <w:p>
      <w:pPr>
        <w:pStyle w:val="Indenta"/>
      </w:pPr>
      <w:r>
        <w:tab/>
        <w:t>(a)</w:t>
      </w:r>
      <w:r>
        <w:tab/>
        <w:t>the proceedings require oral evidence to be given; or</w:t>
      </w:r>
    </w:p>
    <w:p>
      <w:pPr>
        <w:pStyle w:val="Indenta"/>
      </w:pPr>
      <w:r>
        <w:tab/>
        <w:t>(b)</w:t>
      </w:r>
      <w:r>
        <w:tab/>
        <w:t>a party to the proceedings has objected under subregulation (4)(b) to having the proceedings determined on the papers; or</w:t>
      </w:r>
    </w:p>
    <w:p>
      <w:pPr>
        <w:pStyle w:val="Indenta"/>
      </w:pPr>
      <w:r>
        <w:tab/>
        <w:t>(c)</w:t>
      </w:r>
      <w:r>
        <w:tab/>
        <w:t>the Commission decides in a particular case that it is not appropriate for the proceedings to be determined on the papers.</w:t>
      </w:r>
    </w:p>
    <w:p>
      <w:pPr>
        <w:pStyle w:val="Subsection"/>
      </w:pPr>
      <w:r>
        <w:tab/>
        <w:t>(2)</w:t>
      </w:r>
      <w:r>
        <w:tab/>
        <w:t>The Commission may determine any proceedings by conducting a hearing on the papers.</w:t>
      </w:r>
    </w:p>
    <w:p>
      <w:pPr>
        <w:pStyle w:val="Subsection"/>
      </w:pPr>
      <w:r>
        <w:tab/>
        <w:t>(3)</w:t>
      </w:r>
      <w:r>
        <w:tab/>
        <w:t>At a hearing on the papers, the Commission may make a determination on the basis of the documents filed or lodged by the parties.</w:t>
      </w:r>
    </w:p>
    <w:p>
      <w:pPr>
        <w:pStyle w:val="Subsection"/>
      </w:pPr>
      <w:r>
        <w:tab/>
        <w:t>(4)</w:t>
      </w:r>
      <w:r>
        <w:tab/>
        <w:t xml:space="preserve">If the Commission proposes to determine any proceedings by conducting a hearing on the papers, each party must be given — </w:t>
      </w:r>
    </w:p>
    <w:p>
      <w:pPr>
        <w:pStyle w:val="Indenta"/>
      </w:pPr>
      <w:r>
        <w:tab/>
        <w:t>(a)</w:t>
      </w:r>
      <w:r>
        <w:tab/>
        <w:t>notice of the proposal; and</w:t>
      </w:r>
    </w:p>
    <w:p>
      <w:pPr>
        <w:pStyle w:val="Indenta"/>
      </w:pPr>
      <w:r>
        <w:tab/>
        <w:t>(b)</w:t>
      </w:r>
      <w:r>
        <w:tab/>
        <w:t>a reasonable opportunity to object to having the proceedings determined on the papers.</w:t>
      </w:r>
    </w:p>
    <w:p>
      <w:pPr>
        <w:pStyle w:val="Footnotesection"/>
      </w:pPr>
      <w:r>
        <w:tab/>
        <w:t>[Regulation 32A inserted: Gazette 5 Mar 2019 p. 591</w:t>
      </w:r>
      <w:r>
        <w:noBreakHyphen/>
        <w:t>2.]</w:t>
      </w:r>
    </w:p>
    <w:p>
      <w:pPr>
        <w:pStyle w:val="Heading5"/>
        <w:rPr>
          <w:snapToGrid w:val="0"/>
        </w:rPr>
      </w:pPr>
      <w:bookmarkStart w:id="74" w:name="_Toc201657141"/>
      <w:r>
        <w:rPr>
          <w:rStyle w:val="CharSectno"/>
        </w:rPr>
        <w:t>33</w:t>
      </w:r>
      <w:r>
        <w:t>.</w:t>
      </w:r>
      <w:r>
        <w:tab/>
      </w:r>
      <w:r>
        <w:rPr>
          <w:snapToGrid w:val="0"/>
        </w:rPr>
        <w:t>Procedure before Commission</w:t>
      </w:r>
      <w:bookmarkEnd w:id="74"/>
    </w:p>
    <w:p>
      <w:pPr>
        <w:pStyle w:val="Subsection"/>
        <w:keepNext/>
      </w:pPr>
      <w:r>
        <w:tab/>
        <w:t>(1A)</w:t>
      </w:r>
      <w:r>
        <w:tab/>
        <w:t xml:space="preserve">Subject to regulation 32A and subregulation (2), subregulation (1) sets out the procedure before the Commission except — </w:t>
      </w:r>
    </w:p>
    <w:p>
      <w:pPr>
        <w:pStyle w:val="Indenta"/>
      </w:pPr>
      <w:r>
        <w:tab/>
        <w:t>(a)</w:t>
      </w:r>
      <w:r>
        <w:tab/>
        <w:t>before the Chief Commissioner on an application under section 66 of the Act; or</w:t>
      </w:r>
    </w:p>
    <w:p>
      <w:pPr>
        <w:pStyle w:val="Indenta"/>
      </w:pPr>
      <w:r>
        <w:tab/>
        <w:t>(b)</w:t>
      </w:r>
      <w:r>
        <w:tab/>
        <w:t>on an appeal to be heard by the Full Bench; or</w:t>
      </w:r>
    </w:p>
    <w:p>
      <w:pPr>
        <w:pStyle w:val="Indenta"/>
      </w:pPr>
      <w:r>
        <w:tab/>
        <w:t>(c)</w:t>
      </w:r>
      <w:r>
        <w:tab/>
        <w:t>on a matter before the Commission in Court Session.</w:t>
      </w:r>
    </w:p>
    <w:p>
      <w:pPr>
        <w:pStyle w:val="Subsection"/>
        <w:keepNext/>
        <w:rPr>
          <w:snapToGrid w:val="0"/>
        </w:rPr>
      </w:pPr>
      <w:r>
        <w:rPr>
          <w:snapToGrid w:val="0"/>
        </w:rPr>
        <w:lastRenderedPageBreak/>
        <w:tab/>
        <w:t>(1)</w:t>
      </w:r>
      <w:r>
        <w:rPr>
          <w:snapToGrid w:val="0"/>
        </w:rPr>
        <w:tab/>
      </w:r>
      <w:r>
        <w:t xml:space="preserve">The procedure referred to in subregulation (1A) </w:t>
      </w:r>
      <w:r>
        <w:rPr>
          <w:snapToGrid w:val="0"/>
        </w:rPr>
        <w:t>is as follows — </w:t>
      </w:r>
    </w:p>
    <w:p>
      <w:pPr>
        <w:pStyle w:val="Indenta"/>
      </w:pPr>
      <w:r>
        <w:tab/>
        <w:t>(a)</w:t>
      </w:r>
      <w:r>
        <w:tab/>
        <w:t xml:space="preserve">the applicant </w:t>
      </w:r>
      <w:r>
        <w:rPr>
          <w:snapToGrid w:val="0"/>
        </w:rPr>
        <w:t>may</w:t>
      </w:r>
      <w:r>
        <w:t xml:space="preserve"> make a brief statement outlining the applicant’s case and describing the evidence the applicant will bring;</w:t>
      </w:r>
    </w:p>
    <w:p>
      <w:pPr>
        <w:pStyle w:val="Indenta"/>
      </w:pPr>
      <w:r>
        <w:tab/>
        <w:t>(b)</w:t>
      </w:r>
      <w:r>
        <w:tab/>
        <w:t>the applicant may then call the applicant’s witnesses;</w:t>
      </w:r>
    </w:p>
    <w:p>
      <w:pPr>
        <w:pStyle w:val="Indenta"/>
      </w:pPr>
      <w:r>
        <w:tab/>
        <w:t>(c)</w:t>
      </w:r>
      <w:r>
        <w:tab/>
        <w:t>unless the Commission otherwise permits, the examination in chief may be conducted by not more than one person on behalf of the applicant, and the cross</w:t>
      </w:r>
      <w:r>
        <w:noBreakHyphen/>
        <w:t>examination may be conducted by not more than one person on behalf of each respondent;</w:t>
      </w:r>
    </w:p>
    <w:p>
      <w:pPr>
        <w:pStyle w:val="Indenta"/>
      </w:pPr>
      <w:r>
        <w:tab/>
        <w:t>(d)</w:t>
      </w:r>
      <w:r>
        <w:tab/>
        <w:t xml:space="preserve">the applicant </w:t>
      </w:r>
      <w:r>
        <w:rPr>
          <w:snapToGrid w:val="0"/>
        </w:rPr>
        <w:t>will</w:t>
      </w:r>
      <w:r>
        <w:t xml:space="preserve"> be allowed to re</w:t>
      </w:r>
      <w:r>
        <w:noBreakHyphen/>
        <w:t>examine but the re</w:t>
      </w:r>
      <w:r>
        <w:noBreakHyphen/>
        <w:t xml:space="preserve">examination </w:t>
      </w:r>
      <w:r>
        <w:rPr>
          <w:snapToGrid w:val="0"/>
        </w:rPr>
        <w:t>must</w:t>
      </w:r>
      <w:r>
        <w:t xml:space="preserve"> be confined to matters arising out of the cross</w:t>
      </w:r>
      <w:r>
        <w:noBreakHyphen/>
        <w:t>examination;</w:t>
      </w:r>
    </w:p>
    <w:p>
      <w:pPr>
        <w:pStyle w:val="Indenta"/>
      </w:pPr>
      <w:r>
        <w:tab/>
        <w:t>(e)</w:t>
      </w:r>
      <w:r>
        <w:tab/>
        <w:t xml:space="preserve">the case for the applicant </w:t>
      </w:r>
      <w:r>
        <w:rPr>
          <w:snapToGrid w:val="0"/>
        </w:rPr>
        <w:t>must</w:t>
      </w:r>
      <w:r>
        <w:t xml:space="preserve"> then close;</w:t>
      </w:r>
    </w:p>
    <w:p>
      <w:pPr>
        <w:pStyle w:val="Indenta"/>
      </w:pPr>
      <w:r>
        <w:tab/>
        <w:t>(f)</w:t>
      </w:r>
      <w:r>
        <w:tab/>
        <w:t xml:space="preserve">the respondent </w:t>
      </w:r>
      <w:r>
        <w:rPr>
          <w:snapToGrid w:val="0"/>
        </w:rPr>
        <w:t>may</w:t>
      </w:r>
      <w:r>
        <w:t xml:space="preserve"> then state the respondent’s case and call the respondent’s witnesses and paragraphs (c) and (d) apply with such modifications as are necessary;</w:t>
      </w:r>
    </w:p>
    <w:p>
      <w:pPr>
        <w:pStyle w:val="Indenta"/>
      </w:pPr>
      <w:r>
        <w:tab/>
        <w:t>(g)</w:t>
      </w:r>
      <w:r>
        <w:tab/>
        <w:t>if the respondent has produced evidence in support of any counter-proposal the applicant may call witnesses in respect of the counter-proposal;</w:t>
      </w:r>
    </w:p>
    <w:p>
      <w:pPr>
        <w:pStyle w:val="Indenta"/>
      </w:pPr>
      <w:r>
        <w:tab/>
        <w:t>(h)</w:t>
      </w:r>
      <w:r>
        <w:tab/>
        <w:t>the respondent may then make closing submissions as to the evidence and the law;</w:t>
      </w:r>
    </w:p>
    <w:p>
      <w:pPr>
        <w:pStyle w:val="Indenta"/>
      </w:pPr>
      <w:r>
        <w:tab/>
        <w:t>(i)</w:t>
      </w:r>
      <w:r>
        <w:tab/>
        <w:t>the applicant may then make closing submissions as to the evidence and the law;</w:t>
      </w:r>
    </w:p>
    <w:p>
      <w:pPr>
        <w:pStyle w:val="Indenta"/>
      </w:pPr>
      <w:r>
        <w:tab/>
        <w:t>(j)</w:t>
      </w:r>
      <w:r>
        <w:tab/>
        <w:t>the respondent then has a right of reply limited to any questions of law raised that could not reasonably have been anticipated.</w:t>
      </w:r>
    </w:p>
    <w:p>
      <w:pPr>
        <w:pStyle w:val="Subsection"/>
        <w:rPr>
          <w:snapToGrid w:val="0"/>
        </w:rPr>
      </w:pPr>
      <w:r>
        <w:rPr>
          <w:snapToGrid w:val="0"/>
        </w:rPr>
        <w:tab/>
        <w:t>(2)</w:t>
      </w:r>
      <w:r>
        <w:rPr>
          <w:snapToGrid w:val="0"/>
        </w:rPr>
        <w:tab/>
        <w:t>The procedure in subregulation (1) may be modified or varied by the Commission where the Commission considers it just or expedient so to do.</w:t>
      </w:r>
    </w:p>
    <w:p>
      <w:pPr>
        <w:pStyle w:val="Subsection"/>
        <w:keepNext/>
        <w:rPr>
          <w:snapToGrid w:val="0"/>
        </w:rPr>
      </w:pPr>
      <w:r>
        <w:rPr>
          <w:snapToGrid w:val="0"/>
        </w:rPr>
        <w:lastRenderedPageBreak/>
        <w:tab/>
        <w:t>(3)</w:t>
      </w:r>
      <w:r>
        <w:rPr>
          <w:snapToGrid w:val="0"/>
        </w:rPr>
        <w:tab/>
        <w:t>The procedure to be followed with respect to any intervener is to be as directed by the Commission in a particular case.</w:t>
      </w:r>
    </w:p>
    <w:p>
      <w:pPr>
        <w:pStyle w:val="Footnotesection"/>
      </w:pPr>
      <w:r>
        <w:tab/>
        <w:t>[Regulation 33 amended: Gazette 19 Dec 2018 p. 4839; 5 Mar 2019 p. 592.]</w:t>
      </w:r>
    </w:p>
    <w:p>
      <w:pPr>
        <w:pStyle w:val="Heading3"/>
      </w:pPr>
      <w:bookmarkStart w:id="75" w:name="_Toc201648952"/>
      <w:bookmarkStart w:id="76" w:name="_Toc201649146"/>
      <w:bookmarkStart w:id="77" w:name="_Toc201650005"/>
      <w:bookmarkStart w:id="78" w:name="_Toc201650333"/>
      <w:bookmarkStart w:id="79" w:name="_Toc201657142"/>
      <w:r>
        <w:rPr>
          <w:rStyle w:val="CharDivNo"/>
        </w:rPr>
        <w:t>Division 6</w:t>
      </w:r>
      <w:r>
        <w:t> — </w:t>
      </w:r>
      <w:r>
        <w:rPr>
          <w:rStyle w:val="CharDivText"/>
        </w:rPr>
        <w:t>General</w:t>
      </w:r>
      <w:bookmarkEnd w:id="75"/>
      <w:bookmarkEnd w:id="76"/>
      <w:bookmarkEnd w:id="77"/>
      <w:bookmarkEnd w:id="78"/>
      <w:bookmarkEnd w:id="79"/>
    </w:p>
    <w:p>
      <w:pPr>
        <w:pStyle w:val="Heading5"/>
      </w:pPr>
      <w:bookmarkStart w:id="80" w:name="_Toc201657143"/>
      <w:r>
        <w:rPr>
          <w:rStyle w:val="CharSectno"/>
        </w:rPr>
        <w:t>34</w:t>
      </w:r>
      <w:r>
        <w:t>.</w:t>
      </w:r>
      <w:r>
        <w:tab/>
        <w:t>Elimination of delays</w:t>
      </w:r>
      <w:bookmarkEnd w:id="80"/>
    </w:p>
    <w:p>
      <w:pPr>
        <w:pStyle w:val="Subsection"/>
      </w:pPr>
      <w:r>
        <w:tab/>
        <w:t>(1)</w:t>
      </w:r>
      <w:r>
        <w:tab/>
        <w:t>Directions under this regulation are to be directed to providing a speedy and inexpensive determination of the proceedings and are to be consistent with these regulations.</w:t>
      </w:r>
    </w:p>
    <w:p>
      <w:pPr>
        <w:pStyle w:val="Subsection"/>
      </w:pPr>
      <w:r>
        <w:tab/>
        <w:t>(2)</w:t>
      </w:r>
      <w:r>
        <w:tab/>
        <w:t>The Commission may, of its own motion or on an application by a party to proceedings, do any of the following by way of a telephone or video conference link</w:t>
      </w:r>
      <w:r>
        <w:noBreakHyphen/>
        <w:t xml:space="preserve">up — </w:t>
      </w:r>
    </w:p>
    <w:p>
      <w:pPr>
        <w:pStyle w:val="Indenta"/>
      </w:pPr>
      <w:r>
        <w:tab/>
        <w:t>(a)</w:t>
      </w:r>
      <w:r>
        <w:tab/>
        <w:t>deal with applications;</w:t>
      </w:r>
    </w:p>
    <w:p>
      <w:pPr>
        <w:pStyle w:val="Indenta"/>
      </w:pPr>
      <w:r>
        <w:tab/>
        <w:t>(b)</w:t>
      </w:r>
      <w:r>
        <w:tab/>
        <w:t>hold conferences;</w:t>
      </w:r>
    </w:p>
    <w:p>
      <w:pPr>
        <w:pStyle w:val="Indenta"/>
      </w:pPr>
      <w:r>
        <w:tab/>
        <w:t>(c)</w:t>
      </w:r>
      <w:r>
        <w:tab/>
        <w:t>conduct a hearing.</w:t>
      </w:r>
    </w:p>
    <w:p>
      <w:pPr>
        <w:pStyle w:val="Subsection"/>
        <w:keepNext/>
      </w:pPr>
      <w:r>
        <w:tab/>
        <w:t>(3)</w:t>
      </w:r>
      <w:r>
        <w:tab/>
        <w:t>The Commission may on its own motion or on an application by a party to proceedings —</w:t>
      </w:r>
    </w:p>
    <w:p>
      <w:pPr>
        <w:pStyle w:val="Indenta"/>
      </w:pPr>
      <w:r>
        <w:tab/>
        <w:t>(a)</w:t>
      </w:r>
      <w:r>
        <w:tab/>
        <w:t>require the parties to file and exchange memoranda before the hearing of any interlocutory proceeding in order to clarify the matters in issue before the hearing;</w:t>
      </w:r>
    </w:p>
    <w:p>
      <w:pPr>
        <w:pStyle w:val="Indenta"/>
      </w:pPr>
      <w:r>
        <w:tab/>
        <w:t>(b)</w:t>
      </w:r>
      <w:r>
        <w:tab/>
        <w:t>make use of video tapes, film projection, computers and other equipment as the Commission thinks just in the proceedings;</w:t>
      </w:r>
    </w:p>
    <w:p>
      <w:pPr>
        <w:pStyle w:val="Indenta"/>
      </w:pPr>
      <w:r>
        <w:tab/>
        <w:t>(c)</w:t>
      </w:r>
      <w:r>
        <w:tab/>
        <w:t>make arrangements for the more speedy and effective recording of evidence;</w:t>
      </w:r>
    </w:p>
    <w:p>
      <w:pPr>
        <w:pStyle w:val="Indenta"/>
      </w:pPr>
      <w:r>
        <w:tab/>
        <w:t>(d)</w:t>
      </w:r>
      <w:r>
        <w:tab/>
        <w:t>direct that a party serve on the other parties at such times as are directed, a signed written statement of the proposed evidence in chief of each witness to be called by that party;</w:t>
      </w:r>
    </w:p>
    <w:p>
      <w:pPr>
        <w:pStyle w:val="Indenta"/>
      </w:pPr>
      <w:r>
        <w:lastRenderedPageBreak/>
        <w:tab/>
        <w:t>(e)</w:t>
      </w:r>
      <w:r>
        <w:tab/>
        <w:t>direct that a signed written statement referred to in paragraph (d) or any part of it stand as the evidence in chief of the witness.</w:t>
      </w:r>
    </w:p>
    <w:p>
      <w:pPr>
        <w:pStyle w:val="Subsection"/>
      </w:pPr>
      <w:r>
        <w:tab/>
        <w:t>(4)</w:t>
      </w:r>
      <w:r>
        <w:tab/>
        <w:t>An application under subregulation (2) or (3) may be made orally or in writing.</w:t>
      </w:r>
    </w:p>
    <w:p>
      <w:pPr>
        <w:pStyle w:val="Subsection"/>
      </w:pPr>
      <w:r>
        <w:tab/>
        <w:t>(5)</w:t>
      </w:r>
      <w:r>
        <w:tab/>
        <w:t xml:space="preserve">The Commission may require the parties to file a written outline of submissions and may require submissions </w:t>
      </w:r>
      <w:r>
        <w:rPr>
          <w:snapToGrid w:val="0"/>
        </w:rPr>
        <w:t>to</w:t>
      </w:r>
      <w:r>
        <w:t xml:space="preserve"> be confined to that outline.</w:t>
      </w:r>
    </w:p>
    <w:p>
      <w:pPr>
        <w:pStyle w:val="Subsection"/>
      </w:pPr>
      <w:r>
        <w:tab/>
        <w:t>(6)</w:t>
      </w:r>
      <w:r>
        <w:tab/>
        <w:t>The Commission may limit oral arguments or decline to take oral submissions when written submissions have been filed.</w:t>
      </w:r>
    </w:p>
    <w:p>
      <w:pPr>
        <w:pStyle w:val="Footnotesection"/>
      </w:pPr>
      <w:r>
        <w:tab/>
        <w:t>[Regulation 34 amended: SL 2025/94 r. 5.]</w:t>
      </w:r>
    </w:p>
    <w:p>
      <w:pPr>
        <w:pStyle w:val="Heading5"/>
      </w:pPr>
      <w:bookmarkStart w:id="81" w:name="_Toc201657144"/>
      <w:r>
        <w:rPr>
          <w:rStyle w:val="CharSectno"/>
        </w:rPr>
        <w:t>35</w:t>
      </w:r>
      <w:r>
        <w:t>.</w:t>
      </w:r>
      <w:r>
        <w:tab/>
        <w:t>Electronic documents and communications</w:t>
      </w:r>
      <w:bookmarkEnd w:id="81"/>
    </w:p>
    <w:p>
      <w:pPr>
        <w:pStyle w:val="Subsection"/>
        <w:keepNext/>
      </w:pPr>
      <w:r>
        <w:tab/>
        <w:t>(1)</w:t>
      </w:r>
      <w:r>
        <w:tab/>
        <w:t>The Commission may, on its own motion or upon application, give directions to facilitate —</w:t>
      </w:r>
    </w:p>
    <w:p>
      <w:pPr>
        <w:pStyle w:val="Indenta"/>
      </w:pPr>
      <w:r>
        <w:tab/>
        <w:t>(a)</w:t>
      </w:r>
      <w:r>
        <w:tab/>
        <w:t>the preparation, filing, service and exchange of electronic documents relating to proceedings before the Commission; and</w:t>
      </w:r>
    </w:p>
    <w:p>
      <w:pPr>
        <w:pStyle w:val="Indenta"/>
      </w:pPr>
      <w:r>
        <w:tab/>
        <w:t>(b)</w:t>
      </w:r>
      <w:r>
        <w:tab/>
        <w:t>the preparation and issue of electronic documents by the Commission; and</w:t>
      </w:r>
    </w:p>
    <w:p>
      <w:pPr>
        <w:pStyle w:val="Indenta"/>
      </w:pPr>
      <w:r>
        <w:tab/>
        <w:t>(c)</w:t>
      </w:r>
      <w:r>
        <w:tab/>
        <w:t>the conduct of proceedings before the Commission by means of the email or other electronic communication of written information between the Commission and parties to the proceedings.</w:t>
      </w:r>
    </w:p>
    <w:p>
      <w:pPr>
        <w:pStyle w:val="Subsection"/>
      </w:pPr>
      <w:r>
        <w:tab/>
        <w:t>(2)</w:t>
      </w:r>
      <w:r>
        <w:tab/>
        <w:t>The directions may vary the operation of, or allow non</w:t>
      </w:r>
      <w:r>
        <w:noBreakHyphen/>
        <w:t>compliance with, these regulations in particular circumstances.</w:t>
      </w:r>
    </w:p>
    <w:p>
      <w:pPr>
        <w:pStyle w:val="Heading5"/>
        <w:rPr>
          <w:snapToGrid w:val="0"/>
        </w:rPr>
      </w:pPr>
      <w:bookmarkStart w:id="82" w:name="_Toc201657145"/>
      <w:r>
        <w:rPr>
          <w:rStyle w:val="CharSectno"/>
        </w:rPr>
        <w:t>36</w:t>
      </w:r>
      <w:r>
        <w:t>.</w:t>
      </w:r>
      <w:r>
        <w:tab/>
      </w:r>
      <w:r>
        <w:rPr>
          <w:snapToGrid w:val="0"/>
        </w:rPr>
        <w:t>Extension or abridgment of time</w:t>
      </w:r>
      <w:bookmarkEnd w:id="82"/>
    </w:p>
    <w:p>
      <w:pPr>
        <w:pStyle w:val="Subsection"/>
        <w:rPr>
          <w:snapToGrid w:val="0"/>
        </w:rPr>
      </w:pPr>
      <w:r>
        <w:rPr>
          <w:snapToGrid w:val="0"/>
        </w:rPr>
        <w:tab/>
        <w:t>(1)</w:t>
      </w:r>
      <w:r>
        <w:rPr>
          <w:snapToGrid w:val="0"/>
        </w:rPr>
        <w:tab/>
        <w:t>A party to any matter before the Commission may apply to the Commission to extend or abridge the time prescribed for doing any act or thing.</w:t>
      </w:r>
    </w:p>
    <w:p>
      <w:pPr>
        <w:pStyle w:val="Subsection"/>
        <w:rPr>
          <w:snapToGrid w:val="0"/>
        </w:rPr>
      </w:pPr>
      <w:r>
        <w:rPr>
          <w:snapToGrid w:val="0"/>
        </w:rPr>
        <w:lastRenderedPageBreak/>
        <w:tab/>
        <w:t>(2)</w:t>
      </w:r>
      <w:r>
        <w:rPr>
          <w:snapToGrid w:val="0"/>
        </w:rPr>
        <w:tab/>
        <w:t>Unless the Commission otherwise directs in a particular case, any application to extend or abridge the time for doing any act or thing must be made to the Commission in Chambers.</w:t>
      </w:r>
    </w:p>
    <w:p>
      <w:pPr>
        <w:pStyle w:val="Subsection"/>
        <w:rPr>
          <w:snapToGrid w:val="0"/>
        </w:rPr>
      </w:pPr>
      <w:r>
        <w:rPr>
          <w:snapToGrid w:val="0"/>
        </w:rPr>
        <w:tab/>
        <w:t>(3)</w:t>
      </w:r>
      <w:r>
        <w:rPr>
          <w:snapToGrid w:val="0"/>
        </w:rPr>
        <w:tab/>
        <w:t>The applicant must attach to the application a written statement specifying the period of extension or abridgment as the case requires that is sought and the grounds on which the application is made.</w:t>
      </w:r>
    </w:p>
    <w:p>
      <w:pPr>
        <w:pStyle w:val="Subsection"/>
        <w:rPr>
          <w:snapToGrid w:val="0"/>
        </w:rPr>
      </w:pPr>
      <w:r>
        <w:rPr>
          <w:snapToGrid w:val="0"/>
        </w:rPr>
        <w:tab/>
        <w:t>(4)</w:t>
      </w:r>
      <w:r>
        <w:rPr>
          <w:snapToGrid w:val="0"/>
        </w:rPr>
        <w:tab/>
        <w:t>It is not necessary to serve the application unless the Commission, after making such inquiries as the Commission considers appropriate, otherwise directs in a particular case.</w:t>
      </w:r>
    </w:p>
    <w:p>
      <w:pPr>
        <w:pStyle w:val="Subsection"/>
        <w:rPr>
          <w:snapToGrid w:val="0"/>
        </w:rPr>
      </w:pPr>
      <w:r>
        <w:rPr>
          <w:snapToGrid w:val="0"/>
        </w:rPr>
        <w:tab/>
        <w:t>(5)</w:t>
      </w:r>
      <w:r>
        <w:rPr>
          <w:snapToGrid w:val="0"/>
        </w:rPr>
        <w:tab/>
        <w:t>Subregulation (3) does not apply if all of the persons concerned consent to the extension of time and endorse the application accordingly.</w:t>
      </w:r>
    </w:p>
    <w:p>
      <w:pPr>
        <w:pStyle w:val="Heading5"/>
        <w:rPr>
          <w:snapToGrid w:val="0"/>
        </w:rPr>
      </w:pPr>
      <w:bookmarkStart w:id="83" w:name="_Toc201657146"/>
      <w:r>
        <w:rPr>
          <w:rStyle w:val="CharSectno"/>
        </w:rPr>
        <w:t>37</w:t>
      </w:r>
      <w:r>
        <w:t>.</w:t>
      </w:r>
      <w:r>
        <w:tab/>
      </w:r>
      <w:r>
        <w:rPr>
          <w:snapToGrid w:val="0"/>
        </w:rPr>
        <w:t>Waiver of procedural regulations</w:t>
      </w:r>
      <w:bookmarkEnd w:id="83"/>
    </w:p>
    <w:p>
      <w:pPr>
        <w:pStyle w:val="Subsection"/>
        <w:rPr>
          <w:snapToGrid w:val="0"/>
        </w:rPr>
      </w:pPr>
      <w:r>
        <w:rPr>
          <w:snapToGrid w:val="0"/>
        </w:rPr>
        <w:tab/>
      </w:r>
      <w:r>
        <w:rPr>
          <w:snapToGrid w:val="0"/>
        </w:rPr>
        <w:tab/>
        <w:t>Nothing in these regulations prevents the Commission from exempting a person in a particular case, either absolutely or subject to conditions, from any procedural requirement of these regulations.</w:t>
      </w:r>
    </w:p>
    <w:p>
      <w:pPr>
        <w:pStyle w:val="Heading5"/>
        <w:rPr>
          <w:snapToGrid w:val="0"/>
        </w:rPr>
      </w:pPr>
      <w:bookmarkStart w:id="84" w:name="_Toc201657147"/>
      <w:r>
        <w:rPr>
          <w:rStyle w:val="CharSectno"/>
        </w:rPr>
        <w:t>38</w:t>
      </w:r>
      <w:r>
        <w:t>.</w:t>
      </w:r>
      <w:r>
        <w:tab/>
      </w:r>
      <w:r>
        <w:rPr>
          <w:snapToGrid w:val="0"/>
        </w:rPr>
        <w:t>Non</w:t>
      </w:r>
      <w:r>
        <w:rPr>
          <w:snapToGrid w:val="0"/>
        </w:rPr>
        <w:noBreakHyphen/>
        <w:t>compliance with regulations</w:t>
      </w:r>
      <w:bookmarkEnd w:id="84"/>
    </w:p>
    <w:p>
      <w:pPr>
        <w:pStyle w:val="Subsection"/>
        <w:rPr>
          <w:snapToGrid w:val="0"/>
        </w:rPr>
      </w:pPr>
      <w:r>
        <w:rPr>
          <w:snapToGrid w:val="0"/>
        </w:rPr>
        <w:tab/>
      </w:r>
      <w:r>
        <w:rPr>
          <w:snapToGrid w:val="0"/>
        </w:rPr>
        <w:tab/>
        <w:t>Non</w:t>
      </w:r>
      <w:r>
        <w:rPr>
          <w:snapToGrid w:val="0"/>
        </w:rPr>
        <w:noBreakHyphen/>
        <w:t>compliance with any of these regulations does not render void any proceedings before the Commission or the Registrar, but the proceedings may be set aside either wholly or in part as irregular, or amended or otherwise dealt with in such manner and on such terms as the Commission or the Registrar, as the case may be, thinks fit</w:t>
      </w:r>
      <w:r>
        <w:t xml:space="preserve"> to remedy any defect caused by the failure to comply</w:t>
      </w:r>
      <w:r>
        <w:rPr>
          <w:snapToGrid w:val="0"/>
        </w:rPr>
        <w:t>.</w:t>
      </w:r>
    </w:p>
    <w:p>
      <w:pPr>
        <w:pStyle w:val="Heading5"/>
        <w:rPr>
          <w:snapToGrid w:val="0"/>
        </w:rPr>
      </w:pPr>
      <w:bookmarkStart w:id="85" w:name="_Toc201657148"/>
      <w:r>
        <w:rPr>
          <w:rStyle w:val="CharSectno"/>
        </w:rPr>
        <w:t>39</w:t>
      </w:r>
      <w:r>
        <w:t>.</w:t>
      </w:r>
      <w:r>
        <w:tab/>
      </w:r>
      <w:r>
        <w:rPr>
          <w:snapToGrid w:val="0"/>
        </w:rPr>
        <w:t>Practice</w:t>
      </w:r>
      <w:bookmarkEnd w:id="85"/>
    </w:p>
    <w:p>
      <w:pPr>
        <w:pStyle w:val="Subsection"/>
        <w:rPr>
          <w:snapToGrid w:val="0"/>
        </w:rPr>
      </w:pPr>
      <w:r>
        <w:rPr>
          <w:snapToGrid w:val="0"/>
        </w:rPr>
        <w:tab/>
        <w:t>(1)</w:t>
      </w:r>
      <w:r>
        <w:rPr>
          <w:snapToGrid w:val="0"/>
        </w:rPr>
        <w:tab/>
        <w:t xml:space="preserve">Where in any particular case the provisions of the Act and these regulations do not make any or adequate provision for a procedure to be followed and there is no established practice or usage of the Commission or where a difficulty arises or doubt </w:t>
      </w:r>
      <w:r>
        <w:rPr>
          <w:snapToGrid w:val="0"/>
        </w:rPr>
        <w:lastRenderedPageBreak/>
        <w:t>exists as to the procedure to be followed, the Commission may give such directions with respect to the procedure to be followed as it considers necessary.</w:t>
      </w:r>
    </w:p>
    <w:p>
      <w:pPr>
        <w:pStyle w:val="Subsection"/>
        <w:rPr>
          <w:snapToGrid w:val="0"/>
        </w:rPr>
      </w:pPr>
      <w:r>
        <w:rPr>
          <w:snapToGrid w:val="0"/>
        </w:rPr>
        <w:tab/>
        <w:t>(2)</w:t>
      </w:r>
      <w:r>
        <w:rPr>
          <w:snapToGrid w:val="0"/>
        </w:rPr>
        <w:tab/>
        <w:t>Directions under this regulation are to be directed to providing a speedy and inexpensive determination of the proceedings and are to be consistent with these regulations.</w:t>
      </w:r>
    </w:p>
    <w:p>
      <w:pPr>
        <w:pStyle w:val="Subsection"/>
        <w:rPr>
          <w:snapToGrid w:val="0"/>
        </w:rPr>
      </w:pPr>
      <w:r>
        <w:rPr>
          <w:snapToGrid w:val="0"/>
        </w:rPr>
        <w:tab/>
        <w:t>(3)</w:t>
      </w:r>
      <w:r>
        <w:rPr>
          <w:snapToGrid w:val="0"/>
        </w:rPr>
        <w:tab/>
        <w:t>Practice notes in relation to any matter or class of matters that are prepared by the Commission and published in the required manner become effective 14 days after the date of publication.</w:t>
      </w:r>
    </w:p>
    <w:p>
      <w:pPr>
        <w:pStyle w:val="Heading2"/>
      </w:pPr>
      <w:bookmarkStart w:id="86" w:name="_Toc201648959"/>
      <w:bookmarkStart w:id="87" w:name="_Toc201649153"/>
      <w:bookmarkStart w:id="88" w:name="_Toc201650012"/>
      <w:bookmarkStart w:id="89" w:name="_Toc201650340"/>
      <w:bookmarkStart w:id="90" w:name="_Toc201657149"/>
      <w:r>
        <w:rPr>
          <w:rStyle w:val="CharPartNo"/>
        </w:rPr>
        <w:lastRenderedPageBreak/>
        <w:t>Part 4</w:t>
      </w:r>
      <w:r>
        <w:rPr>
          <w:rStyle w:val="CharDivNo"/>
        </w:rPr>
        <w:t> </w:t>
      </w:r>
      <w:r>
        <w:t>—</w:t>
      </w:r>
      <w:r>
        <w:rPr>
          <w:rStyle w:val="CharDivText"/>
        </w:rPr>
        <w:t> </w:t>
      </w:r>
      <w:r>
        <w:rPr>
          <w:rStyle w:val="CharPartText"/>
        </w:rPr>
        <w:t>Witnesses and evidence</w:t>
      </w:r>
      <w:bookmarkEnd w:id="86"/>
      <w:bookmarkEnd w:id="87"/>
      <w:bookmarkEnd w:id="88"/>
      <w:bookmarkEnd w:id="89"/>
      <w:bookmarkEnd w:id="90"/>
    </w:p>
    <w:p>
      <w:pPr>
        <w:pStyle w:val="Heading5"/>
        <w:rPr>
          <w:snapToGrid w:val="0"/>
        </w:rPr>
      </w:pPr>
      <w:bookmarkStart w:id="91" w:name="_Toc201657150"/>
      <w:r>
        <w:rPr>
          <w:rStyle w:val="CharSectno"/>
        </w:rPr>
        <w:t>40</w:t>
      </w:r>
      <w:r>
        <w:t>.</w:t>
      </w:r>
      <w:r>
        <w:tab/>
      </w:r>
      <w:r>
        <w:rPr>
          <w:snapToGrid w:val="0"/>
        </w:rPr>
        <w:t>Application for examination of witness</w:t>
      </w:r>
      <w:bookmarkEnd w:id="91"/>
    </w:p>
    <w:p>
      <w:pPr>
        <w:pStyle w:val="Subsection"/>
        <w:spacing w:before="100"/>
        <w:rPr>
          <w:snapToGrid w:val="0"/>
        </w:rPr>
      </w:pPr>
      <w:r>
        <w:rPr>
          <w:snapToGrid w:val="0"/>
        </w:rPr>
        <w:tab/>
        <w:t>(1)</w:t>
      </w:r>
      <w:r>
        <w:rPr>
          <w:snapToGrid w:val="0"/>
        </w:rPr>
        <w:tab/>
        <w:t>Any application for an order for the examination of any witness or person under section 33(1)(d) of the Act must be made to the Commission in Chambers.</w:t>
      </w:r>
    </w:p>
    <w:p>
      <w:pPr>
        <w:pStyle w:val="Subsection"/>
        <w:spacing w:before="100"/>
        <w:rPr>
          <w:snapToGrid w:val="0"/>
        </w:rPr>
      </w:pPr>
      <w:r>
        <w:rPr>
          <w:snapToGrid w:val="0"/>
        </w:rPr>
        <w:tab/>
        <w:t>(2)</w:t>
      </w:r>
      <w:r>
        <w:rPr>
          <w:snapToGrid w:val="0"/>
        </w:rPr>
        <w:tab/>
        <w:t xml:space="preserve">As soon as practicable after the application is filed the </w:t>
      </w:r>
      <w:r>
        <w:t>Registrar</w:t>
      </w:r>
      <w:r>
        <w:rPr>
          <w:snapToGrid w:val="0"/>
        </w:rPr>
        <w:t xml:space="preserve"> must serve a copy of the application on the respondent.</w:t>
      </w:r>
    </w:p>
    <w:p>
      <w:pPr>
        <w:pStyle w:val="Subsection"/>
        <w:spacing w:before="100"/>
      </w:pPr>
      <w:r>
        <w:tab/>
        <w:t>(3)</w:t>
      </w:r>
      <w:r>
        <w:tab/>
        <w:t>It is not necessary for the respondent to file a response to the application.</w:t>
      </w:r>
    </w:p>
    <w:p>
      <w:pPr>
        <w:pStyle w:val="Subsection"/>
        <w:spacing w:before="100"/>
        <w:rPr>
          <w:snapToGrid w:val="0"/>
        </w:rPr>
      </w:pPr>
      <w:r>
        <w:rPr>
          <w:snapToGrid w:val="0"/>
        </w:rPr>
        <w:tab/>
        <w:t>(4)</w:t>
      </w:r>
      <w:r>
        <w:rPr>
          <w:snapToGrid w:val="0"/>
        </w:rPr>
        <w:tab/>
        <w:t>Any examination referred to in subregulation (1) is to take place in the presence of the parties or their representatives, or of such of them as appear, and the witness may be cross</w:t>
      </w:r>
      <w:r>
        <w:rPr>
          <w:snapToGrid w:val="0"/>
        </w:rPr>
        <w:noBreakHyphen/>
        <w:t>examined and re</w:t>
      </w:r>
      <w:r>
        <w:rPr>
          <w:snapToGrid w:val="0"/>
        </w:rPr>
        <w:noBreakHyphen/>
        <w:t>examined.</w:t>
      </w:r>
    </w:p>
    <w:p>
      <w:pPr>
        <w:pStyle w:val="Subsection"/>
        <w:spacing w:before="100"/>
        <w:rPr>
          <w:snapToGrid w:val="0"/>
        </w:rPr>
      </w:pPr>
      <w:r>
        <w:rPr>
          <w:snapToGrid w:val="0"/>
        </w:rPr>
        <w:tab/>
        <w:t>(5)</w:t>
      </w:r>
      <w:r>
        <w:rPr>
          <w:snapToGrid w:val="0"/>
        </w:rPr>
        <w:tab/>
        <w:t>The deposition taken on any examination referred to in subregulation (1) must be taken down in writing by or in the presence of the examiner so as to represent as nearly as possible the statement of the witness, and when completed must be read over to the witness and signed by the witness in the presence of any party who attends.</w:t>
      </w:r>
    </w:p>
    <w:p>
      <w:pPr>
        <w:pStyle w:val="Subsection"/>
        <w:spacing w:before="100"/>
        <w:rPr>
          <w:snapToGrid w:val="0"/>
        </w:rPr>
      </w:pPr>
      <w:r>
        <w:rPr>
          <w:snapToGrid w:val="0"/>
        </w:rPr>
        <w:tab/>
        <w:t>(6)</w:t>
      </w:r>
      <w:r>
        <w:rPr>
          <w:snapToGrid w:val="0"/>
        </w:rPr>
        <w:tab/>
        <w:t xml:space="preserve">If any person duly summoned to attend for examination refuses to attend, or if having attended refuses to be sworn or affirmed, or refuses to answer any lawful question, application may be made to the Commission in Chambers </w:t>
      </w:r>
      <w:r>
        <w:rPr>
          <w:iCs/>
          <w:snapToGrid w:val="0"/>
        </w:rPr>
        <w:t>ex parte</w:t>
      </w:r>
      <w:r>
        <w:rPr>
          <w:snapToGrid w:val="0"/>
        </w:rPr>
        <w:t>, or on notice, for an order directing the person to pay the costs occasioned by the refusal or objection.</w:t>
      </w:r>
    </w:p>
    <w:p>
      <w:pPr>
        <w:pStyle w:val="Subsection"/>
        <w:spacing w:before="100"/>
        <w:rPr>
          <w:snapToGrid w:val="0"/>
        </w:rPr>
      </w:pPr>
      <w:r>
        <w:rPr>
          <w:snapToGrid w:val="0"/>
        </w:rPr>
        <w:tab/>
        <w:t>(7)</w:t>
      </w:r>
      <w:r>
        <w:rPr>
          <w:snapToGrid w:val="0"/>
        </w:rPr>
        <w:tab/>
        <w:t>The original depositions authenticated by the signature of the examiner are to be transmitted by the examiner to the office of the Registrar for filing.</w:t>
      </w:r>
    </w:p>
    <w:p>
      <w:pPr>
        <w:pStyle w:val="Subsection"/>
        <w:spacing w:before="100"/>
        <w:rPr>
          <w:snapToGrid w:val="0"/>
        </w:rPr>
      </w:pPr>
      <w:r>
        <w:rPr>
          <w:snapToGrid w:val="0"/>
        </w:rPr>
        <w:tab/>
        <w:t>(8)</w:t>
      </w:r>
      <w:r>
        <w:rPr>
          <w:snapToGrid w:val="0"/>
        </w:rPr>
        <w:tab/>
        <w:t xml:space="preserve">Unless otherwise directed by the Commission, no deposition can be given in evidence at the hearing without the consent of the party against whom the deposition may be offered in evidence unless the Commission is satisfied that the deponent is </w:t>
      </w:r>
      <w:r>
        <w:rPr>
          <w:snapToGrid w:val="0"/>
        </w:rPr>
        <w:lastRenderedPageBreak/>
        <w:t>dead or beyond the jurisdiction of the Commission or unable from sickness or other cause to attend the hearing.</w:t>
      </w:r>
    </w:p>
    <w:p>
      <w:pPr>
        <w:pStyle w:val="Subsection"/>
        <w:spacing w:before="100"/>
        <w:rPr>
          <w:snapToGrid w:val="0"/>
        </w:rPr>
      </w:pPr>
      <w:r>
        <w:rPr>
          <w:snapToGrid w:val="0"/>
        </w:rPr>
        <w:tab/>
        <w:t>(9)</w:t>
      </w:r>
      <w:r>
        <w:rPr>
          <w:snapToGrid w:val="0"/>
        </w:rPr>
        <w:tab/>
        <w:t>A deposition that may be given in evidence under subregulation (8) and that is certified under the hand of the person taking the examination is admissible in evidence without proof of the signature to such certificate.</w:t>
      </w:r>
    </w:p>
    <w:p>
      <w:pPr>
        <w:pStyle w:val="Footnotesection"/>
      </w:pPr>
      <w:r>
        <w:tab/>
        <w:t>[Regulation 40 amended: Gazette 5 Mar 2019 p. 592 and 621.]</w:t>
      </w:r>
    </w:p>
    <w:p>
      <w:pPr>
        <w:pStyle w:val="Heading5"/>
        <w:rPr>
          <w:snapToGrid w:val="0"/>
        </w:rPr>
      </w:pPr>
      <w:bookmarkStart w:id="92" w:name="_Toc201657151"/>
      <w:r>
        <w:rPr>
          <w:rStyle w:val="CharSectno"/>
        </w:rPr>
        <w:t>41</w:t>
      </w:r>
      <w:r>
        <w:t>.</w:t>
      </w:r>
      <w:r>
        <w:tab/>
      </w:r>
      <w:r>
        <w:rPr>
          <w:snapToGrid w:val="0"/>
        </w:rPr>
        <w:t>Summons to witness</w:t>
      </w:r>
      <w:bookmarkEnd w:id="92"/>
    </w:p>
    <w:p>
      <w:pPr>
        <w:pStyle w:val="Subsection"/>
        <w:rPr>
          <w:snapToGrid w:val="0"/>
        </w:rPr>
      </w:pPr>
      <w:r>
        <w:rPr>
          <w:snapToGrid w:val="0"/>
        </w:rPr>
        <w:tab/>
        <w:t>(1)</w:t>
      </w:r>
      <w:r>
        <w:rPr>
          <w:snapToGrid w:val="0"/>
        </w:rPr>
        <w:tab/>
        <w:t>A summons to a person —</w:t>
      </w:r>
    </w:p>
    <w:p>
      <w:pPr>
        <w:pStyle w:val="Indenta"/>
      </w:pPr>
      <w:r>
        <w:rPr>
          <w:snapToGrid w:val="0"/>
        </w:rPr>
        <w:tab/>
        <w:t>(a)</w:t>
      </w:r>
      <w:r>
        <w:rPr>
          <w:snapToGrid w:val="0"/>
        </w:rPr>
        <w:tab/>
        <w:t>to appear and give evidence before the Commission; or</w:t>
      </w:r>
    </w:p>
    <w:p>
      <w:pPr>
        <w:pStyle w:val="Indenta"/>
      </w:pPr>
      <w:r>
        <w:rPr>
          <w:snapToGrid w:val="0"/>
        </w:rPr>
        <w:tab/>
        <w:t>(b)</w:t>
      </w:r>
      <w:r>
        <w:rPr>
          <w:snapToGrid w:val="0"/>
        </w:rPr>
        <w:tab/>
        <w:t>to appear and give evidence before the Commission and to produce before the Commission any books, papers, or other documents in the person’s possession, or under the person’s control, in any way relating to the proceedings,</w:t>
      </w:r>
    </w:p>
    <w:p>
      <w:pPr>
        <w:pStyle w:val="Subsection"/>
        <w:rPr>
          <w:snapToGrid w:val="0"/>
        </w:rPr>
      </w:pPr>
      <w:r>
        <w:rPr>
          <w:snapToGrid w:val="0"/>
        </w:rPr>
        <w:tab/>
      </w:r>
      <w:r>
        <w:rPr>
          <w:snapToGrid w:val="0"/>
        </w:rPr>
        <w:tab/>
        <w:t xml:space="preserve">must be in the </w:t>
      </w:r>
      <w:r>
        <w:t>approved form.</w:t>
      </w:r>
    </w:p>
    <w:p>
      <w:pPr>
        <w:pStyle w:val="Subsection"/>
      </w:pPr>
      <w:r>
        <w:tab/>
        <w:t>(2)</w:t>
      </w:r>
      <w:r>
        <w:tab/>
        <w:t>A summons must clearly indicate whether or not the person summoned is also to produce before the Commission any books, papers or other documents in any way relating to the proceedings that are in the possession, or under the control of, the person.</w:t>
      </w:r>
    </w:p>
    <w:p>
      <w:pPr>
        <w:pStyle w:val="Subsection"/>
        <w:rPr>
          <w:snapToGrid w:val="0"/>
        </w:rPr>
      </w:pPr>
      <w:r>
        <w:rPr>
          <w:snapToGrid w:val="0"/>
        </w:rPr>
        <w:tab/>
        <w:t>(3)</w:t>
      </w:r>
      <w:r>
        <w:rPr>
          <w:snapToGrid w:val="0"/>
        </w:rPr>
        <w:tab/>
        <w:t>A summons must be directed to one person only.</w:t>
      </w:r>
    </w:p>
    <w:p>
      <w:pPr>
        <w:pStyle w:val="Subsection"/>
        <w:rPr>
          <w:snapToGrid w:val="0"/>
        </w:rPr>
      </w:pPr>
      <w:r>
        <w:rPr>
          <w:snapToGrid w:val="0"/>
        </w:rPr>
        <w:tab/>
        <w:t>(4)</w:t>
      </w:r>
      <w:r>
        <w:rPr>
          <w:snapToGrid w:val="0"/>
        </w:rPr>
        <w:tab/>
        <w:t>Each summons must be prepared in duplicate by the party requesting it and be filed in the office of the Registrar and the Registrar is to retain the original and sign and affix the stamp of the Commission to the duplicate and issue it to the party applying for the purpose of service.</w:t>
      </w:r>
    </w:p>
    <w:p>
      <w:pPr>
        <w:pStyle w:val="Subsection"/>
      </w:pPr>
      <w:r>
        <w:tab/>
        <w:t>(5)</w:t>
      </w:r>
      <w:r>
        <w:tab/>
        <w:t xml:space="preserve">The party requesting the summons — </w:t>
      </w:r>
    </w:p>
    <w:p>
      <w:pPr>
        <w:pStyle w:val="Indenta"/>
      </w:pPr>
      <w:r>
        <w:tab/>
        <w:t>(a)</w:t>
      </w:r>
      <w:r>
        <w:tab/>
        <w:t>must cause it to be served personally on the person named in the summons; and</w:t>
      </w:r>
    </w:p>
    <w:p>
      <w:pPr>
        <w:pStyle w:val="Indenta"/>
      </w:pPr>
      <w:r>
        <w:lastRenderedPageBreak/>
        <w:tab/>
        <w:t>(b)</w:t>
      </w:r>
      <w:r>
        <w:tab/>
        <w:t>must cause a copy of it to be served on any other party to the proceedings; and</w:t>
      </w:r>
    </w:p>
    <w:p>
      <w:pPr>
        <w:pStyle w:val="Indenta"/>
      </w:pPr>
      <w:r>
        <w:tab/>
        <w:t>(c)</w:t>
      </w:r>
      <w:r>
        <w:tab/>
        <w:t>must ensure that proof of service under paragraph (a) is given in the approved form.</w:t>
      </w:r>
    </w:p>
    <w:p>
      <w:pPr>
        <w:pStyle w:val="Subsection"/>
        <w:rPr>
          <w:snapToGrid w:val="0"/>
        </w:rPr>
      </w:pPr>
      <w:r>
        <w:rPr>
          <w:snapToGrid w:val="0"/>
        </w:rPr>
        <w:tab/>
        <w:t>(6)</w:t>
      </w:r>
      <w:r>
        <w:rPr>
          <w:snapToGrid w:val="0"/>
        </w:rPr>
        <w:tab/>
        <w:t>At the time of service, the person serving the summons must tender to the person named in the summons sufficient money to enable him or her to travel between his or her place of residence or employment (whichever is appropriate) and the place of hearing mentioned in the summons.</w:t>
      </w:r>
    </w:p>
    <w:p>
      <w:pPr>
        <w:pStyle w:val="Subsection"/>
        <w:rPr>
          <w:snapToGrid w:val="0"/>
        </w:rPr>
      </w:pPr>
      <w:r>
        <w:rPr>
          <w:snapToGrid w:val="0"/>
        </w:rPr>
        <w:tab/>
        <w:t>(7)</w:t>
      </w:r>
      <w:r>
        <w:rPr>
          <w:snapToGrid w:val="0"/>
        </w:rPr>
        <w:tab/>
        <w:t>Where a person summoned to produce before the Commission any books, papers, or other documents delivers the documents to the Registrar prior to the time at which the person is to appear in the Commission, the party who applied for the summons may apply in writing to the Commission in Chambers for leave to be given to them to have access to the documents prior to the hearing.</w:t>
      </w:r>
    </w:p>
    <w:p>
      <w:pPr>
        <w:pStyle w:val="Footnotesection"/>
      </w:pPr>
      <w:r>
        <w:tab/>
        <w:t>[Regulation 41 amended: Gazette 5 Mar 2019 p. 592</w:t>
      </w:r>
      <w:r>
        <w:noBreakHyphen/>
        <w:t>3 and 622; SL 2022/75 r. 6.]</w:t>
      </w:r>
    </w:p>
    <w:p>
      <w:pPr>
        <w:pStyle w:val="Heading5"/>
        <w:rPr>
          <w:snapToGrid w:val="0"/>
        </w:rPr>
      </w:pPr>
      <w:bookmarkStart w:id="93" w:name="_Toc201657152"/>
      <w:r>
        <w:rPr>
          <w:rStyle w:val="CharSectno"/>
        </w:rPr>
        <w:t>42</w:t>
      </w:r>
      <w:r>
        <w:t>.</w:t>
      </w:r>
      <w:r>
        <w:tab/>
      </w:r>
      <w:r>
        <w:rPr>
          <w:snapToGrid w:val="0"/>
        </w:rPr>
        <w:t>Application to set aside witness summons</w:t>
      </w:r>
      <w:bookmarkEnd w:id="93"/>
    </w:p>
    <w:p>
      <w:pPr>
        <w:pStyle w:val="Subsection"/>
        <w:rPr>
          <w:snapToGrid w:val="0"/>
        </w:rPr>
      </w:pPr>
      <w:r>
        <w:rPr>
          <w:snapToGrid w:val="0"/>
        </w:rPr>
        <w:tab/>
        <w:t>(1)</w:t>
      </w:r>
      <w:r>
        <w:rPr>
          <w:snapToGrid w:val="0"/>
        </w:rPr>
        <w:tab/>
        <w:t>Any application to the Commission under section 33(2) of the Act for cause to be shown why a person served with a summons to witness should appear and give evidence before the Commission must be made to the Commission in Chambers.</w:t>
      </w:r>
    </w:p>
    <w:p>
      <w:pPr>
        <w:pStyle w:val="Subsection"/>
        <w:rPr>
          <w:snapToGrid w:val="0"/>
        </w:rPr>
      </w:pPr>
      <w:r>
        <w:rPr>
          <w:snapToGrid w:val="0"/>
        </w:rPr>
        <w:tab/>
        <w:t>(2)</w:t>
      </w:r>
      <w:r>
        <w:rPr>
          <w:snapToGrid w:val="0"/>
        </w:rPr>
        <w:tab/>
        <w:t>The application must be served on the party on whose application the summons is issued.</w:t>
      </w:r>
    </w:p>
    <w:p>
      <w:pPr>
        <w:pStyle w:val="Subsection"/>
      </w:pPr>
      <w:r>
        <w:tab/>
        <w:t>(3)</w:t>
      </w:r>
      <w:r>
        <w:tab/>
        <w:t>It is not necessary to file a response to the application.</w:t>
      </w:r>
    </w:p>
    <w:p>
      <w:pPr>
        <w:pStyle w:val="Footnotesection"/>
      </w:pPr>
      <w:r>
        <w:tab/>
        <w:t>[Regulation 42 amended: Gazette 5 Mar 2019 p. 593.]</w:t>
      </w:r>
    </w:p>
    <w:p>
      <w:pPr>
        <w:pStyle w:val="Heading5"/>
      </w:pPr>
      <w:bookmarkStart w:id="94" w:name="_Toc201657153"/>
      <w:r>
        <w:rPr>
          <w:rStyle w:val="CharSectno"/>
        </w:rPr>
        <w:lastRenderedPageBreak/>
        <w:t>43</w:t>
      </w:r>
      <w:r>
        <w:t>.</w:t>
      </w:r>
      <w:r>
        <w:tab/>
        <w:t>Witness statements and outlines of evidence</w:t>
      </w:r>
      <w:bookmarkEnd w:id="94"/>
    </w:p>
    <w:p>
      <w:pPr>
        <w:pStyle w:val="Subsection"/>
      </w:pPr>
      <w:r>
        <w:tab/>
        <w:t>(1)</w:t>
      </w:r>
      <w:r>
        <w:tab/>
        <w:t xml:space="preserve">In any proceedings, the Commission may of its own motion or on application by a party to the proceedings give directions to any party to serve on each other party in the proceedings — </w:t>
      </w:r>
    </w:p>
    <w:p>
      <w:pPr>
        <w:pStyle w:val="Indenta"/>
      </w:pPr>
      <w:r>
        <w:tab/>
        <w:t>(a)</w:t>
      </w:r>
      <w:r>
        <w:tab/>
        <w:t>a written statement of the oral evidence that the party intends to adduce in chief on any issues of fact to be decided at the hearing; or</w:t>
      </w:r>
    </w:p>
    <w:p>
      <w:pPr>
        <w:pStyle w:val="Indenta"/>
      </w:pPr>
      <w:r>
        <w:tab/>
        <w:t>(b)</w:t>
      </w:r>
      <w:r>
        <w:tab/>
        <w:t>a written outline of that evidence.</w:t>
      </w:r>
    </w:p>
    <w:p>
      <w:pPr>
        <w:pStyle w:val="Subsection"/>
      </w:pPr>
      <w:r>
        <w:tab/>
        <w:t>(2)</w:t>
      </w:r>
      <w:r>
        <w:tab/>
        <w:t>An application may be made orally or in writing to the Commission citing the distinguishing number of the proceedings to which it relates.</w:t>
      </w:r>
    </w:p>
    <w:p>
      <w:pPr>
        <w:pStyle w:val="Subsection"/>
      </w:pPr>
      <w:r>
        <w:tab/>
        <w:t>(3)</w:t>
      </w:r>
      <w:r>
        <w:tab/>
        <w:t>If the application is made in writing, the Registrar must, as soon as practicable after the application is filed, serve a copy of the application on the respondent.</w:t>
      </w:r>
    </w:p>
    <w:p>
      <w:pPr>
        <w:pStyle w:val="Subsection"/>
      </w:pPr>
      <w:r>
        <w:tab/>
        <w:t>(4)</w:t>
      </w:r>
      <w:r>
        <w:tab/>
        <w:t xml:space="preserve">Where the Commission directs that each party serve a written statement of the oral evidence that the party intends to adduce in chief, the Commission </w:t>
      </w:r>
      <w:r>
        <w:rPr>
          <w:snapToGrid w:val="0"/>
        </w:rPr>
        <w:t>may</w:t>
      </w:r>
      <w:r>
        <w:t xml:space="preserve"> require the statements to be served simultaneously.</w:t>
      </w:r>
    </w:p>
    <w:p>
      <w:pPr>
        <w:pStyle w:val="Subsection"/>
      </w:pPr>
      <w:r>
        <w:tab/>
        <w:t>(5)</w:t>
      </w:r>
      <w:r>
        <w:tab/>
        <w:t>Where the party serving the statement calls the witness at the hearing —</w:t>
      </w:r>
    </w:p>
    <w:p>
      <w:pPr>
        <w:pStyle w:val="Indenta"/>
      </w:pPr>
      <w:r>
        <w:tab/>
        <w:t>(a)</w:t>
      </w:r>
      <w:r>
        <w:tab/>
        <w:t>the party is not, except with the leave of the Commission, to adduce evidence from the witness, the substance of which is not included in the statement served, except in relation to matters contained in a written statement served by another party or in relation to new matters that have arisen in the course of the hearing; and</w:t>
      </w:r>
    </w:p>
    <w:p>
      <w:pPr>
        <w:pStyle w:val="Indenta"/>
      </w:pPr>
      <w:r>
        <w:tab/>
        <w:t>(b)</w:t>
      </w:r>
      <w:r>
        <w:tab/>
        <w:t>the Commission may direct that the statement served, or part of it, is to stand as the evidence, or part of the evidence, in chief of the witness; and</w:t>
      </w:r>
    </w:p>
    <w:p>
      <w:pPr>
        <w:pStyle w:val="Indenta"/>
        <w:keepNext/>
      </w:pPr>
      <w:r>
        <w:tab/>
        <w:t>(c)</w:t>
      </w:r>
      <w:r>
        <w:tab/>
        <w:t xml:space="preserve">whether or not the statement or any part of it is referred to during the evidence in chief of the witness, any party </w:t>
      </w:r>
      <w:r>
        <w:lastRenderedPageBreak/>
        <w:t>may put the statement or any part of it in cross</w:t>
      </w:r>
      <w:r>
        <w:noBreakHyphen/>
        <w:t>examination of the witness.</w:t>
      </w:r>
    </w:p>
    <w:p>
      <w:pPr>
        <w:pStyle w:val="Footnotesection"/>
      </w:pPr>
      <w:r>
        <w:tab/>
        <w:t>[Regulation 43 amended: Gazette 5 Mar 2019 p. 593 and 621.]</w:t>
      </w:r>
    </w:p>
    <w:p>
      <w:pPr>
        <w:pStyle w:val="Heading5"/>
      </w:pPr>
      <w:bookmarkStart w:id="95" w:name="_Toc201657154"/>
      <w:r>
        <w:rPr>
          <w:rStyle w:val="CharSectno"/>
        </w:rPr>
        <w:t>44</w:t>
      </w:r>
      <w:r>
        <w:t>.</w:t>
      </w:r>
      <w:r>
        <w:tab/>
        <w:t>Evidence or submissions by video</w:t>
      </w:r>
      <w:r>
        <w:noBreakHyphen/>
        <w:t>link or telephone</w:t>
      </w:r>
      <w:bookmarkEnd w:id="95"/>
    </w:p>
    <w:p>
      <w:pPr>
        <w:pStyle w:val="Subsection"/>
      </w:pPr>
      <w:r>
        <w:tab/>
        <w:t>(1)</w:t>
      </w:r>
      <w:r>
        <w:tab/>
        <w:t>An application for evidence to be taken, or submissions to be made, by video-link or telephone may be made in writing to the Commission citing the distinguishing number of the proceedings to which it relates.</w:t>
      </w:r>
    </w:p>
    <w:p>
      <w:pPr>
        <w:pStyle w:val="Subsection"/>
      </w:pPr>
      <w:r>
        <w:tab/>
        <w:t>(2)</w:t>
      </w:r>
      <w:r>
        <w:tab/>
        <w:t>An application made during the course of proceedings may be made orally.</w:t>
      </w:r>
    </w:p>
    <w:p>
      <w:pPr>
        <w:pStyle w:val="Subsection"/>
      </w:pPr>
      <w:r>
        <w:tab/>
        <w:t>(3)</w:t>
      </w:r>
      <w:r>
        <w:tab/>
        <w:t xml:space="preserve">The application </w:t>
      </w:r>
      <w:r>
        <w:rPr>
          <w:snapToGrid w:val="0"/>
        </w:rPr>
        <w:t>must</w:t>
      </w:r>
      <w:r>
        <w:t xml:space="preserve"> include —</w:t>
      </w:r>
    </w:p>
    <w:p>
      <w:pPr>
        <w:pStyle w:val="Indenta"/>
      </w:pPr>
      <w:r>
        <w:tab/>
        <w:t>(a)</w:t>
      </w:r>
      <w:r>
        <w:tab/>
        <w:t>the reasons why such a procedure is sought; and</w:t>
      </w:r>
    </w:p>
    <w:p>
      <w:pPr>
        <w:pStyle w:val="Indenta"/>
      </w:pPr>
      <w:r>
        <w:tab/>
        <w:t>(b)</w:t>
      </w:r>
      <w:r>
        <w:tab/>
        <w:t>the nature of the evidence to be taken or submissions to be made; and</w:t>
      </w:r>
    </w:p>
    <w:p>
      <w:pPr>
        <w:pStyle w:val="Indenta"/>
      </w:pPr>
      <w:r>
        <w:tab/>
        <w:t>(c)</w:t>
      </w:r>
      <w:r>
        <w:tab/>
        <w:t>the expected duration of the evidence or submissions; and</w:t>
      </w:r>
    </w:p>
    <w:p>
      <w:pPr>
        <w:pStyle w:val="Indenta"/>
      </w:pPr>
      <w:r>
        <w:tab/>
        <w:t>(d)</w:t>
      </w:r>
      <w:r>
        <w:tab/>
        <w:t xml:space="preserve">in the case of an application to take evidence — </w:t>
      </w:r>
    </w:p>
    <w:p>
      <w:pPr>
        <w:pStyle w:val="Indenti"/>
      </w:pPr>
      <w:r>
        <w:tab/>
        <w:t>(i)</w:t>
      </w:r>
      <w:r>
        <w:tab/>
        <w:t>the number of witnesses proposed to be examined by video-link or telephone; and</w:t>
      </w:r>
    </w:p>
    <w:p>
      <w:pPr>
        <w:pStyle w:val="Indenti"/>
      </w:pPr>
      <w:r>
        <w:tab/>
        <w:t>(ii)</w:t>
      </w:r>
      <w:r>
        <w:tab/>
        <w:t>whether issues of credit are likely to be raised;</w:t>
      </w:r>
    </w:p>
    <w:p>
      <w:pPr>
        <w:pStyle w:val="Indenta"/>
      </w:pPr>
      <w:r>
        <w:tab/>
      </w:r>
      <w:r>
        <w:tab/>
        <w:t>and</w:t>
      </w:r>
    </w:p>
    <w:p>
      <w:pPr>
        <w:pStyle w:val="Indenta"/>
      </w:pPr>
      <w:r>
        <w:tab/>
        <w:t>(e)</w:t>
      </w:r>
      <w:r>
        <w:tab/>
        <w:t>in the case of submissions, the expected duration of the submissions; and</w:t>
      </w:r>
    </w:p>
    <w:p>
      <w:pPr>
        <w:pStyle w:val="Indenta"/>
      </w:pPr>
      <w:r>
        <w:tab/>
        <w:t>(f)</w:t>
      </w:r>
      <w:r>
        <w:tab/>
        <w:t>the facilities available for such a procedure or that can reasonably be made available; and</w:t>
      </w:r>
    </w:p>
    <w:p>
      <w:pPr>
        <w:pStyle w:val="Indenta"/>
      </w:pPr>
      <w:r>
        <w:tab/>
        <w:t>(g)</w:t>
      </w:r>
      <w:r>
        <w:tab/>
        <w:t>an undertaking to meet the costs involved.</w:t>
      </w:r>
    </w:p>
    <w:p>
      <w:pPr>
        <w:pStyle w:val="Subsection"/>
      </w:pPr>
      <w:r>
        <w:tab/>
        <w:t>(4)</w:t>
      </w:r>
      <w:r>
        <w:tab/>
      </w:r>
      <w:r>
        <w:rPr>
          <w:snapToGrid w:val="0"/>
        </w:rPr>
        <w:t>As soon as practicable after the application is filed</w:t>
      </w:r>
      <w:r>
        <w:t xml:space="preserve"> the Registrar </w:t>
      </w:r>
      <w:r>
        <w:rPr>
          <w:snapToGrid w:val="0"/>
        </w:rPr>
        <w:t>must</w:t>
      </w:r>
      <w:r>
        <w:t xml:space="preserve"> serve a copy of the application on the other party or parties.</w:t>
      </w:r>
    </w:p>
    <w:p>
      <w:pPr>
        <w:pStyle w:val="Subsection"/>
      </w:pPr>
      <w:r>
        <w:lastRenderedPageBreak/>
        <w:tab/>
        <w:t>(5)</w:t>
      </w:r>
      <w:r>
        <w:tab/>
        <w:t>In deciding whether to grant the application, the Commission may take account of the matters set out in the application in addition to any other matters considered to be material, including cost, convenience to witnesses and all parties and the availability of the necessary facilities both within the Commission and at the remote location.</w:t>
      </w:r>
    </w:p>
    <w:p>
      <w:pPr>
        <w:pStyle w:val="Subsection"/>
      </w:pPr>
      <w:r>
        <w:tab/>
        <w:t>(6)</w:t>
      </w:r>
      <w:r>
        <w:tab/>
        <w:t>If the Commission determines that it is appropriate to hear evidence or receive submissions by video-link or telephone, the Registrar may be directed to arrange and coordinate the appropriate facilities.</w:t>
      </w:r>
    </w:p>
    <w:p>
      <w:pPr>
        <w:pStyle w:val="Subsection"/>
      </w:pPr>
      <w:r>
        <w:tab/>
        <w:t>(7)</w:t>
      </w:r>
      <w:r>
        <w:tab/>
        <w:t>Without limiting the generality of subregulation (6), the Commission may direct that the party making the application give the Registrar such written undertaking regarding payment of the costs as the Registrar requires.</w:t>
      </w:r>
    </w:p>
    <w:p>
      <w:pPr>
        <w:pStyle w:val="Subsection"/>
      </w:pPr>
      <w:r>
        <w:tab/>
        <w:t>(8)</w:t>
      </w:r>
      <w:r>
        <w:tab/>
        <w:t>The Commission may waive all or part of the costs involved in taking evidence by video-link or telephone.</w:t>
      </w:r>
    </w:p>
    <w:p>
      <w:pPr>
        <w:pStyle w:val="Footnotesection"/>
      </w:pPr>
      <w:r>
        <w:tab/>
        <w:t>[Regulation 44 amended: Gazette 5 Mar 2019 p. 621.]</w:t>
      </w:r>
    </w:p>
    <w:p>
      <w:pPr>
        <w:pStyle w:val="Heading5"/>
      </w:pPr>
      <w:bookmarkStart w:id="96" w:name="_Toc201657155"/>
      <w:r>
        <w:rPr>
          <w:rStyle w:val="CharSectno"/>
        </w:rPr>
        <w:t>45</w:t>
      </w:r>
      <w:r>
        <w:t>.</w:t>
      </w:r>
      <w:r>
        <w:tab/>
        <w:t>Disclosure of expert’s report</w:t>
      </w:r>
      <w:bookmarkEnd w:id="96"/>
    </w:p>
    <w:p>
      <w:pPr>
        <w:pStyle w:val="Subsection"/>
      </w:pPr>
      <w:r>
        <w:tab/>
        <w:t>(1)</w:t>
      </w:r>
      <w:r>
        <w:tab/>
        <w:t>In this regulation —</w:t>
      </w:r>
    </w:p>
    <w:p>
      <w:pPr>
        <w:pStyle w:val="Defstart"/>
      </w:pPr>
      <w:r>
        <w:rPr>
          <w:b/>
        </w:rPr>
        <w:tab/>
      </w:r>
      <w:r>
        <w:rPr>
          <w:rStyle w:val="CharDefText"/>
        </w:rPr>
        <w:t>expert’s report</w:t>
      </w:r>
      <w:r>
        <w:t xml:space="preserve"> means a statement by an expert in writing that sets out the expert’s opinion and the facts on which the opinion is formed and that contains the substance of the expert’s evidence that the party serving the statement intends to adduce in chief at the hearing.</w:t>
      </w:r>
    </w:p>
    <w:p>
      <w:pPr>
        <w:pStyle w:val="Subsection"/>
      </w:pPr>
      <w:r>
        <w:tab/>
        <w:t>(2)</w:t>
      </w:r>
      <w:r>
        <w:tab/>
        <w:t>Unless the Commission otherwise orders, each party in proceedings to which this regulation applies must, at least 21 days before the date set down for hearing, serve experts’ reports on each other party who has an address for service in the proceedings.</w:t>
      </w:r>
    </w:p>
    <w:p>
      <w:pPr>
        <w:pStyle w:val="Subsection"/>
      </w:pPr>
      <w:r>
        <w:tab/>
        <w:t>(3)</w:t>
      </w:r>
      <w:r>
        <w:tab/>
        <w:t xml:space="preserve">An application to the Commission for an order under subregulation (2) may be made in writing to the Commission </w:t>
      </w:r>
      <w:r>
        <w:lastRenderedPageBreak/>
        <w:t>citing the distinguishing number of the proceedings to which it relates.</w:t>
      </w:r>
    </w:p>
    <w:p>
      <w:pPr>
        <w:pStyle w:val="Subsection"/>
      </w:pPr>
      <w:r>
        <w:tab/>
        <w:t>(4)</w:t>
      </w:r>
      <w:r>
        <w:tab/>
        <w:t xml:space="preserve">The application </w:t>
      </w:r>
      <w:r>
        <w:rPr>
          <w:snapToGrid w:val="0"/>
        </w:rPr>
        <w:t>must</w:t>
      </w:r>
      <w:r>
        <w:t xml:space="preserve"> detail the nature of the order sought.</w:t>
      </w:r>
    </w:p>
    <w:p>
      <w:pPr>
        <w:pStyle w:val="Subsection"/>
      </w:pPr>
      <w:r>
        <w:tab/>
        <w:t>(5)</w:t>
      </w:r>
      <w:r>
        <w:tab/>
        <w:t xml:space="preserve">As soon as practicable after the application is filed the Registrar </w:t>
      </w:r>
      <w:r>
        <w:rPr>
          <w:snapToGrid w:val="0"/>
        </w:rPr>
        <w:t>must</w:t>
      </w:r>
      <w:r>
        <w:t xml:space="preserve"> serve a copy of the application on the respondent.</w:t>
      </w:r>
    </w:p>
    <w:p>
      <w:pPr>
        <w:pStyle w:val="Subsection"/>
      </w:pPr>
      <w:r>
        <w:tab/>
        <w:t>(6)</w:t>
      </w:r>
      <w:r>
        <w:tab/>
        <w:t>Unless the Commission otherwise orders, a party who requires the attendance of the expert for cross</w:t>
      </w:r>
      <w:r>
        <w:noBreakHyphen/>
        <w:t xml:space="preserve">examination </w:t>
      </w:r>
      <w:r>
        <w:rPr>
          <w:snapToGrid w:val="0"/>
        </w:rPr>
        <w:t>must</w:t>
      </w:r>
      <w:r>
        <w:t xml:space="preserve"> advise the party serving the expert’s report not later than 7 days before the date set down for hearing.</w:t>
      </w:r>
    </w:p>
    <w:p>
      <w:pPr>
        <w:pStyle w:val="Subsection"/>
      </w:pPr>
      <w:r>
        <w:tab/>
        <w:t>(7)</w:t>
      </w:r>
      <w:r>
        <w:tab/>
        <w:t>Where the party serving the statement calls the witness at the hearing —</w:t>
      </w:r>
    </w:p>
    <w:p>
      <w:pPr>
        <w:pStyle w:val="Indenta"/>
      </w:pPr>
      <w:r>
        <w:tab/>
        <w:t>(a)</w:t>
      </w:r>
      <w:r>
        <w:tab/>
        <w:t>the party may not, except with the leave of the Commission, adduce evidence from the witness, the substance of which is not included in the statement served, except in relation to matters contained in a written statement served by another party or in relation to new matters that have arisen in the course of the hearing; and</w:t>
      </w:r>
    </w:p>
    <w:p>
      <w:pPr>
        <w:pStyle w:val="Indenta"/>
      </w:pPr>
      <w:r>
        <w:tab/>
        <w:t>(b)</w:t>
      </w:r>
      <w:r>
        <w:tab/>
        <w:t>the Commission may direct that the statement served, or part of it, is to stand as the evidence, or part of the evidence, in chief of the witness; and</w:t>
      </w:r>
    </w:p>
    <w:p>
      <w:pPr>
        <w:pStyle w:val="Indenta"/>
      </w:pPr>
      <w:r>
        <w:tab/>
        <w:t>(c)</w:t>
      </w:r>
      <w:r>
        <w:tab/>
        <w:t>any party may put the statement or any part of it in cross</w:t>
      </w:r>
      <w:r>
        <w:noBreakHyphen/>
        <w:t>examination of the witness, whether or not the statement or any part of it is referred to during the evidence in chief of the witness.</w:t>
      </w:r>
    </w:p>
    <w:p>
      <w:pPr>
        <w:pStyle w:val="Subsection"/>
      </w:pPr>
      <w:r>
        <w:tab/>
        <w:t>(8)</w:t>
      </w:r>
      <w:r>
        <w:tab/>
        <w:t>Where more than one expert is to be called in the proceedings the Commission may —</w:t>
      </w:r>
    </w:p>
    <w:p>
      <w:pPr>
        <w:pStyle w:val="Indenta"/>
      </w:pPr>
      <w:r>
        <w:tab/>
        <w:t>(a)</w:t>
      </w:r>
      <w:r>
        <w:tab/>
        <w:t>require the experts to confer with one another in the absence of the parties and their representatives; and</w:t>
      </w:r>
    </w:p>
    <w:p>
      <w:pPr>
        <w:pStyle w:val="Indenta"/>
      </w:pPr>
      <w:r>
        <w:tab/>
        <w:t>(b)</w:t>
      </w:r>
      <w:r>
        <w:tab/>
        <w:t>require the experts to prepare a joint statement of any matters on which they agree, any matters on which they disagree, and the reasons for any disagreement; and</w:t>
      </w:r>
    </w:p>
    <w:p>
      <w:pPr>
        <w:pStyle w:val="Indenta"/>
        <w:keepNext/>
      </w:pPr>
      <w:r>
        <w:lastRenderedPageBreak/>
        <w:tab/>
        <w:t>(c)</w:t>
      </w:r>
      <w:r>
        <w:tab/>
        <w:t>hear the evidence of the experts together.</w:t>
      </w:r>
    </w:p>
    <w:p>
      <w:pPr>
        <w:pStyle w:val="Footnotesection"/>
      </w:pPr>
      <w:r>
        <w:tab/>
        <w:t>[Regulation 45 amended: Gazette 28 Apr 2006 p. 1652; 5 Mar 2019 p. 621.]</w:t>
      </w:r>
    </w:p>
    <w:p>
      <w:pPr>
        <w:pStyle w:val="Heading5"/>
        <w:rPr>
          <w:snapToGrid w:val="0"/>
        </w:rPr>
      </w:pPr>
      <w:bookmarkStart w:id="97" w:name="_Toc201657156"/>
      <w:r>
        <w:rPr>
          <w:rStyle w:val="CharSectno"/>
        </w:rPr>
        <w:t>46</w:t>
      </w:r>
      <w:r>
        <w:t>.</w:t>
      </w:r>
      <w:r>
        <w:tab/>
      </w:r>
      <w:r>
        <w:rPr>
          <w:snapToGrid w:val="0"/>
        </w:rPr>
        <w:t>Exhibits</w:t>
      </w:r>
      <w:bookmarkEnd w:id="97"/>
    </w:p>
    <w:p>
      <w:pPr>
        <w:pStyle w:val="Subsection"/>
        <w:rPr>
          <w:snapToGrid w:val="0"/>
        </w:rPr>
      </w:pPr>
      <w:r>
        <w:rPr>
          <w:snapToGrid w:val="0"/>
        </w:rPr>
        <w:tab/>
        <w:t>(1)</w:t>
      </w:r>
      <w:r>
        <w:rPr>
          <w:snapToGrid w:val="0"/>
        </w:rPr>
        <w:tab/>
        <w:t>A party to any proceeding before the Commission may not remove any exhibit put in during the proceedings without the leave of the Commission.</w:t>
      </w:r>
    </w:p>
    <w:p>
      <w:pPr>
        <w:pStyle w:val="Subsection"/>
      </w:pPr>
      <w:r>
        <w:tab/>
        <w:t>(2)</w:t>
      </w:r>
      <w:r>
        <w:tab/>
        <w:t>Where the matter before the Commission has been completed the Registrar, subject to any direction of the Commission, is to retain any exhibit at least until after the expiration of a period of 60 days from the date when an appeal may be instituted under the Act.</w:t>
      </w:r>
    </w:p>
    <w:p>
      <w:pPr>
        <w:pStyle w:val="Subsection"/>
      </w:pPr>
      <w:r>
        <w:tab/>
        <w:t>(3)</w:t>
      </w:r>
      <w:r>
        <w:tab/>
        <w:t>The Commission may in a particular case direct the Registrar to return an original exhibit within this time subject to a copy being made and put in its place.</w:t>
      </w:r>
    </w:p>
    <w:p>
      <w:pPr>
        <w:pStyle w:val="Heading5"/>
        <w:rPr>
          <w:snapToGrid w:val="0"/>
        </w:rPr>
      </w:pPr>
      <w:bookmarkStart w:id="98" w:name="_Toc201657157"/>
      <w:r>
        <w:rPr>
          <w:rStyle w:val="CharSectno"/>
        </w:rPr>
        <w:t>47</w:t>
      </w:r>
      <w:r>
        <w:t>.</w:t>
      </w:r>
      <w:r>
        <w:tab/>
      </w:r>
      <w:r>
        <w:rPr>
          <w:snapToGrid w:val="0"/>
        </w:rPr>
        <w:t>Declarations and affidavits</w:t>
      </w:r>
      <w:bookmarkEnd w:id="98"/>
    </w:p>
    <w:p>
      <w:pPr>
        <w:pStyle w:val="Subsection"/>
        <w:rPr>
          <w:snapToGrid w:val="0"/>
        </w:rPr>
      </w:pPr>
      <w:r>
        <w:rPr>
          <w:snapToGrid w:val="0"/>
        </w:rPr>
        <w:tab/>
        <w:t>(1)</w:t>
      </w:r>
      <w:r>
        <w:rPr>
          <w:snapToGrid w:val="0"/>
        </w:rPr>
        <w:tab/>
        <w:t xml:space="preserve">Any </w:t>
      </w:r>
      <w:r>
        <w:t>statutory</w:t>
      </w:r>
      <w:r>
        <w:rPr>
          <w:snapToGrid w:val="0"/>
        </w:rPr>
        <w:t xml:space="preserve"> declaration or affidavit must be filed in the office of the Registrar before being used in any proceedings and, except where these regulations otherwise provide, must be served on each other party to the proceedings not less than 24 hours before the time fixed for the hearing.</w:t>
      </w:r>
    </w:p>
    <w:p>
      <w:pPr>
        <w:pStyle w:val="Subsection"/>
      </w:pPr>
      <w:r>
        <w:tab/>
        <w:t>(2)</w:t>
      </w:r>
      <w:r>
        <w:tab/>
        <w:t xml:space="preserve">Any statutory declaration required to be made under these regulations must be made before a person who is an authorised witness under the </w:t>
      </w:r>
      <w:r>
        <w:rPr>
          <w:i/>
        </w:rPr>
        <w:t>Oaths, Affidavits and Statutory Declarations Act 2005</w:t>
      </w:r>
      <w:r>
        <w:t xml:space="preserve"> section 12(6).</w:t>
      </w:r>
    </w:p>
    <w:p>
      <w:pPr>
        <w:pStyle w:val="Footnotesection"/>
      </w:pPr>
      <w:r>
        <w:tab/>
        <w:t>[Regulation 47 amended: Gazette 22 Jan 2008 p. 192.]</w:t>
      </w:r>
    </w:p>
    <w:p>
      <w:pPr>
        <w:pStyle w:val="Heading2"/>
      </w:pPr>
      <w:bookmarkStart w:id="99" w:name="_Toc201648968"/>
      <w:bookmarkStart w:id="100" w:name="_Toc201649162"/>
      <w:bookmarkStart w:id="101" w:name="_Toc201650021"/>
      <w:bookmarkStart w:id="102" w:name="_Toc201650349"/>
      <w:bookmarkStart w:id="103" w:name="_Toc201657158"/>
      <w:r>
        <w:rPr>
          <w:rStyle w:val="CharPartNo"/>
        </w:rPr>
        <w:lastRenderedPageBreak/>
        <w:t>Part 5</w:t>
      </w:r>
      <w:r>
        <w:t> — </w:t>
      </w:r>
      <w:r>
        <w:rPr>
          <w:rStyle w:val="CharPartText"/>
        </w:rPr>
        <w:t>Various applications under Act</w:t>
      </w:r>
      <w:bookmarkEnd w:id="99"/>
      <w:bookmarkEnd w:id="100"/>
      <w:bookmarkEnd w:id="101"/>
      <w:bookmarkEnd w:id="102"/>
      <w:bookmarkEnd w:id="103"/>
    </w:p>
    <w:p>
      <w:pPr>
        <w:pStyle w:val="Footnoteheading"/>
      </w:pPr>
      <w:r>
        <w:tab/>
        <w:t>[Heading inserted: SL 2022/75 r. 7.]</w:t>
      </w:r>
    </w:p>
    <w:p>
      <w:pPr>
        <w:pStyle w:val="Heading5"/>
        <w:rPr>
          <w:snapToGrid w:val="0"/>
        </w:rPr>
      </w:pPr>
      <w:bookmarkStart w:id="104" w:name="_Toc201657159"/>
      <w:r>
        <w:rPr>
          <w:rStyle w:val="CharSectno"/>
        </w:rPr>
        <w:t>48</w:t>
      </w:r>
      <w:r>
        <w:t>.</w:t>
      </w:r>
      <w:r>
        <w:tab/>
      </w:r>
      <w:r>
        <w:rPr>
          <w:snapToGrid w:val="0"/>
        </w:rPr>
        <w:t>Application for award</w:t>
      </w:r>
      <w:bookmarkEnd w:id="104"/>
    </w:p>
    <w:p>
      <w:pPr>
        <w:pStyle w:val="Subsection"/>
        <w:rPr>
          <w:snapToGrid w:val="0"/>
        </w:rPr>
      </w:pPr>
      <w:r>
        <w:rPr>
          <w:snapToGrid w:val="0"/>
        </w:rPr>
        <w:tab/>
        <w:t>(1)</w:t>
      </w:r>
      <w:r>
        <w:rPr>
          <w:snapToGrid w:val="0"/>
        </w:rPr>
        <w:tab/>
        <w:t>In addition to any other requirement imposed by the Act or these regulations, an application for an award, a new award or an interim award must clearly and concisely indicate —</w:t>
      </w:r>
    </w:p>
    <w:p>
      <w:pPr>
        <w:pStyle w:val="Indenta"/>
      </w:pPr>
      <w:r>
        <w:tab/>
        <w:t>(a)</w:t>
      </w:r>
      <w:r>
        <w:tab/>
        <w:t>the area of operation and the scope of the proposed award; and</w:t>
      </w:r>
    </w:p>
    <w:p>
      <w:pPr>
        <w:pStyle w:val="Indenta"/>
      </w:pPr>
      <w:r>
        <w:tab/>
        <w:t>(b)</w:t>
      </w:r>
      <w:r>
        <w:tab/>
        <w:t>where relevant, the names of such number of employers as is reasonably representative of those who would by common rule be bound by the proposed award.</w:t>
      </w:r>
    </w:p>
    <w:p>
      <w:pPr>
        <w:pStyle w:val="Subsection"/>
      </w:pPr>
      <w:r>
        <w:tab/>
        <w:t>(2)</w:t>
      </w:r>
      <w:r>
        <w:tab/>
        <w:t>After the application is filed, the Registrar must seek directions from the Commission as to service of the application.</w:t>
      </w:r>
    </w:p>
    <w:p>
      <w:pPr>
        <w:pStyle w:val="Subsection"/>
      </w:pPr>
      <w:r>
        <w:tab/>
        <w:t>(3)</w:t>
      </w:r>
      <w:r>
        <w:tab/>
        <w:t>The Registrar must serve a copy of the application together with its attachments on those persons directed by the Commission to be served with the application.</w:t>
      </w:r>
    </w:p>
    <w:p>
      <w:pPr>
        <w:pStyle w:val="Ednotesubsection"/>
      </w:pPr>
      <w:r>
        <w:tab/>
        <w:t>[(4)</w:t>
      </w:r>
      <w:r>
        <w:tab/>
        <w:t>deleted]</w:t>
      </w:r>
    </w:p>
    <w:p>
      <w:pPr>
        <w:pStyle w:val="Subsection"/>
        <w:rPr>
          <w:snapToGrid w:val="0"/>
        </w:rPr>
      </w:pPr>
      <w:r>
        <w:rPr>
          <w:snapToGrid w:val="0"/>
        </w:rPr>
        <w:tab/>
        <w:t>(5)</w:t>
      </w:r>
      <w:r>
        <w:rPr>
          <w:snapToGrid w:val="0"/>
        </w:rPr>
        <w:tab/>
        <w:t xml:space="preserve">A respondent who is served with an application for an award and who desires to contest the claim or any provision sought by the applicant must, within the time endorsed on the notice of application or within such additional time as may be allowed under these regulations, file a </w:t>
      </w:r>
      <w:r>
        <w:t>response in the approved form.</w:t>
      </w:r>
    </w:p>
    <w:p>
      <w:pPr>
        <w:pStyle w:val="Subsection"/>
        <w:rPr>
          <w:snapToGrid w:val="0"/>
        </w:rPr>
      </w:pPr>
      <w:r>
        <w:rPr>
          <w:snapToGrid w:val="0"/>
        </w:rPr>
        <w:tab/>
        <w:t>(6)</w:t>
      </w:r>
      <w:r>
        <w:rPr>
          <w:snapToGrid w:val="0"/>
        </w:rPr>
        <w:tab/>
      </w:r>
      <w:r>
        <w:t>A response</w:t>
      </w:r>
      <w:r>
        <w:rPr>
          <w:snapToGrid w:val="0"/>
        </w:rPr>
        <w:t xml:space="preserve"> must specifically admit or dispute, either with or without qualification, each part of the claim made by the applicant.</w:t>
      </w:r>
    </w:p>
    <w:p>
      <w:pPr>
        <w:pStyle w:val="Subsection"/>
        <w:rPr>
          <w:snapToGrid w:val="0"/>
        </w:rPr>
      </w:pPr>
      <w:r>
        <w:rPr>
          <w:snapToGrid w:val="0"/>
        </w:rPr>
        <w:tab/>
        <w:t>(7)</w:t>
      </w:r>
      <w:r>
        <w:rPr>
          <w:snapToGrid w:val="0"/>
        </w:rPr>
        <w:tab/>
      </w:r>
      <w:r>
        <w:t>A response</w:t>
      </w:r>
      <w:r>
        <w:rPr>
          <w:snapToGrid w:val="0"/>
        </w:rPr>
        <w:t xml:space="preserve"> may contain a counter-proposal in which case the proposal must be set out in such detail as to clearly specify the nature of the relief proposed.</w:t>
      </w:r>
    </w:p>
    <w:p>
      <w:pPr>
        <w:pStyle w:val="Subsection"/>
        <w:keepNext/>
      </w:pPr>
      <w:r>
        <w:lastRenderedPageBreak/>
        <w:tab/>
        <w:t>(8)</w:t>
      </w:r>
      <w:r>
        <w:tab/>
        <w:t>After a respondent files a response, the Registrar must serve a copy on the applicant.</w:t>
      </w:r>
    </w:p>
    <w:p>
      <w:pPr>
        <w:pStyle w:val="Ednotesubsection"/>
      </w:pPr>
      <w:r>
        <w:tab/>
        <w:t>[(9)</w:t>
      </w:r>
      <w:r>
        <w:tab/>
        <w:t>deleted]</w:t>
      </w:r>
    </w:p>
    <w:p>
      <w:pPr>
        <w:pStyle w:val="Subsection"/>
        <w:rPr>
          <w:snapToGrid w:val="0"/>
        </w:rPr>
      </w:pPr>
      <w:r>
        <w:rPr>
          <w:snapToGrid w:val="0"/>
        </w:rPr>
        <w:tab/>
        <w:t>(10)</w:t>
      </w:r>
      <w:r>
        <w:rPr>
          <w:snapToGrid w:val="0"/>
        </w:rPr>
        <w:tab/>
        <w:t xml:space="preserve">The provisions of this regulation with respect to the time within which </w:t>
      </w:r>
      <w:r>
        <w:t>responses</w:t>
      </w:r>
      <w:r>
        <w:rPr>
          <w:snapToGrid w:val="0"/>
        </w:rPr>
        <w:t xml:space="preserve"> must be filed apply, with such modifications as are necessary, with respect to replies to counter-proposals.</w:t>
      </w:r>
    </w:p>
    <w:p>
      <w:pPr>
        <w:pStyle w:val="Subsection"/>
      </w:pPr>
      <w:r>
        <w:tab/>
        <w:t>(11)</w:t>
      </w:r>
      <w:r>
        <w:tab/>
      </w:r>
      <w:r>
        <w:rPr>
          <w:snapToGrid w:val="0"/>
        </w:rPr>
        <w:t>Subject to subregulation (10) the time to be endorsed on the notice is 14 days.</w:t>
      </w:r>
    </w:p>
    <w:p>
      <w:pPr>
        <w:pStyle w:val="Subsection"/>
        <w:rPr>
          <w:snapToGrid w:val="0"/>
        </w:rPr>
      </w:pPr>
      <w:r>
        <w:rPr>
          <w:snapToGrid w:val="0"/>
        </w:rPr>
        <w:tab/>
        <w:t>(12)</w:t>
      </w:r>
      <w:r>
        <w:rPr>
          <w:snapToGrid w:val="0"/>
        </w:rPr>
        <w:tab/>
        <w:t xml:space="preserve">At any hearing by the Commission of an application for an award, a party who was served with a copy of the claims or a copy of any counter-proposals and who did not file </w:t>
      </w:r>
      <w:r>
        <w:t>a response</w:t>
      </w:r>
      <w:r>
        <w:rPr>
          <w:snapToGrid w:val="0"/>
        </w:rPr>
        <w:t xml:space="preserve"> or a reply to the counter-proposals, as the case may be, within the times respectively allowed under these regulations may be heard with respect to those claims or counter</w:t>
      </w:r>
      <w:r>
        <w:rPr>
          <w:snapToGrid w:val="0"/>
        </w:rPr>
        <w:noBreakHyphen/>
        <w:t>proposals only by leave of the Commission and then only on such conditions as the Commission may impose.</w:t>
      </w:r>
    </w:p>
    <w:p>
      <w:pPr>
        <w:pStyle w:val="Subsection"/>
        <w:rPr>
          <w:snapToGrid w:val="0"/>
        </w:rPr>
      </w:pPr>
      <w:r>
        <w:rPr>
          <w:snapToGrid w:val="0"/>
        </w:rPr>
        <w:tab/>
        <w:t>(13)</w:t>
      </w:r>
      <w:r>
        <w:rPr>
          <w:snapToGrid w:val="0"/>
        </w:rPr>
        <w:tab/>
        <w:t>The information to be published under section 29A(2) of the Act must be in an approved form.</w:t>
      </w:r>
    </w:p>
    <w:p>
      <w:pPr>
        <w:pStyle w:val="Subsection"/>
      </w:pPr>
      <w:r>
        <w:tab/>
        <w:t>(14)</w:t>
      </w:r>
      <w:r>
        <w:tab/>
        <w:t xml:space="preserve">The applicant in proceedings to which section 29A(2) </w:t>
      </w:r>
      <w:r>
        <w:rPr>
          <w:snapToGrid w:val="0"/>
        </w:rPr>
        <w:t xml:space="preserve">of the Act </w:t>
      </w:r>
      <w:r>
        <w:t xml:space="preserve">applies </w:t>
      </w:r>
      <w:r>
        <w:rPr>
          <w:snapToGrid w:val="0"/>
        </w:rPr>
        <w:t>must,</w:t>
      </w:r>
      <w:r>
        <w:t xml:space="preserve"> if the Registrar so requests and in the time required by the Registrar, lodge in the office of the Registrar a draft for settlement of the notice to be published in the required manner containing the information required by the Act.</w:t>
      </w:r>
    </w:p>
    <w:p>
      <w:pPr>
        <w:pStyle w:val="Subsection"/>
        <w:rPr>
          <w:snapToGrid w:val="0"/>
        </w:rPr>
      </w:pPr>
      <w:r>
        <w:rPr>
          <w:snapToGrid w:val="0"/>
        </w:rPr>
        <w:tab/>
        <w:t>(15)</w:t>
      </w:r>
      <w:r>
        <w:rPr>
          <w:snapToGrid w:val="0"/>
        </w:rPr>
        <w:tab/>
        <w:t>An application to which this regulation applies is not to be listed for hearing until after the expiration of 14 days from the date of publication unless the Commission otherwise directs in a particular case.</w:t>
      </w:r>
    </w:p>
    <w:p>
      <w:pPr>
        <w:pStyle w:val="Footnotesection"/>
      </w:pPr>
      <w:r>
        <w:tab/>
        <w:t>[Regulation 48 amended: Gazette 4 Jul 2014 p. 2390; 5 Mar 2019 p. 593</w:t>
      </w:r>
      <w:r>
        <w:noBreakHyphen/>
        <w:t>5.]</w:t>
      </w:r>
    </w:p>
    <w:p>
      <w:pPr>
        <w:pStyle w:val="Heading5"/>
        <w:rPr>
          <w:snapToGrid w:val="0"/>
        </w:rPr>
      </w:pPr>
      <w:bookmarkStart w:id="105" w:name="_Toc201657160"/>
      <w:r>
        <w:rPr>
          <w:rStyle w:val="CharSectno"/>
        </w:rPr>
        <w:lastRenderedPageBreak/>
        <w:t>49</w:t>
      </w:r>
      <w:r>
        <w:t>.</w:t>
      </w:r>
      <w:r>
        <w:tab/>
      </w:r>
      <w:r>
        <w:rPr>
          <w:snapToGrid w:val="0"/>
        </w:rPr>
        <w:t>Application to vary area of operation of award</w:t>
      </w:r>
      <w:bookmarkEnd w:id="105"/>
    </w:p>
    <w:p>
      <w:pPr>
        <w:pStyle w:val="Subsection"/>
        <w:keepNext/>
        <w:rPr>
          <w:snapToGrid w:val="0"/>
        </w:rPr>
      </w:pPr>
      <w:r>
        <w:rPr>
          <w:snapToGrid w:val="0"/>
        </w:rPr>
        <w:tab/>
        <w:t>(1)</w:t>
      </w:r>
      <w:r>
        <w:rPr>
          <w:snapToGrid w:val="0"/>
        </w:rPr>
        <w:tab/>
        <w:t>An application to vary the area of operation or the scope of an award must have attached to it a statement of — </w:t>
      </w:r>
    </w:p>
    <w:p>
      <w:pPr>
        <w:pStyle w:val="Indenta"/>
      </w:pPr>
      <w:r>
        <w:tab/>
        <w:t>(a)</w:t>
      </w:r>
      <w:r>
        <w:tab/>
        <w:t>the persons whom the applicant seeks to affect by the proposed variation; and</w:t>
      </w:r>
    </w:p>
    <w:p>
      <w:pPr>
        <w:pStyle w:val="Indenta"/>
      </w:pPr>
      <w:r>
        <w:tab/>
        <w:t>(b)</w:t>
      </w:r>
      <w:r>
        <w:tab/>
        <w:t>the grounds on which the application is made.</w:t>
      </w:r>
    </w:p>
    <w:p>
      <w:pPr>
        <w:pStyle w:val="Subsection"/>
        <w:rPr>
          <w:snapToGrid w:val="0"/>
        </w:rPr>
      </w:pPr>
      <w:r>
        <w:rPr>
          <w:snapToGrid w:val="0"/>
        </w:rPr>
        <w:tab/>
        <w:t>(2)</w:t>
      </w:r>
      <w:r>
        <w:rPr>
          <w:snapToGrid w:val="0"/>
        </w:rPr>
        <w:tab/>
        <w:t>Subject to subregulation (1), regulation 48 applies with such modifications as may be necessary to an application to vary the area of operation or the scope of an award.</w:t>
      </w:r>
    </w:p>
    <w:p>
      <w:pPr>
        <w:pStyle w:val="Heading5"/>
        <w:rPr>
          <w:snapToGrid w:val="0"/>
        </w:rPr>
      </w:pPr>
      <w:bookmarkStart w:id="106" w:name="_Toc201657161"/>
      <w:r>
        <w:rPr>
          <w:rStyle w:val="CharSectno"/>
        </w:rPr>
        <w:t>50</w:t>
      </w:r>
      <w:r>
        <w:t>.</w:t>
      </w:r>
      <w:r>
        <w:tab/>
      </w:r>
      <w:r>
        <w:rPr>
          <w:snapToGrid w:val="0"/>
        </w:rPr>
        <w:t>Application to vary award</w:t>
      </w:r>
      <w:bookmarkEnd w:id="106"/>
    </w:p>
    <w:p>
      <w:pPr>
        <w:pStyle w:val="Subsection"/>
        <w:rPr>
          <w:snapToGrid w:val="0"/>
        </w:rPr>
      </w:pPr>
      <w:r>
        <w:rPr>
          <w:snapToGrid w:val="0"/>
        </w:rPr>
        <w:tab/>
        <w:t>(1)</w:t>
      </w:r>
      <w:r>
        <w:rPr>
          <w:snapToGrid w:val="0"/>
        </w:rPr>
        <w:tab/>
        <w:t>An application to vary an award that does not involve variation of the area of operation or the scope of the award must have attached to it a statement of particulars of the amendment or variation sought and, when the application is made during the specified term of the award, a short description of the circumstances that have arisen to cause the application.</w:t>
      </w:r>
    </w:p>
    <w:p>
      <w:pPr>
        <w:pStyle w:val="Subsection"/>
        <w:rPr>
          <w:snapToGrid w:val="0"/>
        </w:rPr>
      </w:pPr>
      <w:r>
        <w:rPr>
          <w:snapToGrid w:val="0"/>
        </w:rPr>
        <w:tab/>
        <w:t>(2)</w:t>
      </w:r>
      <w:r>
        <w:rPr>
          <w:snapToGrid w:val="0"/>
        </w:rPr>
        <w:tab/>
        <w:t>Where the application seeks to vary the award with respect to a specified party or specified parties only, the application must contain a statement to that effect.</w:t>
      </w:r>
    </w:p>
    <w:p>
      <w:pPr>
        <w:pStyle w:val="Subsection"/>
        <w:rPr>
          <w:snapToGrid w:val="0"/>
        </w:rPr>
      </w:pPr>
      <w:r>
        <w:rPr>
          <w:snapToGrid w:val="0"/>
        </w:rPr>
        <w:tab/>
        <w:t>(3)</w:t>
      </w:r>
      <w:r>
        <w:rPr>
          <w:snapToGrid w:val="0"/>
        </w:rPr>
        <w:tab/>
        <w:t>Where the award applies to more than one industry and the applicant seeks to vary the award in respect of a specified industry or specified industries only, the application must contain a statement to that effect.</w:t>
      </w:r>
    </w:p>
    <w:p>
      <w:pPr>
        <w:pStyle w:val="Subsection"/>
      </w:pPr>
      <w:r>
        <w:tab/>
        <w:t>(4)</w:t>
      </w:r>
      <w:r>
        <w:tab/>
        <w:t>The Registrar must serve the application on all the named parties to the award unless the Registrar requests the Commission for directions as to service of the application.</w:t>
      </w:r>
    </w:p>
    <w:p>
      <w:pPr>
        <w:pStyle w:val="Subsection"/>
      </w:pPr>
      <w:r>
        <w:tab/>
        <w:t>(5)</w:t>
      </w:r>
      <w:r>
        <w:tab/>
        <w:t>If the Registrar requests the Commission for directions as to service, the Registrar must serve the application on the persons directed to be served.</w:t>
      </w:r>
    </w:p>
    <w:p>
      <w:pPr>
        <w:pStyle w:val="Subsection"/>
        <w:rPr>
          <w:snapToGrid w:val="0"/>
        </w:rPr>
      </w:pPr>
      <w:r>
        <w:rPr>
          <w:snapToGrid w:val="0"/>
        </w:rPr>
        <w:tab/>
        <w:t>(6)</w:t>
      </w:r>
      <w:r>
        <w:rPr>
          <w:snapToGrid w:val="0"/>
        </w:rPr>
        <w:tab/>
        <w:t xml:space="preserve">A respondent who is served with an application to vary an award and who desires to contest the claim or any provision </w:t>
      </w:r>
      <w:r>
        <w:rPr>
          <w:snapToGrid w:val="0"/>
        </w:rPr>
        <w:lastRenderedPageBreak/>
        <w:t xml:space="preserve">sought by the applicant must, within the time endorsed on the notice of application or within such additional time as may be allowed under these regulations, file a </w:t>
      </w:r>
      <w:r>
        <w:t>response in the approved form.</w:t>
      </w:r>
    </w:p>
    <w:p>
      <w:pPr>
        <w:pStyle w:val="Subsection"/>
        <w:rPr>
          <w:snapToGrid w:val="0"/>
        </w:rPr>
      </w:pPr>
      <w:r>
        <w:rPr>
          <w:snapToGrid w:val="0"/>
        </w:rPr>
        <w:tab/>
        <w:t>(7)</w:t>
      </w:r>
      <w:r>
        <w:rPr>
          <w:snapToGrid w:val="0"/>
        </w:rPr>
        <w:tab/>
      </w:r>
      <w:r>
        <w:t>A response</w:t>
      </w:r>
      <w:r>
        <w:rPr>
          <w:snapToGrid w:val="0"/>
        </w:rPr>
        <w:t xml:space="preserve"> must specifically admit or dispute, either with or without qualification, each part of the claim made by the applicant.</w:t>
      </w:r>
    </w:p>
    <w:p>
      <w:pPr>
        <w:pStyle w:val="Subsection"/>
        <w:rPr>
          <w:snapToGrid w:val="0"/>
        </w:rPr>
      </w:pPr>
      <w:r>
        <w:rPr>
          <w:snapToGrid w:val="0"/>
        </w:rPr>
        <w:tab/>
        <w:t>(8)</w:t>
      </w:r>
      <w:r>
        <w:rPr>
          <w:snapToGrid w:val="0"/>
        </w:rPr>
        <w:tab/>
      </w:r>
      <w:r>
        <w:t>A response</w:t>
      </w:r>
      <w:r>
        <w:rPr>
          <w:snapToGrid w:val="0"/>
        </w:rPr>
        <w:t xml:space="preserve"> may contain a counter-proposal in which case the proposal must be set out in such detail as to clearly specify the nature of the relief proposed.</w:t>
      </w:r>
    </w:p>
    <w:p>
      <w:pPr>
        <w:pStyle w:val="Subsection"/>
      </w:pPr>
      <w:r>
        <w:tab/>
        <w:t>(9)</w:t>
      </w:r>
      <w:r>
        <w:tab/>
        <w:t>After a respondent files a response, the Registrar must serve a copy on the applicant.</w:t>
      </w:r>
    </w:p>
    <w:p>
      <w:pPr>
        <w:pStyle w:val="Ednotesubsection"/>
      </w:pPr>
      <w:r>
        <w:tab/>
        <w:t>[(10)</w:t>
      </w:r>
      <w:r>
        <w:tab/>
        <w:t>deleted]</w:t>
      </w:r>
    </w:p>
    <w:p>
      <w:pPr>
        <w:pStyle w:val="Subsection"/>
        <w:rPr>
          <w:snapToGrid w:val="0"/>
        </w:rPr>
      </w:pPr>
      <w:r>
        <w:rPr>
          <w:snapToGrid w:val="0"/>
        </w:rPr>
        <w:tab/>
        <w:t>(11)</w:t>
      </w:r>
      <w:r>
        <w:rPr>
          <w:snapToGrid w:val="0"/>
        </w:rPr>
        <w:tab/>
        <w:t xml:space="preserve">The provisions of this regulation with respect to the time within which </w:t>
      </w:r>
      <w:r>
        <w:t>responses</w:t>
      </w:r>
      <w:r>
        <w:rPr>
          <w:snapToGrid w:val="0"/>
        </w:rPr>
        <w:t xml:space="preserve"> must be filed apply, with such modifications as are necessary, with respect to replies to counter</w:t>
      </w:r>
      <w:r>
        <w:rPr>
          <w:snapToGrid w:val="0"/>
        </w:rPr>
        <w:noBreakHyphen/>
        <w:t>proposals.</w:t>
      </w:r>
    </w:p>
    <w:p>
      <w:pPr>
        <w:pStyle w:val="Subsection"/>
      </w:pPr>
      <w:r>
        <w:tab/>
        <w:t>(12)</w:t>
      </w:r>
      <w:r>
        <w:tab/>
      </w:r>
      <w:r>
        <w:rPr>
          <w:snapToGrid w:val="0"/>
        </w:rPr>
        <w:t>Subject to subregulation (11) the time to be endorsed on the notice is 14 days.</w:t>
      </w:r>
    </w:p>
    <w:p>
      <w:pPr>
        <w:pStyle w:val="Subsection"/>
      </w:pPr>
      <w:r>
        <w:rPr>
          <w:snapToGrid w:val="0"/>
        </w:rPr>
        <w:tab/>
        <w:t>(13)</w:t>
      </w:r>
      <w:r>
        <w:rPr>
          <w:snapToGrid w:val="0"/>
        </w:rPr>
        <w:tab/>
        <w:t xml:space="preserve">At any hearing by the Commission of an application for a variation of award, a party who was served with a copy of the claims or a copy of any counter-proposals and who did not file </w:t>
      </w:r>
      <w:r>
        <w:t>a response</w:t>
      </w:r>
      <w:r>
        <w:rPr>
          <w:snapToGrid w:val="0"/>
        </w:rPr>
        <w:t xml:space="preserve"> or a reply to the counter-proposals, as the case may be, within the time allowed under these regulations may be heard with respect to those claims or counter-proposals only by leave of the Commission and then only on such conditions as the Commission may impose.</w:t>
      </w:r>
    </w:p>
    <w:p>
      <w:pPr>
        <w:pStyle w:val="Subsection"/>
        <w:rPr>
          <w:snapToGrid w:val="0"/>
        </w:rPr>
      </w:pPr>
      <w:r>
        <w:rPr>
          <w:snapToGrid w:val="0"/>
        </w:rPr>
        <w:tab/>
        <w:t>(14)</w:t>
      </w:r>
      <w:r>
        <w:rPr>
          <w:snapToGrid w:val="0"/>
        </w:rPr>
        <w:tab/>
        <w:t>The information to be published under section 29A(2) of the Act must be in an approved form.</w:t>
      </w:r>
    </w:p>
    <w:p>
      <w:pPr>
        <w:pStyle w:val="Subsection"/>
        <w:keepNext/>
        <w:keepLines/>
      </w:pPr>
      <w:r>
        <w:lastRenderedPageBreak/>
        <w:tab/>
        <w:t>(15)</w:t>
      </w:r>
      <w:r>
        <w:tab/>
        <w:t xml:space="preserve">The applicant to proceedings to which section 29A(2) </w:t>
      </w:r>
      <w:r>
        <w:rPr>
          <w:snapToGrid w:val="0"/>
        </w:rPr>
        <w:t xml:space="preserve">of the Act </w:t>
      </w:r>
      <w:r>
        <w:t xml:space="preserve">applies </w:t>
      </w:r>
      <w:r>
        <w:rPr>
          <w:snapToGrid w:val="0"/>
        </w:rPr>
        <w:t>must,</w:t>
      </w:r>
      <w:r>
        <w:t xml:space="preserve"> if the Registrar so requests and in the time required by the Registrar, lodge in the office of the Registrar a draft for settlement of the notice to be published in the required manner containing the information required by the Act.</w:t>
      </w:r>
    </w:p>
    <w:p>
      <w:pPr>
        <w:pStyle w:val="Footnotesection"/>
        <w:ind w:left="890" w:hanging="890"/>
      </w:pPr>
      <w:r>
        <w:tab/>
        <w:t>[Regulation 50 amended: Gazette 4 Jul 2014 p. 2390; 5 Mar 2019 p. 595</w:t>
      </w:r>
      <w:r>
        <w:noBreakHyphen/>
        <w:t>6.]</w:t>
      </w:r>
    </w:p>
    <w:p>
      <w:pPr>
        <w:pStyle w:val="Heading5"/>
        <w:rPr>
          <w:snapToGrid w:val="0"/>
        </w:rPr>
      </w:pPr>
      <w:bookmarkStart w:id="107" w:name="_Toc201657162"/>
      <w:r>
        <w:rPr>
          <w:rStyle w:val="CharSectno"/>
        </w:rPr>
        <w:t>51</w:t>
      </w:r>
      <w:r>
        <w:t>.</w:t>
      </w:r>
      <w:r>
        <w:tab/>
      </w:r>
      <w:r>
        <w:rPr>
          <w:snapToGrid w:val="0"/>
        </w:rPr>
        <w:t>Application for joinder of party to award</w:t>
      </w:r>
      <w:bookmarkEnd w:id="107"/>
    </w:p>
    <w:p>
      <w:pPr>
        <w:pStyle w:val="Subsection"/>
        <w:rPr>
          <w:snapToGrid w:val="0"/>
        </w:rPr>
      </w:pPr>
      <w:r>
        <w:rPr>
          <w:snapToGrid w:val="0"/>
        </w:rPr>
        <w:tab/>
        <w:t>(1)</w:t>
      </w:r>
      <w:r>
        <w:rPr>
          <w:snapToGrid w:val="0"/>
        </w:rPr>
        <w:tab/>
        <w:t>An application to add any employer, organisation or association as a named party to an award must have attached to it a written statement of the grounds on which the application is made and facts to show that the applicant is entitled to make the application.</w:t>
      </w:r>
    </w:p>
    <w:p>
      <w:pPr>
        <w:pStyle w:val="Subsection"/>
        <w:rPr>
          <w:snapToGrid w:val="0"/>
        </w:rPr>
      </w:pPr>
      <w:r>
        <w:rPr>
          <w:snapToGrid w:val="0"/>
        </w:rPr>
        <w:tab/>
        <w:t>(2)</w:t>
      </w:r>
      <w:r>
        <w:rPr>
          <w:snapToGrid w:val="0"/>
        </w:rPr>
        <w:tab/>
        <w:t>The statement must state whether or not the addition may have the effect of extending the award to employees to whom another award already extends.</w:t>
      </w:r>
    </w:p>
    <w:p>
      <w:pPr>
        <w:pStyle w:val="Subsection"/>
      </w:pPr>
      <w:r>
        <w:tab/>
        <w:t>(3)</w:t>
      </w:r>
      <w:r>
        <w:tab/>
        <w:t>After the application is filed, the Registrar must seek directions from the Commission as to service of the application.</w:t>
      </w:r>
    </w:p>
    <w:p>
      <w:pPr>
        <w:pStyle w:val="Subsection"/>
        <w:keepNext/>
        <w:rPr>
          <w:snapToGrid w:val="0"/>
        </w:rPr>
      </w:pPr>
      <w:r>
        <w:rPr>
          <w:snapToGrid w:val="0"/>
        </w:rPr>
        <w:tab/>
        <w:t>(4)</w:t>
      </w:r>
      <w:r>
        <w:rPr>
          <w:snapToGrid w:val="0"/>
        </w:rPr>
        <w:tab/>
        <w:t>Unless in any particular case the Chief Commissioner directs otherwise, the Registrar is to give notice of the application by publication in the required manner and such notice is to advise that the application may be inspected by any interested person without charge and that any such person may, by giving written notice of objection to the Commission and to the applicant within 28 days of publication of the notice, appear and be heard on the hearing of the application.</w:t>
      </w:r>
    </w:p>
    <w:p>
      <w:pPr>
        <w:pStyle w:val="Footnotesection"/>
        <w:ind w:left="890" w:hanging="890"/>
      </w:pPr>
      <w:r>
        <w:tab/>
        <w:t>[Regulation 51 amended: Gazette 5 Mar 2019 p. 596.]</w:t>
      </w:r>
    </w:p>
    <w:p>
      <w:pPr>
        <w:pStyle w:val="Heading5"/>
        <w:rPr>
          <w:snapToGrid w:val="0"/>
        </w:rPr>
      </w:pPr>
      <w:bookmarkStart w:id="108" w:name="_Toc201657163"/>
      <w:r>
        <w:rPr>
          <w:rStyle w:val="CharSectno"/>
        </w:rPr>
        <w:lastRenderedPageBreak/>
        <w:t>52</w:t>
      </w:r>
      <w:r>
        <w:t>.</w:t>
      </w:r>
      <w:r>
        <w:tab/>
      </w:r>
      <w:r>
        <w:rPr>
          <w:snapToGrid w:val="0"/>
        </w:rPr>
        <w:t>Application for interpretation of award or industrial agreement</w:t>
      </w:r>
      <w:bookmarkEnd w:id="108"/>
    </w:p>
    <w:p>
      <w:pPr>
        <w:pStyle w:val="Subsection"/>
        <w:keepNext/>
        <w:rPr>
          <w:snapToGrid w:val="0"/>
        </w:rPr>
      </w:pPr>
      <w:r>
        <w:rPr>
          <w:snapToGrid w:val="0"/>
        </w:rPr>
        <w:tab/>
        <w:t>(1)</w:t>
      </w:r>
      <w:r>
        <w:rPr>
          <w:snapToGrid w:val="0"/>
        </w:rPr>
        <w:tab/>
        <w:t xml:space="preserve">An application for interpretation of an award </w:t>
      </w:r>
      <w:r>
        <w:t xml:space="preserve">or industrial agreement </w:t>
      </w:r>
      <w:r>
        <w:rPr>
          <w:snapToGrid w:val="0"/>
        </w:rPr>
        <w:t>within the meaning of section 46(5) of the Act must have attached to it a statement of — </w:t>
      </w:r>
    </w:p>
    <w:p>
      <w:pPr>
        <w:pStyle w:val="Indenta"/>
      </w:pPr>
      <w:r>
        <w:tab/>
        <w:t>(a)</w:t>
      </w:r>
      <w:r>
        <w:tab/>
        <w:t>the number and title of the award or industrial agreement and the number of the clause or clauses under which the question arises; and</w:t>
      </w:r>
    </w:p>
    <w:p>
      <w:pPr>
        <w:pStyle w:val="Indenta"/>
      </w:pPr>
      <w:r>
        <w:tab/>
        <w:t>(b)</w:t>
      </w:r>
      <w:r>
        <w:tab/>
        <w:t>the facts giving rise to the application; and</w:t>
      </w:r>
    </w:p>
    <w:p>
      <w:pPr>
        <w:pStyle w:val="Indenta"/>
      </w:pPr>
      <w:r>
        <w:tab/>
        <w:t>(c)</w:t>
      </w:r>
      <w:r>
        <w:tab/>
        <w:t>the question to which an answer is desired.</w:t>
      </w:r>
    </w:p>
    <w:p>
      <w:pPr>
        <w:pStyle w:val="Subsection"/>
        <w:rPr>
          <w:snapToGrid w:val="0"/>
        </w:rPr>
      </w:pPr>
      <w:r>
        <w:rPr>
          <w:snapToGrid w:val="0"/>
        </w:rPr>
        <w:tab/>
        <w:t>(2)</w:t>
      </w:r>
      <w:r>
        <w:rPr>
          <w:snapToGrid w:val="0"/>
        </w:rPr>
        <w:tab/>
        <w:t>An application under subregulation (1) must be served on each named party to the award</w:t>
      </w:r>
      <w:r>
        <w:t xml:space="preserve"> or industrial agreement</w:t>
      </w:r>
      <w:r>
        <w:rPr>
          <w:snapToGrid w:val="0"/>
        </w:rPr>
        <w:t xml:space="preserve"> unless the Commission considers that in a particular case service on every party to the award</w:t>
      </w:r>
      <w:r>
        <w:t xml:space="preserve"> or industrial agreement</w:t>
      </w:r>
      <w:r>
        <w:rPr>
          <w:snapToGrid w:val="0"/>
        </w:rPr>
        <w:t xml:space="preserve"> is not necessary and directs the applicant to give notice of the application in such terms as the Commission may direct.</w:t>
      </w:r>
    </w:p>
    <w:p>
      <w:pPr>
        <w:pStyle w:val="Subsection"/>
        <w:keepNext/>
      </w:pPr>
      <w:r>
        <w:tab/>
        <w:t>(3)</w:t>
      </w:r>
      <w:r>
        <w:tab/>
        <w:t>It is not necessary to file a response to the application.</w:t>
      </w:r>
    </w:p>
    <w:p>
      <w:pPr>
        <w:pStyle w:val="Footnotesection"/>
        <w:ind w:left="890" w:hanging="890"/>
      </w:pPr>
      <w:r>
        <w:tab/>
        <w:t>[Regulation 52 amended: Gazette 28 Apr 2006 p. 1652; 5 Mar 2019 p. 596.]</w:t>
      </w:r>
    </w:p>
    <w:p>
      <w:pPr>
        <w:pStyle w:val="Heading5"/>
      </w:pPr>
      <w:bookmarkStart w:id="109" w:name="_Toc201657164"/>
      <w:r>
        <w:rPr>
          <w:rStyle w:val="CharSectno"/>
        </w:rPr>
        <w:t>53</w:t>
      </w:r>
      <w:r>
        <w:t>.</w:t>
      </w:r>
      <w:r>
        <w:tab/>
        <w:t>Bargaining for industrial agreement</w:t>
      </w:r>
      <w:bookmarkEnd w:id="109"/>
    </w:p>
    <w:p>
      <w:pPr>
        <w:pStyle w:val="Subsection"/>
      </w:pPr>
      <w:r>
        <w:tab/>
        <w:t>(1)</w:t>
      </w:r>
      <w:r>
        <w:tab/>
        <w:t>An application under —</w:t>
      </w:r>
    </w:p>
    <w:p>
      <w:pPr>
        <w:pStyle w:val="Indenta"/>
      </w:pPr>
      <w:r>
        <w:tab/>
        <w:t>(a)</w:t>
      </w:r>
      <w:r>
        <w:tab/>
        <w:t>section 42(6)</w:t>
      </w:r>
      <w:r>
        <w:rPr>
          <w:snapToGrid w:val="0"/>
        </w:rPr>
        <w:t xml:space="preserve"> of the Act</w:t>
      </w:r>
      <w:r>
        <w:t xml:space="preserve"> for a direction that a negotiating party may negotiate separately with the initiating party; or</w:t>
      </w:r>
    </w:p>
    <w:p>
      <w:pPr>
        <w:pStyle w:val="Indenta"/>
      </w:pPr>
      <w:r>
        <w:tab/>
        <w:t>(b)</w:t>
      </w:r>
      <w:r>
        <w:tab/>
      </w:r>
      <w:r>
        <w:rPr>
          <w:snapToGrid w:val="0"/>
        </w:rPr>
        <w:t>section</w:t>
      </w:r>
      <w:r>
        <w:t xml:space="preserve"> 42A(2) </w:t>
      </w:r>
      <w:r>
        <w:rPr>
          <w:snapToGrid w:val="0"/>
        </w:rPr>
        <w:t xml:space="preserve">of the Act </w:t>
      </w:r>
      <w:r>
        <w:t>for an extension of the period within which a person to whom notice is given to respond; or</w:t>
      </w:r>
    </w:p>
    <w:p>
      <w:pPr>
        <w:pStyle w:val="Indenta"/>
      </w:pPr>
      <w:r>
        <w:tab/>
        <w:t>(c)</w:t>
      </w:r>
      <w:r>
        <w:tab/>
        <w:t>section 42E of the Act seeking the Commission’s assistance in bargaining for an industrial agreement; or</w:t>
      </w:r>
    </w:p>
    <w:p>
      <w:pPr>
        <w:pStyle w:val="Ednotepara"/>
        <w:spacing w:before="80"/>
      </w:pPr>
      <w:r>
        <w:tab/>
        <w:t>[(d)</w:t>
      </w:r>
      <w:r>
        <w:tab/>
        <w:t>deleted]</w:t>
      </w:r>
    </w:p>
    <w:p>
      <w:pPr>
        <w:pStyle w:val="Indenta"/>
        <w:keepNext/>
      </w:pPr>
      <w:r>
        <w:lastRenderedPageBreak/>
        <w:tab/>
        <w:t>(e)</w:t>
      </w:r>
      <w:r>
        <w:tab/>
        <w:t xml:space="preserve">section 42H </w:t>
      </w:r>
      <w:r>
        <w:rPr>
          <w:snapToGrid w:val="0"/>
        </w:rPr>
        <w:t xml:space="preserve">of the Act </w:t>
      </w:r>
      <w:r>
        <w:t>for a declaration that bargaining has ended between negotiating parties,</w:t>
      </w:r>
    </w:p>
    <w:p>
      <w:pPr>
        <w:pStyle w:val="Subsection"/>
      </w:pPr>
      <w:r>
        <w:tab/>
      </w:r>
      <w:r>
        <w:tab/>
        <w:t>must have attached to it the grounds upon which the application is made.</w:t>
      </w:r>
    </w:p>
    <w:p>
      <w:pPr>
        <w:pStyle w:val="Subsection"/>
      </w:pPr>
      <w:r>
        <w:tab/>
        <w:t>(2)</w:t>
      </w:r>
      <w:r>
        <w:tab/>
        <w:t xml:space="preserve">The applicant </w:t>
      </w:r>
      <w:r>
        <w:rPr>
          <w:snapToGrid w:val="0"/>
        </w:rPr>
        <w:t>must</w:t>
      </w:r>
      <w:r>
        <w:t xml:space="preserve"> serve a copy of the application upon each other negotiating party.</w:t>
      </w:r>
    </w:p>
    <w:p>
      <w:pPr>
        <w:pStyle w:val="Subsection"/>
      </w:pPr>
      <w:r>
        <w:tab/>
        <w:t>(3)</w:t>
      </w:r>
      <w:r>
        <w:tab/>
        <w:t>No response need be filed to the application.</w:t>
      </w:r>
    </w:p>
    <w:p>
      <w:pPr>
        <w:pStyle w:val="Subsection"/>
        <w:keepNext/>
      </w:pPr>
      <w:r>
        <w:tab/>
        <w:t>(4)</w:t>
      </w:r>
      <w:r>
        <w:tab/>
        <w:t>Where an application has already been made under this regulation in relation to a matter, any further application under this regulation in relation to the matter may be made in writing to the Commission citing the first application number.</w:t>
      </w:r>
    </w:p>
    <w:p>
      <w:pPr>
        <w:pStyle w:val="Footnotesection"/>
      </w:pPr>
      <w:r>
        <w:tab/>
        <w:t>[Regulation 53 amended: Gazette 12 Oct 2010 p. 5154; 5 Mar 2019 p. 619</w:t>
      </w:r>
      <w:r>
        <w:noBreakHyphen/>
        <w:t>20.]</w:t>
      </w:r>
    </w:p>
    <w:p>
      <w:pPr>
        <w:pStyle w:val="Heading5"/>
      </w:pPr>
      <w:bookmarkStart w:id="110" w:name="_Toc201657165"/>
      <w:r>
        <w:rPr>
          <w:rStyle w:val="CharSectno"/>
        </w:rPr>
        <w:t>54A</w:t>
      </w:r>
      <w:r>
        <w:t>.</w:t>
      </w:r>
      <w:r>
        <w:tab/>
        <w:t>Orders as to specified matters on which agreement has not been reached</w:t>
      </w:r>
      <w:bookmarkEnd w:id="110"/>
    </w:p>
    <w:p>
      <w:pPr>
        <w:pStyle w:val="Subsection"/>
        <w:keepNext/>
      </w:pPr>
      <w:r>
        <w:tab/>
        <w:t>(1)</w:t>
      </w:r>
      <w:r>
        <w:tab/>
        <w:t xml:space="preserve">An application under section 42G(1)(c) of the Act for an order as to specified matters on which agreement has not been reached must — </w:t>
      </w:r>
    </w:p>
    <w:p>
      <w:pPr>
        <w:pStyle w:val="Indenta"/>
      </w:pPr>
      <w:r>
        <w:tab/>
        <w:t>(a)</w:t>
      </w:r>
      <w:r>
        <w:tab/>
        <w:t>be signed by all of the negotiating parties or their agents and, where necessary, be sealed by them; and</w:t>
      </w:r>
    </w:p>
    <w:p>
      <w:pPr>
        <w:pStyle w:val="Indenta"/>
        <w:keepNext/>
      </w:pPr>
      <w:r>
        <w:tab/>
        <w:t>(b)</w:t>
      </w:r>
      <w:r>
        <w:tab/>
        <w:t xml:space="preserve">have attached a statement that — </w:t>
      </w:r>
    </w:p>
    <w:p>
      <w:pPr>
        <w:pStyle w:val="Indenti"/>
      </w:pPr>
      <w:r>
        <w:tab/>
        <w:t>(i)</w:t>
      </w:r>
      <w:r>
        <w:tab/>
        <w:t>specifies the application mentioned in section 42G(1)(b) of the Act; and</w:t>
      </w:r>
    </w:p>
    <w:p>
      <w:pPr>
        <w:pStyle w:val="Indenti"/>
      </w:pPr>
      <w:r>
        <w:tab/>
        <w:t>(ii)</w:t>
      </w:r>
      <w:r>
        <w:tab/>
        <w:t>specifies the matters on which agreement has not been reached; and</w:t>
      </w:r>
    </w:p>
    <w:p>
      <w:pPr>
        <w:pStyle w:val="Indenti"/>
      </w:pPr>
      <w:r>
        <w:tab/>
        <w:t>(iii)</w:t>
      </w:r>
      <w:r>
        <w:tab/>
        <w:t>summarises the respective positions of the negotiating parties and the nature of the relief sought by each of them; and</w:t>
      </w:r>
    </w:p>
    <w:p>
      <w:pPr>
        <w:pStyle w:val="Indenti"/>
      </w:pPr>
      <w:r>
        <w:tab/>
        <w:t>(iv)</w:t>
      </w:r>
      <w:r>
        <w:tab/>
        <w:t>provides any other information considered by the negotiating parties to be relevant to the application.</w:t>
      </w:r>
    </w:p>
    <w:p>
      <w:pPr>
        <w:pStyle w:val="Subsection"/>
        <w:keepNext/>
      </w:pPr>
      <w:r>
        <w:lastRenderedPageBreak/>
        <w:tab/>
        <w:t>(2)</w:t>
      </w:r>
      <w:r>
        <w:tab/>
        <w:t>It is not necessary to serve the application or to file a response to the application.</w:t>
      </w:r>
    </w:p>
    <w:p>
      <w:pPr>
        <w:pStyle w:val="Footnotesection"/>
      </w:pPr>
      <w:r>
        <w:tab/>
        <w:t>[Regulation 54A inserted: Gazette 12 Oct 2010 p. 5154-5; amended: Gazette 5 Mar 2019 p. 619</w:t>
      </w:r>
      <w:r>
        <w:noBreakHyphen/>
        <w:t>20.]</w:t>
      </w:r>
    </w:p>
    <w:p>
      <w:pPr>
        <w:pStyle w:val="Heading5"/>
      </w:pPr>
      <w:bookmarkStart w:id="111" w:name="_Toc201657166"/>
      <w:r>
        <w:rPr>
          <w:rStyle w:val="CharSectno"/>
        </w:rPr>
        <w:t>54</w:t>
      </w:r>
      <w:r>
        <w:t>.</w:t>
      </w:r>
      <w:r>
        <w:tab/>
        <w:t>Enterprise order</w:t>
      </w:r>
      <w:bookmarkEnd w:id="111"/>
    </w:p>
    <w:p>
      <w:pPr>
        <w:pStyle w:val="Subsection"/>
      </w:pPr>
      <w:r>
        <w:tab/>
        <w:t>(1)</w:t>
      </w:r>
      <w:r>
        <w:tab/>
        <w:t>Any application for an enterprise order must, where applicable, cite the application number of any application made under regulation 53.</w:t>
      </w:r>
    </w:p>
    <w:p>
      <w:pPr>
        <w:pStyle w:val="Subsection"/>
      </w:pPr>
      <w:r>
        <w:tab/>
        <w:t>(2)</w:t>
      </w:r>
      <w:r>
        <w:tab/>
        <w:t>In all other respects the provisions of regulation 53 apply to an application under this regulation.</w:t>
      </w:r>
    </w:p>
    <w:p>
      <w:pPr>
        <w:pStyle w:val="Heading5"/>
        <w:rPr>
          <w:snapToGrid w:val="0"/>
        </w:rPr>
      </w:pPr>
      <w:bookmarkStart w:id="112" w:name="_Toc201657167"/>
      <w:r>
        <w:rPr>
          <w:rStyle w:val="CharSectno"/>
        </w:rPr>
        <w:t>55</w:t>
      </w:r>
      <w:r>
        <w:t>.</w:t>
      </w:r>
      <w:r>
        <w:tab/>
      </w:r>
      <w:r>
        <w:rPr>
          <w:snapToGrid w:val="0"/>
        </w:rPr>
        <w:t>Application for industrial agreement</w:t>
      </w:r>
      <w:bookmarkEnd w:id="112"/>
    </w:p>
    <w:p>
      <w:pPr>
        <w:pStyle w:val="Subsection"/>
        <w:keepNext/>
        <w:rPr>
          <w:snapToGrid w:val="0"/>
        </w:rPr>
      </w:pPr>
      <w:r>
        <w:rPr>
          <w:snapToGrid w:val="0"/>
        </w:rPr>
        <w:tab/>
      </w:r>
      <w:r>
        <w:t>(1)</w:t>
      </w:r>
      <w:r>
        <w:rPr>
          <w:snapToGrid w:val="0"/>
        </w:rPr>
        <w:tab/>
        <w:t>Any application for registration of an industrial agreement must be accompanied by — </w:t>
      </w:r>
    </w:p>
    <w:p>
      <w:pPr>
        <w:pStyle w:val="Indenta"/>
      </w:pPr>
      <w:r>
        <w:tab/>
        <w:t>(a)</w:t>
      </w:r>
      <w:r>
        <w:tab/>
        <w:t>a copy of the agreement, as executed by all of the parties to that agreement; and</w:t>
      </w:r>
    </w:p>
    <w:p>
      <w:pPr>
        <w:pStyle w:val="Indenta"/>
      </w:pPr>
      <w:r>
        <w:tab/>
        <w:t>(b)</w:t>
      </w:r>
      <w:r>
        <w:tab/>
        <w:t>a statement that summarises any changes that the agreement effects in the relevant rates of pay and conditions of employment of the employees to whom the agreement relates.</w:t>
      </w:r>
    </w:p>
    <w:p>
      <w:pPr>
        <w:pStyle w:val="Subsection"/>
      </w:pPr>
      <w:r>
        <w:tab/>
        <w:t>(2A)</w:t>
      </w:r>
      <w:r>
        <w:tab/>
        <w:t>An application by all of the parties to an agreement must be signed by each of them or their agents, and when necessary, sealed by them.</w:t>
      </w:r>
    </w:p>
    <w:p>
      <w:pPr>
        <w:pStyle w:val="Subsection"/>
      </w:pPr>
      <w:r>
        <w:tab/>
        <w:t>(2B)</w:t>
      </w:r>
      <w:r>
        <w:tab/>
        <w:t>It is not necessary to serve an application referred to in subregulation (2A) on the parties to the agreement or to file a response to the application.</w:t>
      </w:r>
    </w:p>
    <w:p>
      <w:pPr>
        <w:pStyle w:val="Subsection"/>
      </w:pPr>
      <w:r>
        <w:tab/>
        <w:t>(2)</w:t>
      </w:r>
      <w:r>
        <w:tab/>
        <w:t xml:space="preserve">An applicant to proceedings to which section 29A(2) </w:t>
      </w:r>
      <w:r>
        <w:rPr>
          <w:snapToGrid w:val="0"/>
        </w:rPr>
        <w:t xml:space="preserve">of the Act </w:t>
      </w:r>
      <w:r>
        <w:t xml:space="preserve">applies </w:t>
      </w:r>
      <w:r>
        <w:rPr>
          <w:snapToGrid w:val="0"/>
        </w:rPr>
        <w:t>must,</w:t>
      </w:r>
      <w:r>
        <w:t xml:space="preserve"> if the Registrar so requests and in the time required by the Registrar, lodge in the office of the Registrar a draft for settlement of the notice to be published in the required manner containing the information required by the Act.</w:t>
      </w:r>
    </w:p>
    <w:p>
      <w:pPr>
        <w:pStyle w:val="Subsection"/>
        <w:rPr>
          <w:snapToGrid w:val="0"/>
        </w:rPr>
      </w:pPr>
      <w:r>
        <w:rPr>
          <w:snapToGrid w:val="0"/>
        </w:rPr>
        <w:lastRenderedPageBreak/>
        <w:tab/>
      </w:r>
      <w:r>
        <w:t>(3)</w:t>
      </w:r>
      <w:r>
        <w:rPr>
          <w:snapToGrid w:val="0"/>
        </w:rPr>
        <w:tab/>
        <w:t>An application to which this regulation applies is not to be listed for hearing until after the expiration of 14 days from the date of publication unless the Commission otherwise directs in a particular case.</w:t>
      </w:r>
    </w:p>
    <w:p>
      <w:pPr>
        <w:pStyle w:val="Subsection"/>
        <w:rPr>
          <w:snapToGrid w:val="0"/>
        </w:rPr>
      </w:pPr>
      <w:r>
        <w:rPr>
          <w:snapToGrid w:val="0"/>
        </w:rPr>
        <w:tab/>
        <w:t>(4)</w:t>
      </w:r>
      <w:r>
        <w:rPr>
          <w:snapToGrid w:val="0"/>
        </w:rPr>
        <w:tab/>
        <w:t>On the registration of an industrial agreement the Registrar is to enter the agreement in the Register of Industrial Agreements.</w:t>
      </w:r>
    </w:p>
    <w:p>
      <w:pPr>
        <w:pStyle w:val="Subsection"/>
        <w:keepNext/>
      </w:pPr>
      <w:r>
        <w:tab/>
        <w:t>(5)</w:t>
      </w:r>
      <w:r>
        <w:tab/>
        <w:t>The Register referred to in subregulation (4) may be kept in the form of information stored on a computer.</w:t>
      </w:r>
    </w:p>
    <w:p>
      <w:pPr>
        <w:pStyle w:val="Footnotesection"/>
      </w:pPr>
      <w:r>
        <w:tab/>
        <w:t>[Regulation 55 amended: Gazette 12 Oct 2010 p. 5155; 5 Mar 2019 p. 597 and 619</w:t>
      </w:r>
      <w:r>
        <w:noBreakHyphen/>
        <w:t>20.]</w:t>
      </w:r>
    </w:p>
    <w:p>
      <w:pPr>
        <w:pStyle w:val="Heading5"/>
      </w:pPr>
      <w:bookmarkStart w:id="113" w:name="_Toc201657168"/>
      <w:r>
        <w:rPr>
          <w:rStyle w:val="CharSectno"/>
        </w:rPr>
        <w:t>56</w:t>
      </w:r>
      <w:r>
        <w:t>.</w:t>
      </w:r>
      <w:r>
        <w:tab/>
        <w:t>Retirement from industrial agreement</w:t>
      </w:r>
      <w:bookmarkEnd w:id="113"/>
    </w:p>
    <w:p>
      <w:pPr>
        <w:pStyle w:val="Subsection"/>
      </w:pPr>
      <w:r>
        <w:tab/>
      </w:r>
      <w:r>
        <w:tab/>
        <w:t>As soon as practicable after a notice under section 41(7) of the Act signifying a party’s intention to retire from an industrial agreement is filed, the Registrar must serve a copy of the notice on each other party to the agreement.</w:t>
      </w:r>
    </w:p>
    <w:p>
      <w:pPr>
        <w:pStyle w:val="Footnotesection"/>
      </w:pPr>
      <w:r>
        <w:tab/>
        <w:t>[Regulation 56 inserted: SL 2022/75 r. 8.]</w:t>
      </w:r>
    </w:p>
    <w:p>
      <w:pPr>
        <w:pStyle w:val="Heading5"/>
        <w:rPr>
          <w:snapToGrid w:val="0"/>
        </w:rPr>
      </w:pPr>
      <w:bookmarkStart w:id="114" w:name="_Toc201657169"/>
      <w:r>
        <w:rPr>
          <w:rStyle w:val="CharSectno"/>
        </w:rPr>
        <w:t>57</w:t>
      </w:r>
      <w:r>
        <w:t>.</w:t>
      </w:r>
      <w:r>
        <w:tab/>
      </w:r>
      <w:r>
        <w:rPr>
          <w:snapToGrid w:val="0"/>
        </w:rPr>
        <w:t>Variation of industrial agreement by subsequent agreement</w:t>
      </w:r>
      <w:bookmarkEnd w:id="114"/>
    </w:p>
    <w:p>
      <w:pPr>
        <w:pStyle w:val="Subsection"/>
        <w:rPr>
          <w:snapToGrid w:val="0"/>
        </w:rPr>
      </w:pPr>
      <w:r>
        <w:rPr>
          <w:snapToGrid w:val="0"/>
        </w:rPr>
        <w:tab/>
        <w:t>(1)</w:t>
      </w:r>
      <w:r>
        <w:rPr>
          <w:snapToGrid w:val="0"/>
        </w:rPr>
        <w:tab/>
        <w:t>Subject to this regulation the provisions of regulation 55 with such modifications as may be necessary apply to any industrial agreement that varies, renews, or cancels another industrial agreement.</w:t>
      </w:r>
    </w:p>
    <w:p>
      <w:pPr>
        <w:pStyle w:val="Subsection"/>
        <w:rPr>
          <w:snapToGrid w:val="0"/>
        </w:rPr>
      </w:pPr>
      <w:r>
        <w:rPr>
          <w:snapToGrid w:val="0"/>
        </w:rPr>
        <w:tab/>
        <w:t>(2)</w:t>
      </w:r>
      <w:r>
        <w:rPr>
          <w:snapToGrid w:val="0"/>
        </w:rPr>
        <w:tab/>
        <w:t>Where a party to the agreement that is being varied, renewed or cancelled is not a party to the amending agreement, that party must be named in a Schedule to the amending agreement.</w:t>
      </w:r>
    </w:p>
    <w:p>
      <w:pPr>
        <w:pStyle w:val="Heading5"/>
      </w:pPr>
      <w:bookmarkStart w:id="115" w:name="_Toc201657170"/>
      <w:r>
        <w:rPr>
          <w:rStyle w:val="CharSectno"/>
        </w:rPr>
        <w:t>58</w:t>
      </w:r>
      <w:r>
        <w:t>.</w:t>
      </w:r>
      <w:r>
        <w:tab/>
        <w:t>Application to waive notice required for production of records</w:t>
      </w:r>
      <w:bookmarkEnd w:id="115"/>
    </w:p>
    <w:p>
      <w:pPr>
        <w:pStyle w:val="Subsection"/>
        <w:rPr>
          <w:snapToGrid w:val="0"/>
        </w:rPr>
      </w:pPr>
      <w:r>
        <w:rPr>
          <w:snapToGrid w:val="0"/>
        </w:rPr>
        <w:tab/>
        <w:t>(1)</w:t>
      </w:r>
      <w:r>
        <w:rPr>
          <w:snapToGrid w:val="0"/>
        </w:rPr>
        <w:tab/>
        <w:t xml:space="preserve">Any application under section 49I(7) of the Act by an authorised representative to waive the requirement to give an employer notice of an intended exercise of a power under section 49I(6) of the Act must be in the form of a notice of application in </w:t>
      </w:r>
      <w:r>
        <w:t xml:space="preserve">the </w:t>
      </w:r>
      <w:r>
        <w:lastRenderedPageBreak/>
        <w:t>approved form</w:t>
      </w:r>
      <w:r>
        <w:rPr>
          <w:snapToGrid w:val="0"/>
        </w:rPr>
        <w:t xml:space="preserve"> to which there must be attached a statutory declaration by the representative setting out the grounds on which the waiver is sought.</w:t>
      </w:r>
    </w:p>
    <w:p>
      <w:pPr>
        <w:pStyle w:val="Subsection"/>
        <w:keepNext/>
        <w:rPr>
          <w:snapToGrid w:val="0"/>
        </w:rPr>
      </w:pPr>
      <w:r>
        <w:rPr>
          <w:snapToGrid w:val="0"/>
        </w:rPr>
        <w:tab/>
        <w:t>(2)</w:t>
      </w:r>
      <w:r>
        <w:rPr>
          <w:snapToGrid w:val="0"/>
        </w:rPr>
        <w:tab/>
        <w:t xml:space="preserve">It is not necessary to serve the application and the application may be dealt with by the Commission </w:t>
      </w:r>
      <w:r>
        <w:rPr>
          <w:iCs/>
          <w:snapToGrid w:val="0"/>
        </w:rPr>
        <w:t>ex parte</w:t>
      </w:r>
      <w:r>
        <w:rPr>
          <w:snapToGrid w:val="0"/>
        </w:rPr>
        <w:t xml:space="preserve"> in Chambers.</w:t>
      </w:r>
    </w:p>
    <w:p>
      <w:pPr>
        <w:pStyle w:val="Footnotesection"/>
      </w:pPr>
      <w:r>
        <w:tab/>
        <w:t>[Regulation 58 amended: Gazette 5 Mar 2019 p. 622.]</w:t>
      </w:r>
    </w:p>
    <w:p>
      <w:pPr>
        <w:pStyle w:val="Heading5"/>
        <w:rPr>
          <w:snapToGrid w:val="0"/>
        </w:rPr>
      </w:pPr>
      <w:bookmarkStart w:id="116" w:name="_Toc201657171"/>
      <w:r>
        <w:rPr>
          <w:rStyle w:val="CharSectno"/>
        </w:rPr>
        <w:t>59</w:t>
      </w:r>
      <w:r>
        <w:t>.</w:t>
      </w:r>
      <w:r>
        <w:tab/>
      </w:r>
      <w:r>
        <w:rPr>
          <w:snapToGrid w:val="0"/>
        </w:rPr>
        <w:t>Section 66 applications and directions</w:t>
      </w:r>
      <w:bookmarkEnd w:id="116"/>
    </w:p>
    <w:p>
      <w:pPr>
        <w:pStyle w:val="Subsection"/>
        <w:rPr>
          <w:snapToGrid w:val="0"/>
        </w:rPr>
      </w:pPr>
      <w:r>
        <w:rPr>
          <w:snapToGrid w:val="0"/>
        </w:rPr>
        <w:tab/>
        <w:t>(1)</w:t>
      </w:r>
      <w:r>
        <w:rPr>
          <w:snapToGrid w:val="0"/>
        </w:rPr>
        <w:tab/>
        <w:t xml:space="preserve">Any application under section 66 of the Act must be in the form of a notice of application in </w:t>
      </w:r>
      <w:r>
        <w:t>the approved form.</w:t>
      </w:r>
    </w:p>
    <w:p>
      <w:pPr>
        <w:pStyle w:val="Subsection"/>
        <w:keepNext/>
        <w:rPr>
          <w:snapToGrid w:val="0"/>
        </w:rPr>
      </w:pPr>
      <w:r>
        <w:rPr>
          <w:snapToGrid w:val="0"/>
        </w:rPr>
        <w:tab/>
        <w:t>(2)</w:t>
      </w:r>
      <w:r>
        <w:rPr>
          <w:snapToGrid w:val="0"/>
        </w:rPr>
        <w:tab/>
        <w:t>A statement of particulars must be attached to each such application, including, but not restricted to —</w:t>
      </w:r>
    </w:p>
    <w:p>
      <w:pPr>
        <w:pStyle w:val="Indenta"/>
        <w:rPr>
          <w:snapToGrid w:val="0"/>
        </w:rPr>
      </w:pPr>
      <w:r>
        <w:rPr>
          <w:snapToGrid w:val="0"/>
        </w:rPr>
        <w:tab/>
        <w:t>(a)</w:t>
      </w:r>
      <w:r>
        <w:rPr>
          <w:snapToGrid w:val="0"/>
        </w:rPr>
        <w:tab/>
        <w:t>particulars of the standing of the applicant as prescribed by section 66(1) of the Act; and</w:t>
      </w:r>
    </w:p>
    <w:p>
      <w:pPr>
        <w:pStyle w:val="Indenta"/>
        <w:rPr>
          <w:snapToGrid w:val="0"/>
        </w:rPr>
      </w:pPr>
      <w:r>
        <w:rPr>
          <w:snapToGrid w:val="0"/>
        </w:rPr>
        <w:tab/>
        <w:t>(b)</w:t>
      </w:r>
      <w:r>
        <w:rPr>
          <w:snapToGrid w:val="0"/>
        </w:rPr>
        <w:tab/>
      </w:r>
      <w:r>
        <w:t>p</w:t>
      </w:r>
      <w:r>
        <w:rPr>
          <w:snapToGrid w:val="0"/>
        </w:rPr>
        <w:t>articulars of any alleged breach of a rule of any organisation or particulars of any rule of any organisation in relation to which a remedy is sought under section 66 of the Act; and</w:t>
      </w:r>
    </w:p>
    <w:p>
      <w:pPr>
        <w:pStyle w:val="Indenta"/>
        <w:rPr>
          <w:snapToGrid w:val="0"/>
        </w:rPr>
      </w:pPr>
      <w:r>
        <w:tab/>
        <w:t>(c)</w:t>
      </w:r>
      <w:r>
        <w:tab/>
      </w:r>
      <w:r>
        <w:rPr>
          <w:snapToGrid w:val="0"/>
        </w:rPr>
        <w:t>the orders or directions sought.</w:t>
      </w:r>
    </w:p>
    <w:p>
      <w:pPr>
        <w:pStyle w:val="Subsection"/>
        <w:rPr>
          <w:snapToGrid w:val="0"/>
        </w:rPr>
      </w:pPr>
      <w:r>
        <w:rPr>
          <w:snapToGrid w:val="0"/>
        </w:rPr>
        <w:tab/>
        <w:t>(3)</w:t>
      </w:r>
      <w:r>
        <w:rPr>
          <w:snapToGrid w:val="0"/>
        </w:rPr>
        <w:tab/>
        <w:t xml:space="preserve">The application, after it has been filed in the office of the Registrar, must be transmitted to the </w:t>
      </w:r>
      <w:r>
        <w:t>Chief Commissioner’s</w:t>
      </w:r>
      <w:r>
        <w:rPr>
          <w:snapToGrid w:val="0"/>
        </w:rPr>
        <w:t xml:space="preserve"> Associate to be endorsed with directions given by the </w:t>
      </w:r>
      <w:r>
        <w:t>Chief Commissioner</w:t>
      </w:r>
      <w:r>
        <w:rPr>
          <w:snapToGrid w:val="0"/>
        </w:rPr>
        <w:t xml:space="preserve"> as to service, a date of hearing, or any directions hearing.</w:t>
      </w:r>
    </w:p>
    <w:p>
      <w:pPr>
        <w:pStyle w:val="Subsection"/>
        <w:keepNext/>
        <w:rPr>
          <w:snapToGrid w:val="0"/>
        </w:rPr>
      </w:pPr>
      <w:r>
        <w:rPr>
          <w:snapToGrid w:val="0"/>
        </w:rPr>
        <w:tab/>
        <w:t>(4)</w:t>
      </w:r>
      <w:r>
        <w:rPr>
          <w:snapToGrid w:val="0"/>
        </w:rPr>
        <w:tab/>
        <w:t>The matter is then to proceed in accordance with those directions.</w:t>
      </w:r>
    </w:p>
    <w:p>
      <w:pPr>
        <w:pStyle w:val="Footnotesection"/>
      </w:pPr>
      <w:r>
        <w:tab/>
        <w:t>[Regulation 59 amended: Gazette 19 Dec 2018 p. 4839; 5 Mar 2019 p. 622.]</w:t>
      </w:r>
    </w:p>
    <w:p>
      <w:pPr>
        <w:pStyle w:val="Heading5"/>
        <w:keepLines w:val="0"/>
        <w:widowControl w:val="0"/>
        <w:rPr>
          <w:snapToGrid w:val="0"/>
        </w:rPr>
      </w:pPr>
      <w:bookmarkStart w:id="117" w:name="_Toc201657172"/>
      <w:r>
        <w:rPr>
          <w:rStyle w:val="CharSectno"/>
        </w:rPr>
        <w:lastRenderedPageBreak/>
        <w:t>60</w:t>
      </w:r>
      <w:r>
        <w:t>.</w:t>
      </w:r>
      <w:r>
        <w:tab/>
      </w:r>
      <w:r>
        <w:rPr>
          <w:snapToGrid w:val="0"/>
        </w:rPr>
        <w:t>Proceedings before Full Bench for enforcement of Act</w:t>
      </w:r>
      <w:bookmarkEnd w:id="117"/>
    </w:p>
    <w:p>
      <w:pPr>
        <w:pStyle w:val="Subsection"/>
        <w:rPr>
          <w:snapToGrid w:val="0"/>
        </w:rPr>
      </w:pPr>
      <w:r>
        <w:rPr>
          <w:snapToGrid w:val="0"/>
        </w:rPr>
        <w:tab/>
        <w:t>(1)</w:t>
      </w:r>
      <w:r>
        <w:rPr>
          <w:snapToGrid w:val="0"/>
        </w:rPr>
        <w:tab/>
        <w:t xml:space="preserve">An application for enforcement under section 84A of the Act must be in the form of a notice of application in </w:t>
      </w:r>
      <w:r>
        <w:t>the approved form.</w:t>
      </w:r>
    </w:p>
    <w:p>
      <w:pPr>
        <w:pStyle w:val="Subsection"/>
        <w:rPr>
          <w:snapToGrid w:val="0"/>
        </w:rPr>
      </w:pPr>
      <w:r>
        <w:rPr>
          <w:snapToGrid w:val="0"/>
        </w:rPr>
        <w:tab/>
        <w:t>(2)</w:t>
      </w:r>
      <w:r>
        <w:rPr>
          <w:snapToGrid w:val="0"/>
        </w:rPr>
        <w:tab/>
        <w:t>Where the application is made by the Registrar to enforce a direction, order or declaration made under section 32 of the Act, or in respect of a contravention or failure to comply with section 44(3) of the Act, a copy of the direction given to the Registrar is to be attached to the summons.</w:t>
      </w:r>
    </w:p>
    <w:p>
      <w:pPr>
        <w:pStyle w:val="Subsection"/>
        <w:rPr>
          <w:snapToGrid w:val="0"/>
        </w:rPr>
      </w:pPr>
      <w:r>
        <w:rPr>
          <w:snapToGrid w:val="0"/>
        </w:rPr>
        <w:tab/>
        <w:t>(3)</w:t>
      </w:r>
      <w:r>
        <w:rPr>
          <w:snapToGrid w:val="0"/>
        </w:rPr>
        <w:tab/>
        <w:t>A direction to the Registrar or deputy registrar referred to in sections 84A(1)(b) and 93(9) of the Act is to be given by the Commission in writing.</w:t>
      </w:r>
    </w:p>
    <w:p>
      <w:pPr>
        <w:pStyle w:val="Subsection"/>
        <w:rPr>
          <w:snapToGrid w:val="0"/>
        </w:rPr>
      </w:pPr>
      <w:r>
        <w:rPr>
          <w:snapToGrid w:val="0"/>
        </w:rPr>
        <w:tab/>
        <w:t>(4)</w:t>
      </w:r>
      <w:r>
        <w:rPr>
          <w:snapToGrid w:val="0"/>
        </w:rPr>
        <w:tab/>
        <w:t>Where the application is made other than by the Registrar at the direction of the Commission the application is to have attached to it a statement in summary form of the circumstances giving rise to the application.</w:t>
      </w:r>
    </w:p>
    <w:p>
      <w:pPr>
        <w:pStyle w:val="Subsection"/>
        <w:rPr>
          <w:snapToGrid w:val="0"/>
        </w:rPr>
      </w:pPr>
      <w:r>
        <w:rPr>
          <w:snapToGrid w:val="0"/>
        </w:rPr>
        <w:tab/>
        <w:t>(5)</w:t>
      </w:r>
      <w:r>
        <w:rPr>
          <w:snapToGrid w:val="0"/>
        </w:rPr>
        <w:tab/>
        <w:t xml:space="preserve">The Registrar is to ascertain from the </w:t>
      </w:r>
      <w:r>
        <w:t>presiding commissioner</w:t>
      </w:r>
      <w:r>
        <w:rPr>
          <w:snapToGrid w:val="0"/>
        </w:rPr>
        <w:t xml:space="preserve"> a date to be specified in the summons endorsed on the notice of application and that date is not without good cause to be less than 14 days from the date on which the notice of application is filed in the office of the Registrar.</w:t>
      </w:r>
    </w:p>
    <w:p>
      <w:pPr>
        <w:pStyle w:val="Subsection"/>
        <w:rPr>
          <w:snapToGrid w:val="0"/>
        </w:rPr>
      </w:pPr>
      <w:r>
        <w:rPr>
          <w:snapToGrid w:val="0"/>
        </w:rPr>
        <w:tab/>
        <w:t>(6)</w:t>
      </w:r>
      <w:r>
        <w:rPr>
          <w:snapToGrid w:val="0"/>
        </w:rPr>
        <w:tab/>
        <w:t>As soon as practicable after the application is filed the Registrar is to cause the notice of application to be served on the respondent and in any event not less than 7 days before the date set for hearing of the application.</w:t>
      </w:r>
    </w:p>
    <w:p>
      <w:pPr>
        <w:pStyle w:val="Subsection"/>
        <w:keepNext/>
        <w:rPr>
          <w:snapToGrid w:val="0"/>
        </w:rPr>
      </w:pPr>
      <w:r>
        <w:rPr>
          <w:snapToGrid w:val="0"/>
        </w:rPr>
        <w:tab/>
        <w:t>(7)</w:t>
      </w:r>
      <w:r>
        <w:rPr>
          <w:snapToGrid w:val="0"/>
        </w:rPr>
        <w:tab/>
        <w:t>The applicant must appear in person or be represented at the hearing of the application.</w:t>
      </w:r>
    </w:p>
    <w:p>
      <w:pPr>
        <w:pStyle w:val="Footnotesection"/>
      </w:pPr>
      <w:r>
        <w:tab/>
        <w:t>[Regulation 60 amended: Gazette 19 Dec 2018 p. 4840; 5 Mar 2019 p. 622.]</w:t>
      </w:r>
    </w:p>
    <w:p>
      <w:pPr>
        <w:pStyle w:val="Heading5"/>
      </w:pPr>
      <w:bookmarkStart w:id="118" w:name="_Toc201657173"/>
      <w:r>
        <w:rPr>
          <w:rStyle w:val="CharSectno"/>
        </w:rPr>
        <w:lastRenderedPageBreak/>
        <w:t>60AA</w:t>
      </w:r>
      <w:r>
        <w:t>.</w:t>
      </w:r>
      <w:r>
        <w:tab/>
        <w:t xml:space="preserve">Industrial matter under </w:t>
      </w:r>
      <w:r>
        <w:rPr>
          <w:i/>
          <w:iCs/>
        </w:rPr>
        <w:t>Public Sector Management Act 1994</w:t>
      </w:r>
      <w:r>
        <w:t xml:space="preserve"> s. 95 or s. 96A</w:t>
      </w:r>
      <w:bookmarkEnd w:id="118"/>
    </w:p>
    <w:p>
      <w:pPr>
        <w:pStyle w:val="Subsection"/>
      </w:pPr>
      <w:r>
        <w:tab/>
        <w:t>(1)</w:t>
      </w:r>
      <w:r>
        <w:tab/>
        <w:t xml:space="preserve">In this regulation — </w:t>
      </w:r>
    </w:p>
    <w:p>
      <w:pPr>
        <w:pStyle w:val="Defstart"/>
      </w:pPr>
      <w:r>
        <w:tab/>
      </w:r>
      <w:r>
        <w:rPr>
          <w:rStyle w:val="CharDefText"/>
        </w:rPr>
        <w:t>section 94 decision</w:t>
      </w:r>
      <w:r>
        <w:t xml:space="preserve"> means a decision that may be referred to the Commission under the </w:t>
      </w:r>
      <w:r>
        <w:rPr>
          <w:i/>
          <w:iCs/>
        </w:rPr>
        <w:t>Public Sector Management Act 1994</w:t>
      </w:r>
      <w:r>
        <w:t xml:space="preserve"> section 95(2);</w:t>
      </w:r>
    </w:p>
    <w:p>
      <w:pPr>
        <w:pStyle w:val="Defstart"/>
      </w:pPr>
      <w:r>
        <w:tab/>
      </w:r>
      <w:r>
        <w:rPr>
          <w:rStyle w:val="CharDefText"/>
        </w:rPr>
        <w:t>section 95A decision</w:t>
      </w:r>
      <w:r>
        <w:t xml:space="preserve"> means a decision that may be referred to the Commission under the </w:t>
      </w:r>
      <w:r>
        <w:rPr>
          <w:i/>
          <w:iCs/>
        </w:rPr>
        <w:t>Public Sector Management Act 1994</w:t>
      </w:r>
      <w:r>
        <w:t xml:space="preserve"> section 96A(2).</w:t>
      </w:r>
    </w:p>
    <w:p>
      <w:pPr>
        <w:pStyle w:val="Subsection"/>
      </w:pPr>
      <w:r>
        <w:tab/>
        <w:t>(2)</w:t>
      </w:r>
      <w:r>
        <w:tab/>
        <w:t xml:space="preserve">This regulation applies if — </w:t>
      </w:r>
    </w:p>
    <w:p>
      <w:pPr>
        <w:pStyle w:val="Indenta"/>
      </w:pPr>
      <w:r>
        <w:tab/>
        <w:t>(a)</w:t>
      </w:r>
      <w:r>
        <w:tab/>
        <w:t xml:space="preserve">an employee refers a section 94 decision to the Commission under the </w:t>
      </w:r>
      <w:r>
        <w:rPr>
          <w:i/>
          <w:iCs/>
        </w:rPr>
        <w:t>Public Sector Management Act 1994</w:t>
      </w:r>
      <w:r>
        <w:t xml:space="preserve"> section 95(2); or</w:t>
      </w:r>
    </w:p>
    <w:p>
      <w:pPr>
        <w:pStyle w:val="Indenta"/>
      </w:pPr>
      <w:r>
        <w:tab/>
        <w:t>(b)</w:t>
      </w:r>
      <w:r>
        <w:tab/>
        <w:t xml:space="preserve">an employee or former employee refers a section 95A decision to the Commission under the </w:t>
      </w:r>
      <w:r>
        <w:rPr>
          <w:i/>
          <w:iCs/>
        </w:rPr>
        <w:t>Public Sector Management Act 1994</w:t>
      </w:r>
      <w:r>
        <w:t xml:space="preserve"> section 96A(2).</w:t>
      </w:r>
    </w:p>
    <w:p>
      <w:pPr>
        <w:pStyle w:val="Subsection"/>
      </w:pPr>
      <w:r>
        <w:tab/>
        <w:t>(3)</w:t>
      </w:r>
      <w:r>
        <w:tab/>
        <w:t xml:space="preserve">The referral must be made by application that — </w:t>
      </w:r>
    </w:p>
    <w:p>
      <w:pPr>
        <w:pStyle w:val="Indenta"/>
      </w:pPr>
      <w:r>
        <w:tab/>
        <w:t>(a)</w:t>
      </w:r>
      <w:r>
        <w:tab/>
        <w:t>is in the approved form; and</w:t>
      </w:r>
    </w:p>
    <w:p>
      <w:pPr>
        <w:pStyle w:val="Indenta"/>
      </w:pPr>
      <w:r>
        <w:tab/>
        <w:t>(b)</w:t>
      </w:r>
      <w:r>
        <w:tab/>
        <w:t>includes a statement that clearly and concisely sets out the grounds of the referral; and</w:t>
      </w:r>
    </w:p>
    <w:p>
      <w:pPr>
        <w:pStyle w:val="Indenta"/>
      </w:pPr>
      <w:r>
        <w:tab/>
        <w:t>(c)</w:t>
      </w:r>
      <w:r>
        <w:tab/>
        <w:t>has attached to it the particulars approved by the Chief Commissioner from time to time.</w:t>
      </w:r>
    </w:p>
    <w:p>
      <w:pPr>
        <w:pStyle w:val="Subsection"/>
      </w:pPr>
      <w:r>
        <w:tab/>
        <w:t>(4)</w:t>
      </w:r>
      <w:r>
        <w:tab/>
        <w:t xml:space="preserve">If the decision is referred to the Commission after the time prescribed under the </w:t>
      </w:r>
      <w:r>
        <w:rPr>
          <w:i/>
          <w:iCs/>
        </w:rPr>
        <w:t>Public Sector Management Act 1994</w:t>
      </w:r>
      <w:r>
        <w:t xml:space="preserve"> section 108, the application must also have attached to it a statement from the applicant setting out the facts on which the applicant relies to show why it would be unfair for the Commission not to accept the referral.</w:t>
      </w:r>
    </w:p>
    <w:p>
      <w:pPr>
        <w:pStyle w:val="Subsection"/>
      </w:pPr>
      <w:r>
        <w:tab/>
        <w:t>(5)</w:t>
      </w:r>
      <w:r>
        <w:tab/>
        <w:t>Unless the Commission otherwise directs, the Registrar must, as soon as practicable after the application is made, serve a copy of the application and any accompanying documents on the employer of the applicant.</w:t>
      </w:r>
    </w:p>
    <w:p>
      <w:pPr>
        <w:pStyle w:val="Subsection"/>
      </w:pPr>
      <w:r>
        <w:lastRenderedPageBreak/>
        <w:tab/>
        <w:t>(6)</w:t>
      </w:r>
      <w:r>
        <w:tab/>
        <w:t>An employer that is served with a copy of the application and that wants to respond to the referral must file a response in the approved form within 21 days after being served with a copy of the application.</w:t>
      </w:r>
    </w:p>
    <w:p>
      <w:pPr>
        <w:pStyle w:val="Subsection"/>
      </w:pPr>
      <w:r>
        <w:tab/>
        <w:t>(7)</w:t>
      </w:r>
      <w:r>
        <w:tab/>
        <w:t>A response must, in summary form, specify the facts on which the respondent relies and specifically admit or dispute, either with or without qualification, each part of the application.</w:t>
      </w:r>
    </w:p>
    <w:p>
      <w:pPr>
        <w:pStyle w:val="Subsection"/>
      </w:pPr>
      <w:r>
        <w:tab/>
        <w:t>(8)</w:t>
      </w:r>
      <w:r>
        <w:tab/>
        <w:t>Unless the Commission otherwise directs, the Registrar must, as soon as practicable after a response is filed, serve a copy of the response on the applicant.</w:t>
      </w:r>
    </w:p>
    <w:p>
      <w:pPr>
        <w:pStyle w:val="Footnotesection"/>
      </w:pPr>
      <w:r>
        <w:tab/>
        <w:t>[Regulation 60AA inserted: SL 2025/21 r. 4.]</w:t>
      </w:r>
    </w:p>
    <w:p>
      <w:pPr>
        <w:pStyle w:val="Ednotepart"/>
      </w:pPr>
      <w:r>
        <w:t>[Part 6 heading deleted: SL 2022/75 r. 9.]</w:t>
      </w:r>
    </w:p>
    <w:p>
      <w:pPr>
        <w:pStyle w:val="Ednotedivision"/>
      </w:pPr>
      <w:r>
        <w:t>[Part 6 Division 1 heading deleted: SL 2022/75 r. 9.]</w:t>
      </w:r>
    </w:p>
    <w:p>
      <w:pPr>
        <w:pStyle w:val="Heading5"/>
      </w:pPr>
      <w:bookmarkStart w:id="119" w:name="_Toc201657174"/>
      <w:r>
        <w:rPr>
          <w:rStyle w:val="CharSectno"/>
        </w:rPr>
        <w:t>60A</w:t>
      </w:r>
      <w:r>
        <w:t>.</w:t>
      </w:r>
      <w:r>
        <w:tab/>
        <w:t>Applications for equal remuneration orders</w:t>
      </w:r>
      <w:bookmarkEnd w:id="119"/>
    </w:p>
    <w:p>
      <w:pPr>
        <w:pStyle w:val="Subsection"/>
        <w:keepNext/>
      </w:pPr>
      <w:r>
        <w:tab/>
        <w:t>(1)</w:t>
      </w:r>
      <w:r>
        <w:tab/>
        <w:t xml:space="preserve">An application under section 29(1)(b) of the Act for an equal remuneration order must be in the approved form and have attached to it a statement that includes details of the following — </w:t>
      </w:r>
    </w:p>
    <w:p>
      <w:pPr>
        <w:pStyle w:val="Indenta"/>
      </w:pPr>
      <w:r>
        <w:tab/>
        <w:t>(a)</w:t>
      </w:r>
      <w:r>
        <w:tab/>
        <w:t>the terms of the order sought;</w:t>
      </w:r>
    </w:p>
    <w:p>
      <w:pPr>
        <w:pStyle w:val="Indenta"/>
      </w:pPr>
      <w:r>
        <w:tab/>
        <w:t>(b)</w:t>
      </w:r>
      <w:r>
        <w:tab/>
        <w:t xml:space="preserve">the employees to be covered by the order; </w:t>
      </w:r>
    </w:p>
    <w:p>
      <w:pPr>
        <w:pStyle w:val="Indenta"/>
      </w:pPr>
      <w:r>
        <w:tab/>
        <w:t>(c)</w:t>
      </w:r>
      <w:r>
        <w:tab/>
        <w:t>any industrial instrument that applies to those employees;</w:t>
      </w:r>
    </w:p>
    <w:p>
      <w:pPr>
        <w:pStyle w:val="Indenta"/>
      </w:pPr>
      <w:r>
        <w:tab/>
        <w:t>(d)</w:t>
      </w:r>
      <w:r>
        <w:tab/>
        <w:t>the nature of the work, skill and responsibility required of those employees;</w:t>
      </w:r>
    </w:p>
    <w:p>
      <w:pPr>
        <w:pStyle w:val="Indenta"/>
      </w:pPr>
      <w:r>
        <w:tab/>
        <w:t>(e)</w:t>
      </w:r>
      <w:r>
        <w:tab/>
        <w:t>any applications for an alternative remedy that have been made in relation to those employees.</w:t>
      </w:r>
    </w:p>
    <w:p>
      <w:pPr>
        <w:pStyle w:val="Subsection"/>
      </w:pPr>
      <w:r>
        <w:tab/>
        <w:t>(2)</w:t>
      </w:r>
      <w:r>
        <w:tab/>
        <w:t>After an application is filed, the Registrar must seek directions from the Commission as to service of the application.</w:t>
      </w:r>
    </w:p>
    <w:p>
      <w:pPr>
        <w:pStyle w:val="Subsection"/>
      </w:pPr>
      <w:r>
        <w:lastRenderedPageBreak/>
        <w:tab/>
        <w:t>(3)</w:t>
      </w:r>
      <w:r>
        <w:tab/>
        <w:t>The Registrar must serve a copy of the application together with its attachments as directed by the Commission.</w:t>
      </w:r>
    </w:p>
    <w:p>
      <w:pPr>
        <w:pStyle w:val="Subsection"/>
      </w:pPr>
      <w:r>
        <w:tab/>
        <w:t>(4)</w:t>
      </w:r>
      <w:r>
        <w:tab/>
        <w:t>A respondent who is served with an application and who wants to respond to the application must file a response in the approved form within 14 days after being served with the application.</w:t>
      </w:r>
    </w:p>
    <w:p>
      <w:pPr>
        <w:pStyle w:val="Subsection"/>
        <w:keepNext/>
      </w:pPr>
      <w:r>
        <w:tab/>
        <w:t>(5)</w:t>
      </w:r>
      <w:r>
        <w:tab/>
        <w:t xml:space="preserve">A response — </w:t>
      </w:r>
    </w:p>
    <w:p>
      <w:pPr>
        <w:pStyle w:val="Indenta"/>
      </w:pPr>
      <w:r>
        <w:tab/>
        <w:t>(a)</w:t>
      </w:r>
      <w:r>
        <w:tab/>
        <w:t>must, in summary form, specify the facts on which the respondent relies and specifically admit or dispute, either with or without qualification, each part of the application; and</w:t>
      </w:r>
    </w:p>
    <w:p>
      <w:pPr>
        <w:pStyle w:val="Indenta"/>
      </w:pPr>
      <w:r>
        <w:tab/>
        <w:t>(b)</w:t>
      </w:r>
      <w:r>
        <w:tab/>
        <w:t>may contain a counter</w:t>
      </w:r>
      <w:r>
        <w:noBreakHyphen/>
        <w:t>proposal in which case the response must clearly specify in detail what is proposed.</w:t>
      </w:r>
    </w:p>
    <w:p>
      <w:pPr>
        <w:pStyle w:val="Subsection"/>
      </w:pPr>
      <w:r>
        <w:tab/>
        <w:t>(6)</w:t>
      </w:r>
      <w:r>
        <w:tab/>
        <w:t>As soon as practicable after a respondent files a response, the Registrar must serve a copy of the response on each other party.</w:t>
      </w:r>
    </w:p>
    <w:p>
      <w:pPr>
        <w:pStyle w:val="Subsection"/>
      </w:pPr>
      <w:r>
        <w:tab/>
        <w:t>(7)</w:t>
      </w:r>
      <w:r>
        <w:tab/>
        <w:t>If the applicant is served with a response and wants to reply to the response, the applicant must file a reply in writing within 14 days of being served with the response.</w:t>
      </w:r>
    </w:p>
    <w:p>
      <w:pPr>
        <w:pStyle w:val="Subsection"/>
        <w:keepNext/>
      </w:pPr>
      <w:r>
        <w:tab/>
        <w:t>(8)</w:t>
      </w:r>
      <w:r>
        <w:tab/>
        <w:t xml:space="preserve">Subregulation (9) applies to a party to an application for an equal remuneration order if the party — </w:t>
      </w:r>
    </w:p>
    <w:p>
      <w:pPr>
        <w:pStyle w:val="Indenta"/>
      </w:pPr>
      <w:r>
        <w:tab/>
        <w:t>(a)</w:t>
      </w:r>
      <w:r>
        <w:tab/>
        <w:t>was served with a copy of the application or a copy of a response containing a counter</w:t>
      </w:r>
      <w:r>
        <w:noBreakHyphen/>
        <w:t>proposal; and</w:t>
      </w:r>
    </w:p>
    <w:p>
      <w:pPr>
        <w:pStyle w:val="Indenta"/>
      </w:pPr>
      <w:r>
        <w:tab/>
        <w:t>(b)</w:t>
      </w:r>
      <w:r>
        <w:tab/>
        <w:t>did not file a response or a reply, as the case may be, within the times respectively allowed under these regulations.</w:t>
      </w:r>
    </w:p>
    <w:p>
      <w:pPr>
        <w:pStyle w:val="Subsection"/>
        <w:keepNext/>
      </w:pPr>
      <w:r>
        <w:tab/>
        <w:t>(9)</w:t>
      </w:r>
      <w:r>
        <w:tab/>
        <w:t>At a hearing of the application, the party may be heard with respect to the application or the counter</w:t>
      </w:r>
      <w:r>
        <w:noBreakHyphen/>
        <w:t>proposal —</w:t>
      </w:r>
    </w:p>
    <w:p>
      <w:pPr>
        <w:pStyle w:val="Indenta"/>
      </w:pPr>
      <w:r>
        <w:tab/>
        <w:t>(a)</w:t>
      </w:r>
      <w:r>
        <w:tab/>
        <w:t xml:space="preserve">only by leave of the Commission; and </w:t>
      </w:r>
    </w:p>
    <w:p>
      <w:pPr>
        <w:pStyle w:val="Indenta"/>
        <w:keepNext/>
      </w:pPr>
      <w:r>
        <w:tab/>
        <w:t>(b)</w:t>
      </w:r>
      <w:r>
        <w:tab/>
        <w:t>on the conditions, if any, imposed by the Commission.</w:t>
      </w:r>
    </w:p>
    <w:p>
      <w:pPr>
        <w:pStyle w:val="Footnotesection"/>
      </w:pPr>
      <w:r>
        <w:tab/>
        <w:t>[Regulation 60A inserted: SL 2022/75 r. 10.]</w:t>
      </w:r>
    </w:p>
    <w:p>
      <w:pPr>
        <w:pStyle w:val="Heading5"/>
      </w:pPr>
      <w:bookmarkStart w:id="120" w:name="_Toc201657175"/>
      <w:r>
        <w:rPr>
          <w:rStyle w:val="CharSectno"/>
        </w:rPr>
        <w:lastRenderedPageBreak/>
        <w:t>61</w:t>
      </w:r>
      <w:r>
        <w:t>.</w:t>
      </w:r>
      <w:r>
        <w:tab/>
        <w:t>Unfair dismissal and contractual benefit claims by employees</w:t>
      </w:r>
      <w:bookmarkEnd w:id="120"/>
    </w:p>
    <w:p>
      <w:pPr>
        <w:pStyle w:val="Subsection"/>
        <w:keepNext/>
      </w:pPr>
      <w:r>
        <w:tab/>
        <w:t>(1)</w:t>
      </w:r>
      <w:r>
        <w:tab/>
        <w:t>The following claims must be referred to the Commission by application in the approved form and have attached to the application the particulars approved by the Chief Commissioner from time to time —</w:t>
      </w:r>
    </w:p>
    <w:p>
      <w:pPr>
        <w:pStyle w:val="Indenta"/>
      </w:pPr>
      <w:r>
        <w:tab/>
        <w:t>(a)</w:t>
      </w:r>
      <w:r>
        <w:tab/>
        <w:t>a claim by an employee, referred under section 29(1)(c) of the Act, that the employee has been harshly, oppressively or unfairly dismissed from employment;</w:t>
      </w:r>
    </w:p>
    <w:p>
      <w:pPr>
        <w:pStyle w:val="Indenta"/>
      </w:pPr>
      <w:r>
        <w:tab/>
        <w:t>(b)</w:t>
      </w:r>
      <w:r>
        <w:tab/>
        <w:t>a claim by an employee, referred under section 29(1)(d) of the Act, that an employer has not allowed the employee a benefit, other than a benefit under an award or an order, to which the employee is entitled under the contract of employment.</w:t>
      </w:r>
    </w:p>
    <w:p>
      <w:pPr>
        <w:pStyle w:val="Subsection"/>
      </w:pPr>
      <w:r>
        <w:tab/>
        <w:t>(2)</w:t>
      </w:r>
      <w:r>
        <w:tab/>
        <w:t>If a claim is referred under section 29(1)(c) of the Act after the time prescribed in section 29(2) of the Act, the application must have attached to it a statement from the applicant setting out the facts on which the applicant relies to show why it would be unfair for the Commission not to accept the referral.</w:t>
      </w:r>
    </w:p>
    <w:p>
      <w:pPr>
        <w:pStyle w:val="Subsection"/>
      </w:pPr>
      <w:r>
        <w:tab/>
        <w:t>(3)</w:t>
      </w:r>
      <w:r>
        <w:tab/>
        <w:t>Unless the Commission otherwise directs, the Registrar must, as soon as practicable after an application is filed, serve a copy of the application on each respondent.</w:t>
      </w:r>
    </w:p>
    <w:p>
      <w:pPr>
        <w:pStyle w:val="Subsection"/>
      </w:pPr>
      <w:r>
        <w:tab/>
        <w:t>(4)</w:t>
      </w:r>
      <w:r>
        <w:tab/>
        <w:t>A respondent who is served with an application and who wants to respond to the application must file a response in the approved form within 21 days after being served with the application.</w:t>
      </w:r>
    </w:p>
    <w:p>
      <w:pPr>
        <w:pStyle w:val="Subsection"/>
      </w:pPr>
      <w:r>
        <w:tab/>
        <w:t>(5)</w:t>
      </w:r>
      <w:r>
        <w:tab/>
        <w:t>A response must, in summary form, specify the facts on which the respondent relies and specifically admit or dispute, either with or without qualification, each part of the claim made by the applicant.</w:t>
      </w:r>
    </w:p>
    <w:p>
      <w:pPr>
        <w:pStyle w:val="Subsection"/>
      </w:pPr>
      <w:r>
        <w:tab/>
        <w:t>(6)</w:t>
      </w:r>
      <w:r>
        <w:tab/>
        <w:t>Unless the Commission otherwise directs, the Registrar must, as soon as practicable after a response is filed, serve a copy of the response on the applicant.</w:t>
      </w:r>
    </w:p>
    <w:p>
      <w:pPr>
        <w:pStyle w:val="Subsection"/>
        <w:keepNext/>
      </w:pPr>
      <w:r>
        <w:lastRenderedPageBreak/>
        <w:tab/>
        <w:t>(7)</w:t>
      </w:r>
      <w:r>
        <w:tab/>
        <w:t>At a hearing by the Commission of an application, a party who was served with a copy of the application and who did not file a response within the time allowed under these regulations may only be heard on the matters raised in the application and not on any other matter.</w:t>
      </w:r>
    </w:p>
    <w:p>
      <w:pPr>
        <w:pStyle w:val="Footnotesection"/>
      </w:pPr>
      <w:r>
        <w:tab/>
        <w:t>[Regulation 61 inserted: SL 2022/75 r. 10.]</w:t>
      </w:r>
    </w:p>
    <w:p>
      <w:pPr>
        <w:pStyle w:val="Heading5"/>
      </w:pPr>
      <w:bookmarkStart w:id="121" w:name="_Toc201657176"/>
      <w:r>
        <w:rPr>
          <w:rStyle w:val="CharSectno"/>
        </w:rPr>
        <w:t>62</w:t>
      </w:r>
      <w:r>
        <w:t>.</w:t>
      </w:r>
      <w:r>
        <w:tab/>
        <w:t>Stop bullying application</w:t>
      </w:r>
      <w:bookmarkEnd w:id="121"/>
    </w:p>
    <w:p>
      <w:pPr>
        <w:pStyle w:val="Subsection"/>
      </w:pPr>
      <w:r>
        <w:tab/>
        <w:t>(1)</w:t>
      </w:r>
      <w:r>
        <w:tab/>
        <w:t xml:space="preserve">A stop bullying application made by a worker under section 51BJ(1) of the Act must — </w:t>
      </w:r>
    </w:p>
    <w:p>
      <w:pPr>
        <w:pStyle w:val="Indenta"/>
      </w:pPr>
      <w:r>
        <w:tab/>
        <w:t>(a)</w:t>
      </w:r>
      <w:r>
        <w:tab/>
        <w:t>be in the approved form; and</w:t>
      </w:r>
    </w:p>
    <w:p>
      <w:pPr>
        <w:pStyle w:val="Indenta"/>
      </w:pPr>
      <w:r>
        <w:tab/>
        <w:t>(b)</w:t>
      </w:r>
      <w:r>
        <w:tab/>
        <w:t xml:space="preserve">provide details of the following respondents to the application — </w:t>
      </w:r>
    </w:p>
    <w:p>
      <w:pPr>
        <w:pStyle w:val="Indenti"/>
      </w:pPr>
      <w:r>
        <w:tab/>
        <w:t>(i)</w:t>
      </w:r>
      <w:r>
        <w:tab/>
        <w:t>the person conducting a business or undertaking for whom the worker carries out work;</w:t>
      </w:r>
    </w:p>
    <w:p>
      <w:pPr>
        <w:pStyle w:val="Indenti"/>
      </w:pPr>
      <w:r>
        <w:tab/>
        <w:t>(ii)</w:t>
      </w:r>
      <w:r>
        <w:tab/>
        <w:t>each individual alleged to be bullying the worker at work;</w:t>
      </w:r>
    </w:p>
    <w:p>
      <w:pPr>
        <w:pStyle w:val="Indenti"/>
      </w:pPr>
      <w:r>
        <w:tab/>
        <w:t>(iii)</w:t>
      </w:r>
      <w:r>
        <w:tab/>
        <w:t>if the behaviour of an individual referred to in subparagraph (ii) occurs in relation to that individual’s work — the person conducting a business or undertaking for whom the individual carries out the work;</w:t>
      </w:r>
    </w:p>
    <w:p>
      <w:pPr>
        <w:pStyle w:val="Indenta"/>
      </w:pPr>
      <w:r>
        <w:tab/>
      </w:r>
      <w:r>
        <w:tab/>
        <w:t>and</w:t>
      </w:r>
    </w:p>
    <w:p>
      <w:pPr>
        <w:pStyle w:val="Indenta"/>
      </w:pPr>
      <w:r>
        <w:tab/>
        <w:t>(c)</w:t>
      </w:r>
      <w:r>
        <w:tab/>
        <w:t>have attached to it the particulars approved by the Chief Commissioner from time to time.</w:t>
      </w:r>
    </w:p>
    <w:p>
      <w:pPr>
        <w:pStyle w:val="Subsection"/>
      </w:pPr>
      <w:r>
        <w:tab/>
        <w:t>(1A)</w:t>
      </w:r>
      <w:r>
        <w:tab/>
        <w:t>Subregulation (1)(b)(i) and (iii) do not apply if the worker is the person who conducts the business or undertaking referred to in those subparagraphs.</w:t>
      </w:r>
    </w:p>
    <w:p>
      <w:pPr>
        <w:pStyle w:val="Subsection"/>
        <w:keepNext/>
      </w:pPr>
      <w:r>
        <w:tab/>
        <w:t>(2)</w:t>
      </w:r>
      <w:r>
        <w:tab/>
        <w:t xml:space="preserve">Unless the Commission otherwise directs, the Registrar must serve a copy of an application that is filed on — </w:t>
      </w:r>
    </w:p>
    <w:p>
      <w:pPr>
        <w:pStyle w:val="Indenta"/>
      </w:pPr>
      <w:r>
        <w:tab/>
        <w:t>(a)</w:t>
      </w:r>
      <w:r>
        <w:tab/>
        <w:t>the respondent referred to in subregulation (1)(b)(i) as soon as practicable after the application is filed; and</w:t>
      </w:r>
    </w:p>
    <w:p>
      <w:pPr>
        <w:pStyle w:val="Indenta"/>
      </w:pPr>
      <w:r>
        <w:lastRenderedPageBreak/>
        <w:tab/>
        <w:t>(b)</w:t>
      </w:r>
      <w:r>
        <w:tab/>
        <w:t>each respondent referred to in subregulation (1)(b)(ii) and (iii) within 1 day after the application is served under paragraph (a).</w:t>
      </w:r>
    </w:p>
    <w:p>
      <w:pPr>
        <w:pStyle w:val="Subsection"/>
      </w:pPr>
      <w:r>
        <w:tab/>
        <w:t>(2A)</w:t>
      </w:r>
      <w:r>
        <w:tab/>
        <w:t xml:space="preserve">However, if the Registrar cannot serve a copy of the application on a respondent as required under subregulation (2), the Registrar must — </w:t>
      </w:r>
    </w:p>
    <w:p>
      <w:pPr>
        <w:pStyle w:val="Indenta"/>
      </w:pPr>
      <w:r>
        <w:tab/>
        <w:t>(a)</w:t>
      </w:r>
      <w:r>
        <w:tab/>
        <w:t>seek directions from the Chief Commissioner as to service of the application; and</w:t>
      </w:r>
    </w:p>
    <w:p>
      <w:pPr>
        <w:pStyle w:val="Indenta"/>
      </w:pPr>
      <w:r>
        <w:tab/>
        <w:t>(b)</w:t>
      </w:r>
      <w:r>
        <w:tab/>
        <w:t>comply with the Chief Commissioner’s directions as to service of the application.</w:t>
      </w:r>
    </w:p>
    <w:p>
      <w:pPr>
        <w:pStyle w:val="Subsection"/>
      </w:pPr>
      <w:r>
        <w:tab/>
        <w:t>(3)</w:t>
      </w:r>
      <w:r>
        <w:tab/>
        <w:t>A respondent who is served with an application and who wants to respond to the application must file a response in the approved form within 7 days after being served with the application.</w:t>
      </w:r>
    </w:p>
    <w:p>
      <w:pPr>
        <w:pStyle w:val="Subsection"/>
      </w:pPr>
      <w:r>
        <w:tab/>
        <w:t>(4)</w:t>
      </w:r>
      <w:r>
        <w:tab/>
        <w:t>A response must, in summary form, specify the facts on which the respondent relies and specifically admit or dispute, either with or without qualification, each part of the application.</w:t>
      </w:r>
    </w:p>
    <w:p>
      <w:pPr>
        <w:pStyle w:val="Subsection"/>
      </w:pPr>
      <w:r>
        <w:tab/>
        <w:t>(5)</w:t>
      </w:r>
      <w:r>
        <w:tab/>
        <w:t>Unless the Commission otherwise directs, the Registrar must, within 7 days after a respondent files a response, serve a copy of the response on each other party to the application.</w:t>
      </w:r>
    </w:p>
    <w:p>
      <w:pPr>
        <w:pStyle w:val="Subsection"/>
        <w:keepNext/>
      </w:pPr>
      <w:r>
        <w:tab/>
        <w:t>(6)</w:t>
      </w:r>
      <w:r>
        <w:tab/>
        <w:t>At a hearing by the Commission of a stop bullying application, a party who was served with a copy of the application and who did not file a response within the time allowed under these regulations may only be heard on the matters raised in the application and not on any other matter.</w:t>
      </w:r>
    </w:p>
    <w:p>
      <w:pPr>
        <w:pStyle w:val="Footnotesection"/>
      </w:pPr>
      <w:r>
        <w:tab/>
        <w:t>[Regulation 62 inserted: SL 2022/75 r. 10; amended: SL 2025/21 r. 5.]</w:t>
      </w:r>
    </w:p>
    <w:p>
      <w:pPr>
        <w:pStyle w:val="Heading5"/>
      </w:pPr>
      <w:bookmarkStart w:id="122" w:name="_Toc201657177"/>
      <w:r>
        <w:rPr>
          <w:rStyle w:val="CharSectno"/>
        </w:rPr>
        <w:t>62A</w:t>
      </w:r>
      <w:r>
        <w:t>.</w:t>
      </w:r>
      <w:r>
        <w:tab/>
        <w:t>Stop sexual harassment application</w:t>
      </w:r>
      <w:bookmarkEnd w:id="122"/>
    </w:p>
    <w:p>
      <w:pPr>
        <w:pStyle w:val="Subsection"/>
      </w:pPr>
      <w:r>
        <w:tab/>
        <w:t>(1)</w:t>
      </w:r>
      <w:r>
        <w:tab/>
        <w:t xml:space="preserve">A stop sexual harassment application made by an aggrieved person under section 51BT(1)(a) of the Act must — </w:t>
      </w:r>
    </w:p>
    <w:p>
      <w:pPr>
        <w:pStyle w:val="Indenta"/>
      </w:pPr>
      <w:r>
        <w:tab/>
        <w:t>(a)</w:t>
      </w:r>
      <w:r>
        <w:tab/>
        <w:t>be in the approved form; and</w:t>
      </w:r>
    </w:p>
    <w:p>
      <w:pPr>
        <w:pStyle w:val="Indenta"/>
      </w:pPr>
      <w:r>
        <w:lastRenderedPageBreak/>
        <w:tab/>
        <w:t>(b)</w:t>
      </w:r>
      <w:r>
        <w:tab/>
        <w:t xml:space="preserve">provide details of the following respondents to the application — </w:t>
      </w:r>
    </w:p>
    <w:p>
      <w:pPr>
        <w:pStyle w:val="Indenti"/>
      </w:pPr>
      <w:r>
        <w:tab/>
        <w:t>(i)</w:t>
      </w:r>
      <w:r>
        <w:tab/>
        <w:t>the person conducting a business or undertaking for whom the aggrieved person carries out work or seeks to carry out work;</w:t>
      </w:r>
    </w:p>
    <w:p>
      <w:pPr>
        <w:pStyle w:val="Indenti"/>
      </w:pPr>
      <w:r>
        <w:tab/>
        <w:t>(ii)</w:t>
      </w:r>
      <w:r>
        <w:tab/>
        <w:t>each individual alleged to be sexually harassing the aggrieved person in connection with work;</w:t>
      </w:r>
    </w:p>
    <w:p>
      <w:pPr>
        <w:pStyle w:val="Indenti"/>
      </w:pPr>
      <w:r>
        <w:tab/>
        <w:t>(iii)</w:t>
      </w:r>
      <w:r>
        <w:tab/>
        <w:t>if the behaviour of an individual referred to in subparagraph (ii) occurs in relation to that individual’s work — the person conducting a business or undertaking for whom the individual carries out the work;</w:t>
      </w:r>
    </w:p>
    <w:p>
      <w:pPr>
        <w:pStyle w:val="Indenta"/>
      </w:pPr>
      <w:r>
        <w:tab/>
      </w:r>
      <w:r>
        <w:tab/>
        <w:t>and</w:t>
      </w:r>
    </w:p>
    <w:p>
      <w:pPr>
        <w:pStyle w:val="Indenta"/>
      </w:pPr>
      <w:r>
        <w:tab/>
        <w:t>(c)</w:t>
      </w:r>
      <w:r>
        <w:tab/>
        <w:t>have attached to it the particulars approved by the Chief Commissioner from time to time.</w:t>
      </w:r>
    </w:p>
    <w:p>
      <w:pPr>
        <w:pStyle w:val="Subsection"/>
      </w:pPr>
      <w:r>
        <w:tab/>
        <w:t>(2)</w:t>
      </w:r>
      <w:r>
        <w:tab/>
        <w:t>Subregulation (1)(b)(i) and (iii) do not apply if the aggrieved person is the person who conducts the business or undertaking referred to in those subparagraphs.</w:t>
      </w:r>
    </w:p>
    <w:p>
      <w:pPr>
        <w:pStyle w:val="Subsection"/>
      </w:pPr>
      <w:r>
        <w:tab/>
        <w:t>(3)</w:t>
      </w:r>
      <w:r>
        <w:tab/>
        <w:t xml:space="preserve">Unless the Commission otherwise directs, the Registrar must serve a copy of the application and any accompanying documents on — </w:t>
      </w:r>
    </w:p>
    <w:p>
      <w:pPr>
        <w:pStyle w:val="Indenta"/>
      </w:pPr>
      <w:r>
        <w:tab/>
        <w:t>(a)</w:t>
      </w:r>
      <w:r>
        <w:tab/>
        <w:t>the respondent referred to in subregulation (1)(b)(i) as soon as practicable after the application is made; and</w:t>
      </w:r>
    </w:p>
    <w:p>
      <w:pPr>
        <w:pStyle w:val="Indenta"/>
      </w:pPr>
      <w:r>
        <w:tab/>
        <w:t>(b)</w:t>
      </w:r>
      <w:r>
        <w:tab/>
        <w:t>each respondent referred to in subregulation (1)(b)(ii) and (iii) within 1 day after a copy of the application is served under paragraph (a) or, if there is no respondent as referred to in subregulation (1)(b)(i), as soon as practicable after the application is made.</w:t>
      </w:r>
    </w:p>
    <w:p>
      <w:pPr>
        <w:pStyle w:val="Subsection"/>
      </w:pPr>
      <w:r>
        <w:tab/>
        <w:t>(4)</w:t>
      </w:r>
      <w:r>
        <w:tab/>
        <w:t xml:space="preserve">However, if the Registrar cannot serve a copy of the application on a respondent as required under subregulation (3), the Registrar must — </w:t>
      </w:r>
    </w:p>
    <w:p>
      <w:pPr>
        <w:pStyle w:val="Indenta"/>
      </w:pPr>
      <w:r>
        <w:tab/>
        <w:t>(a)</w:t>
      </w:r>
      <w:r>
        <w:tab/>
        <w:t>seek directions from the Chief Commissioner as to service of the copy of the application; and</w:t>
      </w:r>
    </w:p>
    <w:p>
      <w:pPr>
        <w:pStyle w:val="Indenta"/>
      </w:pPr>
      <w:r>
        <w:lastRenderedPageBreak/>
        <w:tab/>
        <w:t>(b)</w:t>
      </w:r>
      <w:r>
        <w:tab/>
        <w:t>comply with the Chief Commissioner’s directions as to service of the copy of the application.</w:t>
      </w:r>
    </w:p>
    <w:p>
      <w:pPr>
        <w:pStyle w:val="Subsection"/>
      </w:pPr>
      <w:r>
        <w:tab/>
        <w:t>(5)</w:t>
      </w:r>
      <w:r>
        <w:tab/>
        <w:t>A respondent who is served with a copy of the application and who wants to respond to the application must file a response in the approved form within 7 days after being served with the copy of the application.</w:t>
      </w:r>
    </w:p>
    <w:p>
      <w:pPr>
        <w:pStyle w:val="Subsection"/>
      </w:pPr>
      <w:r>
        <w:tab/>
        <w:t>(6)</w:t>
      </w:r>
      <w:r>
        <w:tab/>
        <w:t>A response must, in summary form, specify the facts on which the respondent relies and specifically admit or dispute, either with or without qualification, each part of the application.</w:t>
      </w:r>
    </w:p>
    <w:p>
      <w:pPr>
        <w:pStyle w:val="Subsection"/>
      </w:pPr>
      <w:r>
        <w:tab/>
        <w:t>(7)</w:t>
      </w:r>
      <w:r>
        <w:tab/>
        <w:t>Unless the Commission otherwise directs, the Registrar must, within 7 days after a respondent files a response, serve a copy of the response on each other party to the application.</w:t>
      </w:r>
    </w:p>
    <w:p>
      <w:pPr>
        <w:pStyle w:val="Subsection"/>
      </w:pPr>
      <w:r>
        <w:tab/>
        <w:t>(8)</w:t>
      </w:r>
      <w:r>
        <w:tab/>
        <w:t>At a hearing by the Commission of a stop sexual harassment application, a party who was served with a copy of the application and who did not file a response within the time allowed under these regulations may only be heard on the matters raised in the application and not on any other matter.</w:t>
      </w:r>
    </w:p>
    <w:p>
      <w:pPr>
        <w:pStyle w:val="Footnotesection"/>
      </w:pPr>
      <w:r>
        <w:tab/>
        <w:t>[Regulation 62A inserted: SL 2025/21 r. 6.]</w:t>
      </w:r>
    </w:p>
    <w:p>
      <w:pPr>
        <w:pStyle w:val="Heading5"/>
      </w:pPr>
      <w:bookmarkStart w:id="123" w:name="_Toc201657178"/>
      <w:r>
        <w:rPr>
          <w:rStyle w:val="CharSectno"/>
        </w:rPr>
        <w:t>62B</w:t>
      </w:r>
      <w:r>
        <w:t>.</w:t>
      </w:r>
      <w:r>
        <w:tab/>
        <w:t>Sexual harassment referral</w:t>
      </w:r>
      <w:bookmarkEnd w:id="123"/>
    </w:p>
    <w:p>
      <w:pPr>
        <w:pStyle w:val="Subsection"/>
      </w:pPr>
      <w:r>
        <w:tab/>
        <w:t>(1)</w:t>
      </w:r>
      <w:r>
        <w:tab/>
        <w:t xml:space="preserve">This regulation applies if a person (the </w:t>
      </w:r>
      <w:r>
        <w:rPr>
          <w:rStyle w:val="CharDefText"/>
        </w:rPr>
        <w:t>aggrieved person</w:t>
      </w:r>
      <w:r>
        <w:t>) refers a matter relating to the sexual harassment of the person in connection with work to the Commission under section 29(1)(f) of the Act.</w:t>
      </w:r>
    </w:p>
    <w:p>
      <w:pPr>
        <w:pStyle w:val="Subsection"/>
      </w:pPr>
      <w:r>
        <w:tab/>
        <w:t>(2)</w:t>
      </w:r>
      <w:r>
        <w:tab/>
        <w:t xml:space="preserve">The referral must be made by application that — </w:t>
      </w:r>
    </w:p>
    <w:p>
      <w:pPr>
        <w:pStyle w:val="Indenta"/>
      </w:pPr>
      <w:r>
        <w:tab/>
        <w:t>(a)</w:t>
      </w:r>
      <w:r>
        <w:tab/>
        <w:t>is in the approved form; and</w:t>
      </w:r>
    </w:p>
    <w:p>
      <w:pPr>
        <w:pStyle w:val="Indenta"/>
      </w:pPr>
      <w:r>
        <w:tab/>
        <w:t>(b)</w:t>
      </w:r>
      <w:r>
        <w:tab/>
        <w:t xml:space="preserve">provides details of the following respondents to the application — </w:t>
      </w:r>
    </w:p>
    <w:p>
      <w:pPr>
        <w:pStyle w:val="Indenti"/>
      </w:pPr>
      <w:r>
        <w:tab/>
        <w:t>(i)</w:t>
      </w:r>
      <w:r>
        <w:tab/>
        <w:t>the person conducting a business or undertaking for whom the aggrieved person carries out work or seeks to carry out work;</w:t>
      </w:r>
    </w:p>
    <w:p>
      <w:pPr>
        <w:pStyle w:val="Indenti"/>
      </w:pPr>
      <w:r>
        <w:lastRenderedPageBreak/>
        <w:tab/>
        <w:t>(ii)</w:t>
      </w:r>
      <w:r>
        <w:tab/>
        <w:t>each individual alleged to be sexually harassing the aggrieved person in connection with work;</w:t>
      </w:r>
    </w:p>
    <w:p>
      <w:pPr>
        <w:pStyle w:val="Indenti"/>
      </w:pPr>
      <w:r>
        <w:tab/>
        <w:t>(iii)</w:t>
      </w:r>
      <w:r>
        <w:tab/>
        <w:t>if the behaviour of an individual referred to in subparagraph (ii) occurs in relation to that individual’s work — the person conducting a business or undertaking for whom the individual carries out the work;</w:t>
      </w:r>
    </w:p>
    <w:p>
      <w:pPr>
        <w:pStyle w:val="Indenta"/>
      </w:pPr>
      <w:r>
        <w:tab/>
      </w:r>
      <w:r>
        <w:tab/>
        <w:t>and</w:t>
      </w:r>
    </w:p>
    <w:p>
      <w:pPr>
        <w:pStyle w:val="Indenta"/>
      </w:pPr>
      <w:r>
        <w:tab/>
        <w:t>(c)</w:t>
      </w:r>
      <w:r>
        <w:tab/>
        <w:t>has attached to it the particulars approved by the Chief Commissioner from time to time.</w:t>
      </w:r>
    </w:p>
    <w:p>
      <w:pPr>
        <w:pStyle w:val="Subsection"/>
      </w:pPr>
      <w:r>
        <w:tab/>
        <w:t>(3)</w:t>
      </w:r>
      <w:r>
        <w:tab/>
        <w:t>Subregulation (2)(b)(i) and (iii) do not apply if the aggrieved person is the person who conducts the business or undertaking referred to in those subparagraphs.</w:t>
      </w:r>
    </w:p>
    <w:p>
      <w:pPr>
        <w:pStyle w:val="Subsection"/>
      </w:pPr>
      <w:r>
        <w:tab/>
        <w:t>(4)</w:t>
      </w:r>
      <w:r>
        <w:tab/>
        <w:t xml:space="preserve">Unless the Commission otherwise directs, the Registrar must serve a copy of the application and any accompanying documents on — </w:t>
      </w:r>
    </w:p>
    <w:p>
      <w:pPr>
        <w:pStyle w:val="Indenta"/>
      </w:pPr>
      <w:r>
        <w:tab/>
        <w:t>(a)</w:t>
      </w:r>
      <w:r>
        <w:tab/>
        <w:t>the respondent referred to in subregulation (2)(b)(i) as soon as practicable after the application is made; and</w:t>
      </w:r>
    </w:p>
    <w:p>
      <w:pPr>
        <w:pStyle w:val="Indenta"/>
      </w:pPr>
      <w:r>
        <w:tab/>
        <w:t>(b)</w:t>
      </w:r>
      <w:r>
        <w:tab/>
        <w:t>each respondent referred to in subregulation (2)(b)(ii) and (iii) within 1 day after a copy of the application is served under paragraph (a) or, if there is no respondent as referred to in subregulation (2)(b)(i), as soon as practicable after the application is made.</w:t>
      </w:r>
    </w:p>
    <w:p>
      <w:pPr>
        <w:pStyle w:val="Subsection"/>
      </w:pPr>
      <w:r>
        <w:tab/>
        <w:t>(5)</w:t>
      </w:r>
      <w:r>
        <w:tab/>
        <w:t xml:space="preserve">However, if the Registrar cannot serve a copy of the application on a respondent as required under subregulation (4), the Registrar must — </w:t>
      </w:r>
    </w:p>
    <w:p>
      <w:pPr>
        <w:pStyle w:val="Indenta"/>
      </w:pPr>
      <w:r>
        <w:tab/>
        <w:t>(a)</w:t>
      </w:r>
      <w:r>
        <w:tab/>
        <w:t>seek directions from the Chief Commissioner as to service of the copy of the application; and</w:t>
      </w:r>
    </w:p>
    <w:p>
      <w:pPr>
        <w:pStyle w:val="Indenta"/>
      </w:pPr>
      <w:r>
        <w:tab/>
        <w:t>(b)</w:t>
      </w:r>
      <w:r>
        <w:tab/>
        <w:t>comply with the Chief Commissioner’s directions as to service of the copy of the application.</w:t>
      </w:r>
    </w:p>
    <w:p>
      <w:pPr>
        <w:pStyle w:val="Subsection"/>
      </w:pPr>
      <w:r>
        <w:tab/>
        <w:t>(6)</w:t>
      </w:r>
      <w:r>
        <w:tab/>
        <w:t xml:space="preserve">A respondent who is served with a copy of the application and who wants to respond to the application must file a response in </w:t>
      </w:r>
      <w:r>
        <w:lastRenderedPageBreak/>
        <w:t>the approved form within 7 days after being served with the copy of the application.</w:t>
      </w:r>
    </w:p>
    <w:p>
      <w:pPr>
        <w:pStyle w:val="Subsection"/>
      </w:pPr>
      <w:r>
        <w:tab/>
        <w:t>(7)</w:t>
      </w:r>
      <w:r>
        <w:tab/>
        <w:t>A response must, in summary form, specify the facts on which the respondent relies and specifically admit or dispute, either with or without qualification, each part of the application.</w:t>
      </w:r>
    </w:p>
    <w:p>
      <w:pPr>
        <w:pStyle w:val="Subsection"/>
      </w:pPr>
      <w:r>
        <w:tab/>
        <w:t>(8)</w:t>
      </w:r>
      <w:r>
        <w:tab/>
        <w:t>Unless the Commission otherwise directs, the Registrar must, within 7 days after a respondent files a response, serve a copy of the response on each other party to the application.</w:t>
      </w:r>
    </w:p>
    <w:p>
      <w:pPr>
        <w:pStyle w:val="Subsection"/>
      </w:pPr>
      <w:r>
        <w:tab/>
        <w:t>(9)</w:t>
      </w:r>
      <w:r>
        <w:tab/>
        <w:t>At a hearing by the Commission of the application, a party who was served with a copy of the application and who did not file a response within the time allowed under these regulations may only be heard on the matters raised in the application and not on any other matter.</w:t>
      </w:r>
    </w:p>
    <w:p>
      <w:pPr>
        <w:pStyle w:val="Footnotesection"/>
      </w:pPr>
      <w:r>
        <w:tab/>
        <w:t>[Regulation 62B inserted: SL 2025/21 r. 6.]</w:t>
      </w:r>
    </w:p>
    <w:p>
      <w:pPr>
        <w:pStyle w:val="Heading5"/>
      </w:pPr>
      <w:bookmarkStart w:id="124" w:name="_Toc201657179"/>
      <w:r>
        <w:rPr>
          <w:rStyle w:val="CharSectno"/>
        </w:rPr>
        <w:t>62C</w:t>
      </w:r>
      <w:r>
        <w:t>.</w:t>
      </w:r>
      <w:r>
        <w:tab/>
        <w:t>Interpretation of conditions of service</w:t>
      </w:r>
      <w:bookmarkEnd w:id="124"/>
    </w:p>
    <w:p>
      <w:pPr>
        <w:pStyle w:val="Subsection"/>
      </w:pPr>
      <w:r>
        <w:tab/>
        <w:t>(1)</w:t>
      </w:r>
      <w:r>
        <w:tab/>
        <w:t>This regulation applies if a public service officer refers a decision mentioned in section 36AA(2)(b) of the Act to the Commission under section 29(1)(g) of the Act.</w:t>
      </w:r>
    </w:p>
    <w:p>
      <w:pPr>
        <w:pStyle w:val="Subsection"/>
      </w:pPr>
      <w:r>
        <w:tab/>
        <w:t>(2)</w:t>
      </w:r>
      <w:r>
        <w:tab/>
        <w:t xml:space="preserve">The referral must be made by application that — </w:t>
      </w:r>
    </w:p>
    <w:p>
      <w:pPr>
        <w:pStyle w:val="Indenta"/>
      </w:pPr>
      <w:r>
        <w:tab/>
        <w:t>(a)</w:t>
      </w:r>
      <w:r>
        <w:tab/>
        <w:t>is in the approved form; and</w:t>
      </w:r>
    </w:p>
    <w:p>
      <w:pPr>
        <w:pStyle w:val="Indenta"/>
      </w:pPr>
      <w:r>
        <w:tab/>
        <w:t>(b)</w:t>
      </w:r>
      <w:r>
        <w:tab/>
        <w:t xml:space="preserve">includes — </w:t>
      </w:r>
    </w:p>
    <w:p>
      <w:pPr>
        <w:pStyle w:val="Indenti"/>
      </w:pPr>
      <w:r>
        <w:tab/>
        <w:t>(i)</w:t>
      </w:r>
      <w:r>
        <w:tab/>
        <w:t>the facts giving rise to the referral; and</w:t>
      </w:r>
    </w:p>
    <w:p>
      <w:pPr>
        <w:pStyle w:val="Indenti"/>
      </w:pPr>
      <w:r>
        <w:tab/>
        <w:t>(ii)</w:t>
      </w:r>
      <w:r>
        <w:tab/>
        <w:t>the question to which an answer is required, if any;</w:t>
      </w:r>
    </w:p>
    <w:p>
      <w:pPr>
        <w:pStyle w:val="Indenta"/>
      </w:pPr>
      <w:r>
        <w:tab/>
      </w:r>
      <w:r>
        <w:tab/>
        <w:t>and</w:t>
      </w:r>
    </w:p>
    <w:p>
      <w:pPr>
        <w:pStyle w:val="Indenta"/>
      </w:pPr>
      <w:r>
        <w:tab/>
        <w:t>(c)</w:t>
      </w:r>
      <w:r>
        <w:tab/>
        <w:t>has attached to it the particulars approved by the Chief Commissioner from time to time.</w:t>
      </w:r>
    </w:p>
    <w:p>
      <w:pPr>
        <w:pStyle w:val="Subsection"/>
      </w:pPr>
      <w:r>
        <w:tab/>
        <w:t>(3)</w:t>
      </w:r>
      <w:r>
        <w:tab/>
        <w:t xml:space="preserve">If the decision is referred to the Commission after the time required by section 29(2)(b) of the Act, the application must also have attached to it a statement from the applicant setting </w:t>
      </w:r>
      <w:r>
        <w:lastRenderedPageBreak/>
        <w:t>out the facts on which the applicant relies to show why it would be unfair for the Commission not to accept the referral.</w:t>
      </w:r>
    </w:p>
    <w:p>
      <w:pPr>
        <w:pStyle w:val="Subsection"/>
      </w:pPr>
      <w:r>
        <w:tab/>
        <w:t>(4)</w:t>
      </w:r>
      <w:r>
        <w:tab/>
        <w:t>Unless the Commission otherwise directs, the Registrar must, as soon as practicable after the application is made, serve a copy of the application and any attached documents on the public service officer’s employing authority or former employing authority.</w:t>
      </w:r>
    </w:p>
    <w:p>
      <w:pPr>
        <w:pStyle w:val="Subsection"/>
      </w:pPr>
      <w:r>
        <w:tab/>
        <w:t>(5)</w:t>
      </w:r>
      <w:r>
        <w:tab/>
        <w:t>An employing authority or former employing authority that is served with a copy of the application and that wants to respond to the application must file a response in the approved form within 21 days after being served with a copy of the application.</w:t>
      </w:r>
    </w:p>
    <w:p>
      <w:pPr>
        <w:pStyle w:val="Subsection"/>
      </w:pPr>
      <w:r>
        <w:tab/>
        <w:t>(6)</w:t>
      </w:r>
      <w:r>
        <w:tab/>
        <w:t>Unless the Commission otherwise directs, the Registrar must, as soon as practicable after a response is filed, serve a copy of the response on the public service officer.</w:t>
      </w:r>
    </w:p>
    <w:p>
      <w:pPr>
        <w:pStyle w:val="Footnotesection"/>
      </w:pPr>
      <w:r>
        <w:tab/>
        <w:t>[Regulation 62C inserted: SL 2025/21 r. 6.]</w:t>
      </w:r>
    </w:p>
    <w:p>
      <w:pPr>
        <w:pStyle w:val="Heading5"/>
      </w:pPr>
      <w:bookmarkStart w:id="125" w:name="_Toc201657180"/>
      <w:r>
        <w:rPr>
          <w:rStyle w:val="CharSectno"/>
        </w:rPr>
        <w:t>62D</w:t>
      </w:r>
      <w:r>
        <w:t>.</w:t>
      </w:r>
      <w:r>
        <w:tab/>
        <w:t>Reclassification claim</w:t>
      </w:r>
      <w:bookmarkEnd w:id="125"/>
    </w:p>
    <w:p>
      <w:pPr>
        <w:pStyle w:val="Subsection"/>
      </w:pPr>
      <w:r>
        <w:tab/>
        <w:t>(1)</w:t>
      </w:r>
      <w:r>
        <w:tab/>
        <w:t>This regulation applies if a government officer refers a claim relating to the reclassification of an office held by the government officer to the Commission under section 29(1)(h) of the Act.</w:t>
      </w:r>
    </w:p>
    <w:p>
      <w:pPr>
        <w:pStyle w:val="Subsection"/>
      </w:pPr>
      <w:r>
        <w:tab/>
        <w:t>(2)</w:t>
      </w:r>
      <w:r>
        <w:tab/>
        <w:t xml:space="preserve">The referral must be made by application that — </w:t>
      </w:r>
    </w:p>
    <w:p>
      <w:pPr>
        <w:pStyle w:val="Indenta"/>
      </w:pPr>
      <w:r>
        <w:tab/>
        <w:t>(a)</w:t>
      </w:r>
      <w:r>
        <w:tab/>
        <w:t>is in the approved form; and</w:t>
      </w:r>
    </w:p>
    <w:p>
      <w:pPr>
        <w:pStyle w:val="Indenta"/>
      </w:pPr>
      <w:r>
        <w:tab/>
        <w:t>(b)</w:t>
      </w:r>
      <w:r>
        <w:tab/>
        <w:t>includes a statement that clearly and concisely sets out the grounds of the application; and</w:t>
      </w:r>
    </w:p>
    <w:p>
      <w:pPr>
        <w:pStyle w:val="Indenta"/>
      </w:pPr>
      <w:r>
        <w:tab/>
        <w:t>(c)</w:t>
      </w:r>
      <w:r>
        <w:tab/>
        <w:t>is accompanied by any document or material provided to the employer for the government officer’s reclassification claim; and</w:t>
      </w:r>
    </w:p>
    <w:p>
      <w:pPr>
        <w:pStyle w:val="Indenta"/>
      </w:pPr>
      <w:r>
        <w:tab/>
        <w:t>(d)</w:t>
      </w:r>
      <w:r>
        <w:tab/>
        <w:t>has attached to it the particulars approved by the Chief Commissioner from time to time.</w:t>
      </w:r>
    </w:p>
    <w:p>
      <w:pPr>
        <w:pStyle w:val="Subsection"/>
      </w:pPr>
      <w:r>
        <w:tab/>
        <w:t>(3)</w:t>
      </w:r>
      <w:r>
        <w:tab/>
        <w:t xml:space="preserve">Unless the Commission otherwise directs, the Registrar must, as soon as practicable after the application is made, serve a copy of </w:t>
      </w:r>
      <w:r>
        <w:lastRenderedPageBreak/>
        <w:t>the application and its accompanying documents or materials on the government officer’s employer.</w:t>
      </w:r>
    </w:p>
    <w:p>
      <w:pPr>
        <w:pStyle w:val="Subsection"/>
      </w:pPr>
      <w:r>
        <w:tab/>
        <w:t>(4)</w:t>
      </w:r>
      <w:r>
        <w:tab/>
        <w:t>An employer that is served with a copy of the application and that wants to respond to the application must file a response in the approved form within 21 days after being served with a copy of the application.</w:t>
      </w:r>
    </w:p>
    <w:p>
      <w:pPr>
        <w:pStyle w:val="Subsection"/>
      </w:pPr>
      <w:r>
        <w:tab/>
        <w:t>(5)</w:t>
      </w:r>
      <w:r>
        <w:tab/>
        <w:t>Unless the Commission otherwise directs, the Registrar must, as soon as practicable after the response is filed, serve a copy of the response on the government officer.</w:t>
      </w:r>
    </w:p>
    <w:p>
      <w:pPr>
        <w:pStyle w:val="Subsection"/>
      </w:pPr>
      <w:r>
        <w:tab/>
        <w:t>(6)</w:t>
      </w:r>
      <w:r>
        <w:tab/>
        <w:t>Not more than 1 referral of a claim relating to the reclassification of an office held by a government officer may be made in relation to the same office within 12 months unless the duties and responsibilities of that office are altered within that period.</w:t>
      </w:r>
    </w:p>
    <w:p>
      <w:pPr>
        <w:pStyle w:val="Footnotesection"/>
      </w:pPr>
      <w:r>
        <w:tab/>
        <w:t>[Regulation 62D inserted: SL 2025/21 r. 6.]</w:t>
      </w:r>
    </w:p>
    <w:p>
      <w:pPr>
        <w:pStyle w:val="Heading5"/>
      </w:pPr>
      <w:bookmarkStart w:id="126" w:name="_Toc201657181"/>
      <w:r>
        <w:rPr>
          <w:rStyle w:val="CharSectno"/>
        </w:rPr>
        <w:t>62E</w:t>
      </w:r>
      <w:r>
        <w:t>.</w:t>
      </w:r>
      <w:r>
        <w:tab/>
        <w:t xml:space="preserve">Industrial matter under </w:t>
      </w:r>
      <w:r>
        <w:rPr>
          <w:i/>
          <w:iCs/>
        </w:rPr>
        <w:t>Public Sector Management Act 1994</w:t>
      </w:r>
      <w:r>
        <w:t xml:space="preserve"> s. 78 or </w:t>
      </w:r>
      <w:r>
        <w:rPr>
          <w:i/>
        </w:rPr>
        <w:t>Health Services Act 2016</w:t>
      </w:r>
      <w:r>
        <w:rPr>
          <w:iCs/>
        </w:rPr>
        <w:t xml:space="preserve"> s. </w:t>
      </w:r>
      <w:r>
        <w:t>171</w:t>
      </w:r>
      <w:bookmarkEnd w:id="126"/>
    </w:p>
    <w:p>
      <w:pPr>
        <w:pStyle w:val="Subsection"/>
      </w:pPr>
      <w:r>
        <w:tab/>
        <w:t>(1)</w:t>
      </w:r>
      <w:r>
        <w:tab/>
        <w:t xml:space="preserve">This regulation applies if an employee or former employee (the </w:t>
      </w:r>
      <w:r>
        <w:rPr>
          <w:rStyle w:val="CharDefText"/>
        </w:rPr>
        <w:t>applicant</w:t>
      </w:r>
      <w:r>
        <w:t xml:space="preserve">) refers — </w:t>
      </w:r>
    </w:p>
    <w:p>
      <w:pPr>
        <w:pStyle w:val="Indenta"/>
      </w:pPr>
      <w:r>
        <w:tab/>
        <w:t>(a)</w:t>
      </w:r>
      <w:r>
        <w:tab/>
        <w:t xml:space="preserve">an industrial matter under the </w:t>
      </w:r>
      <w:r>
        <w:rPr>
          <w:i/>
        </w:rPr>
        <w:t>Public Sector Management Act 1994</w:t>
      </w:r>
      <w:r>
        <w:t xml:space="preserve"> section 78 that is a decision or finding to which Part 5 of that Act applies to the Commission under section 29(1)(i) of the Act; or</w:t>
      </w:r>
    </w:p>
    <w:p>
      <w:pPr>
        <w:pStyle w:val="Indenta"/>
      </w:pPr>
      <w:r>
        <w:tab/>
        <w:t>(b)</w:t>
      </w:r>
      <w:r>
        <w:tab/>
        <w:t xml:space="preserve">an industrial matter under the </w:t>
      </w:r>
      <w:r>
        <w:rPr>
          <w:i/>
        </w:rPr>
        <w:t>Health Services Act 2016</w:t>
      </w:r>
      <w:r>
        <w:rPr>
          <w:iCs/>
        </w:rPr>
        <w:t xml:space="preserve"> section </w:t>
      </w:r>
      <w:r>
        <w:t>171 that is a substandard performance or disciplinary decision or finding to the Commission under section 29(1)(j) of the Act.</w:t>
      </w:r>
    </w:p>
    <w:p>
      <w:pPr>
        <w:pStyle w:val="Subsection"/>
      </w:pPr>
      <w:r>
        <w:tab/>
        <w:t>(2)</w:t>
      </w:r>
      <w:r>
        <w:tab/>
        <w:t xml:space="preserve">The referral must be made by application that — </w:t>
      </w:r>
    </w:p>
    <w:p>
      <w:pPr>
        <w:pStyle w:val="Indenta"/>
      </w:pPr>
      <w:r>
        <w:tab/>
        <w:t>(a)</w:t>
      </w:r>
      <w:r>
        <w:tab/>
        <w:t>is in the approved form; and</w:t>
      </w:r>
    </w:p>
    <w:p>
      <w:pPr>
        <w:pStyle w:val="Indenta"/>
      </w:pPr>
      <w:r>
        <w:tab/>
        <w:t>(b)</w:t>
      </w:r>
      <w:r>
        <w:tab/>
        <w:t>includes a statement that clearly and concisely sets out the grounds of the referral; and</w:t>
      </w:r>
    </w:p>
    <w:p>
      <w:pPr>
        <w:pStyle w:val="Indenta"/>
      </w:pPr>
      <w:r>
        <w:lastRenderedPageBreak/>
        <w:tab/>
        <w:t>(c)</w:t>
      </w:r>
      <w:r>
        <w:tab/>
        <w:t>has attached to it the particulars approved by the Chief Commissioner from time to time.</w:t>
      </w:r>
    </w:p>
    <w:p>
      <w:pPr>
        <w:pStyle w:val="Subsection"/>
      </w:pPr>
      <w:r>
        <w:tab/>
        <w:t>(3)</w:t>
      </w:r>
      <w:r>
        <w:tab/>
        <w:t>If the industrial matter is referred to the Commission after the time required by section 29(2)(c) of the Act, the application must also have attached to it a statement from the applicant setting out the facts on which the applicant relies to show why it would be unfair for the Commission not to accept the referral.</w:t>
      </w:r>
    </w:p>
    <w:p>
      <w:pPr>
        <w:pStyle w:val="Subsection"/>
      </w:pPr>
      <w:r>
        <w:tab/>
        <w:t>(4)</w:t>
      </w:r>
      <w:r>
        <w:tab/>
        <w:t>Unless the Commission otherwise directs, the Registrar must, as soon as practicable after the application is made, serve a copy of the application and any accompanying documents on the employer of the applicant.</w:t>
      </w:r>
    </w:p>
    <w:p>
      <w:pPr>
        <w:pStyle w:val="Subsection"/>
      </w:pPr>
      <w:r>
        <w:tab/>
        <w:t>(5)</w:t>
      </w:r>
      <w:r>
        <w:tab/>
        <w:t>An employer that is served with a copy of the application and that wants to respond to the referral must file a response in the approved form within 21 days after being served with a copy of the application.</w:t>
      </w:r>
    </w:p>
    <w:p>
      <w:pPr>
        <w:pStyle w:val="Subsection"/>
      </w:pPr>
      <w:r>
        <w:tab/>
        <w:t>(6)</w:t>
      </w:r>
      <w:r>
        <w:tab/>
        <w:t>A response must, in summary form, specify the facts on which the respondent relies and specifically admit or dispute, either with or without qualification, each part of the application.</w:t>
      </w:r>
    </w:p>
    <w:p>
      <w:pPr>
        <w:pStyle w:val="Subsection"/>
      </w:pPr>
      <w:r>
        <w:tab/>
        <w:t>(7)</w:t>
      </w:r>
      <w:r>
        <w:tab/>
        <w:t>Unless the Commission otherwise directs, the Registrar must, as soon as practicable after a response is filed, serve a copy of the response on the applicant.</w:t>
      </w:r>
    </w:p>
    <w:p>
      <w:pPr>
        <w:pStyle w:val="Footnotesection"/>
      </w:pPr>
      <w:r>
        <w:tab/>
        <w:t>[Regulation 62E inserted: SL 2025/21 r. 6.]</w:t>
      </w:r>
    </w:p>
    <w:p>
      <w:pPr>
        <w:pStyle w:val="Heading5"/>
      </w:pPr>
      <w:bookmarkStart w:id="127" w:name="_Toc201657182"/>
      <w:r>
        <w:rPr>
          <w:rStyle w:val="CharSectno"/>
        </w:rPr>
        <w:t>62F</w:t>
      </w:r>
      <w:r>
        <w:t>.</w:t>
      </w:r>
      <w:r>
        <w:tab/>
        <w:t>Flexible working arrangement dispute</w:t>
      </w:r>
      <w:bookmarkEnd w:id="127"/>
    </w:p>
    <w:p>
      <w:pPr>
        <w:pStyle w:val="Subsection"/>
      </w:pPr>
      <w:r>
        <w:tab/>
        <w:t>(1)</w:t>
      </w:r>
      <w:r>
        <w:tab/>
        <w:t xml:space="preserve">In this regulation — </w:t>
      </w:r>
    </w:p>
    <w:p>
      <w:pPr>
        <w:pStyle w:val="Defstart"/>
      </w:pPr>
      <w:r>
        <w:tab/>
      </w:r>
      <w:r>
        <w:rPr>
          <w:rStyle w:val="CharDefText"/>
        </w:rPr>
        <w:t>flexible working arrangement request</w:t>
      </w:r>
      <w:r>
        <w:t xml:space="preserve"> has the meaning given in the </w:t>
      </w:r>
      <w:r>
        <w:rPr>
          <w:i/>
        </w:rPr>
        <w:t>Minimum Conditions of Employment Act </w:t>
      </w:r>
      <w:r>
        <w:rPr>
          <w:i/>
          <w:iCs/>
        </w:rPr>
        <w:t>1993</w:t>
      </w:r>
      <w:r>
        <w:t xml:space="preserve"> section 39F(1).</w:t>
      </w:r>
    </w:p>
    <w:p>
      <w:pPr>
        <w:pStyle w:val="Subsection"/>
      </w:pPr>
      <w:r>
        <w:tab/>
        <w:t>(2)</w:t>
      </w:r>
      <w:r>
        <w:tab/>
        <w:t>This regulation applies if an employee refers to the Commission an industrial matter relating to a flexible working arrangement dispute between an employer and an employee under section 29(1)(k) of the Act.</w:t>
      </w:r>
    </w:p>
    <w:p>
      <w:pPr>
        <w:pStyle w:val="Subsection"/>
      </w:pPr>
      <w:r>
        <w:lastRenderedPageBreak/>
        <w:tab/>
        <w:t>(3)</w:t>
      </w:r>
      <w:r>
        <w:tab/>
        <w:t xml:space="preserve">The referral must be made by application that — </w:t>
      </w:r>
    </w:p>
    <w:p>
      <w:pPr>
        <w:pStyle w:val="Indenta"/>
      </w:pPr>
      <w:r>
        <w:tab/>
        <w:t>(a)</w:t>
      </w:r>
      <w:r>
        <w:tab/>
        <w:t>is in the approved form; and</w:t>
      </w:r>
    </w:p>
    <w:p>
      <w:pPr>
        <w:pStyle w:val="Indenta"/>
      </w:pPr>
      <w:r>
        <w:tab/>
        <w:t>(b)</w:t>
      </w:r>
      <w:r>
        <w:tab/>
        <w:t>is accompanied by a copy of the relevant flexible working arrangement request; and</w:t>
      </w:r>
    </w:p>
    <w:p>
      <w:pPr>
        <w:pStyle w:val="Indenta"/>
      </w:pPr>
      <w:r>
        <w:tab/>
        <w:t>(c)</w:t>
      </w:r>
      <w:r>
        <w:tab/>
        <w:t>if a written response to the flexible working arrangement request was given to the employee before the application is made — is accompanied by a copy of the response; and</w:t>
      </w:r>
    </w:p>
    <w:p>
      <w:pPr>
        <w:pStyle w:val="Indenta"/>
      </w:pPr>
      <w:r>
        <w:tab/>
        <w:t>(d)</w:t>
      </w:r>
      <w:r>
        <w:tab/>
        <w:t xml:space="preserve">identifies whether the flexible working arrangement dispute relates to — </w:t>
      </w:r>
    </w:p>
    <w:p>
      <w:pPr>
        <w:pStyle w:val="Indenti"/>
      </w:pPr>
      <w:r>
        <w:tab/>
        <w:t>(i)</w:t>
      </w:r>
      <w:r>
        <w:tab/>
        <w:t>a failure of the employer to respond to a flexible working arrangement request; or</w:t>
      </w:r>
    </w:p>
    <w:p>
      <w:pPr>
        <w:pStyle w:val="Indenti"/>
      </w:pPr>
      <w:r>
        <w:tab/>
        <w:t>(ii)</w:t>
      </w:r>
      <w:r>
        <w:tab/>
        <w:t>the employer refusing the employee’s flexible working arrangement request.</w:t>
      </w:r>
    </w:p>
    <w:p>
      <w:pPr>
        <w:pStyle w:val="Subsection"/>
      </w:pPr>
      <w:r>
        <w:tab/>
        <w:t>(4)</w:t>
      </w:r>
      <w:r>
        <w:tab/>
        <w:t>Unless the Commission otherwise directs, the Registrar must, as soon as practicable after the application is made, serve a copy of the application and any accompanying documents on the employer.</w:t>
      </w:r>
    </w:p>
    <w:p>
      <w:pPr>
        <w:pStyle w:val="Subsection"/>
      </w:pPr>
      <w:r>
        <w:tab/>
        <w:t>(5)</w:t>
      </w:r>
      <w:r>
        <w:tab/>
        <w:t>An employer that is served with a copy of the application and that wants to respond to the referral must file a response in the approved form within 21 days after being served with a copy of the application.</w:t>
      </w:r>
    </w:p>
    <w:p>
      <w:pPr>
        <w:pStyle w:val="Subsection"/>
      </w:pPr>
      <w:r>
        <w:tab/>
        <w:t>(6)</w:t>
      </w:r>
      <w:r>
        <w:tab/>
        <w:t>A response must, in summary form, specify the facts on which the employer relies and specifically admit or dispute, either with or without qualification, each part of the application.</w:t>
      </w:r>
    </w:p>
    <w:p>
      <w:pPr>
        <w:pStyle w:val="Subsection"/>
      </w:pPr>
      <w:r>
        <w:tab/>
        <w:t>(7)</w:t>
      </w:r>
      <w:r>
        <w:tab/>
        <w:t>Unless the Commission otherwise directs, the Registrar must, as soon as practicable after a response is filed, serve a copy of the response on the employee.</w:t>
      </w:r>
    </w:p>
    <w:p>
      <w:pPr>
        <w:pStyle w:val="Footnotesection"/>
      </w:pPr>
      <w:r>
        <w:tab/>
        <w:t>[Regulation 62F inserted: SL 2025/21 r. 6.]</w:t>
      </w:r>
    </w:p>
    <w:p>
      <w:pPr>
        <w:pStyle w:val="Heading5"/>
      </w:pPr>
      <w:bookmarkStart w:id="128" w:name="_Toc200617968"/>
      <w:bookmarkStart w:id="129" w:name="_Toc200619205"/>
      <w:bookmarkStart w:id="130" w:name="_Toc201657183"/>
      <w:r>
        <w:rPr>
          <w:rStyle w:val="CharSectno"/>
        </w:rPr>
        <w:lastRenderedPageBreak/>
        <w:t>62G</w:t>
      </w:r>
      <w:r>
        <w:t>.</w:t>
      </w:r>
      <w:r>
        <w:tab/>
        <w:t>Breach of public sector standards claim</w:t>
      </w:r>
      <w:bookmarkEnd w:id="128"/>
      <w:bookmarkEnd w:id="129"/>
      <w:bookmarkEnd w:id="130"/>
    </w:p>
    <w:p>
      <w:pPr>
        <w:pStyle w:val="Subsection"/>
      </w:pPr>
      <w:r>
        <w:tab/>
        <w:t>(1)</w:t>
      </w:r>
      <w:r>
        <w:tab/>
        <w:t>This regulation applies if a person refers a breach of public sector standards claim to the Commission under section 29(1)(l) of the Act.</w:t>
      </w:r>
    </w:p>
    <w:p>
      <w:pPr>
        <w:pStyle w:val="Subsection"/>
      </w:pPr>
      <w:r>
        <w:tab/>
        <w:t>(2)</w:t>
      </w:r>
      <w:r>
        <w:tab/>
        <w:t xml:space="preserve">The referral must be made by application that — </w:t>
      </w:r>
    </w:p>
    <w:p>
      <w:pPr>
        <w:pStyle w:val="Indenta"/>
      </w:pPr>
      <w:r>
        <w:tab/>
        <w:t>(a)</w:t>
      </w:r>
      <w:r>
        <w:tab/>
        <w:t>is in the approved form; and</w:t>
      </w:r>
    </w:p>
    <w:p>
      <w:pPr>
        <w:pStyle w:val="Indenta"/>
      </w:pPr>
      <w:r>
        <w:tab/>
        <w:t>(b)</w:t>
      </w:r>
      <w:r>
        <w:tab/>
        <w:t>identifies the public sector standard alleged to have been breached; and</w:t>
      </w:r>
    </w:p>
    <w:p>
      <w:pPr>
        <w:pStyle w:val="Indenta"/>
      </w:pPr>
      <w:r>
        <w:tab/>
        <w:t>(c)</w:t>
      </w:r>
      <w:r>
        <w:tab/>
        <w:t>identifies the public sector body to which the breach of public sector standards claim was made; and</w:t>
      </w:r>
    </w:p>
    <w:p>
      <w:pPr>
        <w:pStyle w:val="Indenta"/>
      </w:pPr>
      <w:r>
        <w:tab/>
        <w:t>(d)</w:t>
      </w:r>
      <w:r>
        <w:tab/>
        <w:t>includes a statement that clearly and concisely sets out the grounds of the referral; and</w:t>
      </w:r>
    </w:p>
    <w:p>
      <w:pPr>
        <w:pStyle w:val="Indenta"/>
      </w:pPr>
      <w:r>
        <w:tab/>
        <w:t>(e)</w:t>
      </w:r>
      <w:r>
        <w:tab/>
        <w:t>is accompanied by a copy of the breach of public sector standards claim; and</w:t>
      </w:r>
    </w:p>
    <w:p>
      <w:pPr>
        <w:pStyle w:val="Indenta"/>
      </w:pPr>
      <w:r>
        <w:tab/>
        <w:t>(f)</w:t>
      </w:r>
      <w:r>
        <w:tab/>
        <w:t>has attached to it the particulars approved by the Chief Commissioner from time to time.</w:t>
      </w:r>
    </w:p>
    <w:p>
      <w:pPr>
        <w:pStyle w:val="Subsection"/>
      </w:pPr>
      <w:r>
        <w:tab/>
        <w:t>(3)</w:t>
      </w:r>
      <w:r>
        <w:tab/>
        <w:t>If the breach of public sector standards claim is referred to the Commission after the time required by section 29(2)(d) of the Act, the application must also have attached to it a statement from the applicant setting out the facts on which the applicant relies to show why it would be unfair for the Commission not to accept the referral.</w:t>
      </w:r>
    </w:p>
    <w:p>
      <w:pPr>
        <w:pStyle w:val="Subsection"/>
      </w:pPr>
      <w:r>
        <w:tab/>
        <w:t>(4)</w:t>
      </w:r>
      <w:r>
        <w:tab/>
        <w:t>Unless the Commission otherwise directs, the Registrar must, as soon as practicable after the application is made, serve a copy of the application and any accompanying documents on the public sector body to which the breach of public sector standards claim was made.</w:t>
      </w:r>
    </w:p>
    <w:p>
      <w:pPr>
        <w:pStyle w:val="Subsection"/>
      </w:pPr>
      <w:r>
        <w:tab/>
        <w:t>(5)</w:t>
      </w:r>
      <w:r>
        <w:tab/>
        <w:t>A public sector body that is served with a copy of the application and that wants to respond to the referral must file a response in the approved form within 21 days after being served with a copy of the application.</w:t>
      </w:r>
    </w:p>
    <w:p>
      <w:pPr>
        <w:pStyle w:val="Subsection"/>
      </w:pPr>
      <w:r>
        <w:lastRenderedPageBreak/>
        <w:tab/>
        <w:t>(6)</w:t>
      </w:r>
      <w:r>
        <w:tab/>
        <w:t>A response must, in summary form, specify the facts on which the public sector body relies and specifically admit or dispute, either with or without qualification, each part of the application.</w:t>
      </w:r>
    </w:p>
    <w:p>
      <w:pPr>
        <w:pStyle w:val="Subsection"/>
      </w:pPr>
      <w:r>
        <w:tab/>
        <w:t>(7)</w:t>
      </w:r>
      <w:r>
        <w:tab/>
        <w:t>Unless the Commission otherwise directs, the Registrar must, as soon as practicable after a response is filed, serve a copy of the response on the applicant.</w:t>
      </w:r>
    </w:p>
    <w:p>
      <w:pPr>
        <w:pStyle w:val="Footnotesection"/>
      </w:pPr>
      <w:r>
        <w:tab/>
        <w:t>[Regulation 62G inserted: SL 2025/94 r. 6.]</w:t>
      </w:r>
    </w:p>
    <w:p>
      <w:pPr>
        <w:pStyle w:val="Ednotesection"/>
      </w:pPr>
      <w:bookmarkStart w:id="131" w:name="_Toc201648993"/>
      <w:bookmarkStart w:id="132" w:name="_Toc201649187"/>
      <w:bookmarkStart w:id="133" w:name="_Toc201650047"/>
      <w:bookmarkStart w:id="134" w:name="_Toc201650375"/>
      <w:r>
        <w:t>[</w:t>
      </w:r>
      <w:r>
        <w:rPr>
          <w:b/>
          <w:bCs/>
        </w:rPr>
        <w:t>63A.</w:t>
      </w:r>
      <w:r>
        <w:tab/>
        <w:t>Deleted: SL 2025/21 r. 7.]</w:t>
      </w:r>
    </w:p>
    <w:p>
      <w:pPr>
        <w:pStyle w:val="Ednotedivision"/>
      </w:pPr>
      <w:r>
        <w:t>[Part 6 Division 2 heading deleted: SL 2022/75 r. 11.]</w:t>
      </w:r>
    </w:p>
    <w:p>
      <w:pPr>
        <w:pStyle w:val="Heading2"/>
      </w:pPr>
      <w:bookmarkStart w:id="135" w:name="_Toc201657184"/>
      <w:r>
        <w:rPr>
          <w:rStyle w:val="CharPartNo"/>
        </w:rPr>
        <w:lastRenderedPageBreak/>
        <w:t>Part 6</w:t>
      </w:r>
      <w:r>
        <w:rPr>
          <w:rStyle w:val="CharDivNo"/>
        </w:rPr>
        <w:t> </w:t>
      </w:r>
      <w:r>
        <w:t>—</w:t>
      </w:r>
      <w:r>
        <w:rPr>
          <w:rStyle w:val="CharDivText"/>
        </w:rPr>
        <w:t> </w:t>
      </w:r>
      <w:r>
        <w:rPr>
          <w:rStyle w:val="CharPartText"/>
        </w:rPr>
        <w:t>Agents</w:t>
      </w:r>
      <w:bookmarkEnd w:id="131"/>
      <w:bookmarkEnd w:id="132"/>
      <w:bookmarkEnd w:id="133"/>
      <w:bookmarkEnd w:id="134"/>
      <w:bookmarkEnd w:id="135"/>
    </w:p>
    <w:p>
      <w:pPr>
        <w:pStyle w:val="Footnoteheading"/>
      </w:pPr>
      <w:r>
        <w:tab/>
        <w:t>[Heading inserted: SL 2022/75 r. 12.]</w:t>
      </w:r>
    </w:p>
    <w:p>
      <w:pPr>
        <w:pStyle w:val="Heading5"/>
        <w:rPr>
          <w:snapToGrid w:val="0"/>
        </w:rPr>
      </w:pPr>
      <w:bookmarkStart w:id="136" w:name="_Toc201657185"/>
      <w:r>
        <w:rPr>
          <w:rStyle w:val="CharSectno"/>
        </w:rPr>
        <w:t>63</w:t>
      </w:r>
      <w:r>
        <w:t>.</w:t>
      </w:r>
      <w:r>
        <w:tab/>
      </w:r>
      <w:r>
        <w:rPr>
          <w:snapToGrid w:val="0"/>
        </w:rPr>
        <w:t>Appointment of agent</w:t>
      </w:r>
      <w:bookmarkEnd w:id="136"/>
    </w:p>
    <w:p>
      <w:pPr>
        <w:pStyle w:val="Subsection"/>
        <w:rPr>
          <w:snapToGrid w:val="0"/>
        </w:rPr>
      </w:pPr>
      <w:r>
        <w:rPr>
          <w:snapToGrid w:val="0"/>
        </w:rPr>
        <w:tab/>
        <w:t>(1)</w:t>
      </w:r>
      <w:r>
        <w:rPr>
          <w:snapToGrid w:val="0"/>
        </w:rPr>
        <w:tab/>
        <w:t xml:space="preserve">Subject to this regulation a person cannot be recognised as agent for a party to any proceedings in the Commission unless the person is appointed in writing in the </w:t>
      </w:r>
      <w:r>
        <w:t>approved form</w:t>
      </w:r>
      <w:r>
        <w:rPr>
          <w:snapToGrid w:val="0"/>
        </w:rPr>
        <w:t xml:space="preserve"> </w:t>
      </w:r>
      <w:r>
        <w:t xml:space="preserve">(the </w:t>
      </w:r>
      <w:r>
        <w:rPr>
          <w:rStyle w:val="CharDefText"/>
        </w:rPr>
        <w:t>warrant</w:t>
      </w:r>
      <w:r>
        <w:t xml:space="preserve">) </w:t>
      </w:r>
      <w:r>
        <w:rPr>
          <w:snapToGrid w:val="0"/>
        </w:rPr>
        <w:t>and that form is filed.</w:t>
      </w:r>
    </w:p>
    <w:p>
      <w:pPr>
        <w:pStyle w:val="Subsection"/>
      </w:pPr>
      <w:r>
        <w:tab/>
        <w:t>(2)</w:t>
      </w:r>
      <w:r>
        <w:tab/>
        <w:t>An applicant who refers a matter to the Commission under section 29(1)(b), (c), (d), (e), (f), (g), (h), (i), (j) or (k) of the Act may appoint a person as agent by completing the relevant part of the approved form referring the matter to the Commission.</w:t>
      </w:r>
    </w:p>
    <w:p>
      <w:pPr>
        <w:pStyle w:val="Subsection"/>
        <w:rPr>
          <w:snapToGrid w:val="0"/>
        </w:rPr>
      </w:pPr>
      <w:r>
        <w:rPr>
          <w:snapToGrid w:val="0"/>
        </w:rPr>
        <w:tab/>
        <w:t>(3)</w:t>
      </w:r>
      <w:r>
        <w:rPr>
          <w:snapToGrid w:val="0"/>
        </w:rPr>
        <w:tab/>
        <w:t xml:space="preserve">A copy of the appointment in the </w:t>
      </w:r>
      <w:r>
        <w:t>approved form</w:t>
      </w:r>
      <w:r>
        <w:rPr>
          <w:snapToGrid w:val="0"/>
        </w:rPr>
        <w:t xml:space="preserve"> must be served on the other parties to the proceedings.</w:t>
      </w:r>
    </w:p>
    <w:p>
      <w:pPr>
        <w:pStyle w:val="Subsection"/>
      </w:pPr>
      <w:r>
        <w:tab/>
        <w:t>(3A)</w:t>
      </w:r>
      <w:r>
        <w:tab/>
        <w:t xml:space="preserve">The warrant may appoint as agent — </w:t>
      </w:r>
    </w:p>
    <w:p>
      <w:pPr>
        <w:pStyle w:val="Indenta"/>
      </w:pPr>
      <w:r>
        <w:tab/>
        <w:t>(a)</w:t>
      </w:r>
      <w:r>
        <w:tab/>
        <w:t>a person specified in the warrant; or</w:t>
      </w:r>
    </w:p>
    <w:p>
      <w:pPr>
        <w:pStyle w:val="Indenta"/>
      </w:pPr>
      <w:r>
        <w:tab/>
        <w:t>(b)</w:t>
      </w:r>
      <w:r>
        <w:tab/>
        <w:t>a member of a class of persons specified in the warrant.</w:t>
      </w:r>
    </w:p>
    <w:p>
      <w:pPr>
        <w:pStyle w:val="Subsection"/>
      </w:pPr>
      <w:r>
        <w:tab/>
        <w:t>(3B)</w:t>
      </w:r>
      <w:r>
        <w:tab/>
        <w:t xml:space="preserve">The warrant may be expressed to apply in relation to — </w:t>
      </w:r>
    </w:p>
    <w:p>
      <w:pPr>
        <w:pStyle w:val="Indenta"/>
      </w:pPr>
      <w:r>
        <w:tab/>
        <w:t>(a)</w:t>
      </w:r>
      <w:r>
        <w:tab/>
        <w:t>proceedings specified in the warrant; or</w:t>
      </w:r>
    </w:p>
    <w:p>
      <w:pPr>
        <w:pStyle w:val="Indenta"/>
      </w:pPr>
      <w:r>
        <w:tab/>
        <w:t>(b)</w:t>
      </w:r>
      <w:r>
        <w:tab/>
        <w:t>all proceedings before the Commission.</w:t>
      </w:r>
    </w:p>
    <w:p>
      <w:pPr>
        <w:pStyle w:val="Subsection"/>
        <w:rPr>
          <w:snapToGrid w:val="0"/>
        </w:rPr>
      </w:pPr>
      <w:r>
        <w:rPr>
          <w:snapToGrid w:val="0"/>
        </w:rPr>
        <w:tab/>
        <w:t>(4)</w:t>
      </w:r>
      <w:r>
        <w:rPr>
          <w:snapToGrid w:val="0"/>
        </w:rPr>
        <w:tab/>
        <w:t>An appointment of an agent under this regulation may be for a specified period of time or indefinitely and may be withdrawn by writing filed at any time, but remains in force unless and until it is so withdrawn.</w:t>
      </w:r>
    </w:p>
    <w:p>
      <w:pPr>
        <w:pStyle w:val="Subsection"/>
      </w:pPr>
      <w:r>
        <w:tab/>
        <w:t>(5)</w:t>
      </w:r>
      <w:r>
        <w:tab/>
        <w:t>Where a person appoints another person as the person’s agent in respect of any matter in the Commission, and in the appointment expressly validates any action taken in respect of that matter before the appointment, any such action is to be regarded as having been taken by the principal.</w:t>
      </w:r>
    </w:p>
    <w:p>
      <w:pPr>
        <w:pStyle w:val="Subsection"/>
        <w:rPr>
          <w:snapToGrid w:val="0"/>
        </w:rPr>
      </w:pPr>
      <w:r>
        <w:rPr>
          <w:snapToGrid w:val="0"/>
        </w:rPr>
        <w:lastRenderedPageBreak/>
        <w:tab/>
        <w:t>(6)</w:t>
      </w:r>
      <w:r>
        <w:rPr>
          <w:snapToGrid w:val="0"/>
        </w:rPr>
        <w:tab/>
        <w:t>A document instituting proceedings or any subsequent document to be filed in the proceedings may be signed and lodged for filing as necessary by the duly appointed agent of a party on whose behalf it is filed.</w:t>
      </w:r>
    </w:p>
    <w:p>
      <w:pPr>
        <w:pStyle w:val="Subsection"/>
        <w:keepNext/>
        <w:rPr>
          <w:snapToGrid w:val="0"/>
        </w:rPr>
      </w:pPr>
      <w:r>
        <w:rPr>
          <w:snapToGrid w:val="0"/>
        </w:rPr>
        <w:tab/>
        <w:t>(7)</w:t>
      </w:r>
      <w:r>
        <w:rPr>
          <w:snapToGrid w:val="0"/>
        </w:rPr>
        <w:tab/>
        <w:t>Any document lodged for filing by an agent of a party must be lodged and filed in the name of the party and bear on it endorsement of the name of the agent and the fact that the agent is acting as the agent of the principal.</w:t>
      </w:r>
    </w:p>
    <w:p>
      <w:pPr>
        <w:pStyle w:val="Footnotesection"/>
      </w:pPr>
      <w:r>
        <w:tab/>
        <w:t>[Regulation 63 amended: Gazette 12 Jan 2018 p. 116; 5 Mar 2019 p. 622</w:t>
      </w:r>
      <w:r>
        <w:noBreakHyphen/>
        <w:t>3; SL 2022/75 r. 13; SL 2025/21 r. 8.]</w:t>
      </w:r>
    </w:p>
    <w:p>
      <w:pPr>
        <w:pStyle w:val="Ednotedivision"/>
      </w:pPr>
      <w:r>
        <w:t>[Division 3 heading deleted: SL 2022/75 r. 14.]</w:t>
      </w:r>
    </w:p>
    <w:p>
      <w:pPr>
        <w:pStyle w:val="Heading2"/>
      </w:pPr>
      <w:bookmarkStart w:id="137" w:name="_Toc201648995"/>
      <w:bookmarkStart w:id="138" w:name="_Toc201649189"/>
      <w:bookmarkStart w:id="139" w:name="_Toc201650049"/>
      <w:bookmarkStart w:id="140" w:name="_Toc201650377"/>
      <w:bookmarkStart w:id="141" w:name="_Toc201657186"/>
      <w:r>
        <w:rPr>
          <w:rStyle w:val="CharPartNo"/>
        </w:rPr>
        <w:lastRenderedPageBreak/>
        <w:t>Part 6A</w:t>
      </w:r>
      <w:r>
        <w:rPr>
          <w:rStyle w:val="CharDivNo"/>
        </w:rPr>
        <w:t> </w:t>
      </w:r>
      <w:r>
        <w:t>—</w:t>
      </w:r>
      <w:r>
        <w:rPr>
          <w:rStyle w:val="CharDivText"/>
        </w:rPr>
        <w:t> </w:t>
      </w:r>
      <w:r>
        <w:rPr>
          <w:rStyle w:val="CharPartText"/>
        </w:rPr>
        <w:t>Delegation to Registrars</w:t>
      </w:r>
      <w:bookmarkEnd w:id="137"/>
      <w:bookmarkEnd w:id="138"/>
      <w:bookmarkEnd w:id="139"/>
      <w:bookmarkEnd w:id="140"/>
      <w:bookmarkEnd w:id="141"/>
    </w:p>
    <w:p>
      <w:pPr>
        <w:pStyle w:val="Footnoteheading"/>
      </w:pPr>
      <w:r>
        <w:tab/>
        <w:t>[Heading inserted: SL 2022/75 r. 15.]</w:t>
      </w:r>
    </w:p>
    <w:p>
      <w:pPr>
        <w:pStyle w:val="Heading5"/>
      </w:pPr>
      <w:bookmarkStart w:id="142" w:name="_Toc201657187"/>
      <w:r>
        <w:rPr>
          <w:rStyle w:val="CharSectno"/>
        </w:rPr>
        <w:t>64</w:t>
      </w:r>
      <w:r>
        <w:t>.</w:t>
      </w:r>
      <w:r>
        <w:tab/>
        <w:t>Delegation to Registrars</w:t>
      </w:r>
      <w:bookmarkEnd w:id="142"/>
    </w:p>
    <w:p>
      <w:pPr>
        <w:pStyle w:val="Subsection"/>
      </w:pPr>
      <w:r>
        <w:tab/>
        <w:t>(1)</w:t>
      </w:r>
      <w:r>
        <w:tab/>
        <w:t xml:space="preserve">A claim under section 29(1)(c), (d), (i) or (j) </w:t>
      </w:r>
      <w:r>
        <w:rPr>
          <w:snapToGrid w:val="0"/>
        </w:rPr>
        <w:t>of the Act</w:t>
      </w:r>
      <w:r>
        <w:t xml:space="preserve"> may be referred by the Chief Commissioner or the </w:t>
      </w:r>
      <w:r>
        <w:rPr>
          <w:snapToGrid w:val="0"/>
        </w:rPr>
        <w:t>Commission</w:t>
      </w:r>
      <w:r>
        <w:t xml:space="preserve"> to the Registrar for resolution by conciliation under section 32 </w:t>
      </w:r>
      <w:r>
        <w:rPr>
          <w:snapToGrid w:val="0"/>
        </w:rPr>
        <w:t xml:space="preserve">of the Act </w:t>
      </w:r>
      <w:r>
        <w:t>by the Registrar.</w:t>
      </w:r>
    </w:p>
    <w:p>
      <w:pPr>
        <w:pStyle w:val="Subsection"/>
      </w:pPr>
      <w:r>
        <w:tab/>
        <w:t>(2)</w:t>
      </w:r>
      <w:r>
        <w:tab/>
        <w:t xml:space="preserve">A review of an award for the purposes of section 40B of the Act may be referred by the Commission to the Registrar — </w:t>
      </w:r>
    </w:p>
    <w:p>
      <w:pPr>
        <w:pStyle w:val="Indenta"/>
      </w:pPr>
      <w:r>
        <w:tab/>
        <w:t>(a)</w:t>
      </w:r>
      <w:r>
        <w:tab/>
        <w:t>for investigation and report to the Commission by the Registrar; and</w:t>
      </w:r>
    </w:p>
    <w:p>
      <w:pPr>
        <w:pStyle w:val="Indenta"/>
      </w:pPr>
      <w:r>
        <w:tab/>
        <w:t>(b)</w:t>
      </w:r>
      <w:r>
        <w:tab/>
        <w:t>for the Registrar to assist the parties to the award, by way of facilitation, conciliation or both, to reach an agreement on any proposed variations to the award.</w:t>
      </w:r>
    </w:p>
    <w:p>
      <w:pPr>
        <w:pStyle w:val="Footnotesection"/>
      </w:pPr>
      <w:r>
        <w:tab/>
        <w:t>[Regulation 64 amended: SL 2022/75 r. 16; SL 2025/21 r. 9.]</w:t>
      </w:r>
    </w:p>
    <w:p>
      <w:pPr>
        <w:pStyle w:val="Heading5"/>
      </w:pPr>
      <w:bookmarkStart w:id="143" w:name="_Toc201657188"/>
      <w:r>
        <w:rPr>
          <w:rStyle w:val="CharSectno"/>
        </w:rPr>
        <w:t>65</w:t>
      </w:r>
      <w:r>
        <w:t>.</w:t>
      </w:r>
      <w:r>
        <w:tab/>
        <w:t>Time limits for review of decisions of Registrars</w:t>
      </w:r>
      <w:bookmarkEnd w:id="143"/>
    </w:p>
    <w:p>
      <w:pPr>
        <w:pStyle w:val="Subsection"/>
      </w:pPr>
      <w:r>
        <w:tab/>
        <w:t>(1)</w:t>
      </w:r>
      <w:r>
        <w:tab/>
        <w:t>For the purposes of section 96(9)</w:t>
      </w:r>
      <w:r>
        <w:rPr>
          <w:snapToGrid w:val="0"/>
        </w:rPr>
        <w:t xml:space="preserve"> of the Act</w:t>
      </w:r>
      <w:r>
        <w:t>, a party to proceedings in which a Registrar has performed a function delegated under regulation 64 may apply to the Commission to review a decision made by the Registrar within 7 days of the making of the decision, or such further time as is allowed by the Chief Commissioner.</w:t>
      </w:r>
    </w:p>
    <w:p>
      <w:pPr>
        <w:pStyle w:val="Subsection"/>
      </w:pPr>
      <w:r>
        <w:tab/>
        <w:t>(2)</w:t>
      </w:r>
      <w:r>
        <w:tab/>
        <w:t>For the purposes of section 96(12)</w:t>
      </w:r>
      <w:r>
        <w:rPr>
          <w:snapToGrid w:val="0"/>
        </w:rPr>
        <w:t xml:space="preserve"> of the Act</w:t>
      </w:r>
      <w:r>
        <w:t>, a review referred to in section 96(11)</w:t>
      </w:r>
      <w:r>
        <w:rPr>
          <w:snapToGrid w:val="0"/>
        </w:rPr>
        <w:t xml:space="preserve"> of the Act</w:t>
      </w:r>
      <w:r>
        <w:t xml:space="preserve"> in respect of a function delegated under regulation 64 is to be carried out within 14 days of the Chief Commissioner assigning a Commissioner to undertake the review or deciding to undertake the review himself or herself, or such further time as is allowed by the Chief Commissioner.</w:t>
      </w:r>
    </w:p>
    <w:p>
      <w:pPr>
        <w:pStyle w:val="Subsection"/>
        <w:keepNext/>
      </w:pPr>
      <w:r>
        <w:lastRenderedPageBreak/>
        <w:tab/>
        <w:t>(3)</w:t>
      </w:r>
      <w:r>
        <w:tab/>
        <w:t xml:space="preserve">In this regulation — </w:t>
      </w:r>
    </w:p>
    <w:p>
      <w:pPr>
        <w:pStyle w:val="Defstart"/>
      </w:pPr>
      <w:r>
        <w:tab/>
      </w:r>
      <w:r>
        <w:rPr>
          <w:rStyle w:val="CharDefText"/>
        </w:rPr>
        <w:t>decision</w:t>
      </w:r>
      <w:r>
        <w:t>, made by a Registrar, means a direction, determination or order made by the Registrar in the performance of the delegated function.</w:t>
      </w:r>
    </w:p>
    <w:p>
      <w:pPr>
        <w:pStyle w:val="Heading2"/>
      </w:pPr>
      <w:bookmarkStart w:id="144" w:name="_Toc201648998"/>
      <w:bookmarkStart w:id="145" w:name="_Toc201649192"/>
      <w:bookmarkStart w:id="146" w:name="_Toc201650052"/>
      <w:bookmarkStart w:id="147" w:name="_Toc201650380"/>
      <w:bookmarkStart w:id="148" w:name="_Toc201657189"/>
      <w:r>
        <w:rPr>
          <w:rStyle w:val="CharPartNo"/>
        </w:rPr>
        <w:lastRenderedPageBreak/>
        <w:t>Part 7</w:t>
      </w:r>
      <w:r>
        <w:t> — </w:t>
      </w:r>
      <w:r>
        <w:rPr>
          <w:rStyle w:val="CharPartText"/>
        </w:rPr>
        <w:t>Organisations and associations</w:t>
      </w:r>
      <w:bookmarkEnd w:id="144"/>
      <w:bookmarkEnd w:id="145"/>
      <w:bookmarkEnd w:id="146"/>
      <w:bookmarkEnd w:id="147"/>
      <w:bookmarkEnd w:id="148"/>
    </w:p>
    <w:p>
      <w:pPr>
        <w:pStyle w:val="Footnoteheading"/>
      </w:pPr>
      <w:r>
        <w:tab/>
        <w:t>[Heading amended: SL 2025/21 r. 10.]</w:t>
      </w:r>
    </w:p>
    <w:p>
      <w:pPr>
        <w:pStyle w:val="Heading3"/>
      </w:pPr>
      <w:bookmarkStart w:id="149" w:name="_Toc201648999"/>
      <w:bookmarkStart w:id="150" w:name="_Toc201649193"/>
      <w:bookmarkStart w:id="151" w:name="_Toc201650053"/>
      <w:bookmarkStart w:id="152" w:name="_Toc201650381"/>
      <w:bookmarkStart w:id="153" w:name="_Toc201657190"/>
      <w:r>
        <w:rPr>
          <w:rStyle w:val="CharDivNo"/>
        </w:rPr>
        <w:t>Division 1</w:t>
      </w:r>
      <w:r>
        <w:t> — </w:t>
      </w:r>
      <w:r>
        <w:rPr>
          <w:rStyle w:val="CharDivText"/>
        </w:rPr>
        <w:t>Registration, status and coverage</w:t>
      </w:r>
      <w:bookmarkEnd w:id="149"/>
      <w:bookmarkEnd w:id="150"/>
      <w:bookmarkEnd w:id="151"/>
      <w:bookmarkEnd w:id="152"/>
      <w:bookmarkEnd w:id="153"/>
    </w:p>
    <w:p>
      <w:pPr>
        <w:pStyle w:val="Footnoteheading"/>
      </w:pPr>
      <w:r>
        <w:tab/>
        <w:t>[Heading inserted: SL 2025/21 r. 11.]</w:t>
      </w:r>
    </w:p>
    <w:p>
      <w:pPr>
        <w:pStyle w:val="Heading5"/>
        <w:rPr>
          <w:snapToGrid w:val="0"/>
        </w:rPr>
      </w:pPr>
      <w:bookmarkStart w:id="154" w:name="_Toc201657191"/>
      <w:r>
        <w:rPr>
          <w:rStyle w:val="CharSectno"/>
        </w:rPr>
        <w:t>66</w:t>
      </w:r>
      <w:r>
        <w:t>.</w:t>
      </w:r>
      <w:r>
        <w:tab/>
      </w:r>
      <w:r>
        <w:rPr>
          <w:snapToGrid w:val="0"/>
        </w:rPr>
        <w:t>Registration of organisation</w:t>
      </w:r>
      <w:bookmarkEnd w:id="154"/>
    </w:p>
    <w:p>
      <w:pPr>
        <w:pStyle w:val="Ednotesubsection"/>
      </w:pPr>
      <w:r>
        <w:tab/>
        <w:t>[(1)</w:t>
      </w:r>
      <w:r>
        <w:tab/>
        <w:t>deleted]</w:t>
      </w:r>
    </w:p>
    <w:p>
      <w:pPr>
        <w:pStyle w:val="Subsection"/>
      </w:pPr>
      <w:r>
        <w:tab/>
        <w:t>(2)</w:t>
      </w:r>
      <w:r>
        <w:tab/>
        <w:t>An application under section 55 of the Act to the Commission in Court Session for registration of an organisation must be lodged in the office of the Registrar with the following attachments — </w:t>
      </w:r>
    </w:p>
    <w:p>
      <w:pPr>
        <w:pStyle w:val="Indenta"/>
      </w:pPr>
      <w:r>
        <w:tab/>
        <w:t>(a)</w:t>
      </w:r>
      <w:r>
        <w:tab/>
        <w:t xml:space="preserve">a statement as to — </w:t>
      </w:r>
    </w:p>
    <w:p>
      <w:pPr>
        <w:pStyle w:val="Indenti"/>
      </w:pPr>
      <w:r>
        <w:tab/>
        <w:t>(i)</w:t>
      </w:r>
      <w:r>
        <w:tab/>
        <w:t>the steps taken by the organisation to inform members of the matters set out in section 55(4)(b) of the Act, and a copy of any notice or other document given to members for the purposes of that section; and</w:t>
      </w:r>
    </w:p>
    <w:p>
      <w:pPr>
        <w:pStyle w:val="Indenti"/>
      </w:pPr>
      <w:r>
        <w:tab/>
        <w:t>(ii)</w:t>
      </w:r>
      <w:r>
        <w:tab/>
        <w:t>the opportunity afforded to members to make an objection under section 55(4)(b) of the Act;</w:t>
      </w:r>
    </w:p>
    <w:p>
      <w:pPr>
        <w:pStyle w:val="Indenta"/>
      </w:pPr>
      <w:r>
        <w:tab/>
        <w:t>(b)</w:t>
      </w:r>
      <w:r>
        <w:tab/>
        <w:t>a copy of the resolution of the organisation authorising the application.</w:t>
      </w:r>
    </w:p>
    <w:p>
      <w:pPr>
        <w:pStyle w:val="Subsection"/>
        <w:keepNext/>
        <w:rPr>
          <w:snapToGrid w:val="0"/>
        </w:rPr>
      </w:pPr>
      <w:r>
        <w:rPr>
          <w:snapToGrid w:val="0"/>
        </w:rPr>
        <w:tab/>
        <w:t>(3)</w:t>
      </w:r>
      <w:r>
        <w:rPr>
          <w:snapToGrid w:val="0"/>
        </w:rPr>
        <w:tab/>
      </w:r>
      <w:r>
        <w:t>A</w:t>
      </w:r>
      <w:r>
        <w:rPr>
          <w:snapToGrid w:val="0"/>
        </w:rPr>
        <w:t xml:space="preserve"> person who objects to the registration of the organisation must </w:t>
      </w:r>
      <w:r>
        <w:t>lodge an</w:t>
      </w:r>
      <w:r>
        <w:rPr>
          <w:snapToGrid w:val="0"/>
        </w:rPr>
        <w:t xml:space="preserve"> objection in the </w:t>
      </w:r>
      <w:r>
        <w:t>approved form</w:t>
      </w:r>
      <w:r>
        <w:rPr>
          <w:snapToGrid w:val="0"/>
        </w:rPr>
        <w:t xml:space="preserve"> within 21 days of the publication in the required manner and otherwise the provisions of regulation 15 apply with respect to any objection to the registration.</w:t>
      </w:r>
    </w:p>
    <w:p>
      <w:pPr>
        <w:pStyle w:val="Footnotesection"/>
      </w:pPr>
      <w:r>
        <w:tab/>
        <w:t>[Regulation 66 amended: Gazette 5 Mar 2019 p. 622</w:t>
      </w:r>
      <w:r>
        <w:noBreakHyphen/>
        <w:t>3; SL 2022/75 r. 17.]</w:t>
      </w:r>
    </w:p>
    <w:p>
      <w:pPr>
        <w:pStyle w:val="Heading5"/>
        <w:rPr>
          <w:snapToGrid w:val="0"/>
        </w:rPr>
      </w:pPr>
      <w:bookmarkStart w:id="155" w:name="_Toc201657192"/>
      <w:r>
        <w:rPr>
          <w:rStyle w:val="CharSectno"/>
        </w:rPr>
        <w:lastRenderedPageBreak/>
        <w:t>67</w:t>
      </w:r>
      <w:r>
        <w:t>.</w:t>
      </w:r>
      <w:r>
        <w:tab/>
        <w:t>Registration of association</w:t>
      </w:r>
      <w:bookmarkEnd w:id="155"/>
    </w:p>
    <w:p>
      <w:pPr>
        <w:pStyle w:val="Subsection"/>
      </w:pPr>
      <w:r>
        <w:tab/>
        <w:t>(1)</w:t>
      </w:r>
      <w:r>
        <w:tab/>
        <w:t>An application to register a council or other body as an association under section 67 of the Act must be made to the Commission in Court Session in the approved form.</w:t>
      </w:r>
    </w:p>
    <w:p>
      <w:pPr>
        <w:pStyle w:val="Subsection"/>
        <w:keepNext/>
      </w:pPr>
      <w:r>
        <w:tab/>
        <w:t>(2)</w:t>
      </w:r>
      <w:r>
        <w:tab/>
        <w:t>The application must be lodged in the office of the Registrar with the following attachments — </w:t>
      </w:r>
    </w:p>
    <w:p>
      <w:pPr>
        <w:pStyle w:val="Indenta"/>
      </w:pPr>
      <w:r>
        <w:tab/>
        <w:t>(a)</w:t>
      </w:r>
      <w:r>
        <w:tab/>
        <w:t>a list containing the full names of the organisations that are represented on the council or other body;</w:t>
      </w:r>
    </w:p>
    <w:p>
      <w:pPr>
        <w:pStyle w:val="Indenta"/>
      </w:pPr>
      <w:r>
        <w:tab/>
        <w:t>(b)</w:t>
      </w:r>
      <w:r>
        <w:tab/>
        <w:t>a list containing the full name and address of each person representing those organisations on the council or other body;</w:t>
      </w:r>
    </w:p>
    <w:p>
      <w:pPr>
        <w:pStyle w:val="Indenta"/>
      </w:pPr>
      <w:r>
        <w:tab/>
        <w:t>(c)</w:t>
      </w:r>
      <w:r>
        <w:tab/>
        <w:t>a list containing the full names and addresses of the officers of the council or other body;</w:t>
      </w:r>
    </w:p>
    <w:p>
      <w:pPr>
        <w:pStyle w:val="Indenta"/>
      </w:pPr>
      <w:r>
        <w:tab/>
        <w:t>(d)</w:t>
      </w:r>
      <w:r>
        <w:tab/>
        <w:t>a copy of the rules of the council or other body, certified as being correct by the principal executive officer or secretary of the council or other body;</w:t>
      </w:r>
    </w:p>
    <w:p>
      <w:pPr>
        <w:pStyle w:val="Indenta"/>
        <w:keepNext/>
      </w:pPr>
      <w:r>
        <w:tab/>
        <w:t>(e)</w:t>
      </w:r>
      <w:r>
        <w:tab/>
        <w:t xml:space="preserve">a statement as to — </w:t>
      </w:r>
    </w:p>
    <w:p>
      <w:pPr>
        <w:pStyle w:val="Indenti"/>
      </w:pPr>
      <w:r>
        <w:tab/>
        <w:t>(i)</w:t>
      </w:r>
      <w:r>
        <w:tab/>
        <w:t>the steps taken by the council or other body to inform members of the matters set out in section 55(4)(b) of the Act, and a copy of any notice or other document given to members for the purposes of that section, as applied by section 67(3) of the Act; and</w:t>
      </w:r>
    </w:p>
    <w:p>
      <w:pPr>
        <w:pStyle w:val="Indenti"/>
      </w:pPr>
      <w:r>
        <w:tab/>
        <w:t>(ii)</w:t>
      </w:r>
      <w:r>
        <w:tab/>
        <w:t>the opportunity afforded to members to make an objection under section 55(4)(b) of the Act as applied by section 67(3) of the Act;</w:t>
      </w:r>
    </w:p>
    <w:p>
      <w:pPr>
        <w:pStyle w:val="Indenta"/>
      </w:pPr>
      <w:r>
        <w:tab/>
        <w:t>(f)</w:t>
      </w:r>
      <w:r>
        <w:tab/>
        <w:t>a copy of the resolution authorising the application.</w:t>
      </w:r>
    </w:p>
    <w:p>
      <w:pPr>
        <w:pStyle w:val="Subsection"/>
        <w:keepNext/>
        <w:rPr>
          <w:snapToGrid w:val="0"/>
        </w:rPr>
      </w:pPr>
      <w:r>
        <w:rPr>
          <w:snapToGrid w:val="0"/>
        </w:rPr>
        <w:tab/>
        <w:t>(3)</w:t>
      </w:r>
      <w:r>
        <w:rPr>
          <w:snapToGrid w:val="0"/>
        </w:rPr>
        <w:tab/>
      </w:r>
      <w:r>
        <w:t>A</w:t>
      </w:r>
      <w:r>
        <w:rPr>
          <w:snapToGrid w:val="0"/>
        </w:rPr>
        <w:t xml:space="preserve"> person who objects to the registration of the council or other body as an association must </w:t>
      </w:r>
      <w:r>
        <w:t>lodge an</w:t>
      </w:r>
      <w:r>
        <w:rPr>
          <w:snapToGrid w:val="0"/>
        </w:rPr>
        <w:t xml:space="preserve"> objection in the </w:t>
      </w:r>
      <w:r>
        <w:t>approved form</w:t>
      </w:r>
      <w:r>
        <w:rPr>
          <w:snapToGrid w:val="0"/>
        </w:rPr>
        <w:t xml:space="preserve"> within 21 days of the publication in the required manner </w:t>
      </w:r>
      <w:r>
        <w:rPr>
          <w:snapToGrid w:val="0"/>
        </w:rPr>
        <w:lastRenderedPageBreak/>
        <w:t>and otherwise the provisions of regulation 15 apply with respect to any objection to the registration.</w:t>
      </w:r>
    </w:p>
    <w:p>
      <w:pPr>
        <w:pStyle w:val="Footnotesection"/>
      </w:pPr>
      <w:r>
        <w:tab/>
        <w:t>[Regulation 67 amended: Gazette 5 Mar 2019 p. 622</w:t>
      </w:r>
      <w:r>
        <w:noBreakHyphen/>
        <w:t>3; SL 2022/75 r. 18.]</w:t>
      </w:r>
    </w:p>
    <w:p>
      <w:pPr>
        <w:pStyle w:val="Heading5"/>
        <w:rPr>
          <w:snapToGrid w:val="0"/>
        </w:rPr>
      </w:pPr>
      <w:bookmarkStart w:id="156" w:name="_Toc201657193"/>
      <w:r>
        <w:rPr>
          <w:rStyle w:val="CharSectno"/>
        </w:rPr>
        <w:t>68</w:t>
      </w:r>
      <w:r>
        <w:t>.</w:t>
      </w:r>
      <w:r>
        <w:tab/>
      </w:r>
      <w:r>
        <w:rPr>
          <w:snapToGrid w:val="0"/>
        </w:rPr>
        <w:t>Amalgamation of organisations</w:t>
      </w:r>
      <w:bookmarkEnd w:id="156"/>
    </w:p>
    <w:p>
      <w:pPr>
        <w:pStyle w:val="Subsection"/>
      </w:pPr>
      <w:r>
        <w:tab/>
        <w:t>(1)</w:t>
      </w:r>
      <w:r>
        <w:tab/>
        <w:t>An application under section 72(1) of the Act to register a new organisation formed by amalgamating 2 or more organisations must be made to the Commission in Court Session in the approved form.</w:t>
      </w:r>
    </w:p>
    <w:p>
      <w:pPr>
        <w:pStyle w:val="Ednotesubsection"/>
      </w:pPr>
      <w:r>
        <w:tab/>
        <w:t>[(2)</w:t>
      </w:r>
      <w:r>
        <w:tab/>
        <w:t>deleted]</w:t>
      </w:r>
    </w:p>
    <w:p>
      <w:pPr>
        <w:pStyle w:val="Subsection"/>
        <w:keepNext/>
      </w:pPr>
      <w:r>
        <w:tab/>
        <w:t>(3)</w:t>
      </w:r>
      <w:r>
        <w:tab/>
        <w:t>The application must be lodged in the office of the Registrar with the following attachments — </w:t>
      </w:r>
    </w:p>
    <w:p>
      <w:pPr>
        <w:pStyle w:val="Indenta"/>
      </w:pPr>
      <w:r>
        <w:tab/>
        <w:t>(a)</w:t>
      </w:r>
      <w:r>
        <w:tab/>
        <w:t>a list containing the full names and addresses of the officers of the proposed new organisation;</w:t>
      </w:r>
    </w:p>
    <w:p>
      <w:pPr>
        <w:pStyle w:val="Indenta"/>
      </w:pPr>
      <w:r>
        <w:tab/>
        <w:t>(b)</w:t>
      </w:r>
      <w:r>
        <w:tab/>
        <w:t>a copy of the rules of the proposed new organisation certified as being correct by the principal executive officer or secretary of the new organisation;</w:t>
      </w:r>
    </w:p>
    <w:p>
      <w:pPr>
        <w:pStyle w:val="Indenta"/>
        <w:keepNext/>
      </w:pPr>
      <w:r>
        <w:tab/>
        <w:t>(c)</w:t>
      </w:r>
      <w:r>
        <w:tab/>
        <w:t xml:space="preserve">a statement as to — </w:t>
      </w:r>
    </w:p>
    <w:p>
      <w:pPr>
        <w:pStyle w:val="Indenti"/>
      </w:pPr>
      <w:r>
        <w:tab/>
        <w:t>(i)</w:t>
      </w:r>
      <w:r>
        <w:tab/>
        <w:t>the steps taken by the amalgamating organisations to inform members of the matters set out in section 55(4)(b) of the Act, and a copy of any notice or other document given to members for the purposes of that section, as applied by section 72(3) of the Act; and</w:t>
      </w:r>
    </w:p>
    <w:p>
      <w:pPr>
        <w:pStyle w:val="Indenti"/>
      </w:pPr>
      <w:r>
        <w:tab/>
        <w:t>(ii)</w:t>
      </w:r>
      <w:r>
        <w:tab/>
        <w:t>the opportunity afforded to members to make an objection under section 55(4)(b) of the Act as applied by section 72(3) of the Act;</w:t>
      </w:r>
    </w:p>
    <w:p>
      <w:pPr>
        <w:pStyle w:val="Indenta"/>
      </w:pPr>
      <w:r>
        <w:tab/>
        <w:t>(d)</w:t>
      </w:r>
      <w:r>
        <w:tab/>
        <w:t>a copy of the resolution of each amalgamating organisation authorising the application.</w:t>
      </w:r>
    </w:p>
    <w:p>
      <w:pPr>
        <w:pStyle w:val="Subsection"/>
        <w:keepNext/>
        <w:rPr>
          <w:snapToGrid w:val="0"/>
        </w:rPr>
      </w:pPr>
      <w:r>
        <w:rPr>
          <w:snapToGrid w:val="0"/>
        </w:rPr>
        <w:tab/>
        <w:t>(4)</w:t>
      </w:r>
      <w:r>
        <w:rPr>
          <w:snapToGrid w:val="0"/>
        </w:rPr>
        <w:tab/>
      </w:r>
      <w:r>
        <w:t>A</w:t>
      </w:r>
      <w:r>
        <w:rPr>
          <w:snapToGrid w:val="0"/>
        </w:rPr>
        <w:t xml:space="preserve"> person who objects to the registration of the organisation must </w:t>
      </w:r>
      <w:r>
        <w:t>lodge an</w:t>
      </w:r>
      <w:r>
        <w:rPr>
          <w:snapToGrid w:val="0"/>
        </w:rPr>
        <w:t xml:space="preserve"> objection in the </w:t>
      </w:r>
      <w:r>
        <w:t>approved form</w:t>
      </w:r>
      <w:r>
        <w:rPr>
          <w:snapToGrid w:val="0"/>
        </w:rPr>
        <w:t xml:space="preserve"> within 21 days of </w:t>
      </w:r>
      <w:r>
        <w:rPr>
          <w:snapToGrid w:val="0"/>
        </w:rPr>
        <w:lastRenderedPageBreak/>
        <w:t>the publication in the required manner and otherwise the provisions of regulation 15 apply with respect to any objection to the registration.</w:t>
      </w:r>
    </w:p>
    <w:p>
      <w:pPr>
        <w:pStyle w:val="Footnotesection"/>
      </w:pPr>
      <w:r>
        <w:tab/>
        <w:t>[Regulation 68 amended: Gazette 5 Mar 2019 p. 622</w:t>
      </w:r>
      <w:r>
        <w:noBreakHyphen/>
        <w:t>3; SL 2022/75 r. 19.]</w:t>
      </w:r>
    </w:p>
    <w:p>
      <w:pPr>
        <w:pStyle w:val="Ednotesection"/>
      </w:pPr>
      <w:r>
        <w:t>[</w:t>
      </w:r>
      <w:r>
        <w:rPr>
          <w:b/>
          <w:bCs/>
        </w:rPr>
        <w:t>69-71.</w:t>
      </w:r>
      <w:r>
        <w:tab/>
        <w:t>Deleted: SL 2025/21 r. 12.]</w:t>
      </w:r>
    </w:p>
    <w:p>
      <w:pPr>
        <w:pStyle w:val="Heading5"/>
      </w:pPr>
      <w:bookmarkStart w:id="157" w:name="_Toc201657194"/>
      <w:r>
        <w:rPr>
          <w:rStyle w:val="CharSectno"/>
        </w:rPr>
        <w:t>72</w:t>
      </w:r>
      <w:r>
        <w:t>.</w:t>
      </w:r>
      <w:r>
        <w:tab/>
        <w:t>Counterpart certificates</w:t>
      </w:r>
      <w:bookmarkEnd w:id="157"/>
    </w:p>
    <w:p>
      <w:pPr>
        <w:pStyle w:val="Subsection"/>
      </w:pPr>
      <w:r>
        <w:tab/>
        <w:t>(1)</w:t>
      </w:r>
      <w:r>
        <w:tab/>
        <w:t>An application to the Commission in Court Session for a declaration under section 52A(7) of the Act must be made in the approved form.</w:t>
      </w:r>
    </w:p>
    <w:p>
      <w:pPr>
        <w:pStyle w:val="Subsection"/>
      </w:pPr>
      <w:r>
        <w:tab/>
        <w:t>(2)</w:t>
      </w:r>
      <w:r>
        <w:tab/>
        <w:t>If the application is for a declaration that, for the purposes of section 52A(2) of the Act, a Western Australian branch of a federal organisation is a counterpart federal body in relation to a State organisation, the application must be lodged in the office of the Registrar with the following attachments —</w:t>
      </w:r>
    </w:p>
    <w:p>
      <w:pPr>
        <w:pStyle w:val="Indenta"/>
      </w:pPr>
      <w:r>
        <w:tab/>
        <w:t>(a)</w:t>
      </w:r>
      <w:r>
        <w:tab/>
        <w:t>a copy of the rules of the State organisation and the rules of the branch;</w:t>
      </w:r>
    </w:p>
    <w:p>
      <w:pPr>
        <w:pStyle w:val="Indenta"/>
      </w:pPr>
      <w:r>
        <w:tab/>
        <w:t>(b)</w:t>
      </w:r>
      <w:r>
        <w:tab/>
        <w:t>a statement comparing the rules relating to the qualifications of persons for membership of the State organisation and for membership of the branch;</w:t>
      </w:r>
    </w:p>
    <w:p>
      <w:pPr>
        <w:pStyle w:val="Indenta"/>
      </w:pPr>
      <w:r>
        <w:tab/>
        <w:t>(c)</w:t>
      </w:r>
      <w:r>
        <w:tab/>
        <w:t>a statement comparing the offices that exist within the State organisation and the offices that exist within the branch;</w:t>
      </w:r>
    </w:p>
    <w:p>
      <w:pPr>
        <w:pStyle w:val="Indenta"/>
      </w:pPr>
      <w:r>
        <w:tab/>
        <w:t>(d)</w:t>
      </w:r>
      <w:r>
        <w:tab/>
        <w:t>a statement indicating the number of persons currently members of the State organisation and the number of persons currently members of the branch;</w:t>
      </w:r>
    </w:p>
    <w:p>
      <w:pPr>
        <w:pStyle w:val="Indenta"/>
      </w:pPr>
      <w:r>
        <w:tab/>
        <w:t>(e)</w:t>
      </w:r>
      <w:r>
        <w:tab/>
        <w:t>a statement indicating the number and classes of persons affected by section 71(3)(a) and (b) of the Act.</w:t>
      </w:r>
    </w:p>
    <w:p>
      <w:pPr>
        <w:pStyle w:val="Subsection"/>
        <w:keepNext/>
      </w:pPr>
      <w:r>
        <w:tab/>
        <w:t>(3)</w:t>
      </w:r>
      <w:r>
        <w:tab/>
        <w:t xml:space="preserve">If the application is for a declaration that, for the purposes of section 52A(3) of the Act, a federal organisation is a counterpart federal body in relation to a State organisation, the application </w:t>
      </w:r>
      <w:r>
        <w:lastRenderedPageBreak/>
        <w:t>must be lodged in the office of the Registrar with the following attachments —</w:t>
      </w:r>
    </w:p>
    <w:p>
      <w:pPr>
        <w:pStyle w:val="Indenta"/>
      </w:pPr>
      <w:r>
        <w:tab/>
        <w:t>(a)</w:t>
      </w:r>
      <w:r>
        <w:tab/>
        <w:t>a copy of the rules of the State organisation and the rules of the federal organisation;</w:t>
      </w:r>
    </w:p>
    <w:p>
      <w:pPr>
        <w:pStyle w:val="Indenta"/>
        <w:keepNext/>
      </w:pPr>
      <w:r>
        <w:tab/>
        <w:t>(b)</w:t>
      </w:r>
      <w:r>
        <w:tab/>
        <w:t xml:space="preserve">either — </w:t>
      </w:r>
    </w:p>
    <w:p>
      <w:pPr>
        <w:pStyle w:val="Indenti"/>
      </w:pPr>
      <w:r>
        <w:tab/>
        <w:t>(i)</w:t>
      </w:r>
      <w:r>
        <w:tab/>
        <w:t>if there is an agreement referred to in section 52A(4)(b) of the Act between the State organisation and the federal organisation — a copy of the agreement; or</w:t>
      </w:r>
    </w:p>
    <w:p>
      <w:pPr>
        <w:pStyle w:val="Indenti"/>
      </w:pPr>
      <w:r>
        <w:tab/>
        <w:t>(ii)</w:t>
      </w:r>
      <w:r>
        <w:tab/>
        <w:t>otherwise — a statement comparing the State organisation and the federal organisation by reference to a matter referred to in section 52A(4)(a)(i) to (iv) of the Act;</w:t>
      </w:r>
    </w:p>
    <w:p>
      <w:pPr>
        <w:pStyle w:val="Indenta"/>
      </w:pPr>
      <w:r>
        <w:tab/>
        <w:t>(c)</w:t>
      </w:r>
      <w:r>
        <w:tab/>
        <w:t>a statement indicating the number of persons currently members of the State organisation and the number of persons currently members of the federal organisation;</w:t>
      </w:r>
    </w:p>
    <w:p>
      <w:pPr>
        <w:pStyle w:val="Indenta"/>
        <w:keepNext/>
      </w:pPr>
      <w:r>
        <w:tab/>
        <w:t>(d)</w:t>
      </w:r>
      <w:r>
        <w:tab/>
        <w:t>a statement indicating the number and classes of persons affected by section 52A(5) and (6) of the Act.</w:t>
      </w:r>
    </w:p>
    <w:p>
      <w:pPr>
        <w:pStyle w:val="Footnotesection"/>
      </w:pPr>
      <w:r>
        <w:tab/>
        <w:t>[Regulation 72 inserted: SL 2022/75 r. 23.]</w:t>
      </w:r>
    </w:p>
    <w:p>
      <w:pPr>
        <w:pStyle w:val="Heading5"/>
      </w:pPr>
      <w:bookmarkStart w:id="158" w:name="_Toc201657195"/>
      <w:r>
        <w:rPr>
          <w:rStyle w:val="CharSectno"/>
        </w:rPr>
        <w:t>73</w:t>
      </w:r>
      <w:r>
        <w:t>.</w:t>
      </w:r>
      <w:r>
        <w:tab/>
        <w:t>Order as to whom employee organisation represents</w:t>
      </w:r>
      <w:bookmarkEnd w:id="158"/>
    </w:p>
    <w:p>
      <w:pPr>
        <w:pStyle w:val="Subsection"/>
        <w:keepNext/>
      </w:pPr>
      <w:r>
        <w:tab/>
        <w:t>(1)</w:t>
      </w:r>
      <w:r>
        <w:tab/>
        <w:t xml:space="preserve">An application (a </w:t>
      </w:r>
      <w:r>
        <w:rPr>
          <w:rStyle w:val="CharDefText"/>
        </w:rPr>
        <w:t>section 72A application</w:t>
      </w:r>
      <w:r>
        <w:t xml:space="preserve">) to the Commission in Court Session for an order under section 72A(2) of the Act must — </w:t>
      </w:r>
    </w:p>
    <w:p>
      <w:pPr>
        <w:pStyle w:val="Indenta"/>
      </w:pPr>
      <w:r>
        <w:tab/>
        <w:t>(a)</w:t>
      </w:r>
      <w:r>
        <w:tab/>
        <w:t>be made in the approved form; and</w:t>
      </w:r>
    </w:p>
    <w:p>
      <w:pPr>
        <w:pStyle w:val="Indenta"/>
      </w:pPr>
      <w:r>
        <w:tab/>
        <w:t>(b)</w:t>
      </w:r>
      <w:r>
        <w:tab/>
        <w:t>set out in detail the grounds of the application.</w:t>
      </w:r>
    </w:p>
    <w:p>
      <w:pPr>
        <w:pStyle w:val="Subsection"/>
        <w:keepNext/>
      </w:pPr>
      <w:r>
        <w:tab/>
        <w:t>(2)</w:t>
      </w:r>
      <w:r>
        <w:tab/>
        <w:t xml:space="preserve">A person who wants to be heard in relation to a section 72A application must — </w:t>
      </w:r>
    </w:p>
    <w:p>
      <w:pPr>
        <w:pStyle w:val="Indenta"/>
      </w:pPr>
      <w:r>
        <w:tab/>
        <w:t>(a)</w:t>
      </w:r>
      <w:r>
        <w:tab/>
        <w:t>lodge an application in the approved form at least 10 days before the hearing of the section 72A application; and</w:t>
      </w:r>
    </w:p>
    <w:p>
      <w:pPr>
        <w:pStyle w:val="Indenta"/>
      </w:pPr>
      <w:r>
        <w:lastRenderedPageBreak/>
        <w:tab/>
        <w:t>(b)</w:t>
      </w:r>
      <w:r>
        <w:tab/>
        <w:t>set out in detail in the application the grounds on which the person claims sufficient interest to be heard in relation to the section 72A application.</w:t>
      </w:r>
    </w:p>
    <w:p>
      <w:pPr>
        <w:pStyle w:val="Subsection"/>
        <w:keepNext/>
      </w:pPr>
      <w:r>
        <w:tab/>
        <w:t>(3)</w:t>
      </w:r>
      <w:r>
        <w:tab/>
        <w:t>After an application under subregulation (2) is lodged, the Registrar must, at least 7 days before the hearing of the section 72A application, serve a copy of the application on each party to the section 72A application.</w:t>
      </w:r>
    </w:p>
    <w:p>
      <w:pPr>
        <w:pStyle w:val="Footnotesection"/>
      </w:pPr>
      <w:r>
        <w:tab/>
        <w:t>[Regulation 73 inserted: SL 2022/75 r. 23.]</w:t>
      </w:r>
    </w:p>
    <w:p>
      <w:pPr>
        <w:pStyle w:val="Heading5"/>
        <w:rPr>
          <w:snapToGrid w:val="0"/>
        </w:rPr>
      </w:pPr>
      <w:bookmarkStart w:id="159" w:name="_Toc201657196"/>
      <w:r>
        <w:rPr>
          <w:rStyle w:val="CharSectno"/>
        </w:rPr>
        <w:t>74</w:t>
      </w:r>
      <w:r>
        <w:t>.</w:t>
      </w:r>
      <w:r>
        <w:tab/>
        <w:t>Summons for cancellation or suspension of registration of organisation or association</w:t>
      </w:r>
      <w:bookmarkEnd w:id="159"/>
    </w:p>
    <w:p>
      <w:pPr>
        <w:pStyle w:val="Subsection"/>
        <w:rPr>
          <w:snapToGrid w:val="0"/>
        </w:rPr>
      </w:pPr>
      <w:r>
        <w:rPr>
          <w:snapToGrid w:val="0"/>
        </w:rPr>
        <w:tab/>
        <w:t>(1)</w:t>
      </w:r>
      <w:r>
        <w:rPr>
          <w:snapToGrid w:val="0"/>
        </w:rPr>
        <w:tab/>
      </w:r>
      <w:r>
        <w:t>A request for the Commission to direct the Registrar to issue a summons</w:t>
      </w:r>
      <w:r>
        <w:rPr>
          <w:snapToGrid w:val="0"/>
        </w:rPr>
        <w:t xml:space="preserve"> under section 73(1) of the Act must be in writing and must set out in detail the circumstances giving rise to the request.</w:t>
      </w:r>
    </w:p>
    <w:p>
      <w:pPr>
        <w:pStyle w:val="Subsection"/>
        <w:rPr>
          <w:snapToGrid w:val="0"/>
        </w:rPr>
      </w:pPr>
      <w:r>
        <w:rPr>
          <w:snapToGrid w:val="0"/>
        </w:rPr>
        <w:tab/>
        <w:t>(2)</w:t>
      </w:r>
      <w:r>
        <w:rPr>
          <w:snapToGrid w:val="0"/>
        </w:rPr>
        <w:tab/>
        <w:t xml:space="preserve">A summons under section 73(1) of the Act must be in the </w:t>
      </w:r>
      <w:r>
        <w:t>approved form.</w:t>
      </w:r>
    </w:p>
    <w:p>
      <w:pPr>
        <w:pStyle w:val="Subsection"/>
        <w:rPr>
          <w:snapToGrid w:val="0"/>
        </w:rPr>
      </w:pPr>
      <w:r>
        <w:rPr>
          <w:snapToGrid w:val="0"/>
        </w:rPr>
        <w:tab/>
        <w:t>(3)</w:t>
      </w:r>
      <w:r>
        <w:rPr>
          <w:snapToGrid w:val="0"/>
        </w:rPr>
        <w:tab/>
        <w:t>A copy of the direction to the Registrar to issue the summons must be attached to the summons and served with the summons.</w:t>
      </w:r>
    </w:p>
    <w:p>
      <w:pPr>
        <w:pStyle w:val="Subsection"/>
        <w:rPr>
          <w:snapToGrid w:val="0"/>
        </w:rPr>
      </w:pPr>
      <w:r>
        <w:rPr>
          <w:snapToGrid w:val="0"/>
        </w:rPr>
        <w:tab/>
        <w:t>(4)</w:t>
      </w:r>
      <w:r>
        <w:rPr>
          <w:snapToGrid w:val="0"/>
        </w:rPr>
        <w:tab/>
        <w:t xml:space="preserve">On ascertaining the return date to be included in the summons the Registrar </w:t>
      </w:r>
      <w:r>
        <w:t>must</w:t>
      </w:r>
      <w:r>
        <w:rPr>
          <w:snapToGrid w:val="0"/>
        </w:rPr>
        <w:t xml:space="preserve"> cause the summons to be served on the organisation </w:t>
      </w:r>
      <w:r>
        <w:t>or association</w:t>
      </w:r>
      <w:r>
        <w:rPr>
          <w:snapToGrid w:val="0"/>
        </w:rPr>
        <w:t xml:space="preserve"> the registration of which is sought to be cancelled or suspended not less than 14 days before the return date.</w:t>
      </w:r>
    </w:p>
    <w:p>
      <w:pPr>
        <w:pStyle w:val="Subsection"/>
        <w:rPr>
          <w:snapToGrid w:val="0"/>
        </w:rPr>
      </w:pPr>
      <w:r>
        <w:rPr>
          <w:snapToGrid w:val="0"/>
        </w:rPr>
        <w:tab/>
        <w:t>(5)</w:t>
      </w:r>
      <w:r>
        <w:rPr>
          <w:snapToGrid w:val="0"/>
        </w:rPr>
        <w:tab/>
        <w:t xml:space="preserve">Unless the </w:t>
      </w:r>
      <w:r>
        <w:t>Commission in Court Session</w:t>
      </w:r>
      <w:r>
        <w:rPr>
          <w:snapToGrid w:val="0"/>
        </w:rPr>
        <w:t xml:space="preserve"> otherwise directs in a particular case the Registrar </w:t>
      </w:r>
      <w:r>
        <w:t>must</w:t>
      </w:r>
      <w:r>
        <w:rPr>
          <w:snapToGrid w:val="0"/>
        </w:rPr>
        <w:t xml:space="preserve"> appear personally or be represented before the </w:t>
      </w:r>
      <w:r>
        <w:t>Commission in Court Session</w:t>
      </w:r>
      <w:r>
        <w:rPr>
          <w:snapToGrid w:val="0"/>
        </w:rPr>
        <w:t xml:space="preserve"> on the return of the summons.</w:t>
      </w:r>
    </w:p>
    <w:p>
      <w:pPr>
        <w:pStyle w:val="Ednotesubsection"/>
        <w:keepNext/>
      </w:pPr>
      <w:r>
        <w:tab/>
        <w:t>[(6)</w:t>
      </w:r>
      <w:r>
        <w:tab/>
        <w:t>deleted]</w:t>
      </w:r>
    </w:p>
    <w:p>
      <w:pPr>
        <w:pStyle w:val="Footnotesection"/>
      </w:pPr>
      <w:r>
        <w:tab/>
        <w:t>[Regulation 74 amended: Gazette 5 Mar 2019 p. 622</w:t>
      </w:r>
      <w:r>
        <w:noBreakHyphen/>
        <w:t>3; SL 2022/75 r. 24.]</w:t>
      </w:r>
    </w:p>
    <w:p>
      <w:pPr>
        <w:pStyle w:val="Heading5"/>
        <w:rPr>
          <w:snapToGrid w:val="0"/>
        </w:rPr>
      </w:pPr>
      <w:bookmarkStart w:id="160" w:name="_Toc201657197"/>
      <w:r>
        <w:rPr>
          <w:rStyle w:val="CharSectno"/>
        </w:rPr>
        <w:lastRenderedPageBreak/>
        <w:t>75</w:t>
      </w:r>
      <w:r>
        <w:t>.</w:t>
      </w:r>
      <w:r>
        <w:tab/>
      </w:r>
      <w:r>
        <w:rPr>
          <w:snapToGrid w:val="0"/>
        </w:rPr>
        <w:t>Request by organisation or association for cancellation of registration</w:t>
      </w:r>
      <w:bookmarkEnd w:id="160"/>
    </w:p>
    <w:p>
      <w:pPr>
        <w:pStyle w:val="Subsection"/>
        <w:rPr>
          <w:snapToGrid w:val="0"/>
        </w:rPr>
      </w:pPr>
      <w:r>
        <w:rPr>
          <w:snapToGrid w:val="0"/>
        </w:rPr>
        <w:tab/>
        <w:t>(1)</w:t>
      </w:r>
      <w:r>
        <w:rPr>
          <w:snapToGrid w:val="0"/>
        </w:rPr>
        <w:tab/>
        <w:t xml:space="preserve">Any request by an organisation or association to cancel its registration must be made to the Registrar in the </w:t>
      </w:r>
      <w:r>
        <w:t>approved form.</w:t>
      </w:r>
    </w:p>
    <w:p>
      <w:pPr>
        <w:pStyle w:val="Subsection"/>
        <w:keepNext/>
        <w:rPr>
          <w:snapToGrid w:val="0"/>
        </w:rPr>
      </w:pPr>
      <w:r>
        <w:rPr>
          <w:snapToGrid w:val="0"/>
        </w:rPr>
        <w:tab/>
        <w:t>(2)</w:t>
      </w:r>
      <w:r>
        <w:rPr>
          <w:snapToGrid w:val="0"/>
        </w:rPr>
        <w:tab/>
        <w:t>The request must state clearly the grounds on which the request is made and contain sufficient evidence to satisfy the Registrar that the cancellation has the consent of a majority of the total number of members of the organisation or association.</w:t>
      </w:r>
    </w:p>
    <w:p>
      <w:pPr>
        <w:pStyle w:val="Footnotesection"/>
      </w:pPr>
      <w:r>
        <w:tab/>
        <w:t>[Regulation 75 amended: Gazette 5 Mar 2019 p. 622</w:t>
      </w:r>
      <w:r>
        <w:noBreakHyphen/>
        <w:t>3.]</w:t>
      </w:r>
    </w:p>
    <w:p>
      <w:pPr>
        <w:pStyle w:val="Heading5"/>
        <w:rPr>
          <w:snapToGrid w:val="0"/>
        </w:rPr>
      </w:pPr>
      <w:bookmarkStart w:id="161" w:name="_Toc201657198"/>
      <w:r>
        <w:rPr>
          <w:rStyle w:val="CharSectno"/>
        </w:rPr>
        <w:t>76</w:t>
      </w:r>
      <w:r>
        <w:t>.</w:t>
      </w:r>
      <w:r>
        <w:tab/>
      </w:r>
      <w:r>
        <w:rPr>
          <w:snapToGrid w:val="0"/>
        </w:rPr>
        <w:t>Application by Registrar for cancellation of registration</w:t>
      </w:r>
      <w:bookmarkEnd w:id="161"/>
    </w:p>
    <w:p>
      <w:pPr>
        <w:pStyle w:val="Subsection"/>
      </w:pPr>
      <w:r>
        <w:tab/>
        <w:t>(1)</w:t>
      </w:r>
      <w:r>
        <w:tab/>
        <w:t>An application by the Registrar under section 73(12) of the Act to the Commission in Court Session to cancel the registration of an organisation or association must be in the approved form.</w:t>
      </w:r>
    </w:p>
    <w:p>
      <w:pPr>
        <w:pStyle w:val="Subsection"/>
        <w:keepNext/>
      </w:pPr>
      <w:r>
        <w:tab/>
        <w:t>(2)</w:t>
      </w:r>
      <w:r>
        <w:tab/>
        <w:t xml:space="preserve">The application must — </w:t>
      </w:r>
    </w:p>
    <w:p>
      <w:pPr>
        <w:pStyle w:val="Indenta"/>
      </w:pPr>
      <w:r>
        <w:tab/>
        <w:t>(a)</w:t>
      </w:r>
      <w:r>
        <w:tab/>
        <w:t>state clearly the grounds on which it is made; and</w:t>
      </w:r>
    </w:p>
    <w:p>
      <w:pPr>
        <w:pStyle w:val="Indenta"/>
      </w:pPr>
      <w:r>
        <w:tab/>
        <w:t>(b)</w:t>
      </w:r>
      <w:r>
        <w:tab/>
        <w:t>have attached to it a statutory declaration setting out the facts on which the Registrar relies.</w:t>
      </w:r>
    </w:p>
    <w:p>
      <w:pPr>
        <w:pStyle w:val="Subsection"/>
        <w:rPr>
          <w:snapToGrid w:val="0"/>
        </w:rPr>
      </w:pPr>
      <w:r>
        <w:rPr>
          <w:snapToGrid w:val="0"/>
        </w:rPr>
        <w:tab/>
        <w:t>(3)</w:t>
      </w:r>
      <w:r>
        <w:rPr>
          <w:snapToGrid w:val="0"/>
        </w:rPr>
        <w:tab/>
        <w:t xml:space="preserve">The application </w:t>
      </w:r>
      <w:r>
        <w:t>must</w:t>
      </w:r>
      <w:r>
        <w:rPr>
          <w:snapToGrid w:val="0"/>
        </w:rPr>
        <w:t xml:space="preserve"> be served on the organisation or association the registration of which is sought to be cancelled.</w:t>
      </w:r>
    </w:p>
    <w:p>
      <w:pPr>
        <w:pStyle w:val="Subsection"/>
        <w:rPr>
          <w:snapToGrid w:val="0"/>
        </w:rPr>
      </w:pPr>
      <w:r>
        <w:rPr>
          <w:snapToGrid w:val="0"/>
        </w:rPr>
        <w:tab/>
        <w:t>(4)</w:t>
      </w:r>
      <w:r>
        <w:rPr>
          <w:snapToGrid w:val="0"/>
        </w:rPr>
        <w:tab/>
      </w:r>
      <w:r>
        <w:t>If</w:t>
      </w:r>
      <w:r>
        <w:rPr>
          <w:snapToGrid w:val="0"/>
        </w:rPr>
        <w:t xml:space="preserve"> the respondent organisation or association intends to oppose the application, it must </w:t>
      </w:r>
      <w:r>
        <w:t>lodge an objection in the</w:t>
      </w:r>
      <w:r>
        <w:rPr>
          <w:snapToGrid w:val="0"/>
        </w:rPr>
        <w:t xml:space="preserve"> approved form within 14 days of being served with the application, and otherwise the provisions of regulation 15 apply with respect to any such objection.</w:t>
      </w:r>
    </w:p>
    <w:p>
      <w:pPr>
        <w:pStyle w:val="Subsection"/>
        <w:rPr>
          <w:snapToGrid w:val="0"/>
        </w:rPr>
      </w:pPr>
      <w:r>
        <w:rPr>
          <w:snapToGrid w:val="0"/>
        </w:rPr>
        <w:tab/>
        <w:t>(5)</w:t>
      </w:r>
      <w:r>
        <w:rPr>
          <w:snapToGrid w:val="0"/>
        </w:rPr>
        <w:tab/>
      </w:r>
      <w:r>
        <w:t>If</w:t>
      </w:r>
      <w:r>
        <w:rPr>
          <w:snapToGrid w:val="0"/>
        </w:rPr>
        <w:t xml:space="preserve"> the respondent organisation or association intends to admit the facts (or any of them) on which the Registrar relies, it must, within 14 days of being served with the application, advise the Registrar in writing accordingly.</w:t>
      </w:r>
    </w:p>
    <w:p>
      <w:pPr>
        <w:pStyle w:val="Subsection"/>
        <w:keepNext/>
        <w:rPr>
          <w:snapToGrid w:val="0"/>
        </w:rPr>
      </w:pPr>
      <w:r>
        <w:rPr>
          <w:snapToGrid w:val="0"/>
        </w:rPr>
        <w:tab/>
        <w:t>(6)</w:t>
      </w:r>
      <w:r>
        <w:rPr>
          <w:snapToGrid w:val="0"/>
        </w:rPr>
        <w:tab/>
        <w:t xml:space="preserve">After the expiration of the time prescribed in subregulations (4) and (5) the Registrar </w:t>
      </w:r>
      <w:r>
        <w:t>must</w:t>
      </w:r>
      <w:r>
        <w:rPr>
          <w:snapToGrid w:val="0"/>
        </w:rPr>
        <w:t xml:space="preserve"> ascertain from the </w:t>
      </w:r>
      <w:r>
        <w:t xml:space="preserve">presiding </w:t>
      </w:r>
      <w:r>
        <w:lastRenderedPageBreak/>
        <w:t>commissioner</w:t>
      </w:r>
      <w:r>
        <w:rPr>
          <w:snapToGrid w:val="0"/>
        </w:rPr>
        <w:t xml:space="preserve"> a date for hearing the application and, as soon as practicable after setting a hearing date, </w:t>
      </w:r>
      <w:r>
        <w:t>must</w:t>
      </w:r>
      <w:r>
        <w:rPr>
          <w:snapToGrid w:val="0"/>
        </w:rPr>
        <w:t xml:space="preserve"> notify the organisation or association of the hearing.</w:t>
      </w:r>
    </w:p>
    <w:p>
      <w:pPr>
        <w:pStyle w:val="Footnotesection"/>
      </w:pPr>
      <w:r>
        <w:tab/>
        <w:t>[Regulation 76 amended: Gazette 19 Dec 2018 p. 4840; 5 Mar 2019 p. 622</w:t>
      </w:r>
      <w:r>
        <w:noBreakHyphen/>
        <w:t>4; SL 2022/75 r. 25.]</w:t>
      </w:r>
    </w:p>
    <w:p>
      <w:pPr>
        <w:pStyle w:val="Heading5"/>
        <w:rPr>
          <w:snapToGrid w:val="0"/>
        </w:rPr>
      </w:pPr>
      <w:bookmarkStart w:id="162" w:name="_Toc201657199"/>
      <w:r>
        <w:rPr>
          <w:rStyle w:val="CharSectno"/>
        </w:rPr>
        <w:t>77</w:t>
      </w:r>
      <w:r>
        <w:t>.</w:t>
      </w:r>
      <w:r>
        <w:tab/>
      </w:r>
      <w:r>
        <w:rPr>
          <w:snapToGrid w:val="0"/>
        </w:rPr>
        <w:t>Certificates of registration</w:t>
      </w:r>
      <w:bookmarkEnd w:id="162"/>
    </w:p>
    <w:p>
      <w:pPr>
        <w:pStyle w:val="Subsection"/>
        <w:rPr>
          <w:snapToGrid w:val="0"/>
        </w:rPr>
      </w:pPr>
      <w:r>
        <w:rPr>
          <w:snapToGrid w:val="0"/>
        </w:rPr>
        <w:tab/>
        <w:t>(1)</w:t>
      </w:r>
      <w:r>
        <w:rPr>
          <w:snapToGrid w:val="0"/>
        </w:rPr>
        <w:tab/>
      </w:r>
      <w:r>
        <w:t>If</w:t>
      </w:r>
      <w:r>
        <w:rPr>
          <w:snapToGrid w:val="0"/>
        </w:rPr>
        <w:t xml:space="preserve"> the Registrar is authorised by the </w:t>
      </w:r>
      <w:r>
        <w:t>Commission in Court Session</w:t>
      </w:r>
      <w:r>
        <w:rPr>
          <w:snapToGrid w:val="0"/>
        </w:rPr>
        <w:t xml:space="preserve"> to register an organisation the Registrar </w:t>
      </w:r>
      <w:r>
        <w:t>must</w:t>
      </w:r>
      <w:r>
        <w:rPr>
          <w:snapToGrid w:val="0"/>
        </w:rPr>
        <w:t xml:space="preserve"> give to the organisation a certificate in the </w:t>
      </w:r>
      <w:r>
        <w:t>approved form.</w:t>
      </w:r>
    </w:p>
    <w:p>
      <w:pPr>
        <w:pStyle w:val="Subsection"/>
        <w:rPr>
          <w:snapToGrid w:val="0"/>
        </w:rPr>
      </w:pPr>
      <w:r>
        <w:rPr>
          <w:snapToGrid w:val="0"/>
        </w:rPr>
        <w:tab/>
        <w:t>(2)</w:t>
      </w:r>
      <w:r>
        <w:rPr>
          <w:snapToGrid w:val="0"/>
        </w:rPr>
        <w:tab/>
      </w:r>
      <w:r>
        <w:t>If</w:t>
      </w:r>
      <w:r>
        <w:rPr>
          <w:snapToGrid w:val="0"/>
        </w:rPr>
        <w:t xml:space="preserve"> the Registrar is authorised by the </w:t>
      </w:r>
      <w:r>
        <w:t>Commission in Court Session</w:t>
      </w:r>
      <w:r>
        <w:rPr>
          <w:snapToGrid w:val="0"/>
        </w:rPr>
        <w:t xml:space="preserve"> to register a council or other body as an association the Registrar </w:t>
      </w:r>
      <w:r>
        <w:t>must</w:t>
      </w:r>
      <w:r>
        <w:rPr>
          <w:snapToGrid w:val="0"/>
        </w:rPr>
        <w:t xml:space="preserve"> give to the association a certificate in the </w:t>
      </w:r>
      <w:r>
        <w:t>approved form.</w:t>
      </w:r>
    </w:p>
    <w:p>
      <w:pPr>
        <w:pStyle w:val="Subsection"/>
        <w:rPr>
          <w:snapToGrid w:val="0"/>
        </w:rPr>
      </w:pPr>
      <w:r>
        <w:rPr>
          <w:snapToGrid w:val="0"/>
        </w:rPr>
        <w:tab/>
        <w:t>(3)</w:t>
      </w:r>
      <w:r>
        <w:rPr>
          <w:snapToGrid w:val="0"/>
        </w:rPr>
        <w:tab/>
      </w:r>
      <w:r>
        <w:t xml:space="preserve">If </w:t>
      </w:r>
      <w:r>
        <w:rPr>
          <w:snapToGrid w:val="0"/>
        </w:rPr>
        <w:t xml:space="preserve">the Registrar is authorised by the </w:t>
      </w:r>
      <w:r>
        <w:t>Commission in Court Session</w:t>
      </w:r>
      <w:r>
        <w:rPr>
          <w:snapToGrid w:val="0"/>
        </w:rPr>
        <w:t xml:space="preserve"> to register an organisation formed by the amalgamation of 2 or more organisations the Registrar </w:t>
      </w:r>
      <w:r>
        <w:t xml:space="preserve">must </w:t>
      </w:r>
      <w:r>
        <w:rPr>
          <w:snapToGrid w:val="0"/>
        </w:rPr>
        <w:t xml:space="preserve">give to the organisation a certificate in the </w:t>
      </w:r>
      <w:r>
        <w:t>approved form.</w:t>
      </w:r>
    </w:p>
    <w:p>
      <w:pPr>
        <w:pStyle w:val="Ednotesubsection"/>
      </w:pPr>
      <w:r>
        <w:tab/>
        <w:t>[(4), (5)</w:t>
      </w:r>
      <w:r>
        <w:tab/>
        <w:t>deleted]</w:t>
      </w:r>
    </w:p>
    <w:p>
      <w:pPr>
        <w:pStyle w:val="Footnotesection"/>
      </w:pPr>
      <w:r>
        <w:tab/>
        <w:t>[Regulation 77 amended: Gazette 5 Mar 2019 p. 622</w:t>
      </w:r>
      <w:r>
        <w:noBreakHyphen/>
        <w:t>4; SL 2022/75 r. 26; SL 2025/21 r. 13.]</w:t>
      </w:r>
    </w:p>
    <w:p>
      <w:pPr>
        <w:pStyle w:val="Heading3"/>
      </w:pPr>
      <w:bookmarkStart w:id="163" w:name="_Toc201649009"/>
      <w:bookmarkStart w:id="164" w:name="_Toc201649203"/>
      <w:bookmarkStart w:id="165" w:name="_Toc201650063"/>
      <w:bookmarkStart w:id="166" w:name="_Toc201650391"/>
      <w:bookmarkStart w:id="167" w:name="_Toc201657200"/>
      <w:r>
        <w:rPr>
          <w:rStyle w:val="CharDivNo"/>
        </w:rPr>
        <w:t>Division 2</w:t>
      </w:r>
      <w:r>
        <w:t> — </w:t>
      </w:r>
      <w:r>
        <w:rPr>
          <w:rStyle w:val="CharDivText"/>
        </w:rPr>
        <w:t>Rules of organisations</w:t>
      </w:r>
      <w:bookmarkEnd w:id="163"/>
      <w:bookmarkEnd w:id="164"/>
      <w:bookmarkEnd w:id="165"/>
      <w:bookmarkEnd w:id="166"/>
      <w:bookmarkEnd w:id="167"/>
    </w:p>
    <w:p>
      <w:pPr>
        <w:pStyle w:val="Footnoteheading"/>
      </w:pPr>
      <w:r>
        <w:tab/>
        <w:t>[Heading inserted: SL 2025/21 r. 14.]</w:t>
      </w:r>
    </w:p>
    <w:p>
      <w:pPr>
        <w:pStyle w:val="Heading5"/>
      </w:pPr>
      <w:bookmarkStart w:id="168" w:name="_Toc201657201"/>
      <w:r>
        <w:rPr>
          <w:rStyle w:val="CharSectno"/>
        </w:rPr>
        <w:t>77A</w:t>
      </w:r>
      <w:r>
        <w:t>.</w:t>
      </w:r>
      <w:r>
        <w:tab/>
        <w:t>Alteration of rules</w:t>
      </w:r>
      <w:bookmarkEnd w:id="168"/>
    </w:p>
    <w:p>
      <w:pPr>
        <w:pStyle w:val="Subsection"/>
        <w:rPr>
          <w:snapToGrid w:val="0"/>
        </w:rPr>
      </w:pPr>
      <w:r>
        <w:tab/>
        <w:t>(1)</w:t>
      </w:r>
      <w:r>
        <w:tab/>
      </w:r>
      <w:r>
        <w:rPr>
          <w:snapToGrid w:val="0"/>
        </w:rPr>
        <w:t xml:space="preserve">An application to alter the rules of an organisation or association must be made to — </w:t>
      </w:r>
    </w:p>
    <w:p>
      <w:pPr>
        <w:pStyle w:val="Indenta"/>
      </w:pPr>
      <w:r>
        <w:tab/>
        <w:t>(a)</w:t>
      </w:r>
      <w:r>
        <w:tab/>
        <w:t xml:space="preserve">the Commission in Court Session if the alteration relates to — </w:t>
      </w:r>
    </w:p>
    <w:p>
      <w:pPr>
        <w:pStyle w:val="Indenti"/>
      </w:pPr>
      <w:r>
        <w:tab/>
        <w:t>(i)</w:t>
      </w:r>
      <w:r>
        <w:tab/>
        <w:t xml:space="preserve">the name of the </w:t>
      </w:r>
      <w:r>
        <w:rPr>
          <w:snapToGrid w:val="0"/>
        </w:rPr>
        <w:t>organisation or association</w:t>
      </w:r>
      <w:r>
        <w:t>; or</w:t>
      </w:r>
    </w:p>
    <w:p>
      <w:pPr>
        <w:pStyle w:val="Indenti"/>
        <w:rPr>
          <w:snapToGrid w:val="0"/>
        </w:rPr>
      </w:pPr>
      <w:r>
        <w:lastRenderedPageBreak/>
        <w:tab/>
        <w:t>(ii)</w:t>
      </w:r>
      <w:r>
        <w:tab/>
      </w:r>
      <w:r>
        <w:rPr>
          <w:snapToGrid w:val="0"/>
        </w:rPr>
        <w:t>the qualification of persons for membership of the organisation or association; or</w:t>
      </w:r>
    </w:p>
    <w:p>
      <w:pPr>
        <w:pStyle w:val="Indenti"/>
      </w:pPr>
      <w:r>
        <w:tab/>
        <w:t>(iii)</w:t>
      </w:r>
      <w:r>
        <w:tab/>
      </w:r>
      <w:r>
        <w:rPr>
          <w:snapToGrid w:val="0"/>
        </w:rPr>
        <w:t>the area of the State within which the organisation or association operates or intends to operate</w:t>
      </w:r>
      <w:r>
        <w:t>;</w:t>
      </w:r>
    </w:p>
    <w:p>
      <w:pPr>
        <w:pStyle w:val="Indenta"/>
      </w:pPr>
      <w:r>
        <w:tab/>
      </w:r>
      <w:r>
        <w:tab/>
        <w:t>or</w:t>
      </w:r>
    </w:p>
    <w:p>
      <w:pPr>
        <w:pStyle w:val="Indenta"/>
      </w:pPr>
      <w:r>
        <w:tab/>
        <w:t>(b)</w:t>
      </w:r>
      <w:r>
        <w:tab/>
        <w:t>the Registrar if the alteration relates to a matter not mentioned in paragraph (a).</w:t>
      </w:r>
    </w:p>
    <w:p>
      <w:pPr>
        <w:pStyle w:val="Subsection"/>
        <w:rPr>
          <w:snapToGrid w:val="0"/>
        </w:rPr>
      </w:pPr>
      <w:r>
        <w:tab/>
        <w:t>(2)</w:t>
      </w:r>
      <w:r>
        <w:tab/>
        <w:t>The application</w:t>
      </w:r>
      <w:r>
        <w:rPr>
          <w:snapToGrid w:val="0"/>
        </w:rPr>
        <w:t xml:space="preserve"> must be in the approved form and be lodged in the office of the Registrar with the following attachments — </w:t>
      </w:r>
    </w:p>
    <w:p>
      <w:pPr>
        <w:pStyle w:val="Indenta"/>
      </w:pPr>
      <w:r>
        <w:tab/>
        <w:t>(a)</w:t>
      </w:r>
      <w:r>
        <w:tab/>
        <w:t>a copy of the registered rules of the organisation or association, incorporating and showing in distinctive characters each proposed alteration of the rules;</w:t>
      </w:r>
    </w:p>
    <w:p>
      <w:pPr>
        <w:pStyle w:val="Indenta"/>
      </w:pPr>
      <w:r>
        <w:tab/>
        <w:t>(b)</w:t>
      </w:r>
      <w:r>
        <w:tab/>
        <w:t>a copy of each proposed alteration of the rules;</w:t>
      </w:r>
    </w:p>
    <w:p>
      <w:pPr>
        <w:pStyle w:val="Indenta"/>
      </w:pPr>
      <w:r>
        <w:tab/>
        <w:t>(c)</w:t>
      </w:r>
      <w:r>
        <w:tab/>
        <w:t xml:space="preserve">a statement as to — </w:t>
      </w:r>
    </w:p>
    <w:p>
      <w:pPr>
        <w:pStyle w:val="Indenti"/>
      </w:pPr>
      <w:r>
        <w:tab/>
        <w:t>(i)</w:t>
      </w:r>
      <w:r>
        <w:tab/>
        <w:t>the steps taken by the organisation or association to inform its members of the matters set out in section 62(3)(b) of the Act; and</w:t>
      </w:r>
    </w:p>
    <w:p>
      <w:pPr>
        <w:pStyle w:val="Indenti"/>
      </w:pPr>
      <w:r>
        <w:tab/>
        <w:t>(ii)</w:t>
      </w:r>
      <w:r>
        <w:tab/>
        <w:t>the opportunity afforded to members to make an objection under section 62(3)(b) of the Act;</w:t>
      </w:r>
    </w:p>
    <w:p>
      <w:pPr>
        <w:pStyle w:val="Indenta"/>
      </w:pPr>
      <w:r>
        <w:tab/>
        <w:t>(d)</w:t>
      </w:r>
      <w:r>
        <w:tab/>
        <w:t>a copy of any notice or other document given to the members of the organisation or association for the purposes of section 62(3)(b) of the Act;</w:t>
      </w:r>
    </w:p>
    <w:p>
      <w:pPr>
        <w:pStyle w:val="Indenta"/>
      </w:pPr>
      <w:r>
        <w:tab/>
        <w:t>(e)</w:t>
      </w:r>
      <w:r>
        <w:tab/>
        <w:t>a copy of the resolution authorising the application.</w:t>
      </w:r>
    </w:p>
    <w:p>
      <w:pPr>
        <w:pStyle w:val="Subsection"/>
        <w:rPr>
          <w:snapToGrid w:val="0"/>
        </w:rPr>
      </w:pPr>
      <w:r>
        <w:tab/>
        <w:t>(3)</w:t>
      </w:r>
      <w:r>
        <w:tab/>
        <w:t>A</w:t>
      </w:r>
      <w:r>
        <w:rPr>
          <w:snapToGrid w:val="0"/>
        </w:rPr>
        <w:t xml:space="preserve"> person who objects to an alteration of rules to which subregulation (1)(a) applies must </w:t>
      </w:r>
      <w:r>
        <w:t>lodge an</w:t>
      </w:r>
      <w:r>
        <w:rPr>
          <w:snapToGrid w:val="0"/>
        </w:rPr>
        <w:t xml:space="preserve"> objection in the </w:t>
      </w:r>
      <w:r>
        <w:t>approved form</w:t>
      </w:r>
      <w:r>
        <w:rPr>
          <w:snapToGrid w:val="0"/>
        </w:rPr>
        <w:t xml:space="preserve"> within 21 days after the publication of notice of the application under section 55(2) of the Act and otherwise the provisions of regulation 15 apply with respect to any objection to the alteration.</w:t>
      </w:r>
    </w:p>
    <w:p>
      <w:pPr>
        <w:pStyle w:val="Footnotesection"/>
      </w:pPr>
      <w:r>
        <w:tab/>
        <w:t>[Regulation 77A inserted: SL 2025/21 r. 14.]</w:t>
      </w:r>
    </w:p>
    <w:p>
      <w:pPr>
        <w:pStyle w:val="Heading5"/>
      </w:pPr>
      <w:bookmarkStart w:id="169" w:name="_Toc201657202"/>
      <w:r>
        <w:rPr>
          <w:rStyle w:val="CharSectno"/>
        </w:rPr>
        <w:lastRenderedPageBreak/>
        <w:t>77B</w:t>
      </w:r>
      <w:r>
        <w:t>.</w:t>
      </w:r>
      <w:r>
        <w:tab/>
        <w:t>Substitution of new set of rules</w:t>
      </w:r>
      <w:bookmarkEnd w:id="169"/>
    </w:p>
    <w:p>
      <w:pPr>
        <w:pStyle w:val="Subsection"/>
      </w:pPr>
      <w:r>
        <w:tab/>
        <w:t>(1)</w:t>
      </w:r>
      <w:r>
        <w:tab/>
        <w:t xml:space="preserve">In this regulation — </w:t>
      </w:r>
    </w:p>
    <w:p>
      <w:pPr>
        <w:pStyle w:val="Defstart"/>
      </w:pPr>
      <w:r>
        <w:tab/>
      </w:r>
      <w:r>
        <w:rPr>
          <w:rStyle w:val="CharDefText"/>
        </w:rPr>
        <w:t>new rules</w:t>
      </w:r>
      <w:r>
        <w:t xml:space="preserve"> means rules of an organisation or association that are proposed to replace the current registered rules of the organisation or association;</w:t>
      </w:r>
    </w:p>
    <w:p>
      <w:pPr>
        <w:pStyle w:val="Defstart"/>
      </w:pPr>
      <w:r>
        <w:tab/>
      </w:r>
      <w:r>
        <w:rPr>
          <w:rStyle w:val="CharDefText"/>
        </w:rPr>
        <w:t>previous rules</w:t>
      </w:r>
      <w:r>
        <w:t>, in relation to new rules, means the current registered rules of an organisation or association that are proposed to be replaced.</w:t>
      </w:r>
    </w:p>
    <w:p>
      <w:pPr>
        <w:pStyle w:val="Subsection"/>
        <w:rPr>
          <w:snapToGrid w:val="0"/>
        </w:rPr>
      </w:pPr>
      <w:r>
        <w:tab/>
        <w:t>(2)</w:t>
      </w:r>
      <w:r>
        <w:tab/>
        <w:t>An</w:t>
      </w:r>
      <w:r>
        <w:rPr>
          <w:snapToGrid w:val="0"/>
        </w:rPr>
        <w:t xml:space="preserve"> application for the substitution of a new set of rules for the registered rules of an organisation or association must be made to — </w:t>
      </w:r>
    </w:p>
    <w:p>
      <w:pPr>
        <w:pStyle w:val="Indenta"/>
        <w:rPr>
          <w:snapToGrid w:val="0"/>
        </w:rPr>
      </w:pPr>
      <w:r>
        <w:tab/>
        <w:t>(a)</w:t>
      </w:r>
      <w:r>
        <w:tab/>
        <w:t>the Commission in Court Session</w:t>
      </w:r>
      <w:r>
        <w:rPr>
          <w:snapToGrid w:val="0"/>
        </w:rPr>
        <w:t xml:space="preserve"> if the substitution would have the effect of altering any of the following from the previous rules — </w:t>
      </w:r>
    </w:p>
    <w:p>
      <w:pPr>
        <w:pStyle w:val="Indenti"/>
        <w:rPr>
          <w:snapToGrid w:val="0"/>
        </w:rPr>
      </w:pPr>
      <w:r>
        <w:tab/>
        <w:t>(i)</w:t>
      </w:r>
      <w:r>
        <w:tab/>
      </w:r>
      <w:r>
        <w:rPr>
          <w:snapToGrid w:val="0"/>
        </w:rPr>
        <w:t>the name of the organisation or association;</w:t>
      </w:r>
    </w:p>
    <w:p>
      <w:pPr>
        <w:pStyle w:val="Indenti"/>
        <w:rPr>
          <w:snapToGrid w:val="0"/>
        </w:rPr>
      </w:pPr>
      <w:r>
        <w:tab/>
        <w:t>(ii)</w:t>
      </w:r>
      <w:r>
        <w:tab/>
      </w:r>
      <w:r>
        <w:rPr>
          <w:snapToGrid w:val="0"/>
        </w:rPr>
        <w:t>the qualification of persons for membership of the organisation or association;</w:t>
      </w:r>
    </w:p>
    <w:p>
      <w:pPr>
        <w:pStyle w:val="Indenti"/>
        <w:rPr>
          <w:snapToGrid w:val="0"/>
        </w:rPr>
      </w:pPr>
      <w:r>
        <w:tab/>
        <w:t>(iii)</w:t>
      </w:r>
      <w:r>
        <w:tab/>
      </w:r>
      <w:r>
        <w:rPr>
          <w:snapToGrid w:val="0"/>
        </w:rPr>
        <w:t>the area of the State within which the organisation or association operates or intends to operate;</w:t>
      </w:r>
    </w:p>
    <w:p>
      <w:pPr>
        <w:pStyle w:val="Indenta"/>
      </w:pPr>
      <w:r>
        <w:tab/>
      </w:r>
      <w:r>
        <w:tab/>
        <w:t>or</w:t>
      </w:r>
    </w:p>
    <w:p>
      <w:pPr>
        <w:pStyle w:val="Indenta"/>
      </w:pPr>
      <w:r>
        <w:tab/>
        <w:t>(b)</w:t>
      </w:r>
      <w:r>
        <w:tab/>
        <w:t xml:space="preserve">the Registrar if </w:t>
      </w:r>
      <w:r>
        <w:rPr>
          <w:snapToGrid w:val="0"/>
        </w:rPr>
        <w:t xml:space="preserve">the substitution </w:t>
      </w:r>
      <w:r>
        <w:t>has any effect other than the effect mentioned in paragraph (a).</w:t>
      </w:r>
    </w:p>
    <w:p>
      <w:pPr>
        <w:pStyle w:val="Subsection"/>
        <w:rPr>
          <w:snapToGrid w:val="0"/>
        </w:rPr>
      </w:pPr>
      <w:r>
        <w:tab/>
        <w:t>(3)</w:t>
      </w:r>
      <w:r>
        <w:tab/>
        <w:t>The application</w:t>
      </w:r>
      <w:r>
        <w:rPr>
          <w:snapToGrid w:val="0"/>
        </w:rPr>
        <w:t xml:space="preserve"> must be in the approved form and be lodged in the office of the Registrar with the following attachments — </w:t>
      </w:r>
    </w:p>
    <w:p>
      <w:pPr>
        <w:pStyle w:val="Indenta"/>
      </w:pPr>
      <w:r>
        <w:tab/>
        <w:t>(a)</w:t>
      </w:r>
      <w:r>
        <w:tab/>
        <w:t xml:space="preserve">a copy of the </w:t>
      </w:r>
      <w:r>
        <w:rPr>
          <w:snapToGrid w:val="0"/>
        </w:rPr>
        <w:t>previous rules,</w:t>
      </w:r>
      <w:r>
        <w:t xml:space="preserve"> incorporating and showing in distinctive characters each difference between the </w:t>
      </w:r>
      <w:r>
        <w:rPr>
          <w:snapToGrid w:val="0"/>
        </w:rPr>
        <w:t>previous rules</w:t>
      </w:r>
      <w:r>
        <w:t xml:space="preserve"> and the new rules;</w:t>
      </w:r>
    </w:p>
    <w:p>
      <w:pPr>
        <w:pStyle w:val="Indenta"/>
      </w:pPr>
      <w:r>
        <w:tab/>
        <w:t>(b)</w:t>
      </w:r>
      <w:r>
        <w:tab/>
        <w:t xml:space="preserve">a </w:t>
      </w:r>
      <w:r>
        <w:rPr>
          <w:snapToGrid w:val="0"/>
        </w:rPr>
        <w:t xml:space="preserve">copy of the new rules certified as being correct by the </w:t>
      </w:r>
      <w:r>
        <w:t>principal executive officer</w:t>
      </w:r>
      <w:r>
        <w:rPr>
          <w:snapToGrid w:val="0"/>
        </w:rPr>
        <w:t xml:space="preserve"> or secretary of the organisation or association</w:t>
      </w:r>
      <w:r>
        <w:t>;</w:t>
      </w:r>
    </w:p>
    <w:p>
      <w:pPr>
        <w:pStyle w:val="Indenta"/>
        <w:keepNext/>
      </w:pPr>
      <w:r>
        <w:lastRenderedPageBreak/>
        <w:tab/>
        <w:t>(c)</w:t>
      </w:r>
      <w:r>
        <w:tab/>
        <w:t xml:space="preserve">a statement as to — </w:t>
      </w:r>
    </w:p>
    <w:p>
      <w:pPr>
        <w:pStyle w:val="Indenti"/>
      </w:pPr>
      <w:r>
        <w:tab/>
        <w:t>(i)</w:t>
      </w:r>
      <w:r>
        <w:tab/>
        <w:t>the steps taken by the organisation or association to inform its members of the matters set out in section 62(3)(b) of the Act; and</w:t>
      </w:r>
    </w:p>
    <w:p>
      <w:pPr>
        <w:pStyle w:val="Indenti"/>
      </w:pPr>
      <w:r>
        <w:tab/>
        <w:t>(ii)</w:t>
      </w:r>
      <w:r>
        <w:tab/>
        <w:t>the opportunity afforded to members to make an objection under section 62(3)(b) of the Act;</w:t>
      </w:r>
    </w:p>
    <w:p>
      <w:pPr>
        <w:pStyle w:val="Indenta"/>
      </w:pPr>
      <w:r>
        <w:tab/>
        <w:t>(d)</w:t>
      </w:r>
      <w:r>
        <w:tab/>
        <w:t>a copy of any notice or other document given to the members of the organisation or association for the purposes of section 62(3)(b) of the Act;</w:t>
      </w:r>
    </w:p>
    <w:p>
      <w:pPr>
        <w:pStyle w:val="Indenta"/>
      </w:pPr>
      <w:r>
        <w:tab/>
        <w:t>(e)</w:t>
      </w:r>
      <w:r>
        <w:tab/>
        <w:t>a copy of the resolution authorising the application.</w:t>
      </w:r>
    </w:p>
    <w:p>
      <w:pPr>
        <w:pStyle w:val="Subsection"/>
        <w:rPr>
          <w:snapToGrid w:val="0"/>
        </w:rPr>
      </w:pPr>
      <w:r>
        <w:tab/>
        <w:t>(4)</w:t>
      </w:r>
      <w:r>
        <w:tab/>
        <w:t>A</w:t>
      </w:r>
      <w:r>
        <w:rPr>
          <w:snapToGrid w:val="0"/>
        </w:rPr>
        <w:t xml:space="preserve"> person who objects to a substitution of a new set of rules to which subregulation (2)(a) applies must </w:t>
      </w:r>
      <w:r>
        <w:t>lodge an</w:t>
      </w:r>
      <w:r>
        <w:rPr>
          <w:snapToGrid w:val="0"/>
        </w:rPr>
        <w:t xml:space="preserve"> objection in the </w:t>
      </w:r>
      <w:r>
        <w:t>approved form</w:t>
      </w:r>
      <w:r>
        <w:rPr>
          <w:snapToGrid w:val="0"/>
        </w:rPr>
        <w:t xml:space="preserve"> within 21 days after the publication of notice of the application under section 55(2) of the Act and otherwise the provisions of regulation 15 apply with respect to any objection to the substitution of a new set of rules.</w:t>
      </w:r>
    </w:p>
    <w:p>
      <w:pPr>
        <w:pStyle w:val="Footnotesection"/>
      </w:pPr>
      <w:r>
        <w:tab/>
        <w:t>[Regulation 77B inserted: SL 2025/21 r. 14.]</w:t>
      </w:r>
    </w:p>
    <w:p>
      <w:pPr>
        <w:pStyle w:val="Heading5"/>
      </w:pPr>
      <w:bookmarkStart w:id="170" w:name="_Toc201657203"/>
      <w:r>
        <w:rPr>
          <w:rStyle w:val="CharSectno"/>
        </w:rPr>
        <w:t>77C</w:t>
      </w:r>
      <w:r>
        <w:t>.</w:t>
      </w:r>
      <w:r>
        <w:tab/>
        <w:t>Change of name</w:t>
      </w:r>
      <w:bookmarkEnd w:id="170"/>
    </w:p>
    <w:p>
      <w:pPr>
        <w:pStyle w:val="Subsection"/>
        <w:rPr>
          <w:snapToGrid w:val="0"/>
        </w:rPr>
      </w:pPr>
      <w:r>
        <w:tab/>
        <w:t>(1)</w:t>
      </w:r>
      <w:r>
        <w:tab/>
        <w:t>An</w:t>
      </w:r>
      <w:r>
        <w:rPr>
          <w:snapToGrid w:val="0"/>
        </w:rPr>
        <w:t xml:space="preserve"> application to change the name of an organisation or association must be made </w:t>
      </w:r>
      <w:r>
        <w:t>to the Commission in Court Session.</w:t>
      </w:r>
    </w:p>
    <w:p>
      <w:pPr>
        <w:pStyle w:val="Subsection"/>
        <w:rPr>
          <w:snapToGrid w:val="0"/>
        </w:rPr>
      </w:pPr>
      <w:r>
        <w:tab/>
        <w:t>(2)</w:t>
      </w:r>
      <w:r>
        <w:tab/>
      </w:r>
      <w:r>
        <w:rPr>
          <w:snapToGrid w:val="0"/>
        </w:rPr>
        <w:t>The application must be in the approved form and be lodged in the office of the Registrar with the following attachments —</w:t>
      </w:r>
    </w:p>
    <w:p>
      <w:pPr>
        <w:pStyle w:val="Indenta"/>
      </w:pPr>
      <w:r>
        <w:tab/>
        <w:t>(a)</w:t>
      </w:r>
      <w:r>
        <w:tab/>
        <w:t xml:space="preserve">a statement as to the steps taken by the organisation or association, and a copy of any notice or other document given to members </w:t>
      </w:r>
      <w:r>
        <w:rPr>
          <w:snapToGrid w:val="0"/>
        </w:rPr>
        <w:t>of the organisation or association</w:t>
      </w:r>
      <w:r>
        <w:t xml:space="preserve">, to inform the members — </w:t>
      </w:r>
    </w:p>
    <w:p>
      <w:pPr>
        <w:pStyle w:val="Indenti"/>
      </w:pPr>
      <w:r>
        <w:tab/>
        <w:t>(i)</w:t>
      </w:r>
      <w:r>
        <w:tab/>
        <w:t>about the proposal for the change of name and the reasons for the change of name; and</w:t>
      </w:r>
    </w:p>
    <w:p>
      <w:pPr>
        <w:pStyle w:val="Indenti"/>
      </w:pPr>
      <w:r>
        <w:tab/>
        <w:t>(ii)</w:t>
      </w:r>
      <w:r>
        <w:tab/>
        <w:t>about the proposed new name; and</w:t>
      </w:r>
    </w:p>
    <w:p>
      <w:pPr>
        <w:pStyle w:val="Indenti"/>
      </w:pPr>
      <w:r>
        <w:tab/>
        <w:t>(iii)</w:t>
      </w:r>
      <w:r>
        <w:tab/>
        <w:t xml:space="preserve">that the members may, collectively or individually, object to the making of the </w:t>
      </w:r>
      <w:r>
        <w:lastRenderedPageBreak/>
        <w:t>application by forwarding a written objection to the Registrar;</w:t>
      </w:r>
    </w:p>
    <w:p>
      <w:pPr>
        <w:pStyle w:val="Indenta"/>
      </w:pPr>
      <w:r>
        <w:tab/>
        <w:t>(b)</w:t>
      </w:r>
      <w:r>
        <w:tab/>
        <w:t xml:space="preserve">a statement as to the opportunity afforded to members </w:t>
      </w:r>
      <w:r>
        <w:rPr>
          <w:snapToGrid w:val="0"/>
        </w:rPr>
        <w:t>of the organisation or association</w:t>
      </w:r>
      <w:r>
        <w:t xml:space="preserve"> to object to the making of the application;</w:t>
      </w:r>
    </w:p>
    <w:p>
      <w:pPr>
        <w:pStyle w:val="Indenta"/>
      </w:pPr>
      <w:r>
        <w:tab/>
        <w:t>(c)</w:t>
      </w:r>
      <w:r>
        <w:tab/>
        <w:t>a copy of the proposed new name;</w:t>
      </w:r>
    </w:p>
    <w:p>
      <w:pPr>
        <w:pStyle w:val="Indenta"/>
      </w:pPr>
      <w:r>
        <w:tab/>
        <w:t>(d)</w:t>
      </w:r>
      <w:r>
        <w:tab/>
        <w:t>a copy of the resolution authorising the application.</w:t>
      </w:r>
    </w:p>
    <w:p>
      <w:pPr>
        <w:pStyle w:val="Subsection"/>
        <w:rPr>
          <w:snapToGrid w:val="0"/>
        </w:rPr>
      </w:pPr>
      <w:r>
        <w:tab/>
        <w:t>(3)</w:t>
      </w:r>
      <w:r>
        <w:tab/>
        <w:t>A</w:t>
      </w:r>
      <w:r>
        <w:rPr>
          <w:snapToGrid w:val="0"/>
        </w:rPr>
        <w:t xml:space="preserve"> person who objects to the change of name of the organisation </w:t>
      </w:r>
      <w:r>
        <w:t>or association must lodge an</w:t>
      </w:r>
      <w:r>
        <w:rPr>
          <w:snapToGrid w:val="0"/>
        </w:rPr>
        <w:t xml:space="preserve"> objection in the </w:t>
      </w:r>
      <w:r>
        <w:t>approved form</w:t>
      </w:r>
      <w:r>
        <w:rPr>
          <w:snapToGrid w:val="0"/>
        </w:rPr>
        <w:t xml:space="preserve"> within 21 days after the publication of notice of the application under section 55(2) of the Act and otherwise the provisions of regulation 15 apply with respect to any objection to the change of name.</w:t>
      </w:r>
    </w:p>
    <w:p>
      <w:pPr>
        <w:pStyle w:val="Footnotesection"/>
      </w:pPr>
      <w:r>
        <w:tab/>
        <w:t>[Regulation 77C inserted: SL 2025/21 r. 14.]</w:t>
      </w:r>
    </w:p>
    <w:p>
      <w:pPr>
        <w:pStyle w:val="Heading5"/>
      </w:pPr>
      <w:bookmarkStart w:id="171" w:name="_Toc201657204"/>
      <w:r>
        <w:rPr>
          <w:rStyle w:val="CharSectno"/>
        </w:rPr>
        <w:t>77D</w:t>
      </w:r>
      <w:r>
        <w:t>.</w:t>
      </w:r>
      <w:r>
        <w:tab/>
        <w:t>Certificate of registration after certain changes</w:t>
      </w:r>
      <w:bookmarkEnd w:id="171"/>
    </w:p>
    <w:p>
      <w:pPr>
        <w:pStyle w:val="Subsection"/>
        <w:rPr>
          <w:snapToGrid w:val="0"/>
        </w:rPr>
      </w:pPr>
      <w:r>
        <w:tab/>
        <w:t>(1)</w:t>
      </w:r>
      <w:r>
        <w:tab/>
        <w:t xml:space="preserve">If </w:t>
      </w:r>
      <w:r>
        <w:rPr>
          <w:snapToGrid w:val="0"/>
        </w:rPr>
        <w:t xml:space="preserve">the Registrar registers an alteration of the rules of an organisation or association, the Registrar </w:t>
      </w:r>
      <w:r>
        <w:t xml:space="preserve">must </w:t>
      </w:r>
      <w:r>
        <w:rPr>
          <w:snapToGrid w:val="0"/>
        </w:rPr>
        <w:t xml:space="preserve">give to the organisation </w:t>
      </w:r>
      <w:r>
        <w:t>or association</w:t>
      </w:r>
      <w:r>
        <w:rPr>
          <w:snapToGrid w:val="0"/>
        </w:rPr>
        <w:t xml:space="preserve"> a certificate in the </w:t>
      </w:r>
      <w:r>
        <w:t>approved form stating that the alteration has been registered.</w:t>
      </w:r>
    </w:p>
    <w:p>
      <w:pPr>
        <w:pStyle w:val="Subsection"/>
      </w:pPr>
      <w:r>
        <w:tab/>
        <w:t>(2)</w:t>
      </w:r>
      <w:r>
        <w:tab/>
        <w:t>If</w:t>
      </w:r>
      <w:r>
        <w:rPr>
          <w:snapToGrid w:val="0"/>
        </w:rPr>
        <w:t xml:space="preserve"> the Registrar registers a change of name of an organisation or association, the Registrar </w:t>
      </w:r>
      <w:r>
        <w:t>must</w:t>
      </w:r>
      <w:r>
        <w:rPr>
          <w:snapToGrid w:val="0"/>
        </w:rPr>
        <w:t xml:space="preserve"> give to the organisation or association a certificate in the </w:t>
      </w:r>
      <w:r>
        <w:t>approved form stating that the change has been registered.</w:t>
      </w:r>
    </w:p>
    <w:p>
      <w:pPr>
        <w:pStyle w:val="Footnotesection"/>
      </w:pPr>
      <w:r>
        <w:tab/>
        <w:t>[Regulation 77D inserted: SL 2025/21 r. 14.]</w:t>
      </w:r>
    </w:p>
    <w:p>
      <w:pPr>
        <w:pStyle w:val="Heading3"/>
      </w:pPr>
      <w:bookmarkStart w:id="172" w:name="_Toc201649014"/>
      <w:bookmarkStart w:id="173" w:name="_Toc201649208"/>
      <w:bookmarkStart w:id="174" w:name="_Toc201650068"/>
      <w:bookmarkStart w:id="175" w:name="_Toc201650396"/>
      <w:bookmarkStart w:id="176" w:name="_Toc201657205"/>
      <w:r>
        <w:rPr>
          <w:rStyle w:val="CharDivNo"/>
        </w:rPr>
        <w:t>Division 3</w:t>
      </w:r>
      <w:r>
        <w:t> — </w:t>
      </w:r>
      <w:r>
        <w:rPr>
          <w:rStyle w:val="CharDivText"/>
        </w:rPr>
        <w:t>Right of entry</w:t>
      </w:r>
      <w:bookmarkEnd w:id="172"/>
      <w:bookmarkEnd w:id="173"/>
      <w:bookmarkEnd w:id="174"/>
      <w:bookmarkEnd w:id="175"/>
      <w:bookmarkEnd w:id="176"/>
    </w:p>
    <w:p>
      <w:pPr>
        <w:pStyle w:val="Footnoteheading"/>
      </w:pPr>
      <w:r>
        <w:tab/>
        <w:t>[Heading inserted: SL 2025/21 r. 14.]</w:t>
      </w:r>
    </w:p>
    <w:p>
      <w:pPr>
        <w:pStyle w:val="Heading5"/>
      </w:pPr>
      <w:bookmarkStart w:id="177" w:name="_Toc201657206"/>
      <w:r>
        <w:rPr>
          <w:rStyle w:val="CharSectno"/>
        </w:rPr>
        <w:t>77E</w:t>
      </w:r>
      <w:r>
        <w:t>.</w:t>
      </w:r>
      <w:r>
        <w:tab/>
        <w:t>Requirements for application for right of entry permit (Act s. 49N(2))</w:t>
      </w:r>
      <w:bookmarkEnd w:id="177"/>
    </w:p>
    <w:p>
      <w:pPr>
        <w:pStyle w:val="Subsection"/>
        <w:rPr>
          <w:snapToGrid w:val="0"/>
        </w:rPr>
      </w:pPr>
      <w:r>
        <w:tab/>
        <w:t>(1)</w:t>
      </w:r>
      <w:r>
        <w:tab/>
        <w:t xml:space="preserve">For the purposes of section 49N(2) of the Act, this regulation sets out the requirements for an application made under </w:t>
      </w:r>
      <w:r>
        <w:lastRenderedPageBreak/>
        <w:t xml:space="preserve">section 49N(1) of the Act by the </w:t>
      </w:r>
      <w:r>
        <w:rPr>
          <w:snapToGrid w:val="0"/>
        </w:rPr>
        <w:t>secretary of an organisation of employees</w:t>
      </w:r>
      <w:r>
        <w:t xml:space="preserve"> for an officer or employee of the organisation to be issued a right of entry permit</w:t>
      </w:r>
      <w:r>
        <w:rPr>
          <w:snapToGrid w:val="0"/>
        </w:rPr>
        <w:t>.</w:t>
      </w:r>
    </w:p>
    <w:p>
      <w:pPr>
        <w:pStyle w:val="Subsection"/>
        <w:rPr>
          <w:snapToGrid w:val="0"/>
        </w:rPr>
      </w:pPr>
      <w:r>
        <w:tab/>
        <w:t>(2)</w:t>
      </w:r>
      <w:r>
        <w:tab/>
        <w:t xml:space="preserve">The application </w:t>
      </w:r>
      <w:r>
        <w:rPr>
          <w:snapToGrid w:val="0"/>
        </w:rPr>
        <w:t xml:space="preserve">must — </w:t>
      </w:r>
    </w:p>
    <w:p>
      <w:pPr>
        <w:pStyle w:val="Indenta"/>
      </w:pPr>
      <w:r>
        <w:tab/>
        <w:t>(a)</w:t>
      </w:r>
      <w:r>
        <w:tab/>
      </w:r>
      <w:r>
        <w:rPr>
          <w:snapToGrid w:val="0"/>
        </w:rPr>
        <w:t xml:space="preserve">be in the </w:t>
      </w:r>
      <w:r>
        <w:t>approved form; and</w:t>
      </w:r>
    </w:p>
    <w:p>
      <w:pPr>
        <w:pStyle w:val="Indenta"/>
      </w:pPr>
      <w:r>
        <w:tab/>
        <w:t>(b)</w:t>
      </w:r>
      <w:r>
        <w:tab/>
        <w:t xml:space="preserve">include — </w:t>
      </w:r>
    </w:p>
    <w:p>
      <w:pPr>
        <w:pStyle w:val="Indenti"/>
      </w:pPr>
      <w:r>
        <w:tab/>
        <w:t>(i)</w:t>
      </w:r>
      <w:r>
        <w:tab/>
        <w:t>the full legal name and address of the nominated official; and</w:t>
      </w:r>
    </w:p>
    <w:p>
      <w:pPr>
        <w:pStyle w:val="Indenti"/>
      </w:pPr>
      <w:r>
        <w:tab/>
        <w:t>(ii)</w:t>
      </w:r>
      <w:r>
        <w:tab/>
        <w:t>a legible copy of the nominated official’s signature;</w:t>
      </w:r>
    </w:p>
    <w:p>
      <w:pPr>
        <w:pStyle w:val="Indenta"/>
      </w:pPr>
      <w:r>
        <w:tab/>
      </w:r>
      <w:r>
        <w:tab/>
        <w:t>and</w:t>
      </w:r>
    </w:p>
    <w:p>
      <w:pPr>
        <w:pStyle w:val="Indenta"/>
      </w:pPr>
      <w:r>
        <w:tab/>
        <w:t>(c)</w:t>
      </w:r>
      <w:r>
        <w:tab/>
      </w:r>
      <w:r>
        <w:rPr>
          <w:snapToGrid w:val="0"/>
        </w:rPr>
        <w:t>be accompanied by</w:t>
      </w:r>
      <w:r>
        <w:t xml:space="preserve"> — </w:t>
      </w:r>
    </w:p>
    <w:p>
      <w:pPr>
        <w:pStyle w:val="Indenti"/>
        <w:rPr>
          <w:snapToGrid w:val="0"/>
        </w:rPr>
      </w:pPr>
      <w:r>
        <w:tab/>
        <w:t>(i)</w:t>
      </w:r>
      <w:r>
        <w:tab/>
      </w:r>
      <w:r>
        <w:rPr>
          <w:snapToGrid w:val="0"/>
        </w:rPr>
        <w:t xml:space="preserve">a current passport size and style photograph of the nominated official (the </w:t>
      </w:r>
      <w:r>
        <w:rPr>
          <w:rStyle w:val="CharDefText"/>
        </w:rPr>
        <w:t>accompanying photograph</w:t>
      </w:r>
      <w:r>
        <w:rPr>
          <w:snapToGrid w:val="0"/>
        </w:rPr>
        <w:t>); and</w:t>
      </w:r>
    </w:p>
    <w:p>
      <w:pPr>
        <w:pStyle w:val="Indenti"/>
      </w:pPr>
      <w:r>
        <w:tab/>
        <w:t>(ii)</w:t>
      </w:r>
      <w:r>
        <w:tab/>
        <w:t>evidence that the nominated official has completed appropriate training about the rights and responsibilities of an authorised representative;</w:t>
      </w:r>
    </w:p>
    <w:p>
      <w:pPr>
        <w:pStyle w:val="Indenta"/>
      </w:pPr>
      <w:r>
        <w:tab/>
      </w:r>
      <w:r>
        <w:tab/>
        <w:t>and</w:t>
      </w:r>
    </w:p>
    <w:p>
      <w:pPr>
        <w:pStyle w:val="Indenta"/>
      </w:pPr>
      <w:r>
        <w:tab/>
        <w:t>(d)</w:t>
      </w:r>
      <w:r>
        <w:tab/>
        <w:t>have attached to it the particulars approved by the Chief Commissioner from time to time.</w:t>
      </w:r>
    </w:p>
    <w:p>
      <w:pPr>
        <w:pStyle w:val="Subsection"/>
      </w:pPr>
      <w:r>
        <w:tab/>
        <w:t>(3)</w:t>
      </w:r>
      <w:r>
        <w:tab/>
        <w:t xml:space="preserve">If requested by the Commission, the application must also be accompanied by a document called a National Police Certificate that — </w:t>
      </w:r>
    </w:p>
    <w:p>
      <w:pPr>
        <w:pStyle w:val="Indenta"/>
      </w:pPr>
      <w:r>
        <w:tab/>
        <w:t>(a)</w:t>
      </w:r>
      <w:r>
        <w:tab/>
        <w:t xml:space="preserve">relates to the nominated official; and </w:t>
      </w:r>
    </w:p>
    <w:p>
      <w:pPr>
        <w:pStyle w:val="Indenta"/>
      </w:pPr>
      <w:r>
        <w:tab/>
        <w:t>(b)</w:t>
      </w:r>
      <w:r>
        <w:tab/>
        <w:t>is issued by the Australian Federal Police or the Police Force of Western Australia not more than 30 days before the application is made.</w:t>
      </w:r>
    </w:p>
    <w:p>
      <w:pPr>
        <w:pStyle w:val="Subsection"/>
        <w:keepNext/>
        <w:rPr>
          <w:snapToGrid w:val="0"/>
        </w:rPr>
      </w:pPr>
      <w:r>
        <w:lastRenderedPageBreak/>
        <w:tab/>
        <w:t>(4)</w:t>
      </w:r>
      <w:r>
        <w:tab/>
      </w:r>
      <w:r>
        <w:rPr>
          <w:snapToGrid w:val="0"/>
        </w:rPr>
        <w:t>The secretary must certify that the person in the accompanying photograph is the nominated official.</w:t>
      </w:r>
    </w:p>
    <w:p>
      <w:pPr>
        <w:pStyle w:val="Subsection"/>
      </w:pPr>
      <w:r>
        <w:tab/>
        <w:t>(5)</w:t>
      </w:r>
      <w:r>
        <w:tab/>
        <w:t xml:space="preserve">If the accompanying photograph is in printed form, </w:t>
      </w:r>
      <w:r>
        <w:rPr>
          <w:snapToGrid w:val="0"/>
        </w:rPr>
        <w:t>the certification mentioned in subregulation (4) must be made on the back of the accompanying photograph.</w:t>
      </w:r>
    </w:p>
    <w:p>
      <w:pPr>
        <w:pStyle w:val="Subsection"/>
        <w:rPr>
          <w:color w:val="000000"/>
          <w:sz w:val="22"/>
          <w:szCs w:val="22"/>
        </w:rPr>
      </w:pPr>
      <w:r>
        <w:tab/>
        <w:t>(6)</w:t>
      </w:r>
      <w:r>
        <w:tab/>
        <w:t>The Commission may, before it considers the application, publish all of the following on the Commission’s website</w:t>
      </w:r>
      <w:r>
        <w:rPr>
          <w:color w:val="000000"/>
          <w:sz w:val="22"/>
          <w:szCs w:val="22"/>
        </w:rPr>
        <w:t xml:space="preserve"> — </w:t>
      </w:r>
    </w:p>
    <w:p>
      <w:pPr>
        <w:pStyle w:val="Indenta"/>
      </w:pPr>
      <w:r>
        <w:tab/>
        <w:t>(a)</w:t>
      </w:r>
      <w:r>
        <w:tab/>
        <w:t xml:space="preserve">the name of — </w:t>
      </w:r>
    </w:p>
    <w:p>
      <w:pPr>
        <w:pStyle w:val="Indenti"/>
      </w:pPr>
      <w:r>
        <w:tab/>
        <w:t>(i)</w:t>
      </w:r>
      <w:r>
        <w:tab/>
        <w:t>the organisation that is applying for the right of entry permit; and</w:t>
      </w:r>
    </w:p>
    <w:p>
      <w:pPr>
        <w:pStyle w:val="Indenti"/>
      </w:pPr>
      <w:r>
        <w:tab/>
        <w:t>(ii)</w:t>
      </w:r>
      <w:r>
        <w:tab/>
        <w:t>the nominated official for the application;</w:t>
      </w:r>
    </w:p>
    <w:p>
      <w:pPr>
        <w:pStyle w:val="Indenta"/>
      </w:pPr>
      <w:r>
        <w:tab/>
        <w:t>(b)</w:t>
      </w:r>
      <w:r>
        <w:tab/>
        <w:t>a statement that the organisation has applied for the right of entry permit to be issued to the nominated official;</w:t>
      </w:r>
    </w:p>
    <w:p>
      <w:pPr>
        <w:pStyle w:val="Indenta"/>
      </w:pPr>
      <w:r>
        <w:tab/>
        <w:t>(c)</w:t>
      </w:r>
      <w:r>
        <w:tab/>
        <w:t>a statement that submissions may be made to the Commission, within a specified time, as to whether the nominated official is a fit and proper person to be issued the right of entry permit.</w:t>
      </w:r>
    </w:p>
    <w:p>
      <w:pPr>
        <w:pStyle w:val="Footnotesection"/>
      </w:pPr>
      <w:r>
        <w:tab/>
        <w:t>[Regulation 77E inserted: SL 2025/21 r. 14.]</w:t>
      </w:r>
    </w:p>
    <w:p>
      <w:pPr>
        <w:pStyle w:val="Heading5"/>
      </w:pPr>
      <w:bookmarkStart w:id="178" w:name="_Toc201657207"/>
      <w:r>
        <w:rPr>
          <w:rStyle w:val="CharSectno"/>
        </w:rPr>
        <w:t>77F</w:t>
      </w:r>
      <w:r>
        <w:t>.</w:t>
      </w:r>
      <w:r>
        <w:tab/>
        <w:t>Form of right of entry permit</w:t>
      </w:r>
      <w:bookmarkEnd w:id="178"/>
    </w:p>
    <w:p>
      <w:pPr>
        <w:pStyle w:val="Subsection"/>
      </w:pPr>
      <w:r>
        <w:tab/>
        <w:t>(1)</w:t>
      </w:r>
      <w:r>
        <w:tab/>
        <w:t>This regulation applies if the Commission, on an application under section 49N of the Act, decides to issue a right of entry permit to a nominated official.</w:t>
      </w:r>
    </w:p>
    <w:p>
      <w:pPr>
        <w:pStyle w:val="Subsection"/>
      </w:pPr>
      <w:r>
        <w:tab/>
        <w:t>(2)</w:t>
      </w:r>
      <w:r>
        <w:tab/>
        <w:t>The right of entry permit must include a photograph of the nominated official and the signature of the nominated official.</w:t>
      </w:r>
    </w:p>
    <w:p>
      <w:pPr>
        <w:pStyle w:val="PermNoteHeading"/>
      </w:pPr>
      <w:r>
        <w:tab/>
        <w:t>Note for this regulation:</w:t>
      </w:r>
    </w:p>
    <w:p>
      <w:pPr>
        <w:pStyle w:val="PermNoteText"/>
      </w:pPr>
      <w:r>
        <w:tab/>
      </w:r>
      <w:r>
        <w:tab/>
        <w:t>See section 49Q of the Act for the information that must be stated on a right of entry permit.</w:t>
      </w:r>
    </w:p>
    <w:p>
      <w:pPr>
        <w:pStyle w:val="Footnotesection"/>
      </w:pPr>
      <w:r>
        <w:tab/>
        <w:t>[Regulation 77F inserted: SL 2025/21 r. 14.]</w:t>
      </w:r>
    </w:p>
    <w:p>
      <w:pPr>
        <w:pStyle w:val="Heading5"/>
      </w:pPr>
      <w:bookmarkStart w:id="179" w:name="_Toc201657208"/>
      <w:r>
        <w:rPr>
          <w:rStyle w:val="CharSectno"/>
        </w:rPr>
        <w:lastRenderedPageBreak/>
        <w:t>77G</w:t>
      </w:r>
      <w:r>
        <w:t>.</w:t>
      </w:r>
      <w:r>
        <w:tab/>
        <w:t>When Commission may impose or change conditions, suspend or revoke right of entry permit</w:t>
      </w:r>
      <w:bookmarkEnd w:id="179"/>
    </w:p>
    <w:p>
      <w:pPr>
        <w:pStyle w:val="Subsection"/>
      </w:pPr>
      <w:r>
        <w:tab/>
        <w:t>(1)</w:t>
      </w:r>
      <w:r>
        <w:tab/>
        <w:t>This regulation applies if the Registrar or another person applies to the Commission in Court Session for an order to be made under section 49T(1) of the Act.</w:t>
      </w:r>
    </w:p>
    <w:p>
      <w:pPr>
        <w:pStyle w:val="Subsection"/>
      </w:pPr>
      <w:r>
        <w:tab/>
        <w:t>(2)</w:t>
      </w:r>
      <w:r>
        <w:tab/>
        <w:t>The application must be made in the approved form and have attached to it the particulars approved by the Chief Commissioner from time to time.</w:t>
      </w:r>
    </w:p>
    <w:p>
      <w:pPr>
        <w:pStyle w:val="Subsection"/>
      </w:pPr>
      <w:r>
        <w:tab/>
        <w:t>(3)</w:t>
      </w:r>
      <w:r>
        <w:tab/>
        <w:t xml:space="preserve">The Registrar must, unless otherwise directed by the presiding commissioner, serve a copy of the application as soon as practicable after the application is made on — </w:t>
      </w:r>
    </w:p>
    <w:p>
      <w:pPr>
        <w:pStyle w:val="Indenta"/>
      </w:pPr>
      <w:r>
        <w:tab/>
        <w:t>(a)</w:t>
      </w:r>
      <w:r>
        <w:tab/>
        <w:t xml:space="preserve">the organisation on whose behalf the right of entry permit was issued; and </w:t>
      </w:r>
    </w:p>
    <w:p>
      <w:pPr>
        <w:pStyle w:val="Indenta"/>
      </w:pPr>
      <w:r>
        <w:tab/>
        <w:t>(b)</w:t>
      </w:r>
      <w:r>
        <w:tab/>
        <w:t>the authorised representative for the right of entry permit.</w:t>
      </w:r>
    </w:p>
    <w:p>
      <w:pPr>
        <w:pStyle w:val="Footnotesection"/>
      </w:pPr>
      <w:r>
        <w:tab/>
        <w:t>[Regulation 77G inserted: SL 2025/21 r. 14.]</w:t>
      </w:r>
    </w:p>
    <w:p>
      <w:pPr>
        <w:pStyle w:val="Heading5"/>
      </w:pPr>
      <w:bookmarkStart w:id="180" w:name="_Toc201657209"/>
      <w:r>
        <w:rPr>
          <w:rStyle w:val="CharSectno"/>
        </w:rPr>
        <w:t>77H</w:t>
      </w:r>
      <w:r>
        <w:t>.</w:t>
      </w:r>
      <w:r>
        <w:tab/>
        <w:t>Revocation of right of entry permit on application of secretary of organisation</w:t>
      </w:r>
      <w:bookmarkEnd w:id="180"/>
    </w:p>
    <w:p>
      <w:pPr>
        <w:pStyle w:val="Subsection"/>
      </w:pPr>
      <w:r>
        <w:tab/>
        <w:t>(1)</w:t>
      </w:r>
      <w:r>
        <w:tab/>
        <w:t xml:space="preserve">This regulation applies if — </w:t>
      </w:r>
    </w:p>
    <w:p>
      <w:pPr>
        <w:pStyle w:val="Indenta"/>
      </w:pPr>
      <w:r>
        <w:tab/>
        <w:t>(a)</w:t>
      </w:r>
      <w:r>
        <w:tab/>
        <w:t>a right of entry permit is issued to an officer or employee of an organisation; and</w:t>
      </w:r>
    </w:p>
    <w:p>
      <w:pPr>
        <w:pStyle w:val="Indenta"/>
      </w:pPr>
      <w:r>
        <w:tab/>
        <w:t>(b)</w:t>
      </w:r>
      <w:r>
        <w:tab/>
        <w:t>the secretary of the organisation of employees applies to the Commission for the right of entry permit to be revoked under section 49V(1) of the Act.</w:t>
      </w:r>
    </w:p>
    <w:p>
      <w:pPr>
        <w:pStyle w:val="Subsection"/>
      </w:pPr>
      <w:r>
        <w:tab/>
        <w:t>(2)</w:t>
      </w:r>
      <w:r>
        <w:tab/>
        <w:t>The application to revoke the right of entry permit must be made in the approved form.</w:t>
      </w:r>
    </w:p>
    <w:p>
      <w:pPr>
        <w:pStyle w:val="Footnotesection"/>
      </w:pPr>
      <w:r>
        <w:tab/>
        <w:t>[Regulation 77H inserted: SL 2025/21 r. 14.]</w:t>
      </w:r>
    </w:p>
    <w:p>
      <w:pPr>
        <w:pStyle w:val="Heading5"/>
      </w:pPr>
      <w:bookmarkStart w:id="181" w:name="_Toc201657210"/>
      <w:r>
        <w:rPr>
          <w:rStyle w:val="CharSectno"/>
        </w:rPr>
        <w:t>77I</w:t>
      </w:r>
      <w:r>
        <w:t>.</w:t>
      </w:r>
      <w:r>
        <w:tab/>
        <w:t>Register of right of entry permits</w:t>
      </w:r>
      <w:bookmarkEnd w:id="181"/>
    </w:p>
    <w:p>
      <w:pPr>
        <w:pStyle w:val="Subsection"/>
      </w:pPr>
      <w:r>
        <w:tab/>
        <w:t>(1)</w:t>
      </w:r>
      <w:r>
        <w:tab/>
        <w:t>The Registrar must keep a register of right of entry permits issued by the Commission.</w:t>
      </w:r>
    </w:p>
    <w:p>
      <w:pPr>
        <w:pStyle w:val="Subsection"/>
      </w:pPr>
      <w:r>
        <w:lastRenderedPageBreak/>
        <w:tab/>
        <w:t>(2)</w:t>
      </w:r>
      <w:r>
        <w:tab/>
        <w:t>The register must be made available to the public on the Commission’s website.</w:t>
      </w:r>
    </w:p>
    <w:p>
      <w:pPr>
        <w:pStyle w:val="Footnotesection"/>
      </w:pPr>
      <w:r>
        <w:tab/>
        <w:t>[Regulation 77I inserted: SL 2025/21 r. 14.]</w:t>
      </w:r>
    </w:p>
    <w:p>
      <w:pPr>
        <w:pStyle w:val="Heading3"/>
      </w:pPr>
      <w:bookmarkStart w:id="182" w:name="_Toc201649020"/>
      <w:bookmarkStart w:id="183" w:name="_Toc201649214"/>
      <w:bookmarkStart w:id="184" w:name="_Toc201650074"/>
      <w:bookmarkStart w:id="185" w:name="_Toc201650402"/>
      <w:bookmarkStart w:id="186" w:name="_Toc201657211"/>
      <w:r>
        <w:rPr>
          <w:rStyle w:val="CharDivNo"/>
        </w:rPr>
        <w:t>Division 4</w:t>
      </w:r>
      <w:r>
        <w:t> — </w:t>
      </w:r>
      <w:r>
        <w:rPr>
          <w:rStyle w:val="CharDivText"/>
        </w:rPr>
        <w:t>Records and accounts</w:t>
      </w:r>
      <w:bookmarkEnd w:id="182"/>
      <w:bookmarkEnd w:id="183"/>
      <w:bookmarkEnd w:id="184"/>
      <w:bookmarkEnd w:id="185"/>
      <w:bookmarkEnd w:id="186"/>
    </w:p>
    <w:p>
      <w:pPr>
        <w:pStyle w:val="Footnoteheading"/>
      </w:pPr>
      <w:r>
        <w:tab/>
        <w:t>[Heading inserted: SL 2025/21 r. 15.]</w:t>
      </w:r>
    </w:p>
    <w:p>
      <w:pPr>
        <w:pStyle w:val="Heading5"/>
        <w:rPr>
          <w:snapToGrid w:val="0"/>
        </w:rPr>
      </w:pPr>
      <w:bookmarkStart w:id="187" w:name="_Toc201657212"/>
      <w:r>
        <w:rPr>
          <w:rStyle w:val="CharSectno"/>
        </w:rPr>
        <w:t>78</w:t>
      </w:r>
      <w:r>
        <w:t>.</w:t>
      </w:r>
      <w:r>
        <w:tab/>
        <w:t>Filing records of organisation or association</w:t>
      </w:r>
      <w:bookmarkEnd w:id="187"/>
    </w:p>
    <w:p>
      <w:pPr>
        <w:pStyle w:val="Subsection"/>
        <w:rPr>
          <w:snapToGrid w:val="0"/>
        </w:rPr>
      </w:pPr>
      <w:r>
        <w:rPr>
          <w:snapToGrid w:val="0"/>
        </w:rPr>
        <w:tab/>
        <w:t>(1)</w:t>
      </w:r>
      <w:r>
        <w:rPr>
          <w:snapToGrid w:val="0"/>
        </w:rPr>
        <w:tab/>
        <w:t>The list of names, residential addresses and occupations of persons holding office and a record of the number of members in an organisation or association required to be filed with the Registrar under sections 63(2) and 72B(6) of the Act must be so filed during the month of January in each year and be current as at the first day of that month.</w:t>
      </w:r>
    </w:p>
    <w:p>
      <w:pPr>
        <w:pStyle w:val="Subsection"/>
        <w:rPr>
          <w:snapToGrid w:val="0"/>
        </w:rPr>
      </w:pPr>
      <w:r>
        <w:rPr>
          <w:snapToGrid w:val="0"/>
        </w:rPr>
        <w:tab/>
        <w:t>(2)</w:t>
      </w:r>
      <w:r>
        <w:rPr>
          <w:snapToGrid w:val="0"/>
        </w:rPr>
        <w:tab/>
        <w:t>The statutory declaration required by sections 63(2) and 72B(6) of the Act may be made by the President or Secretary of the organisation or association.</w:t>
      </w:r>
    </w:p>
    <w:p>
      <w:pPr>
        <w:pStyle w:val="Subsection"/>
        <w:rPr>
          <w:snapToGrid w:val="0"/>
        </w:rPr>
      </w:pPr>
      <w:r>
        <w:rPr>
          <w:snapToGrid w:val="0"/>
        </w:rPr>
        <w:tab/>
        <w:t>(3)</w:t>
      </w:r>
      <w:r>
        <w:rPr>
          <w:snapToGrid w:val="0"/>
        </w:rPr>
        <w:tab/>
        <w:t>Notification of any change in the holding of office in an organisation or association under sections 63(3) and 72B(6) of the Act must be filed with the Registrar in writing within 14 days of the date of the change.</w:t>
      </w:r>
    </w:p>
    <w:p>
      <w:pPr>
        <w:pStyle w:val="Heading5"/>
        <w:rPr>
          <w:snapToGrid w:val="0"/>
        </w:rPr>
      </w:pPr>
      <w:bookmarkStart w:id="188" w:name="_Toc201657213"/>
      <w:r>
        <w:rPr>
          <w:rStyle w:val="CharSectno"/>
        </w:rPr>
        <w:t>79</w:t>
      </w:r>
      <w:r>
        <w:t>.</w:t>
      </w:r>
      <w:r>
        <w:tab/>
      </w:r>
      <w:r>
        <w:rPr>
          <w:snapToGrid w:val="0"/>
        </w:rPr>
        <w:t>Balance sheet etc. of organisation</w:t>
      </w:r>
      <w:bookmarkEnd w:id="188"/>
    </w:p>
    <w:p>
      <w:pPr>
        <w:pStyle w:val="Subsection"/>
        <w:rPr>
          <w:snapToGrid w:val="0"/>
        </w:rPr>
      </w:pPr>
      <w:r>
        <w:rPr>
          <w:snapToGrid w:val="0"/>
        </w:rPr>
        <w:tab/>
        <w:t>(1)</w:t>
      </w:r>
      <w:r>
        <w:rPr>
          <w:snapToGrid w:val="0"/>
        </w:rPr>
        <w:tab/>
        <w:t>The balance sheet and statement of receipts and expenditure of an organisation or association required to be delivered to the Registrar under section 65 of the Act, must be itemised with sufficient particularity to show that the financial affairs of the organisation or association have been conducted in accordance with the rules of the organisation or association.</w:t>
      </w:r>
    </w:p>
    <w:p>
      <w:pPr>
        <w:pStyle w:val="Subsection"/>
        <w:keepNext/>
        <w:rPr>
          <w:snapToGrid w:val="0"/>
        </w:rPr>
      </w:pPr>
      <w:r>
        <w:rPr>
          <w:snapToGrid w:val="0"/>
        </w:rPr>
        <w:tab/>
        <w:t>(2)</w:t>
      </w:r>
      <w:r>
        <w:rPr>
          <w:snapToGrid w:val="0"/>
        </w:rPr>
        <w:tab/>
        <w:t xml:space="preserve">The balance sheet and statement of receipts and expenditure must, when delivered to the Registrar, be accompanied by a statutory declaration made by the secretary of the organisation or association to the effect that the secretary placed at the </w:t>
      </w:r>
      <w:r>
        <w:rPr>
          <w:snapToGrid w:val="0"/>
        </w:rPr>
        <w:lastRenderedPageBreak/>
        <w:t>disposal of the auditor all relevant books and documents in relation to the financial affairs of the organisation or association.</w:t>
      </w:r>
    </w:p>
    <w:p>
      <w:pPr>
        <w:pStyle w:val="Penstart"/>
        <w:rPr>
          <w:snapToGrid w:val="0"/>
        </w:rPr>
      </w:pPr>
      <w:r>
        <w:rPr>
          <w:snapToGrid w:val="0"/>
        </w:rPr>
        <w:tab/>
        <w:t>Penalty: a fine of $40.00.</w:t>
      </w:r>
    </w:p>
    <w:p>
      <w:pPr>
        <w:pStyle w:val="Heading5"/>
      </w:pPr>
      <w:bookmarkStart w:id="189" w:name="_Toc201657214"/>
      <w:r>
        <w:rPr>
          <w:rStyle w:val="CharSectno"/>
        </w:rPr>
        <w:t>80</w:t>
      </w:r>
      <w:r>
        <w:t>.</w:t>
      </w:r>
      <w:r>
        <w:tab/>
        <w:t>Inspection of documents</w:t>
      </w:r>
      <w:bookmarkEnd w:id="189"/>
    </w:p>
    <w:p>
      <w:pPr>
        <w:pStyle w:val="Subsection"/>
      </w:pPr>
      <w:r>
        <w:tab/>
        <w:t>(1)</w:t>
      </w:r>
      <w:r>
        <w:tab/>
        <w:t>All documents filed with the Registrar under sections 63 and 65 of the Act may be inspected at the office of the Registrar during office hours.</w:t>
      </w:r>
    </w:p>
    <w:p>
      <w:pPr>
        <w:pStyle w:val="Subsection"/>
      </w:pPr>
      <w:r>
        <w:tab/>
        <w:t>(2)</w:t>
      </w:r>
      <w:r>
        <w:tab/>
        <w:t>Subject to subregulation (3), a person may obtain a copy of, or extract from, a document the person inspects under subregulation (1) on payment of the prescribed fee.</w:t>
      </w:r>
    </w:p>
    <w:p>
      <w:pPr>
        <w:pStyle w:val="Subsection"/>
      </w:pPr>
      <w:r>
        <w:tab/>
        <w:t>(3)</w:t>
      </w:r>
      <w:r>
        <w:tab/>
        <w:t>The Registrar may decide the format in which a copy of, or extract from, a document is provided to a person for the purpose of subregulation (2).</w:t>
      </w:r>
    </w:p>
    <w:p>
      <w:pPr>
        <w:pStyle w:val="Footnotesection"/>
      </w:pPr>
      <w:r>
        <w:tab/>
        <w:t>[Regulation 80 inserted: SL 2025/21 r. 16.]</w:t>
      </w:r>
    </w:p>
    <w:p>
      <w:pPr>
        <w:pStyle w:val="Heading5"/>
        <w:rPr>
          <w:snapToGrid w:val="0"/>
        </w:rPr>
      </w:pPr>
      <w:bookmarkStart w:id="190" w:name="_Toc201657215"/>
      <w:r>
        <w:rPr>
          <w:rStyle w:val="CharSectno"/>
        </w:rPr>
        <w:t>81</w:t>
      </w:r>
      <w:r>
        <w:t>.</w:t>
      </w:r>
      <w:r>
        <w:tab/>
      </w:r>
      <w:r>
        <w:rPr>
          <w:snapToGrid w:val="0"/>
        </w:rPr>
        <w:t>Notification of change of address</w:t>
      </w:r>
      <w:bookmarkEnd w:id="190"/>
    </w:p>
    <w:p>
      <w:pPr>
        <w:pStyle w:val="Subsection"/>
        <w:keepNext/>
        <w:rPr>
          <w:snapToGrid w:val="0"/>
        </w:rPr>
      </w:pPr>
      <w:r>
        <w:rPr>
          <w:snapToGrid w:val="0"/>
        </w:rPr>
        <w:tab/>
      </w:r>
      <w:r>
        <w:rPr>
          <w:snapToGrid w:val="0"/>
        </w:rPr>
        <w:tab/>
        <w:t>Notification of every change of address of the registered office of an organisation or association must be given to the Registrar by the secretary of the organisation or association, in writing, within 14 days of the date of change.</w:t>
      </w:r>
    </w:p>
    <w:p>
      <w:pPr>
        <w:pStyle w:val="Penstart"/>
        <w:rPr>
          <w:snapToGrid w:val="0"/>
        </w:rPr>
      </w:pPr>
      <w:r>
        <w:rPr>
          <w:snapToGrid w:val="0"/>
        </w:rPr>
        <w:tab/>
        <w:t>Penalty: a fine of $40.00.</w:t>
      </w:r>
    </w:p>
    <w:p>
      <w:pPr>
        <w:pStyle w:val="Heading5"/>
      </w:pPr>
      <w:bookmarkStart w:id="191" w:name="_Toc201657216"/>
      <w:r>
        <w:rPr>
          <w:rStyle w:val="CharSectno"/>
        </w:rPr>
        <w:t>82</w:t>
      </w:r>
      <w:r>
        <w:t>.</w:t>
      </w:r>
      <w:r>
        <w:tab/>
        <w:t>Return about current right of entry permit holders</w:t>
      </w:r>
      <w:bookmarkEnd w:id="191"/>
    </w:p>
    <w:p>
      <w:pPr>
        <w:pStyle w:val="Subsection"/>
      </w:pPr>
      <w:r>
        <w:tab/>
        <w:t>(1)</w:t>
      </w:r>
      <w:r>
        <w:tab/>
        <w:t>This regulation applies if the Commission issues a right of entry permit to an officer or employee of an organisation of employees.</w:t>
      </w:r>
    </w:p>
    <w:p>
      <w:pPr>
        <w:pStyle w:val="Subsection"/>
      </w:pPr>
      <w:r>
        <w:tab/>
        <w:t>(2)</w:t>
      </w:r>
      <w:r>
        <w:tab/>
        <w:t>The secretary of the organisation of employees must give to the Registrar a return every 6 months confirming the name of each officer or employee of the organisation who holds a right of entry permit at the time the secretary gives the return to the Registrar.</w:t>
      </w:r>
    </w:p>
    <w:p>
      <w:pPr>
        <w:pStyle w:val="Subsection"/>
      </w:pPr>
      <w:r>
        <w:lastRenderedPageBreak/>
        <w:tab/>
        <w:t>(3)</w:t>
      </w:r>
      <w:r>
        <w:tab/>
        <w:t>The return must be given to the Registrar on or before the date specified by the Registrar in a notice given to the secretary of the organisation of employees for that purpose.</w:t>
      </w:r>
    </w:p>
    <w:p>
      <w:pPr>
        <w:pStyle w:val="Footnotesection"/>
      </w:pPr>
      <w:r>
        <w:tab/>
        <w:t>[Regulation 82 inserted: SL 2025/21 r. 17.]</w:t>
      </w:r>
    </w:p>
    <w:p>
      <w:pPr>
        <w:pStyle w:val="Heading2"/>
      </w:pPr>
      <w:bookmarkStart w:id="192" w:name="_Toc201649026"/>
      <w:bookmarkStart w:id="193" w:name="_Toc201649220"/>
      <w:bookmarkStart w:id="194" w:name="_Toc201650080"/>
      <w:bookmarkStart w:id="195" w:name="_Toc201650408"/>
      <w:bookmarkStart w:id="196" w:name="_Toc201657217"/>
      <w:r>
        <w:rPr>
          <w:rStyle w:val="CharPartNo"/>
        </w:rPr>
        <w:lastRenderedPageBreak/>
        <w:t>Part 8</w:t>
      </w:r>
      <w:r>
        <w:t> — </w:t>
      </w:r>
      <w:r>
        <w:rPr>
          <w:rStyle w:val="CharPartText"/>
        </w:rPr>
        <w:t>Applications and appeals under Part VID Division 9 of the Act</w:t>
      </w:r>
      <w:bookmarkEnd w:id="192"/>
      <w:bookmarkEnd w:id="193"/>
      <w:bookmarkEnd w:id="194"/>
      <w:bookmarkEnd w:id="195"/>
      <w:bookmarkEnd w:id="196"/>
    </w:p>
    <w:p>
      <w:pPr>
        <w:pStyle w:val="Heading3"/>
      </w:pPr>
      <w:bookmarkStart w:id="197" w:name="_Toc201649027"/>
      <w:bookmarkStart w:id="198" w:name="_Toc201649221"/>
      <w:bookmarkStart w:id="199" w:name="_Toc201650081"/>
      <w:bookmarkStart w:id="200" w:name="_Toc201650409"/>
      <w:bookmarkStart w:id="201" w:name="_Toc201657218"/>
      <w:r>
        <w:rPr>
          <w:rStyle w:val="CharDivNo"/>
        </w:rPr>
        <w:t>Division 1</w:t>
      </w:r>
      <w:r>
        <w:t> — </w:t>
      </w:r>
      <w:r>
        <w:rPr>
          <w:rStyle w:val="CharDivText"/>
        </w:rPr>
        <w:t>Applications</w:t>
      </w:r>
      <w:bookmarkEnd w:id="197"/>
      <w:bookmarkEnd w:id="198"/>
      <w:bookmarkEnd w:id="199"/>
      <w:bookmarkEnd w:id="200"/>
      <w:bookmarkEnd w:id="201"/>
    </w:p>
    <w:p>
      <w:pPr>
        <w:pStyle w:val="Heading5"/>
      </w:pPr>
      <w:bookmarkStart w:id="202" w:name="_Toc201657219"/>
      <w:r>
        <w:rPr>
          <w:rStyle w:val="CharSectno"/>
        </w:rPr>
        <w:t>83</w:t>
      </w:r>
      <w:r>
        <w:t>.</w:t>
      </w:r>
      <w:r>
        <w:tab/>
        <w:t>Establishing that proposed representative is qualified and consents to application under section 97WV or 97XM</w:t>
      </w:r>
      <w:bookmarkEnd w:id="202"/>
    </w:p>
    <w:p>
      <w:pPr>
        <w:pStyle w:val="Subsection"/>
      </w:pPr>
      <w:r>
        <w:tab/>
        <w:t>(1)</w:t>
      </w:r>
      <w:r>
        <w:tab/>
        <w:t>Where an application is made under section 97WV or 97XM</w:t>
      </w:r>
      <w:r>
        <w:rPr>
          <w:snapToGrid w:val="0"/>
        </w:rPr>
        <w:t xml:space="preserve"> of the Act</w:t>
      </w:r>
      <w:r>
        <w:t xml:space="preserve">, the Registrar is to meet with the person sought to be approved as a representative for the purpose of satisfying himself or herself that the person — </w:t>
      </w:r>
    </w:p>
    <w:p>
      <w:pPr>
        <w:pStyle w:val="Indenta"/>
      </w:pPr>
      <w:r>
        <w:tab/>
        <w:t>(a)</w:t>
      </w:r>
      <w:r>
        <w:tab/>
        <w:t>fulfils the requirements of section 97WY</w:t>
      </w:r>
      <w:r>
        <w:rPr>
          <w:snapToGrid w:val="0"/>
        </w:rPr>
        <w:t xml:space="preserve"> of the Act</w:t>
      </w:r>
      <w:r>
        <w:t>; and</w:t>
      </w:r>
    </w:p>
    <w:p>
      <w:pPr>
        <w:pStyle w:val="Indenta"/>
      </w:pPr>
      <w:r>
        <w:tab/>
        <w:t>(b)</w:t>
      </w:r>
      <w:r>
        <w:tab/>
        <w:t>consents to the application being made.</w:t>
      </w:r>
    </w:p>
    <w:p>
      <w:pPr>
        <w:pStyle w:val="Subsection"/>
      </w:pPr>
      <w:r>
        <w:tab/>
        <w:t>(2)</w:t>
      </w:r>
      <w:r>
        <w:tab/>
        <w:t xml:space="preserve">The consent of the person that forms part of the application </w:t>
      </w:r>
      <w:r>
        <w:rPr>
          <w:snapToGrid w:val="0"/>
        </w:rPr>
        <w:t>must</w:t>
      </w:r>
      <w:r>
        <w:t xml:space="preserve"> be signed by the person in the presence of the Registrar and the Registrar is to sign an attestation on the application form that this has occurred.</w:t>
      </w:r>
    </w:p>
    <w:p>
      <w:pPr>
        <w:pStyle w:val="Subsection"/>
      </w:pPr>
      <w:r>
        <w:tab/>
        <w:t>(3)</w:t>
      </w:r>
      <w:r>
        <w:tab/>
        <w:t>The person is also to supply such information and evidence for the purposes of subregulation (1)(a) as the Registrar may request.</w:t>
      </w:r>
    </w:p>
    <w:p>
      <w:pPr>
        <w:pStyle w:val="Heading5"/>
      </w:pPr>
      <w:bookmarkStart w:id="203" w:name="_Toc201657220"/>
      <w:r>
        <w:rPr>
          <w:rStyle w:val="CharSectno"/>
        </w:rPr>
        <w:t>84</w:t>
      </w:r>
      <w:r>
        <w:t>.</w:t>
      </w:r>
      <w:r>
        <w:tab/>
        <w:t>Notice of application for approval to be given to employer</w:t>
      </w:r>
      <w:bookmarkEnd w:id="203"/>
    </w:p>
    <w:p>
      <w:pPr>
        <w:pStyle w:val="Subsection"/>
      </w:pPr>
      <w:r>
        <w:tab/>
        <w:t>(1)</w:t>
      </w:r>
      <w:r>
        <w:tab/>
        <w:t xml:space="preserve">If an application under section 97WV </w:t>
      </w:r>
      <w:r>
        <w:rPr>
          <w:snapToGrid w:val="0"/>
        </w:rPr>
        <w:t xml:space="preserve">of the Act </w:t>
      </w:r>
      <w:r>
        <w:t xml:space="preserve">identifies a person who will be the employer of the person with a mental disability if a proposed EEA takes effect, the Registrar </w:t>
      </w:r>
      <w:r>
        <w:rPr>
          <w:snapToGrid w:val="0"/>
        </w:rPr>
        <w:t>is to</w:t>
      </w:r>
      <w:r>
        <w:t xml:space="preserve"> give notice in writing to that prospective employer of the making of the application.</w:t>
      </w:r>
    </w:p>
    <w:p>
      <w:pPr>
        <w:pStyle w:val="Subsection"/>
      </w:pPr>
      <w:r>
        <w:tab/>
        <w:t>(2)</w:t>
      </w:r>
      <w:r>
        <w:tab/>
        <w:t xml:space="preserve">If an application under section 97XM </w:t>
      </w:r>
      <w:r>
        <w:rPr>
          <w:snapToGrid w:val="0"/>
        </w:rPr>
        <w:t xml:space="preserve">of the Act </w:t>
      </w:r>
      <w:r>
        <w:t xml:space="preserve">identifies a person who — </w:t>
      </w:r>
    </w:p>
    <w:p>
      <w:pPr>
        <w:pStyle w:val="Indenta"/>
      </w:pPr>
      <w:r>
        <w:tab/>
        <w:t>(a)</w:t>
      </w:r>
      <w:r>
        <w:tab/>
        <w:t xml:space="preserve">is the employer of the person with a mental disability under an EEA; or </w:t>
      </w:r>
    </w:p>
    <w:p>
      <w:pPr>
        <w:pStyle w:val="Indenta"/>
        <w:keepNext/>
        <w:keepLines/>
      </w:pPr>
      <w:r>
        <w:lastRenderedPageBreak/>
        <w:tab/>
        <w:t>(b)</w:t>
      </w:r>
      <w:r>
        <w:tab/>
        <w:t>will be the employer of the person with a mental disability if a proposed EEA takes effect,</w:t>
      </w:r>
    </w:p>
    <w:p>
      <w:pPr>
        <w:pStyle w:val="Subsection"/>
      </w:pPr>
      <w:r>
        <w:tab/>
      </w:r>
      <w:r>
        <w:tab/>
        <w:t xml:space="preserve">the Registrar </w:t>
      </w:r>
      <w:r>
        <w:rPr>
          <w:snapToGrid w:val="0"/>
        </w:rPr>
        <w:t>is to</w:t>
      </w:r>
      <w:r>
        <w:t xml:space="preserve"> give notice in writing to that employer or prospective employer of the making of the application.</w:t>
      </w:r>
    </w:p>
    <w:p>
      <w:pPr>
        <w:pStyle w:val="Subsection"/>
      </w:pPr>
      <w:r>
        <w:tab/>
        <w:t>(3)</w:t>
      </w:r>
      <w:r>
        <w:tab/>
        <w:t>A notice under subregulation (1) or (2) is to be given within 7 days after the application is filed.</w:t>
      </w:r>
    </w:p>
    <w:p>
      <w:pPr>
        <w:pStyle w:val="Heading3"/>
      </w:pPr>
      <w:bookmarkStart w:id="204" w:name="_Toc201649030"/>
      <w:bookmarkStart w:id="205" w:name="_Toc201649224"/>
      <w:bookmarkStart w:id="206" w:name="_Toc201650084"/>
      <w:bookmarkStart w:id="207" w:name="_Toc201650412"/>
      <w:bookmarkStart w:id="208" w:name="_Toc201657221"/>
      <w:r>
        <w:rPr>
          <w:rStyle w:val="CharDivNo"/>
        </w:rPr>
        <w:t>Division 2</w:t>
      </w:r>
      <w:r>
        <w:t> — </w:t>
      </w:r>
      <w:r>
        <w:rPr>
          <w:rStyle w:val="CharDivText"/>
        </w:rPr>
        <w:t>Appeals under section 97XB or 97XQ of the Act</w:t>
      </w:r>
      <w:bookmarkEnd w:id="204"/>
      <w:bookmarkEnd w:id="205"/>
      <w:bookmarkEnd w:id="206"/>
      <w:bookmarkEnd w:id="207"/>
      <w:bookmarkEnd w:id="208"/>
    </w:p>
    <w:p>
      <w:pPr>
        <w:pStyle w:val="Heading5"/>
      </w:pPr>
      <w:bookmarkStart w:id="209" w:name="_Toc201657222"/>
      <w:r>
        <w:rPr>
          <w:rStyle w:val="CharSectno"/>
        </w:rPr>
        <w:t>85</w:t>
      </w:r>
      <w:r>
        <w:t>.</w:t>
      </w:r>
      <w:r>
        <w:tab/>
        <w:t>Appeal against refusal to give approval</w:t>
      </w:r>
      <w:bookmarkEnd w:id="209"/>
    </w:p>
    <w:p>
      <w:pPr>
        <w:pStyle w:val="Subsection"/>
      </w:pPr>
      <w:r>
        <w:tab/>
      </w:r>
      <w:r>
        <w:tab/>
        <w:t xml:space="preserve">An appeal to the Commission under section 97XB or 97XQ </w:t>
      </w:r>
      <w:r>
        <w:rPr>
          <w:snapToGrid w:val="0"/>
        </w:rPr>
        <w:t>of the Act may</w:t>
      </w:r>
      <w:r>
        <w:t xml:space="preserve"> be commenced by the filing in the office of the Registrar of an appeal notice in the approved form.</w:t>
      </w:r>
    </w:p>
    <w:p>
      <w:pPr>
        <w:pStyle w:val="Footnotesection"/>
      </w:pPr>
      <w:r>
        <w:tab/>
        <w:t>[Regulation 85 amended: Gazette 5 Mar 2019 p. 622</w:t>
      </w:r>
      <w:r>
        <w:noBreakHyphen/>
        <w:t>4.]</w:t>
      </w:r>
    </w:p>
    <w:p>
      <w:pPr>
        <w:pStyle w:val="Heading5"/>
        <w:rPr>
          <w:snapToGrid w:val="0"/>
        </w:rPr>
      </w:pPr>
      <w:bookmarkStart w:id="210" w:name="_Toc201657223"/>
      <w:r>
        <w:rPr>
          <w:rStyle w:val="CharSectno"/>
        </w:rPr>
        <w:t>86</w:t>
      </w:r>
      <w:r>
        <w:t>.</w:t>
      </w:r>
      <w:r>
        <w:tab/>
      </w:r>
      <w:r>
        <w:rPr>
          <w:snapToGrid w:val="0"/>
        </w:rPr>
        <w:t>Service of appeal notice</w:t>
      </w:r>
      <w:bookmarkEnd w:id="210"/>
    </w:p>
    <w:p>
      <w:pPr>
        <w:pStyle w:val="Subsection"/>
        <w:rPr>
          <w:snapToGrid w:val="0"/>
        </w:rPr>
      </w:pPr>
      <w:r>
        <w:rPr>
          <w:snapToGrid w:val="0"/>
        </w:rPr>
        <w:tab/>
        <w:t>(1)</w:t>
      </w:r>
      <w:r>
        <w:rPr>
          <w:snapToGrid w:val="0"/>
        </w:rPr>
        <w:tab/>
        <w:t xml:space="preserve">If an appeal notice is filed in relation to a matter referred to in regulation 85, the Registrar is to serve a copy of the notice on each of the following persons (called an </w:t>
      </w:r>
      <w:r>
        <w:rPr>
          <w:rStyle w:val="CharDefText"/>
        </w:rPr>
        <w:t>interested person</w:t>
      </w:r>
      <w:r>
        <w:rPr>
          <w:snapToGrid w:val="0"/>
        </w:rPr>
        <w:t xml:space="preserve"> in this Division) — </w:t>
      </w:r>
    </w:p>
    <w:p>
      <w:pPr>
        <w:pStyle w:val="Indenta"/>
        <w:rPr>
          <w:snapToGrid w:val="0"/>
        </w:rPr>
      </w:pPr>
      <w:r>
        <w:tab/>
        <w:t>(a)</w:t>
      </w:r>
      <w:r>
        <w:tab/>
      </w:r>
      <w:r>
        <w:rPr>
          <w:snapToGrid w:val="0"/>
        </w:rPr>
        <w:t xml:space="preserve">any party, other than the appellant, who has </w:t>
      </w:r>
      <w:r>
        <w:t>a mental</w:t>
      </w:r>
      <w:r>
        <w:rPr>
          <w:snapToGrid w:val="0"/>
        </w:rPr>
        <w:t xml:space="preserve"> disability;</w:t>
      </w:r>
    </w:p>
    <w:p>
      <w:pPr>
        <w:pStyle w:val="Indenta"/>
        <w:rPr>
          <w:snapToGrid w:val="0"/>
        </w:rPr>
      </w:pPr>
      <w:r>
        <w:rPr>
          <w:snapToGrid w:val="0"/>
        </w:rPr>
        <w:tab/>
        <w:t>(b)</w:t>
      </w:r>
      <w:r>
        <w:rPr>
          <w:snapToGrid w:val="0"/>
        </w:rPr>
        <w:tab/>
        <w:t>the applicant in the application to which the appeal relates if he or she is not the appellant;</w:t>
      </w:r>
    </w:p>
    <w:p>
      <w:pPr>
        <w:pStyle w:val="Indenta"/>
        <w:rPr>
          <w:snapToGrid w:val="0"/>
        </w:rPr>
      </w:pPr>
      <w:r>
        <w:rPr>
          <w:snapToGrid w:val="0"/>
        </w:rPr>
        <w:tab/>
        <w:t>(c)</w:t>
      </w:r>
      <w:r>
        <w:rPr>
          <w:snapToGrid w:val="0"/>
        </w:rPr>
        <w:tab/>
        <w:t>the proposed representative;</w:t>
      </w:r>
    </w:p>
    <w:p>
      <w:pPr>
        <w:pStyle w:val="Indenta"/>
        <w:rPr>
          <w:snapToGrid w:val="0"/>
        </w:rPr>
      </w:pPr>
      <w:r>
        <w:rPr>
          <w:snapToGrid w:val="0"/>
        </w:rPr>
        <w:tab/>
        <w:t>(d)</w:t>
      </w:r>
      <w:r>
        <w:rPr>
          <w:snapToGrid w:val="0"/>
        </w:rPr>
        <w:tab/>
        <w:t>an employer or a prospective employer to whom notice of the application to which the appeal relates was given.</w:t>
      </w:r>
    </w:p>
    <w:p>
      <w:pPr>
        <w:pStyle w:val="Subsection"/>
        <w:rPr>
          <w:snapToGrid w:val="0"/>
        </w:rPr>
      </w:pPr>
      <w:r>
        <w:rPr>
          <w:snapToGrid w:val="0"/>
        </w:rPr>
        <w:tab/>
        <w:t>(2)</w:t>
      </w:r>
      <w:r>
        <w:rPr>
          <w:snapToGrid w:val="0"/>
        </w:rPr>
        <w:tab/>
        <w:t>The appeal is not to be listed for hearing until each interested person has been served with a copy of the appeal notice.</w:t>
      </w:r>
    </w:p>
    <w:p>
      <w:pPr>
        <w:pStyle w:val="Footnotesection"/>
      </w:pPr>
      <w:r>
        <w:tab/>
        <w:t>[Regulation 86 amended: SL 2025/21 r. 18.]</w:t>
      </w:r>
    </w:p>
    <w:p>
      <w:pPr>
        <w:pStyle w:val="Heading5"/>
        <w:rPr>
          <w:snapToGrid w:val="0"/>
        </w:rPr>
      </w:pPr>
      <w:bookmarkStart w:id="211" w:name="_Toc201657224"/>
      <w:r>
        <w:rPr>
          <w:rStyle w:val="CharSectno"/>
        </w:rPr>
        <w:lastRenderedPageBreak/>
        <w:t>87</w:t>
      </w:r>
      <w:r>
        <w:t>.</w:t>
      </w:r>
      <w:r>
        <w:tab/>
      </w:r>
      <w:r>
        <w:rPr>
          <w:snapToGrid w:val="0"/>
        </w:rPr>
        <w:t>Person served entitled but not required to be heard</w:t>
      </w:r>
      <w:bookmarkEnd w:id="211"/>
    </w:p>
    <w:p>
      <w:pPr>
        <w:pStyle w:val="Subsection"/>
        <w:rPr>
          <w:snapToGrid w:val="0"/>
        </w:rPr>
      </w:pPr>
      <w:r>
        <w:rPr>
          <w:snapToGrid w:val="0"/>
        </w:rPr>
        <w:tab/>
        <w:t>(1)</w:t>
      </w:r>
      <w:r>
        <w:rPr>
          <w:snapToGrid w:val="0"/>
        </w:rPr>
        <w:tab/>
        <w:t>An interested person is entitled to be heard at the hearing of the appeal but is not required to appear or be heard at the hearing.</w:t>
      </w:r>
    </w:p>
    <w:p>
      <w:pPr>
        <w:pStyle w:val="Subsection"/>
        <w:rPr>
          <w:snapToGrid w:val="0"/>
        </w:rPr>
      </w:pPr>
      <w:r>
        <w:rPr>
          <w:snapToGrid w:val="0"/>
        </w:rPr>
        <w:tab/>
        <w:t>(2)</w:t>
      </w:r>
      <w:r>
        <w:rPr>
          <w:snapToGrid w:val="0"/>
        </w:rPr>
        <w:tab/>
        <w:t>If an interested person wishes to be heard at the hearing of the appeal the person must —</w:t>
      </w:r>
    </w:p>
    <w:p>
      <w:pPr>
        <w:pStyle w:val="Indenta"/>
        <w:rPr>
          <w:snapToGrid w:val="0"/>
        </w:rPr>
      </w:pPr>
      <w:r>
        <w:rPr>
          <w:snapToGrid w:val="0"/>
        </w:rPr>
        <w:tab/>
        <w:t>(a)</w:t>
      </w:r>
      <w:r>
        <w:rPr>
          <w:snapToGrid w:val="0"/>
        </w:rPr>
        <w:tab/>
        <w:t xml:space="preserve">file a notice of intention to be heard; and </w:t>
      </w:r>
    </w:p>
    <w:p>
      <w:pPr>
        <w:pStyle w:val="Indenta"/>
        <w:rPr>
          <w:snapToGrid w:val="0"/>
        </w:rPr>
      </w:pPr>
      <w:r>
        <w:rPr>
          <w:snapToGrid w:val="0"/>
        </w:rPr>
        <w:tab/>
        <w:t>(b)</w:t>
      </w:r>
      <w:r>
        <w:rPr>
          <w:snapToGrid w:val="0"/>
        </w:rPr>
        <w:tab/>
        <w:t>serve a copy of the notice on the appellant and any other interested person,</w:t>
      </w:r>
    </w:p>
    <w:p>
      <w:pPr>
        <w:pStyle w:val="Subsection"/>
        <w:rPr>
          <w:snapToGrid w:val="0"/>
        </w:rPr>
      </w:pPr>
      <w:r>
        <w:rPr>
          <w:snapToGrid w:val="0"/>
        </w:rPr>
        <w:tab/>
      </w:r>
      <w:r>
        <w:rPr>
          <w:snapToGrid w:val="0"/>
        </w:rPr>
        <w:tab/>
        <w:t>within 14 days after the person is served with a copy of the appeal notice.</w:t>
      </w:r>
    </w:p>
    <w:p>
      <w:pPr>
        <w:pStyle w:val="Subsection"/>
        <w:rPr>
          <w:snapToGrid w:val="0"/>
        </w:rPr>
      </w:pPr>
      <w:r>
        <w:rPr>
          <w:snapToGrid w:val="0"/>
        </w:rPr>
        <w:tab/>
        <w:t>(3)</w:t>
      </w:r>
      <w:r>
        <w:rPr>
          <w:snapToGrid w:val="0"/>
        </w:rPr>
        <w:tab/>
        <w:t>An interested person who has not given notice under subregulation (2) is not to be heard at the hearing of the appeal without leave of the Commissioner hearing the appeal.</w:t>
      </w:r>
    </w:p>
    <w:p>
      <w:pPr>
        <w:pStyle w:val="Heading5"/>
        <w:rPr>
          <w:snapToGrid w:val="0"/>
        </w:rPr>
      </w:pPr>
      <w:bookmarkStart w:id="212" w:name="_Toc201657225"/>
      <w:r>
        <w:rPr>
          <w:rStyle w:val="CharSectno"/>
        </w:rPr>
        <w:t>88</w:t>
      </w:r>
      <w:r>
        <w:t>.</w:t>
      </w:r>
      <w:r>
        <w:tab/>
      </w:r>
      <w:r>
        <w:rPr>
          <w:snapToGrid w:val="0"/>
        </w:rPr>
        <w:t>Registrar to provide records to Commissioner</w:t>
      </w:r>
      <w:bookmarkEnd w:id="212"/>
    </w:p>
    <w:p>
      <w:pPr>
        <w:pStyle w:val="Subsection"/>
        <w:rPr>
          <w:snapToGrid w:val="0"/>
        </w:rPr>
      </w:pPr>
      <w:r>
        <w:rPr>
          <w:snapToGrid w:val="0"/>
        </w:rPr>
        <w:tab/>
      </w:r>
      <w:r>
        <w:rPr>
          <w:snapToGrid w:val="0"/>
        </w:rPr>
        <w:tab/>
        <w:t>Where an appeal is brought against the refusal of the Registrar to approve a representative, the Registrar is to give to the Commissioner hearing the appeal the Registrar’s file relating to the application to which the appeal relates.</w:t>
      </w:r>
    </w:p>
    <w:p>
      <w:pPr>
        <w:pStyle w:val="Heading2"/>
      </w:pPr>
      <w:bookmarkStart w:id="213" w:name="_Toc201649035"/>
      <w:bookmarkStart w:id="214" w:name="_Toc201649229"/>
      <w:bookmarkStart w:id="215" w:name="_Toc201650089"/>
      <w:bookmarkStart w:id="216" w:name="_Toc201650417"/>
      <w:bookmarkStart w:id="217" w:name="_Toc201657226"/>
      <w:r>
        <w:rPr>
          <w:rStyle w:val="CharPartNo"/>
        </w:rPr>
        <w:lastRenderedPageBreak/>
        <w:t>Part 9A</w:t>
      </w:r>
      <w:r>
        <w:rPr>
          <w:rStyle w:val="CharDivNo"/>
        </w:rPr>
        <w:t> </w:t>
      </w:r>
      <w:r>
        <w:t>—</w:t>
      </w:r>
      <w:r>
        <w:rPr>
          <w:rStyle w:val="CharDivText"/>
        </w:rPr>
        <w:t> </w:t>
      </w:r>
      <w:r>
        <w:rPr>
          <w:rStyle w:val="CharPartText"/>
        </w:rPr>
        <w:t xml:space="preserve">Appeals under </w:t>
      </w:r>
      <w:r>
        <w:rPr>
          <w:rStyle w:val="CharPartText"/>
          <w:i/>
        </w:rPr>
        <w:t>Prisons Act 1981</w:t>
      </w:r>
      <w:r>
        <w:rPr>
          <w:rStyle w:val="CharPartText"/>
        </w:rPr>
        <w:t xml:space="preserve"> section 106</w:t>
      </w:r>
      <w:bookmarkEnd w:id="213"/>
      <w:bookmarkEnd w:id="214"/>
      <w:bookmarkEnd w:id="215"/>
      <w:bookmarkEnd w:id="216"/>
      <w:bookmarkEnd w:id="217"/>
    </w:p>
    <w:p>
      <w:pPr>
        <w:pStyle w:val="Footnoteheading"/>
      </w:pPr>
      <w:r>
        <w:tab/>
        <w:t>[Heading inserted: Gazette 21 Aug 2015 p. 3337.]</w:t>
      </w:r>
    </w:p>
    <w:p>
      <w:pPr>
        <w:pStyle w:val="Heading5"/>
      </w:pPr>
      <w:bookmarkStart w:id="218" w:name="_Toc201657227"/>
      <w:r>
        <w:rPr>
          <w:rStyle w:val="CharSectno"/>
        </w:rPr>
        <w:t>89A</w:t>
      </w:r>
      <w:r>
        <w:t>.</w:t>
      </w:r>
      <w:r>
        <w:tab/>
        <w:t>Terms used</w:t>
      </w:r>
      <w:bookmarkEnd w:id="218"/>
    </w:p>
    <w:p>
      <w:pPr>
        <w:pStyle w:val="Subsection"/>
      </w:pPr>
      <w:r>
        <w:tab/>
      </w:r>
      <w:r>
        <w:tab/>
        <w:t xml:space="preserve">In this Part — </w:t>
      </w:r>
    </w:p>
    <w:p>
      <w:pPr>
        <w:pStyle w:val="Defstart"/>
      </w:pPr>
      <w:r>
        <w:tab/>
      </w:r>
      <w:r>
        <w:rPr>
          <w:rStyle w:val="CharDefText"/>
        </w:rPr>
        <w:t>appeal against removal action</w:t>
      </w:r>
      <w:r>
        <w:t xml:space="preserve"> means an appeal under the </w:t>
      </w:r>
      <w:r>
        <w:rPr>
          <w:i/>
        </w:rPr>
        <w:t>Prisons Act 1981</w:t>
      </w:r>
      <w:r>
        <w:t xml:space="preserve"> section 106;</w:t>
      </w:r>
    </w:p>
    <w:p>
      <w:pPr>
        <w:pStyle w:val="Defstart"/>
      </w:pPr>
      <w:r>
        <w:tab/>
      </w:r>
      <w:r>
        <w:rPr>
          <w:rStyle w:val="CharDefText"/>
        </w:rPr>
        <w:t>appellant</w:t>
      </w:r>
      <w:r>
        <w:t xml:space="preserve"> means a prison officer who institutes an appeal against removal action;</w:t>
      </w:r>
    </w:p>
    <w:p>
      <w:pPr>
        <w:pStyle w:val="Defstart"/>
      </w:pPr>
      <w:r>
        <w:tab/>
      </w:r>
      <w:r>
        <w:rPr>
          <w:rStyle w:val="CharDefText"/>
        </w:rPr>
        <w:t>chief executive officer</w:t>
      </w:r>
      <w:r>
        <w:t xml:space="preserve"> has the meaning given in the </w:t>
      </w:r>
      <w:r>
        <w:rPr>
          <w:i/>
        </w:rPr>
        <w:t>Prisons Act 1981</w:t>
      </w:r>
      <w:r>
        <w:t xml:space="preserve"> section 3(1);</w:t>
      </w:r>
    </w:p>
    <w:p>
      <w:pPr>
        <w:pStyle w:val="Defstart"/>
      </w:pPr>
      <w:r>
        <w:tab/>
      </w:r>
      <w:r>
        <w:rPr>
          <w:rStyle w:val="CharDefText"/>
        </w:rPr>
        <w:t>prison officer</w:t>
      </w:r>
      <w:r>
        <w:t xml:space="preserve"> has the same meaning as in the </w:t>
      </w:r>
      <w:r>
        <w:rPr>
          <w:i/>
        </w:rPr>
        <w:t>Prisons Act 1981</w:t>
      </w:r>
      <w:r>
        <w:t xml:space="preserve"> Part X Division 3;</w:t>
      </w:r>
    </w:p>
    <w:p>
      <w:pPr>
        <w:pStyle w:val="Defstart"/>
      </w:pPr>
      <w:r>
        <w:tab/>
      </w:r>
      <w:r>
        <w:rPr>
          <w:rStyle w:val="CharDefText"/>
        </w:rPr>
        <w:t>removal action</w:t>
      </w:r>
      <w:r>
        <w:t xml:space="preserve"> has the meaning given in the </w:t>
      </w:r>
      <w:r>
        <w:rPr>
          <w:i/>
        </w:rPr>
        <w:t>Prisons Act 1981</w:t>
      </w:r>
      <w:r>
        <w:t xml:space="preserve"> section 101(1).</w:t>
      </w:r>
    </w:p>
    <w:p>
      <w:pPr>
        <w:pStyle w:val="Footnotesection"/>
      </w:pPr>
      <w:r>
        <w:tab/>
        <w:t>[Regulation 89A inserted: Gazette 21 Aug 2015 p. 3337; amended: Gazette 5 Mar 2019 p. 600.]</w:t>
      </w:r>
    </w:p>
    <w:p>
      <w:pPr>
        <w:pStyle w:val="Heading5"/>
      </w:pPr>
      <w:bookmarkStart w:id="219" w:name="_Toc201657228"/>
      <w:r>
        <w:rPr>
          <w:rStyle w:val="CharSectno"/>
        </w:rPr>
        <w:t>89B</w:t>
      </w:r>
      <w:r>
        <w:t>.</w:t>
      </w:r>
      <w:r>
        <w:tab/>
        <w:t>Notice of appeal against removal action</w:t>
      </w:r>
      <w:bookmarkEnd w:id="219"/>
      <w:r>
        <w:t xml:space="preserve"> </w:t>
      </w:r>
    </w:p>
    <w:p>
      <w:pPr>
        <w:pStyle w:val="Subsection"/>
      </w:pPr>
      <w:r>
        <w:tab/>
      </w:r>
      <w:r>
        <w:tab/>
        <w:t xml:space="preserve">An appeal by a prison officer against removal action is instituted under the </w:t>
      </w:r>
      <w:r>
        <w:rPr>
          <w:i/>
        </w:rPr>
        <w:t>Prisons Act 1981</w:t>
      </w:r>
      <w:r>
        <w:t xml:space="preserve"> section 106(2) if the prison officer completes and files in the office of the Registrar 3 copies of a notice of appeal to the chief executive officer in the approved form.</w:t>
      </w:r>
    </w:p>
    <w:p>
      <w:pPr>
        <w:pStyle w:val="Footnotesection"/>
      </w:pPr>
      <w:r>
        <w:tab/>
        <w:t>[Regulation 89B inserted: Gazette 21 Aug 2015 p. 3337; amended: Gazette 5 Mar 2019 p. 622</w:t>
      </w:r>
      <w:r>
        <w:noBreakHyphen/>
        <w:t>4.]</w:t>
      </w:r>
    </w:p>
    <w:p>
      <w:pPr>
        <w:pStyle w:val="Heading5"/>
      </w:pPr>
      <w:bookmarkStart w:id="220" w:name="_Toc201657229"/>
      <w:r>
        <w:rPr>
          <w:rStyle w:val="CharSectno"/>
        </w:rPr>
        <w:lastRenderedPageBreak/>
        <w:t>89C</w:t>
      </w:r>
      <w:r>
        <w:t>.</w:t>
      </w:r>
      <w:r>
        <w:tab/>
        <w:t>Service of notice of appeal against removal action</w:t>
      </w:r>
      <w:bookmarkEnd w:id="220"/>
    </w:p>
    <w:p>
      <w:pPr>
        <w:pStyle w:val="Subsection"/>
        <w:keepNext/>
      </w:pPr>
      <w:r>
        <w:tab/>
      </w:r>
      <w:r>
        <w:tab/>
        <w:t>Within 7 days after an appeal against removal action is instituted, the Registrar must serve a copy of the notice of appeal on the chief executive officer.</w:t>
      </w:r>
    </w:p>
    <w:p>
      <w:pPr>
        <w:pStyle w:val="Footnotesection"/>
      </w:pPr>
      <w:r>
        <w:tab/>
        <w:t>[Regulation 89C inserted: Gazette 21 Aug 2015 p. 3338; amended: Gazette 5 Mar 2019 p. 621.]</w:t>
      </w:r>
    </w:p>
    <w:p>
      <w:pPr>
        <w:pStyle w:val="Heading5"/>
      </w:pPr>
      <w:bookmarkStart w:id="221" w:name="_Toc201657230"/>
      <w:r>
        <w:rPr>
          <w:rStyle w:val="CharSectno"/>
        </w:rPr>
        <w:t>89D</w:t>
      </w:r>
      <w:r>
        <w:t>.</w:t>
      </w:r>
      <w:r>
        <w:tab/>
        <w:t>Response by chief executive officer</w:t>
      </w:r>
      <w:bookmarkEnd w:id="221"/>
    </w:p>
    <w:p>
      <w:pPr>
        <w:pStyle w:val="Subsection"/>
      </w:pPr>
      <w:r>
        <w:tab/>
        <w:t>(1)</w:t>
      </w:r>
      <w:r>
        <w:tab/>
        <w:t xml:space="preserve">Except as otherwise directed by the Commission, the chief executive officer must respond to the notice of appeal within 28 days after the service of the notice of appeal by completing and filing in the office of the Registrar 3 copies of — </w:t>
      </w:r>
    </w:p>
    <w:p>
      <w:pPr>
        <w:pStyle w:val="Indenta"/>
      </w:pPr>
      <w:r>
        <w:tab/>
        <w:t>(a)</w:t>
      </w:r>
      <w:r>
        <w:tab/>
        <w:t>a response stating the chief executive officer’s reasons for deciding to take removal action; and</w:t>
      </w:r>
    </w:p>
    <w:p>
      <w:pPr>
        <w:pStyle w:val="Indenta"/>
      </w:pPr>
      <w:r>
        <w:tab/>
        <w:t>(b)</w:t>
      </w:r>
      <w:r>
        <w:tab/>
        <w:t>a list of all documents, as defined in regulation 20(1), that the chief executive officer considered before making the decision; and</w:t>
      </w:r>
    </w:p>
    <w:p>
      <w:pPr>
        <w:pStyle w:val="Indenta"/>
      </w:pPr>
      <w:r>
        <w:tab/>
        <w:t>(c)</w:t>
      </w:r>
      <w:r>
        <w:tab/>
        <w:t xml:space="preserve">a summary of facts or issues of law relied upon by the chief executive officer, including any relevant matters set out in the </w:t>
      </w:r>
      <w:r>
        <w:rPr>
          <w:i/>
        </w:rPr>
        <w:t>Prisons Act 1981</w:t>
      </w:r>
      <w:r>
        <w:t xml:space="preserve"> section 107(4); and</w:t>
      </w:r>
    </w:p>
    <w:p>
      <w:pPr>
        <w:pStyle w:val="Indenta"/>
      </w:pPr>
      <w:r>
        <w:tab/>
        <w:t>(d)</w:t>
      </w:r>
      <w:r>
        <w:tab/>
        <w:t>a reply containing any matters the chief executive officer wishes to raise in relation to the appellant’s case.</w:t>
      </w:r>
    </w:p>
    <w:p>
      <w:pPr>
        <w:pStyle w:val="Subsection"/>
      </w:pPr>
      <w:r>
        <w:tab/>
        <w:t>(2)</w:t>
      </w:r>
      <w:r>
        <w:tab/>
        <w:t>The response must be in the approved form and have attached to it the list of documents, the summary and the reply.</w:t>
      </w:r>
    </w:p>
    <w:p>
      <w:pPr>
        <w:pStyle w:val="Subsection"/>
      </w:pPr>
      <w:r>
        <w:tab/>
        <w:t>(3)</w:t>
      </w:r>
      <w:r>
        <w:tab/>
        <w:t>The Registrar must serve a copy of the response and its attachments on the appellant.</w:t>
      </w:r>
    </w:p>
    <w:p>
      <w:pPr>
        <w:pStyle w:val="Footnotesection"/>
      </w:pPr>
      <w:r>
        <w:tab/>
        <w:t>[Regulation 89D inserted: Gazette 21 Aug 2015 p. 3338; amended: Gazette 5 Mar 2019 p. 600</w:t>
      </w:r>
      <w:r>
        <w:noBreakHyphen/>
        <w:t>1, 619</w:t>
      </w:r>
      <w:r>
        <w:noBreakHyphen/>
        <w:t>20 and 622</w:t>
      </w:r>
      <w:r>
        <w:noBreakHyphen/>
        <w:t>4.]</w:t>
      </w:r>
    </w:p>
    <w:p>
      <w:pPr>
        <w:pStyle w:val="Heading5"/>
      </w:pPr>
      <w:bookmarkStart w:id="222" w:name="_Toc201657231"/>
      <w:r>
        <w:rPr>
          <w:rStyle w:val="CharSectno"/>
        </w:rPr>
        <w:lastRenderedPageBreak/>
        <w:t>89E</w:t>
      </w:r>
      <w:r>
        <w:t>.</w:t>
      </w:r>
      <w:r>
        <w:tab/>
        <w:t>Documents relied on to be filed and served</w:t>
      </w:r>
      <w:bookmarkEnd w:id="222"/>
    </w:p>
    <w:p>
      <w:pPr>
        <w:pStyle w:val="Subsection"/>
      </w:pPr>
      <w:r>
        <w:tab/>
        <w:t>(1)</w:t>
      </w:r>
      <w:r>
        <w:tab/>
        <w:t xml:space="preserve">Except as otherwise directed by the Commission, within 14 days of the service on the appellant of the documents referred to in regulation 89D — </w:t>
      </w:r>
    </w:p>
    <w:p>
      <w:pPr>
        <w:pStyle w:val="Indenta"/>
      </w:pPr>
      <w:r>
        <w:tab/>
        <w:t>(a)</w:t>
      </w:r>
      <w:r>
        <w:tab/>
        <w:t>the chief executive officer must file in the office of the Registrar 3 copies of every document relied upon by the chief executive officer in the appellant’s case; and</w:t>
      </w:r>
    </w:p>
    <w:p>
      <w:pPr>
        <w:pStyle w:val="Indenta"/>
      </w:pPr>
      <w:r>
        <w:tab/>
        <w:t>(b)</w:t>
      </w:r>
      <w:r>
        <w:tab/>
        <w:t>the Registrar must serve a copy of those documents on the appellant.</w:t>
      </w:r>
    </w:p>
    <w:p>
      <w:pPr>
        <w:pStyle w:val="Subsection"/>
        <w:keepNext/>
      </w:pPr>
      <w:r>
        <w:tab/>
        <w:t>(2)</w:t>
      </w:r>
      <w:r>
        <w:tab/>
        <w:t xml:space="preserve">Except as otherwise directed by the Commission, within 14 days of the service on the appellant of all of the documents referred to in subregulation (1) — </w:t>
      </w:r>
    </w:p>
    <w:p>
      <w:pPr>
        <w:pStyle w:val="Indenta"/>
      </w:pPr>
      <w:r>
        <w:tab/>
        <w:t>(a)</w:t>
      </w:r>
      <w:r>
        <w:tab/>
        <w:t>the appellant must file in the office of the Registrar 3 copies of every document relied upon by the appellant in the appellant’s case; and</w:t>
      </w:r>
    </w:p>
    <w:p>
      <w:pPr>
        <w:pStyle w:val="Indenta"/>
      </w:pPr>
      <w:r>
        <w:tab/>
        <w:t>(b)</w:t>
      </w:r>
      <w:r>
        <w:tab/>
        <w:t>the Registrar must serve a copy of those documents on the chief executive officer.</w:t>
      </w:r>
    </w:p>
    <w:p>
      <w:pPr>
        <w:pStyle w:val="Subsection"/>
      </w:pPr>
      <w:r>
        <w:tab/>
        <w:t>(3)</w:t>
      </w:r>
      <w:r>
        <w:tab/>
        <w:t>If, under an agreement between the chief executive officer and the appellant, one party files a document on behalf of both parties, the requirements under this regulation in relation to that document are taken to have been satisfied.</w:t>
      </w:r>
    </w:p>
    <w:p>
      <w:pPr>
        <w:pStyle w:val="Footnotesection"/>
      </w:pPr>
      <w:r>
        <w:tab/>
        <w:t>[Regulation 89E inserted: Gazette 21 Aug 2015 p. 3338</w:t>
      </w:r>
      <w:r>
        <w:noBreakHyphen/>
        <w:t>9; amended: Gazette 5 Mar 2019 p. 601</w:t>
      </w:r>
      <w:r>
        <w:noBreakHyphen/>
        <w:t>2.]</w:t>
      </w:r>
    </w:p>
    <w:p>
      <w:pPr>
        <w:pStyle w:val="Heading5"/>
      </w:pPr>
      <w:bookmarkStart w:id="223" w:name="_Toc201657232"/>
      <w:r>
        <w:rPr>
          <w:rStyle w:val="CharSectno"/>
        </w:rPr>
        <w:t>89F</w:t>
      </w:r>
      <w:r>
        <w:t>.</w:t>
      </w:r>
      <w:r>
        <w:tab/>
        <w:t xml:space="preserve">Notice of reformulated reasons under </w:t>
      </w:r>
      <w:r>
        <w:rPr>
          <w:i/>
        </w:rPr>
        <w:t>Prisons Act 1981</w:t>
      </w:r>
      <w:r>
        <w:t xml:space="preserve"> s. 110A(4)</w:t>
      </w:r>
      <w:bookmarkEnd w:id="223"/>
      <w:r>
        <w:t xml:space="preserve"> </w:t>
      </w:r>
    </w:p>
    <w:p>
      <w:pPr>
        <w:pStyle w:val="Subsection"/>
      </w:pPr>
      <w:r>
        <w:tab/>
        <w:t>(1)</w:t>
      </w:r>
      <w:r>
        <w:tab/>
        <w:t xml:space="preserve">The notice of the reformulated reasons required under the </w:t>
      </w:r>
      <w:r>
        <w:rPr>
          <w:i/>
        </w:rPr>
        <w:t>Prisons Act 1981</w:t>
      </w:r>
      <w:r>
        <w:t xml:space="preserve"> section 110A(4)(a) to be given to the Commission by the chief executive officer is to be given by completing and filing in the office of the Registrar 3 copies of — </w:t>
      </w:r>
    </w:p>
    <w:p>
      <w:pPr>
        <w:pStyle w:val="Indenta"/>
      </w:pPr>
      <w:r>
        <w:tab/>
        <w:t>(a)</w:t>
      </w:r>
      <w:r>
        <w:tab/>
        <w:t>a statement of the chief executive officer’s reformulated reasons; and</w:t>
      </w:r>
    </w:p>
    <w:p>
      <w:pPr>
        <w:pStyle w:val="Indenta"/>
      </w:pPr>
      <w:r>
        <w:lastRenderedPageBreak/>
        <w:tab/>
        <w:t>(b)</w:t>
      </w:r>
      <w:r>
        <w:tab/>
        <w:t xml:space="preserve">a summary of facts or issues of law relied upon by the chief executive officer in reformulating the reasons, including any relevant matters set out in the </w:t>
      </w:r>
      <w:r>
        <w:rPr>
          <w:i/>
        </w:rPr>
        <w:t>Prisons Act 1981</w:t>
      </w:r>
      <w:r>
        <w:t xml:space="preserve"> section 107(4); and</w:t>
      </w:r>
    </w:p>
    <w:p>
      <w:pPr>
        <w:pStyle w:val="Indenta"/>
      </w:pPr>
      <w:r>
        <w:tab/>
        <w:t>(c)</w:t>
      </w:r>
      <w:r>
        <w:tab/>
        <w:t>a reply containing any matters the chief executive officer wishes to raise in relation to the appellant’s case.</w:t>
      </w:r>
    </w:p>
    <w:p>
      <w:pPr>
        <w:pStyle w:val="Subsection"/>
      </w:pPr>
      <w:r>
        <w:tab/>
        <w:t>(2)</w:t>
      </w:r>
      <w:r>
        <w:tab/>
        <w:t>The statement, the summary and the reply must be in a form approved by the Chief Commissioner.</w:t>
      </w:r>
    </w:p>
    <w:p>
      <w:pPr>
        <w:pStyle w:val="Subsection"/>
      </w:pPr>
      <w:r>
        <w:tab/>
        <w:t>(2A)</w:t>
      </w:r>
      <w:r>
        <w:tab/>
        <w:t>The Registrar must serve a copy of the statement, the summary and the reply on the appellant.</w:t>
      </w:r>
    </w:p>
    <w:p>
      <w:pPr>
        <w:pStyle w:val="Subsection"/>
      </w:pPr>
      <w:r>
        <w:tab/>
        <w:t>(3)</w:t>
      </w:r>
      <w:r>
        <w:tab/>
        <w:t>If the notice is not given at least 7 days before the resumption of the appeal, the Commission may adjourn the hearing of the appeal to a further date to allow the Commission or the appellant sufficient time to consider the contents of the notice.</w:t>
      </w:r>
    </w:p>
    <w:p>
      <w:pPr>
        <w:pStyle w:val="Footnotesection"/>
      </w:pPr>
      <w:r>
        <w:tab/>
        <w:t>[Regulation 89F inserted: Gazette 21 Aug 2015 p. 3339; amended: Gazette 5 Mar 2019 p. 602</w:t>
      </w:r>
      <w:r>
        <w:noBreakHyphen/>
        <w:t>3.]</w:t>
      </w:r>
    </w:p>
    <w:p>
      <w:pPr>
        <w:pStyle w:val="Heading5"/>
      </w:pPr>
      <w:bookmarkStart w:id="224" w:name="_Toc201657233"/>
      <w:r>
        <w:rPr>
          <w:rStyle w:val="CharSectno"/>
        </w:rPr>
        <w:t>89G</w:t>
      </w:r>
      <w:r>
        <w:t>.</w:t>
      </w:r>
      <w:r>
        <w:tab/>
        <w:t>Withdrawal or discontinuance of appeal against removal</w:t>
      </w:r>
      <w:bookmarkEnd w:id="224"/>
    </w:p>
    <w:p>
      <w:pPr>
        <w:pStyle w:val="Subsection"/>
      </w:pPr>
      <w:r>
        <w:tab/>
        <w:t>(1)</w:t>
      </w:r>
      <w:r>
        <w:tab/>
        <w:t>An appellant may withdraw or wholly discontinue an appeal against removal action, or withdraw any part of the appeal, by completing and filing in the office of the Registrar 3 copies of a notice of withdrawal or discontinuance in the approved form.</w:t>
      </w:r>
    </w:p>
    <w:p>
      <w:pPr>
        <w:pStyle w:val="Subsection"/>
      </w:pPr>
      <w:r>
        <w:tab/>
        <w:t>(2)</w:t>
      </w:r>
      <w:r>
        <w:tab/>
        <w:t>The Registrar must serve a copy of the notice on the chief executive officer.</w:t>
      </w:r>
    </w:p>
    <w:p>
      <w:pPr>
        <w:pStyle w:val="Footnotesection"/>
      </w:pPr>
      <w:r>
        <w:tab/>
        <w:t>[Regulation 89G inserted: Gazette 5 Mar 2019 p. 603.]</w:t>
      </w:r>
    </w:p>
    <w:p>
      <w:pPr>
        <w:pStyle w:val="Heading2"/>
      </w:pPr>
      <w:bookmarkStart w:id="225" w:name="_Toc201649043"/>
      <w:bookmarkStart w:id="226" w:name="_Toc201649237"/>
      <w:bookmarkStart w:id="227" w:name="_Toc201650097"/>
      <w:bookmarkStart w:id="228" w:name="_Toc201650425"/>
      <w:bookmarkStart w:id="229" w:name="_Toc201657234"/>
      <w:r>
        <w:rPr>
          <w:rStyle w:val="CharPartNo"/>
        </w:rPr>
        <w:lastRenderedPageBreak/>
        <w:t>Part 9B</w:t>
      </w:r>
      <w:r>
        <w:rPr>
          <w:rStyle w:val="CharDivNo"/>
        </w:rPr>
        <w:t> </w:t>
      </w:r>
      <w:r>
        <w:t>—</w:t>
      </w:r>
      <w:r>
        <w:rPr>
          <w:rStyle w:val="CharDivText"/>
        </w:rPr>
        <w:t> </w:t>
      </w:r>
      <w:r>
        <w:rPr>
          <w:rStyle w:val="CharPartText"/>
        </w:rPr>
        <w:t xml:space="preserve">Appeals under </w:t>
      </w:r>
      <w:r>
        <w:rPr>
          <w:rStyle w:val="CharPartText"/>
          <w:i/>
        </w:rPr>
        <w:t>Young Offenders Act 1994</w:t>
      </w:r>
      <w:r>
        <w:rPr>
          <w:rStyle w:val="CharPartText"/>
        </w:rPr>
        <w:t xml:space="preserve"> section 11CH</w:t>
      </w:r>
      <w:bookmarkEnd w:id="225"/>
      <w:bookmarkEnd w:id="226"/>
      <w:bookmarkEnd w:id="227"/>
      <w:bookmarkEnd w:id="228"/>
      <w:bookmarkEnd w:id="229"/>
    </w:p>
    <w:p>
      <w:pPr>
        <w:pStyle w:val="Footnoteheading"/>
      </w:pPr>
      <w:r>
        <w:tab/>
        <w:t>[Heading inserted: Gazette 21 Aug 2015 p. 3340.]</w:t>
      </w:r>
    </w:p>
    <w:p>
      <w:pPr>
        <w:pStyle w:val="Heading5"/>
      </w:pPr>
      <w:bookmarkStart w:id="230" w:name="_Toc201657235"/>
      <w:r>
        <w:rPr>
          <w:rStyle w:val="CharSectno"/>
        </w:rPr>
        <w:t>89H</w:t>
      </w:r>
      <w:r>
        <w:t>.</w:t>
      </w:r>
      <w:r>
        <w:tab/>
        <w:t>Terms used</w:t>
      </w:r>
      <w:bookmarkEnd w:id="230"/>
    </w:p>
    <w:p>
      <w:pPr>
        <w:pStyle w:val="Subsection"/>
      </w:pPr>
      <w:r>
        <w:tab/>
      </w:r>
      <w:r>
        <w:tab/>
        <w:t xml:space="preserve">In this Part — </w:t>
      </w:r>
    </w:p>
    <w:p>
      <w:pPr>
        <w:pStyle w:val="Defstart"/>
      </w:pPr>
      <w:r>
        <w:tab/>
      </w:r>
      <w:r>
        <w:rPr>
          <w:rStyle w:val="CharDefText"/>
        </w:rPr>
        <w:t>appeal against removal action</w:t>
      </w:r>
      <w:r>
        <w:t xml:space="preserve"> means an appeal under the </w:t>
      </w:r>
      <w:r>
        <w:rPr>
          <w:i/>
        </w:rPr>
        <w:t>Young Offenders Act 1994</w:t>
      </w:r>
      <w:r>
        <w:t xml:space="preserve"> section 11CH;</w:t>
      </w:r>
    </w:p>
    <w:p>
      <w:pPr>
        <w:pStyle w:val="Defstart"/>
      </w:pPr>
      <w:r>
        <w:tab/>
      </w:r>
      <w:r>
        <w:rPr>
          <w:rStyle w:val="CharDefText"/>
        </w:rPr>
        <w:t>appellant</w:t>
      </w:r>
      <w:r>
        <w:t xml:space="preserve"> means a custodial officer who institutes an appeal against removal action;</w:t>
      </w:r>
    </w:p>
    <w:p>
      <w:pPr>
        <w:pStyle w:val="Defstart"/>
      </w:pPr>
      <w:r>
        <w:tab/>
      </w:r>
      <w:r>
        <w:rPr>
          <w:rStyle w:val="CharDefText"/>
        </w:rPr>
        <w:t>chief executive officer</w:t>
      </w:r>
      <w:r>
        <w:t xml:space="preserve"> has the meaning given in the </w:t>
      </w:r>
      <w:r>
        <w:rPr>
          <w:i/>
        </w:rPr>
        <w:t xml:space="preserve">Young Offenders Act 1994 </w:t>
      </w:r>
      <w:r>
        <w:t>section 3;</w:t>
      </w:r>
    </w:p>
    <w:p>
      <w:pPr>
        <w:pStyle w:val="Defstart"/>
      </w:pPr>
      <w:r>
        <w:tab/>
      </w:r>
      <w:r>
        <w:rPr>
          <w:rStyle w:val="CharDefText"/>
        </w:rPr>
        <w:t>custodial officer</w:t>
      </w:r>
      <w:r>
        <w:t xml:space="preserve"> has the meaning given in the </w:t>
      </w:r>
      <w:r>
        <w:rPr>
          <w:i/>
        </w:rPr>
        <w:t xml:space="preserve">Young Offenders Act 1994 </w:t>
      </w:r>
      <w:r>
        <w:t>section 3;</w:t>
      </w:r>
    </w:p>
    <w:p>
      <w:pPr>
        <w:pStyle w:val="Defstart"/>
      </w:pPr>
      <w:r>
        <w:tab/>
      </w:r>
      <w:r>
        <w:rPr>
          <w:rStyle w:val="CharDefText"/>
        </w:rPr>
        <w:t>removal action</w:t>
      </w:r>
      <w:r>
        <w:t xml:space="preserve"> has the meaning given in the </w:t>
      </w:r>
      <w:r>
        <w:rPr>
          <w:i/>
        </w:rPr>
        <w:t xml:space="preserve">Young Offenders Act 1994 </w:t>
      </w:r>
      <w:r>
        <w:t>section 11CA.</w:t>
      </w:r>
    </w:p>
    <w:p>
      <w:pPr>
        <w:pStyle w:val="Footnotesection"/>
      </w:pPr>
      <w:r>
        <w:tab/>
        <w:t>[Regulation 89H inserted: Gazette 21 Aug 2015 p. 3340; amended: Gazette 5 Mar 2019 p. 603.]</w:t>
      </w:r>
    </w:p>
    <w:p>
      <w:pPr>
        <w:pStyle w:val="Heading5"/>
      </w:pPr>
      <w:bookmarkStart w:id="231" w:name="_Toc201657236"/>
      <w:r>
        <w:rPr>
          <w:rStyle w:val="CharSectno"/>
        </w:rPr>
        <w:t>89I</w:t>
      </w:r>
      <w:r>
        <w:t>.</w:t>
      </w:r>
      <w:r>
        <w:tab/>
        <w:t>Notice of appeal against removal action</w:t>
      </w:r>
      <w:bookmarkEnd w:id="231"/>
    </w:p>
    <w:p>
      <w:pPr>
        <w:pStyle w:val="Subsection"/>
      </w:pPr>
      <w:r>
        <w:tab/>
      </w:r>
      <w:r>
        <w:tab/>
        <w:t xml:space="preserve">An appeal by a custodial officer against removal action is instituted under the </w:t>
      </w:r>
      <w:r>
        <w:rPr>
          <w:i/>
        </w:rPr>
        <w:t>Young Offenders Act 1994</w:t>
      </w:r>
      <w:r>
        <w:t xml:space="preserve"> section 11CH(2) if the custodial officer completes and files in the office of the Registrar 3 copies of a notice of appeal to the chief executive officer in the approved form.</w:t>
      </w:r>
    </w:p>
    <w:p>
      <w:pPr>
        <w:pStyle w:val="Footnotesection"/>
      </w:pPr>
      <w:r>
        <w:tab/>
        <w:t>[Regulation 89I inserted: Gazette 21 Aug 2015 p. 3340; amended: Gazette 5 Mar 2019 p. 622</w:t>
      </w:r>
      <w:r>
        <w:noBreakHyphen/>
        <w:t>4.]</w:t>
      </w:r>
    </w:p>
    <w:p>
      <w:pPr>
        <w:pStyle w:val="Heading5"/>
        <w:keepLines w:val="0"/>
      </w:pPr>
      <w:bookmarkStart w:id="232" w:name="_Toc201657237"/>
      <w:r>
        <w:rPr>
          <w:rStyle w:val="CharSectno"/>
        </w:rPr>
        <w:lastRenderedPageBreak/>
        <w:t>89J</w:t>
      </w:r>
      <w:r>
        <w:t>.</w:t>
      </w:r>
      <w:r>
        <w:tab/>
        <w:t>Service of notice of appeal against removal action</w:t>
      </w:r>
      <w:bookmarkEnd w:id="232"/>
    </w:p>
    <w:p>
      <w:pPr>
        <w:pStyle w:val="Subsection"/>
        <w:keepNext/>
      </w:pPr>
      <w:r>
        <w:tab/>
      </w:r>
      <w:r>
        <w:tab/>
        <w:t>Within 7 days after an appeal against removal action is instituted, the Registrar must serve a copy of the notice of appeal on the chief executive officer.</w:t>
      </w:r>
    </w:p>
    <w:p>
      <w:pPr>
        <w:pStyle w:val="Footnotesection"/>
      </w:pPr>
      <w:r>
        <w:tab/>
        <w:t>[Regulation 89J inserted: Gazette 21 Aug 2015 p. 3340; amended: Gazette 5 Mar 2019 p. 621.]</w:t>
      </w:r>
    </w:p>
    <w:p>
      <w:pPr>
        <w:pStyle w:val="Heading5"/>
      </w:pPr>
      <w:bookmarkStart w:id="233" w:name="_Toc201657238"/>
      <w:r>
        <w:rPr>
          <w:rStyle w:val="CharSectno"/>
        </w:rPr>
        <w:t>89K</w:t>
      </w:r>
      <w:r>
        <w:t>.</w:t>
      </w:r>
      <w:r>
        <w:tab/>
        <w:t>Response by chief executive officer</w:t>
      </w:r>
      <w:bookmarkEnd w:id="233"/>
    </w:p>
    <w:p>
      <w:pPr>
        <w:pStyle w:val="Subsection"/>
      </w:pPr>
      <w:r>
        <w:tab/>
        <w:t>(1)</w:t>
      </w:r>
      <w:r>
        <w:tab/>
        <w:t xml:space="preserve">Except as otherwise directed by the Commission, the chief executive officer must respond to the notice of appeal within 28 days after the service of the notice of appeal by completing and filing in the office of the Registrar 3 copies of — </w:t>
      </w:r>
    </w:p>
    <w:p>
      <w:pPr>
        <w:pStyle w:val="Indenta"/>
      </w:pPr>
      <w:r>
        <w:tab/>
        <w:t>(a)</w:t>
      </w:r>
      <w:r>
        <w:tab/>
        <w:t>a response stating the chief executive officer’s reasons for deciding to take removal action; and</w:t>
      </w:r>
    </w:p>
    <w:p>
      <w:pPr>
        <w:pStyle w:val="Indenta"/>
      </w:pPr>
      <w:r>
        <w:tab/>
        <w:t>(b)</w:t>
      </w:r>
      <w:r>
        <w:tab/>
        <w:t>a list of all documents, as defined in regulation 20(1), that the chief executive officer considered before making the decision; and</w:t>
      </w:r>
    </w:p>
    <w:p>
      <w:pPr>
        <w:pStyle w:val="Indenta"/>
      </w:pPr>
      <w:r>
        <w:tab/>
        <w:t>(c)</w:t>
      </w:r>
      <w:r>
        <w:tab/>
        <w:t xml:space="preserve">a summary of facts or issues of law relied upon by the chief executive officer, including any relevant matters set out in the </w:t>
      </w:r>
      <w:r>
        <w:rPr>
          <w:i/>
        </w:rPr>
        <w:t>Young Offenders Act 1994</w:t>
      </w:r>
      <w:r>
        <w:t xml:space="preserve"> section 11CI(4); and</w:t>
      </w:r>
    </w:p>
    <w:p>
      <w:pPr>
        <w:pStyle w:val="Indenta"/>
      </w:pPr>
      <w:r>
        <w:tab/>
        <w:t>(d)</w:t>
      </w:r>
      <w:r>
        <w:tab/>
        <w:t>a reply containing any matters the chief executive officer wishes to raise in relation to the appellant’s case.</w:t>
      </w:r>
    </w:p>
    <w:p>
      <w:pPr>
        <w:pStyle w:val="Subsection"/>
      </w:pPr>
      <w:r>
        <w:tab/>
        <w:t>(2)</w:t>
      </w:r>
      <w:r>
        <w:tab/>
        <w:t>The response must be in the approved form and have attached to it the list of documents, the summary and the reply.</w:t>
      </w:r>
    </w:p>
    <w:p>
      <w:pPr>
        <w:pStyle w:val="Subsection"/>
      </w:pPr>
      <w:r>
        <w:tab/>
        <w:t>(3)</w:t>
      </w:r>
      <w:r>
        <w:tab/>
        <w:t>The Registrar must serve a copy of the response and its attachments on the appellant.</w:t>
      </w:r>
    </w:p>
    <w:p>
      <w:pPr>
        <w:pStyle w:val="Footnotesection"/>
      </w:pPr>
      <w:r>
        <w:tab/>
        <w:t>[Regulation 89K inserted: Gazette 21 Aug 2015 p. 3341; amended: Gazette 5 Mar 2019 p. 603</w:t>
      </w:r>
      <w:r>
        <w:noBreakHyphen/>
        <w:t>4, 619</w:t>
      </w:r>
      <w:r>
        <w:noBreakHyphen/>
        <w:t>20 and 622</w:t>
      </w:r>
      <w:r>
        <w:noBreakHyphen/>
        <w:t>4.]</w:t>
      </w:r>
    </w:p>
    <w:p>
      <w:pPr>
        <w:pStyle w:val="Heading5"/>
        <w:keepLines w:val="0"/>
      </w:pPr>
      <w:bookmarkStart w:id="234" w:name="_Toc201657239"/>
      <w:r>
        <w:rPr>
          <w:rStyle w:val="CharSectno"/>
        </w:rPr>
        <w:lastRenderedPageBreak/>
        <w:t>89L</w:t>
      </w:r>
      <w:r>
        <w:t>.</w:t>
      </w:r>
      <w:r>
        <w:tab/>
        <w:t>Documents relied on to be filed and served</w:t>
      </w:r>
      <w:bookmarkEnd w:id="234"/>
    </w:p>
    <w:p>
      <w:pPr>
        <w:pStyle w:val="Subsection"/>
      </w:pPr>
      <w:r>
        <w:tab/>
        <w:t>(1)</w:t>
      </w:r>
      <w:r>
        <w:tab/>
        <w:t xml:space="preserve">Except as otherwise directed by the Commission, within 14 days of the service on the appellant of the documents referred to in regulation 89K — </w:t>
      </w:r>
    </w:p>
    <w:p>
      <w:pPr>
        <w:pStyle w:val="Indenta"/>
      </w:pPr>
      <w:r>
        <w:tab/>
        <w:t>(a)</w:t>
      </w:r>
      <w:r>
        <w:tab/>
        <w:t>the chief executive officer must file in the office of the Registrar 3 copies of every document relied upon by the chief executive officer in the appellant’s case; and</w:t>
      </w:r>
    </w:p>
    <w:p>
      <w:pPr>
        <w:pStyle w:val="Indenta"/>
      </w:pPr>
      <w:r>
        <w:tab/>
        <w:t>(b)</w:t>
      </w:r>
      <w:r>
        <w:tab/>
        <w:t>the Registrar must serve a copy of those documents on the appellant.</w:t>
      </w:r>
    </w:p>
    <w:p>
      <w:pPr>
        <w:pStyle w:val="Subsection"/>
      </w:pPr>
      <w:r>
        <w:tab/>
        <w:t>(2)</w:t>
      </w:r>
      <w:r>
        <w:tab/>
        <w:t xml:space="preserve">Except as otherwise directed by the Commission, within 14 days of the service on the appellant of all of the documents referred to in subregulation (1) — </w:t>
      </w:r>
    </w:p>
    <w:p>
      <w:pPr>
        <w:pStyle w:val="Indenta"/>
      </w:pPr>
      <w:r>
        <w:tab/>
        <w:t>(a)</w:t>
      </w:r>
      <w:r>
        <w:tab/>
        <w:t>the appellant must file in the office of the Registrar 3 copies of every document relied upon by the appellant in the appellant’s case; and</w:t>
      </w:r>
    </w:p>
    <w:p>
      <w:pPr>
        <w:pStyle w:val="Indenta"/>
      </w:pPr>
      <w:r>
        <w:tab/>
        <w:t>(b)</w:t>
      </w:r>
      <w:r>
        <w:tab/>
        <w:t>the Registrar must serve a copy of those documents on the chief executive officer.</w:t>
      </w:r>
    </w:p>
    <w:p>
      <w:pPr>
        <w:pStyle w:val="Subsection"/>
      </w:pPr>
      <w:r>
        <w:tab/>
        <w:t>(3)</w:t>
      </w:r>
      <w:r>
        <w:tab/>
        <w:t>If, under an agreement between the chief executive officer and the appellant, one party files a document on behalf of both parties, the requirements under this regulation in relation to that document are taken to have been satisfied.</w:t>
      </w:r>
    </w:p>
    <w:p>
      <w:pPr>
        <w:pStyle w:val="Footnotesection"/>
      </w:pPr>
      <w:r>
        <w:tab/>
        <w:t>[Regulation 89L inserted: Gazette 21 Aug 2015 p. 3341</w:t>
      </w:r>
      <w:r>
        <w:noBreakHyphen/>
        <w:t>2; amended: Gazette 5 Mar 2019 p. 604</w:t>
      </w:r>
      <w:r>
        <w:noBreakHyphen/>
        <w:t>5.]</w:t>
      </w:r>
    </w:p>
    <w:p>
      <w:pPr>
        <w:pStyle w:val="Heading5"/>
      </w:pPr>
      <w:bookmarkStart w:id="235" w:name="_Toc201657240"/>
      <w:r>
        <w:rPr>
          <w:rStyle w:val="CharSectno"/>
        </w:rPr>
        <w:t>89M</w:t>
      </w:r>
      <w:r>
        <w:t>.</w:t>
      </w:r>
      <w:r>
        <w:tab/>
        <w:t xml:space="preserve">Notice of reformulated reasons under </w:t>
      </w:r>
      <w:r>
        <w:rPr>
          <w:i/>
        </w:rPr>
        <w:t>Young Offenders Act 1994</w:t>
      </w:r>
      <w:r>
        <w:t xml:space="preserve"> s. 11CL(4)</w:t>
      </w:r>
      <w:bookmarkEnd w:id="235"/>
    </w:p>
    <w:p>
      <w:pPr>
        <w:pStyle w:val="Subsection"/>
      </w:pPr>
      <w:r>
        <w:tab/>
        <w:t>(1)</w:t>
      </w:r>
      <w:r>
        <w:tab/>
        <w:t xml:space="preserve">The notice of the reformulated reasons required under the </w:t>
      </w:r>
      <w:r>
        <w:rPr>
          <w:i/>
        </w:rPr>
        <w:t>Young Offenders Act 1994</w:t>
      </w:r>
      <w:r>
        <w:t xml:space="preserve"> section 11CL(4)(a) to be given to the Commission by the chief executive officer is to be given by completing and filing in the office of the Registrar 3 copies of — </w:t>
      </w:r>
    </w:p>
    <w:p>
      <w:pPr>
        <w:pStyle w:val="Indenta"/>
      </w:pPr>
      <w:r>
        <w:tab/>
        <w:t>(a)</w:t>
      </w:r>
      <w:r>
        <w:tab/>
        <w:t>a statement of the chief executive officer’s reformulated reasons; and</w:t>
      </w:r>
    </w:p>
    <w:p>
      <w:pPr>
        <w:pStyle w:val="Indenta"/>
      </w:pPr>
      <w:r>
        <w:lastRenderedPageBreak/>
        <w:tab/>
        <w:t>(b)</w:t>
      </w:r>
      <w:r>
        <w:tab/>
        <w:t xml:space="preserve">a summary of facts or issues of law relied upon by the chief executive officer in reformulating the reasons, including any relevant matters set out in the </w:t>
      </w:r>
      <w:r>
        <w:rPr>
          <w:i/>
        </w:rPr>
        <w:t>Young Offenders Act 1994</w:t>
      </w:r>
      <w:r>
        <w:t xml:space="preserve"> section 11CI(4); and</w:t>
      </w:r>
    </w:p>
    <w:p>
      <w:pPr>
        <w:pStyle w:val="Indenta"/>
      </w:pPr>
      <w:r>
        <w:tab/>
        <w:t>(c)</w:t>
      </w:r>
      <w:r>
        <w:tab/>
        <w:t>a reply containing any matters the chief executive officer wishes to raise in relation to the appellant’s case.</w:t>
      </w:r>
    </w:p>
    <w:p>
      <w:pPr>
        <w:pStyle w:val="Subsection"/>
      </w:pPr>
      <w:r>
        <w:tab/>
        <w:t>(2)</w:t>
      </w:r>
      <w:r>
        <w:tab/>
        <w:t>The statement, the summary and the reply must be in a form approved by the Chief Commissioner.</w:t>
      </w:r>
    </w:p>
    <w:p>
      <w:pPr>
        <w:pStyle w:val="Subsection"/>
      </w:pPr>
      <w:r>
        <w:tab/>
        <w:t>(2A)</w:t>
      </w:r>
      <w:r>
        <w:tab/>
        <w:t>The Registrar must serve a copy of the statement, the summary and the reply on the appellant.</w:t>
      </w:r>
    </w:p>
    <w:p>
      <w:pPr>
        <w:pStyle w:val="Subsection"/>
      </w:pPr>
      <w:r>
        <w:tab/>
        <w:t>(3)</w:t>
      </w:r>
      <w:r>
        <w:tab/>
        <w:t>If the notice is not given at least 7 days before the resumption of the appeal, the Commission may adjourn the hearing of the appeal to a further date to allow the Commission or the appellant sufficient time to consider the contents of the notice.</w:t>
      </w:r>
    </w:p>
    <w:p>
      <w:pPr>
        <w:pStyle w:val="Footnotesection"/>
      </w:pPr>
      <w:r>
        <w:tab/>
        <w:t>[Regulation 89M inserted: Gazette 21 Aug 2015 p. 3342; amended: Gazette 5 Mar 2019 p. 605</w:t>
      </w:r>
      <w:r>
        <w:noBreakHyphen/>
        <w:t>6.]</w:t>
      </w:r>
    </w:p>
    <w:p>
      <w:pPr>
        <w:pStyle w:val="Heading5"/>
      </w:pPr>
      <w:bookmarkStart w:id="236" w:name="_Toc201657241"/>
      <w:r>
        <w:rPr>
          <w:rStyle w:val="CharSectno"/>
        </w:rPr>
        <w:t>89N</w:t>
      </w:r>
      <w:r>
        <w:t>.</w:t>
      </w:r>
      <w:r>
        <w:tab/>
        <w:t>Withdrawal or discontinuance of appeal against removal</w:t>
      </w:r>
      <w:bookmarkEnd w:id="236"/>
    </w:p>
    <w:p>
      <w:pPr>
        <w:pStyle w:val="Subsection"/>
      </w:pPr>
      <w:r>
        <w:tab/>
        <w:t>(1)</w:t>
      </w:r>
      <w:r>
        <w:tab/>
        <w:t>An appellant may withdraw or wholly discontinue an appeal against removal, or withdraw any part of the appeal, by completing and filing in the office of the Registrar 3 copies of a notice of withdrawal or discontinuance in the approved form.</w:t>
      </w:r>
    </w:p>
    <w:p>
      <w:pPr>
        <w:pStyle w:val="Subsection"/>
      </w:pPr>
      <w:r>
        <w:tab/>
        <w:t>(2)</w:t>
      </w:r>
      <w:r>
        <w:tab/>
        <w:t>The Registrar must serve a copy of the notice on the chief executive officer.</w:t>
      </w:r>
    </w:p>
    <w:p>
      <w:pPr>
        <w:pStyle w:val="Footnotesection"/>
      </w:pPr>
      <w:r>
        <w:tab/>
        <w:t>[Regulation 89N inserted: Gazette 5 Mar 2019 p. 606.]</w:t>
      </w:r>
    </w:p>
    <w:p>
      <w:pPr>
        <w:pStyle w:val="Heading2"/>
      </w:pPr>
      <w:bookmarkStart w:id="237" w:name="_Toc201649051"/>
      <w:bookmarkStart w:id="238" w:name="_Toc201649245"/>
      <w:bookmarkStart w:id="239" w:name="_Toc201650105"/>
      <w:bookmarkStart w:id="240" w:name="_Toc201650433"/>
      <w:bookmarkStart w:id="241" w:name="_Toc201657242"/>
      <w:r>
        <w:rPr>
          <w:rStyle w:val="CharPartNo"/>
        </w:rPr>
        <w:lastRenderedPageBreak/>
        <w:t>Part 9</w:t>
      </w:r>
      <w:r>
        <w:rPr>
          <w:rStyle w:val="CharDivNo"/>
        </w:rPr>
        <w:t> </w:t>
      </w:r>
      <w:r>
        <w:t>—</w:t>
      </w:r>
      <w:r>
        <w:rPr>
          <w:rStyle w:val="CharDivText"/>
        </w:rPr>
        <w:t> </w:t>
      </w:r>
      <w:r>
        <w:rPr>
          <w:rStyle w:val="CharPartText"/>
        </w:rPr>
        <w:t xml:space="preserve">Appeals under the </w:t>
      </w:r>
      <w:r>
        <w:rPr>
          <w:rStyle w:val="CharPartText"/>
          <w:i/>
          <w:iCs/>
        </w:rPr>
        <w:t>Police Act 1892</w:t>
      </w:r>
      <w:r>
        <w:rPr>
          <w:rStyle w:val="CharPartText"/>
        </w:rPr>
        <w:t xml:space="preserve"> section 33P</w:t>
      </w:r>
      <w:bookmarkEnd w:id="237"/>
      <w:bookmarkEnd w:id="238"/>
      <w:bookmarkEnd w:id="239"/>
      <w:bookmarkEnd w:id="240"/>
      <w:bookmarkEnd w:id="241"/>
    </w:p>
    <w:p>
      <w:pPr>
        <w:pStyle w:val="Heading5"/>
      </w:pPr>
      <w:bookmarkStart w:id="242" w:name="_Toc201657243"/>
      <w:r>
        <w:rPr>
          <w:rStyle w:val="CharSectno"/>
        </w:rPr>
        <w:t>89</w:t>
      </w:r>
      <w:r>
        <w:t>.</w:t>
      </w:r>
      <w:r>
        <w:tab/>
        <w:t>Terms used</w:t>
      </w:r>
      <w:bookmarkEnd w:id="242"/>
    </w:p>
    <w:p>
      <w:pPr>
        <w:pStyle w:val="Subsection"/>
      </w:pPr>
      <w:r>
        <w:tab/>
      </w:r>
      <w:r>
        <w:tab/>
        <w:t>In this Part —</w:t>
      </w:r>
    </w:p>
    <w:p>
      <w:pPr>
        <w:pStyle w:val="Defstart"/>
        <w:rPr>
          <w:iCs/>
        </w:rPr>
      </w:pPr>
      <w:r>
        <w:rPr>
          <w:b/>
        </w:rPr>
        <w:tab/>
      </w:r>
      <w:r>
        <w:rPr>
          <w:rStyle w:val="CharDefText"/>
        </w:rPr>
        <w:t>appeal against removal action</w:t>
      </w:r>
      <w:r>
        <w:t xml:space="preserve"> means an appeal under the </w:t>
      </w:r>
      <w:r>
        <w:rPr>
          <w:i/>
        </w:rPr>
        <w:t>Police Act 1892</w:t>
      </w:r>
      <w:r>
        <w:t xml:space="preserve"> section 33P</w:t>
      </w:r>
      <w:r>
        <w:rPr>
          <w:iCs/>
        </w:rPr>
        <w:t>;</w:t>
      </w:r>
    </w:p>
    <w:p>
      <w:pPr>
        <w:pStyle w:val="Defstart"/>
      </w:pPr>
      <w:r>
        <w:rPr>
          <w:b/>
        </w:rPr>
        <w:tab/>
      </w:r>
      <w:r>
        <w:rPr>
          <w:rStyle w:val="CharDefText"/>
        </w:rPr>
        <w:t>appellant</w:t>
      </w:r>
      <w:r>
        <w:t xml:space="preserve"> means a police officer who institutes an appeal against removal action;</w:t>
      </w:r>
    </w:p>
    <w:p>
      <w:pPr>
        <w:pStyle w:val="Defstart"/>
      </w:pPr>
      <w:r>
        <w:rPr>
          <w:b/>
        </w:rPr>
        <w:tab/>
      </w:r>
      <w:r>
        <w:rPr>
          <w:rStyle w:val="CharDefText"/>
        </w:rPr>
        <w:t>Commissioner of Police</w:t>
      </w:r>
      <w:r>
        <w:t xml:space="preserve"> means the person holding or acting in the office of Commissioner of Police under the </w:t>
      </w:r>
      <w:r>
        <w:rPr>
          <w:i/>
          <w:iCs/>
        </w:rPr>
        <w:t>Police Act 1892</w:t>
      </w:r>
      <w:r>
        <w:t>;</w:t>
      </w:r>
    </w:p>
    <w:p>
      <w:pPr>
        <w:pStyle w:val="Defstart"/>
        <w:rPr>
          <w:iCs/>
        </w:rPr>
      </w:pPr>
      <w:r>
        <w:rPr>
          <w:b/>
        </w:rPr>
        <w:tab/>
      </w:r>
      <w:r>
        <w:rPr>
          <w:rStyle w:val="CharDefText"/>
        </w:rPr>
        <w:t>police officer</w:t>
      </w:r>
      <w:r>
        <w:t xml:space="preserve"> has the meaning given to </w:t>
      </w:r>
      <w:r>
        <w:rPr>
          <w:b/>
          <w:bCs/>
          <w:i/>
          <w:iCs/>
        </w:rPr>
        <w:t>member</w:t>
      </w:r>
      <w:r>
        <w:t xml:space="preserve"> in the </w:t>
      </w:r>
      <w:r>
        <w:rPr>
          <w:i/>
        </w:rPr>
        <w:t>Police Act 1892</w:t>
      </w:r>
      <w:r>
        <w:t xml:space="preserve"> section 33K</w:t>
      </w:r>
      <w:r>
        <w:rPr>
          <w:iCs/>
        </w:rPr>
        <w:t>;</w:t>
      </w:r>
    </w:p>
    <w:p>
      <w:pPr>
        <w:pStyle w:val="Defstart"/>
        <w:rPr>
          <w:iCs/>
        </w:rPr>
      </w:pPr>
      <w:r>
        <w:rPr>
          <w:b/>
        </w:rPr>
        <w:tab/>
      </w:r>
      <w:r>
        <w:rPr>
          <w:rStyle w:val="CharDefText"/>
        </w:rPr>
        <w:t>removal action</w:t>
      </w:r>
      <w:r>
        <w:t xml:space="preserve"> has the meaning given to that term in the </w:t>
      </w:r>
      <w:r>
        <w:rPr>
          <w:i/>
        </w:rPr>
        <w:t>Police Act 1892</w:t>
      </w:r>
      <w:r>
        <w:t xml:space="preserve"> section 33K</w:t>
      </w:r>
      <w:r>
        <w:rPr>
          <w:iCs/>
        </w:rPr>
        <w:t>.</w:t>
      </w:r>
    </w:p>
    <w:p>
      <w:pPr>
        <w:pStyle w:val="Heading5"/>
      </w:pPr>
      <w:bookmarkStart w:id="243" w:name="_Toc201657244"/>
      <w:r>
        <w:rPr>
          <w:rStyle w:val="CharSectno"/>
        </w:rPr>
        <w:t>90</w:t>
      </w:r>
      <w:r>
        <w:t>.</w:t>
      </w:r>
      <w:r>
        <w:tab/>
        <w:t>Notice of appeal against removal action</w:t>
      </w:r>
      <w:bookmarkEnd w:id="243"/>
    </w:p>
    <w:p>
      <w:pPr>
        <w:pStyle w:val="Subsection"/>
      </w:pPr>
      <w:r>
        <w:tab/>
      </w:r>
      <w:r>
        <w:tab/>
        <w:t xml:space="preserve">An appeal by a police officer against removal action is instituted under the </w:t>
      </w:r>
      <w:r>
        <w:rPr>
          <w:i/>
          <w:iCs/>
        </w:rPr>
        <w:t>Police Act 1892</w:t>
      </w:r>
      <w:r>
        <w:t xml:space="preserve"> section 33P(2) if the police officer completes and files in the office of the Registrar 3 copies of a notice of appeal to the Commissioner of Police in the approved form.</w:t>
      </w:r>
    </w:p>
    <w:p>
      <w:pPr>
        <w:pStyle w:val="Footnotesection"/>
      </w:pPr>
      <w:r>
        <w:tab/>
        <w:t>[Regulation 90 inserted: Gazette 22 Dec 2009 p. 5271; amended: Gazette 5 Mar 2019 p. 622</w:t>
      </w:r>
      <w:r>
        <w:noBreakHyphen/>
        <w:t>4.]</w:t>
      </w:r>
    </w:p>
    <w:p>
      <w:pPr>
        <w:pStyle w:val="Heading5"/>
      </w:pPr>
      <w:bookmarkStart w:id="244" w:name="_Toc201657245"/>
      <w:r>
        <w:rPr>
          <w:rStyle w:val="CharSectno"/>
        </w:rPr>
        <w:t>91A</w:t>
      </w:r>
      <w:r>
        <w:t>.</w:t>
      </w:r>
      <w:r>
        <w:tab/>
        <w:t>Service of notice of appeal against removal action</w:t>
      </w:r>
      <w:bookmarkEnd w:id="244"/>
    </w:p>
    <w:p>
      <w:pPr>
        <w:pStyle w:val="Subsection"/>
      </w:pPr>
      <w:r>
        <w:tab/>
      </w:r>
      <w:r>
        <w:tab/>
        <w:t>Within 7 days after an appeal against removal action is instituted, the Registrar must serve a copy of the notice instituting the appeal on the Commissioner of Police.</w:t>
      </w:r>
    </w:p>
    <w:p>
      <w:pPr>
        <w:pStyle w:val="Footnotesection"/>
      </w:pPr>
      <w:r>
        <w:tab/>
        <w:t>[Regulation 91A inserted: Gazette 22 Dec 2009 p. 5271; amended: Gazette 5 Mar 2019 p. 621.]</w:t>
      </w:r>
    </w:p>
    <w:p>
      <w:pPr>
        <w:pStyle w:val="Heading5"/>
        <w:pageBreakBefore/>
        <w:spacing w:before="0"/>
      </w:pPr>
      <w:bookmarkStart w:id="245" w:name="_Toc201657246"/>
      <w:r>
        <w:rPr>
          <w:rStyle w:val="CharSectno"/>
        </w:rPr>
        <w:lastRenderedPageBreak/>
        <w:t>91</w:t>
      </w:r>
      <w:r>
        <w:t>.</w:t>
      </w:r>
      <w:r>
        <w:tab/>
        <w:t>Response by Commissioner of Police</w:t>
      </w:r>
      <w:bookmarkEnd w:id="245"/>
    </w:p>
    <w:p>
      <w:pPr>
        <w:pStyle w:val="Subsection"/>
      </w:pPr>
      <w:r>
        <w:tab/>
        <w:t>(1)</w:t>
      </w:r>
      <w:r>
        <w:tab/>
        <w:t xml:space="preserve">Except as otherwise directed by the Commission, the Commissioner of Police must respond to the notice of appeal within 28 days after the service of the notice of appeal by completing and filing in the office of the Registrar 3 copies of — </w:t>
      </w:r>
    </w:p>
    <w:p>
      <w:pPr>
        <w:pStyle w:val="Indenta"/>
      </w:pPr>
      <w:r>
        <w:tab/>
        <w:t>(a)</w:t>
      </w:r>
      <w:r>
        <w:tab/>
        <w:t>a response stating the Commissioner of Police’s reasons for deciding to take removal action; and</w:t>
      </w:r>
    </w:p>
    <w:p>
      <w:pPr>
        <w:pStyle w:val="Indenta"/>
      </w:pPr>
      <w:r>
        <w:tab/>
        <w:t>(b)</w:t>
      </w:r>
      <w:r>
        <w:tab/>
        <w:t>a list of all documents, as defined in regulation 20(1), that the Commissioner of Police considered before making the decision; and</w:t>
      </w:r>
    </w:p>
    <w:p>
      <w:pPr>
        <w:pStyle w:val="Indenta"/>
      </w:pPr>
      <w:r>
        <w:tab/>
        <w:t>(c)</w:t>
      </w:r>
      <w:r>
        <w:tab/>
        <w:t xml:space="preserve">a summary of facts or issues of law relied upon by the Commissioner of Police, including any relevant matters set out in the </w:t>
      </w:r>
      <w:r>
        <w:rPr>
          <w:i/>
        </w:rPr>
        <w:t>Police Act 1892</w:t>
      </w:r>
      <w:r>
        <w:t xml:space="preserve"> section 33Q(4); and</w:t>
      </w:r>
    </w:p>
    <w:p>
      <w:pPr>
        <w:pStyle w:val="Indenta"/>
      </w:pPr>
      <w:r>
        <w:tab/>
        <w:t>(d)</w:t>
      </w:r>
      <w:r>
        <w:tab/>
        <w:t>a reply containing any matters the Commissioner of Police wishes to raise in relation to the appellant’s case.</w:t>
      </w:r>
    </w:p>
    <w:p>
      <w:pPr>
        <w:pStyle w:val="Subsection"/>
      </w:pPr>
      <w:r>
        <w:tab/>
        <w:t>(2)</w:t>
      </w:r>
      <w:r>
        <w:tab/>
        <w:t>The response, the list of documents, the summary of facts and the reply</w:t>
      </w:r>
      <w:r>
        <w:rPr>
          <w:snapToGrid w:val="0"/>
        </w:rPr>
        <w:t xml:space="preserve"> must</w:t>
      </w:r>
      <w:r>
        <w:t xml:space="preserve"> be in an approved form.</w:t>
      </w:r>
    </w:p>
    <w:p>
      <w:pPr>
        <w:pStyle w:val="Subsection"/>
      </w:pPr>
      <w:r>
        <w:tab/>
        <w:t>(3)</w:t>
      </w:r>
      <w:r>
        <w:tab/>
        <w:t>The Registrar must serve a copy of the response, the list of documents, the summary of facts and the reply on the appellant.</w:t>
      </w:r>
    </w:p>
    <w:p>
      <w:pPr>
        <w:pStyle w:val="Footnotesection"/>
      </w:pPr>
      <w:r>
        <w:tab/>
        <w:t>[Regulation 91 amended: Gazette 22 Dec 2009 p. 5271; 5 Mar 2019 p. 607 and 619</w:t>
      </w:r>
      <w:r>
        <w:noBreakHyphen/>
        <w:t>20.]</w:t>
      </w:r>
    </w:p>
    <w:p>
      <w:pPr>
        <w:pStyle w:val="Heading5"/>
      </w:pPr>
      <w:bookmarkStart w:id="246" w:name="_Toc201657247"/>
      <w:r>
        <w:rPr>
          <w:rStyle w:val="CharSectno"/>
        </w:rPr>
        <w:t>92</w:t>
      </w:r>
      <w:r>
        <w:t>.</w:t>
      </w:r>
      <w:r>
        <w:tab/>
        <w:t>Documents relied on to be filed and served</w:t>
      </w:r>
      <w:bookmarkEnd w:id="246"/>
    </w:p>
    <w:p>
      <w:pPr>
        <w:pStyle w:val="Subsection"/>
      </w:pPr>
      <w:r>
        <w:tab/>
        <w:t>(1)</w:t>
      </w:r>
      <w:r>
        <w:tab/>
        <w:t xml:space="preserve">Except as otherwise directed by the Commission, within 28 days of the service on the appellant of the documents referred to in regulation 91 — </w:t>
      </w:r>
    </w:p>
    <w:p>
      <w:pPr>
        <w:pStyle w:val="Indenta"/>
      </w:pPr>
      <w:r>
        <w:tab/>
        <w:t>(a)</w:t>
      </w:r>
      <w:r>
        <w:tab/>
        <w:t>both the Commissioner of Police and the appellant must file in the office of the Registrar 3 copies of every document relied upon by that party in its case; and</w:t>
      </w:r>
    </w:p>
    <w:p>
      <w:pPr>
        <w:pStyle w:val="Indenta"/>
      </w:pPr>
      <w:r>
        <w:tab/>
        <w:t>(b)</w:t>
      </w:r>
      <w:r>
        <w:tab/>
        <w:t>the Registrar must serve a copy of those documents on the other party.</w:t>
      </w:r>
    </w:p>
    <w:p>
      <w:pPr>
        <w:pStyle w:val="Subsection"/>
      </w:pPr>
      <w:r>
        <w:lastRenderedPageBreak/>
        <w:tab/>
        <w:t>(2)</w:t>
      </w:r>
      <w:r>
        <w:tab/>
        <w:t>If, under an agreement between the Commissioner of Police and the appellant, one party files a document on behalf of both parties, the requirements of subregulation (1) in relation to that document are taken to have been satisfied.</w:t>
      </w:r>
    </w:p>
    <w:p>
      <w:pPr>
        <w:pStyle w:val="Footnotesection"/>
      </w:pPr>
      <w:r>
        <w:tab/>
        <w:t>[Regulation 92 amended: Gazette 5 Mar 2019 p. 608.]</w:t>
      </w:r>
    </w:p>
    <w:p>
      <w:pPr>
        <w:pStyle w:val="Heading5"/>
      </w:pPr>
      <w:bookmarkStart w:id="247" w:name="_Toc201657248"/>
      <w:r>
        <w:rPr>
          <w:rStyle w:val="CharSectno"/>
        </w:rPr>
        <w:t>93</w:t>
      </w:r>
      <w:r>
        <w:t>.</w:t>
      </w:r>
      <w:r>
        <w:tab/>
        <w:t xml:space="preserve">Notice of reformulated reasons under </w:t>
      </w:r>
      <w:r>
        <w:rPr>
          <w:i/>
          <w:iCs/>
        </w:rPr>
        <w:t>Police Act 1892</w:t>
      </w:r>
      <w:r>
        <w:rPr>
          <w:b w:val="0"/>
          <w:i/>
        </w:rPr>
        <w:t xml:space="preserve"> </w:t>
      </w:r>
      <w:r>
        <w:t>s. 33R(10)</w:t>
      </w:r>
      <w:bookmarkEnd w:id="247"/>
    </w:p>
    <w:p>
      <w:pPr>
        <w:pStyle w:val="Subsection"/>
      </w:pPr>
      <w:r>
        <w:tab/>
        <w:t>(1)</w:t>
      </w:r>
      <w:r>
        <w:tab/>
        <w:t xml:space="preserve">The notice of the reformulated reasons required under the </w:t>
      </w:r>
      <w:r>
        <w:rPr>
          <w:i/>
        </w:rPr>
        <w:t>Police Act 1892</w:t>
      </w:r>
      <w:r>
        <w:t xml:space="preserve"> section 33R(10)(a) to be given to the Commission by the Commissioner of Police is to be given by completing and filing in the office of the Registrar 3 copies of — </w:t>
      </w:r>
    </w:p>
    <w:p>
      <w:pPr>
        <w:pStyle w:val="Indenta"/>
      </w:pPr>
      <w:r>
        <w:tab/>
        <w:t>(a)</w:t>
      </w:r>
      <w:r>
        <w:tab/>
        <w:t>a statement of the Commissioner of Police’s reformulated reasons; and</w:t>
      </w:r>
    </w:p>
    <w:p>
      <w:pPr>
        <w:pStyle w:val="Indenta"/>
      </w:pPr>
      <w:r>
        <w:tab/>
        <w:t>(b)</w:t>
      </w:r>
      <w:r>
        <w:tab/>
        <w:t xml:space="preserve">a summary of facts or issues of law relied upon by the Commissioner of Police in reformulating the reasons, including any relevant matters set out in the </w:t>
      </w:r>
      <w:r>
        <w:rPr>
          <w:i/>
        </w:rPr>
        <w:t>Police Act 1892</w:t>
      </w:r>
      <w:r>
        <w:t xml:space="preserve"> section 33Q(4); and</w:t>
      </w:r>
    </w:p>
    <w:p>
      <w:pPr>
        <w:pStyle w:val="Indenta"/>
      </w:pPr>
      <w:r>
        <w:tab/>
        <w:t>(c)</w:t>
      </w:r>
      <w:r>
        <w:tab/>
        <w:t>a reply containing any matters the Commissioner of Police wishes to raise in relation to the appellant’s case.</w:t>
      </w:r>
    </w:p>
    <w:p>
      <w:pPr>
        <w:pStyle w:val="Subsection"/>
      </w:pPr>
      <w:r>
        <w:tab/>
        <w:t>(2)</w:t>
      </w:r>
      <w:r>
        <w:tab/>
        <w:t>The statement, the summary of facts and the reply</w:t>
      </w:r>
      <w:r>
        <w:rPr>
          <w:snapToGrid w:val="0"/>
        </w:rPr>
        <w:t xml:space="preserve"> must</w:t>
      </w:r>
      <w:r>
        <w:t xml:space="preserve"> be in an approved form.</w:t>
      </w:r>
    </w:p>
    <w:p>
      <w:pPr>
        <w:pStyle w:val="Subsection"/>
      </w:pPr>
      <w:r>
        <w:tab/>
        <w:t>(2A)</w:t>
      </w:r>
      <w:r>
        <w:tab/>
        <w:t>The Registrar must serve a copy of the statement, the summary of facts and the reply on the appellant.</w:t>
      </w:r>
    </w:p>
    <w:p>
      <w:pPr>
        <w:pStyle w:val="Subsection"/>
      </w:pPr>
      <w:r>
        <w:tab/>
        <w:t>(3)</w:t>
      </w:r>
      <w:r>
        <w:tab/>
        <w:t>If the notice is not given at least 7 days before the resumption of the appeal, the Commission may adjourn the hearing of the appeal to a further date to allow the Commission or the appellant sufficient time to consider the contents of the notice.</w:t>
      </w:r>
    </w:p>
    <w:p>
      <w:pPr>
        <w:pStyle w:val="Footnotesection"/>
      </w:pPr>
      <w:r>
        <w:tab/>
        <w:t>[Regulation 93 amended: Gazette 22 Dec 2009 p. 5271; 5 Mar 2019 p. 608</w:t>
      </w:r>
      <w:r>
        <w:noBreakHyphen/>
        <w:t>9.]</w:t>
      </w:r>
    </w:p>
    <w:p>
      <w:pPr>
        <w:pStyle w:val="Heading5"/>
        <w:pageBreakBefore/>
        <w:spacing w:before="0"/>
      </w:pPr>
      <w:bookmarkStart w:id="248" w:name="_Toc201657249"/>
      <w:r>
        <w:rPr>
          <w:rStyle w:val="CharSectno"/>
        </w:rPr>
        <w:lastRenderedPageBreak/>
        <w:t>94</w:t>
      </w:r>
      <w:r>
        <w:t>.</w:t>
      </w:r>
      <w:r>
        <w:tab/>
        <w:t>Withdrawal or discontinuance of appeal against removal</w:t>
      </w:r>
      <w:bookmarkEnd w:id="248"/>
    </w:p>
    <w:p>
      <w:pPr>
        <w:pStyle w:val="Subsection"/>
      </w:pPr>
      <w:r>
        <w:tab/>
        <w:t>(1)</w:t>
      </w:r>
      <w:r>
        <w:tab/>
        <w:t>An appellant may withdraw or wholly discontinue an appeal against removal action, or withdraw any part of the appeal, by completing and filing in the office of the Registrar 3 copies of a notice of withdrawal or discontinuance in the approved form.</w:t>
      </w:r>
    </w:p>
    <w:p>
      <w:pPr>
        <w:pStyle w:val="Subsection"/>
      </w:pPr>
      <w:r>
        <w:tab/>
        <w:t>(2)</w:t>
      </w:r>
      <w:r>
        <w:tab/>
        <w:t>The Registrar must serve a copy of the notice on the Commissioner of Police.</w:t>
      </w:r>
    </w:p>
    <w:p>
      <w:pPr>
        <w:pStyle w:val="Footnotesection"/>
      </w:pPr>
      <w:r>
        <w:tab/>
        <w:t>[Regulation 94 inserted: Gazette 5 Mar 2019 p. 609.]</w:t>
      </w:r>
    </w:p>
    <w:p>
      <w:pPr>
        <w:pStyle w:val="Heading2"/>
      </w:pPr>
      <w:bookmarkStart w:id="249" w:name="_Toc201649059"/>
      <w:bookmarkStart w:id="250" w:name="_Toc201649253"/>
      <w:bookmarkStart w:id="251" w:name="_Toc201650113"/>
      <w:bookmarkStart w:id="252" w:name="_Toc201650441"/>
      <w:bookmarkStart w:id="253" w:name="_Toc201657250"/>
      <w:r>
        <w:rPr>
          <w:rStyle w:val="CharPartNo"/>
        </w:rPr>
        <w:lastRenderedPageBreak/>
        <w:t>Part 9C</w:t>
      </w:r>
      <w:r>
        <w:t> — </w:t>
      </w:r>
      <w:r>
        <w:rPr>
          <w:rStyle w:val="CharPartText"/>
        </w:rPr>
        <w:t xml:space="preserve">Appeals under the </w:t>
      </w:r>
      <w:r>
        <w:rPr>
          <w:rStyle w:val="CharPartText"/>
          <w:i/>
        </w:rPr>
        <w:t>Police Act 1892</w:t>
      </w:r>
      <w:r>
        <w:rPr>
          <w:rStyle w:val="CharPartText"/>
        </w:rPr>
        <w:t xml:space="preserve"> section 33ZI</w:t>
      </w:r>
      <w:bookmarkEnd w:id="249"/>
      <w:bookmarkEnd w:id="250"/>
      <w:bookmarkEnd w:id="251"/>
      <w:bookmarkEnd w:id="252"/>
      <w:bookmarkEnd w:id="253"/>
    </w:p>
    <w:p>
      <w:pPr>
        <w:pStyle w:val="Footnoteheading"/>
      </w:pPr>
      <w:r>
        <w:tab/>
        <w:t>[Heading inserted: Gazette 29 Nov 2019 p. 4144.]</w:t>
      </w:r>
    </w:p>
    <w:p>
      <w:pPr>
        <w:pStyle w:val="Heading5"/>
      </w:pPr>
      <w:bookmarkStart w:id="254" w:name="_Toc201657251"/>
      <w:r>
        <w:rPr>
          <w:rStyle w:val="CharSectno"/>
        </w:rPr>
        <w:t>94A</w:t>
      </w:r>
      <w:r>
        <w:t>.</w:t>
      </w:r>
      <w:r>
        <w:tab/>
        <w:t>Terms used</w:t>
      </w:r>
      <w:bookmarkEnd w:id="254"/>
    </w:p>
    <w:p>
      <w:pPr>
        <w:pStyle w:val="Subsection"/>
      </w:pPr>
      <w:r>
        <w:tab/>
      </w:r>
      <w:r>
        <w:tab/>
        <w:t>In this Part —</w:t>
      </w:r>
    </w:p>
    <w:p>
      <w:pPr>
        <w:pStyle w:val="Defstart"/>
      </w:pPr>
      <w:r>
        <w:rPr>
          <w:b/>
        </w:rPr>
        <w:tab/>
      </w:r>
      <w:r>
        <w:rPr>
          <w:rStyle w:val="CharDefText"/>
        </w:rPr>
        <w:t>appeal against retirement on medical grounds</w:t>
      </w:r>
      <w:r>
        <w:t xml:space="preserve"> means an appeal under the </w:t>
      </w:r>
      <w:r>
        <w:rPr>
          <w:i/>
        </w:rPr>
        <w:t>Police Act 1892</w:t>
      </w:r>
      <w:r>
        <w:t xml:space="preserve"> section 33ZI;</w:t>
      </w:r>
    </w:p>
    <w:p>
      <w:pPr>
        <w:pStyle w:val="Defstart"/>
      </w:pPr>
      <w:r>
        <w:rPr>
          <w:b/>
        </w:rPr>
        <w:tab/>
      </w:r>
      <w:r>
        <w:rPr>
          <w:rStyle w:val="CharDefText"/>
        </w:rPr>
        <w:t>appellant</w:t>
      </w:r>
      <w:r>
        <w:t xml:space="preserve"> means a police officer who institutes an appeal against retirement on medical grounds;</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police officer</w:t>
      </w:r>
      <w:r>
        <w:t xml:space="preserve"> has the meaning given to </w:t>
      </w:r>
      <w:r>
        <w:rPr>
          <w:b/>
          <w:i/>
        </w:rPr>
        <w:t>member</w:t>
      </w:r>
      <w:r>
        <w:t xml:space="preserve"> in the </w:t>
      </w:r>
      <w:r>
        <w:rPr>
          <w:i/>
        </w:rPr>
        <w:t>Police Act 1892</w:t>
      </w:r>
      <w:r>
        <w:t xml:space="preserve"> section 33ZB.</w:t>
      </w:r>
    </w:p>
    <w:p>
      <w:pPr>
        <w:pStyle w:val="Footnotesection"/>
      </w:pPr>
      <w:r>
        <w:tab/>
        <w:t>[Regulation 94A inserted: Gazette 29 Nov 2019 p. 4144.]</w:t>
      </w:r>
    </w:p>
    <w:p>
      <w:pPr>
        <w:pStyle w:val="Heading5"/>
      </w:pPr>
      <w:bookmarkStart w:id="255" w:name="_Toc201657252"/>
      <w:r>
        <w:rPr>
          <w:rStyle w:val="CharSectno"/>
        </w:rPr>
        <w:t>94B</w:t>
      </w:r>
      <w:r>
        <w:t>.</w:t>
      </w:r>
      <w:r>
        <w:tab/>
        <w:t>Notice of appeal against retirement on medical grounds</w:t>
      </w:r>
      <w:bookmarkEnd w:id="255"/>
    </w:p>
    <w:p>
      <w:pPr>
        <w:pStyle w:val="Subsection"/>
      </w:pPr>
      <w:r>
        <w:tab/>
      </w:r>
      <w:r>
        <w:tab/>
        <w:t xml:space="preserve">An appeal by a police officer against retirement on medical grounds is instituted under the </w:t>
      </w:r>
      <w:r>
        <w:rPr>
          <w:i/>
        </w:rPr>
        <w:t>Police Act 1892</w:t>
      </w:r>
      <w:r>
        <w:t xml:space="preserve"> section 33ZI(3) if the police officer completes and files in the office of the Registrar 3 copies of a notice of appeal to the Commissioner of Police in the approved form.</w:t>
      </w:r>
    </w:p>
    <w:p>
      <w:pPr>
        <w:pStyle w:val="Footnotesection"/>
      </w:pPr>
      <w:r>
        <w:tab/>
        <w:t>[Regulation 94B inserted: Gazette 29 Nov 2019 p. 4144.]</w:t>
      </w:r>
    </w:p>
    <w:p>
      <w:pPr>
        <w:pStyle w:val="Heading5"/>
      </w:pPr>
      <w:bookmarkStart w:id="256" w:name="_Toc201657253"/>
      <w:r>
        <w:rPr>
          <w:rStyle w:val="CharSectno"/>
        </w:rPr>
        <w:t>94C</w:t>
      </w:r>
      <w:r>
        <w:t>.</w:t>
      </w:r>
      <w:r>
        <w:tab/>
        <w:t>Service of notice of appeal against retirement on medical grounds</w:t>
      </w:r>
      <w:bookmarkEnd w:id="256"/>
    </w:p>
    <w:p>
      <w:pPr>
        <w:pStyle w:val="Subsection"/>
      </w:pPr>
      <w:r>
        <w:tab/>
      </w:r>
      <w:r>
        <w:tab/>
        <w:t>Within 7 days after an appeal against retirement on medical grounds is instituted, the Registrar must serve a copy of the notice instituting the appeal on the Commissioner of Police.</w:t>
      </w:r>
    </w:p>
    <w:p>
      <w:pPr>
        <w:pStyle w:val="Footnotesection"/>
      </w:pPr>
      <w:r>
        <w:tab/>
        <w:t>[Regulation 94C inserted: Gazette 29 Nov 2019 p. 4144.]</w:t>
      </w:r>
    </w:p>
    <w:p>
      <w:pPr>
        <w:pStyle w:val="Heading5"/>
      </w:pPr>
      <w:bookmarkStart w:id="257" w:name="_Toc201657254"/>
      <w:r>
        <w:rPr>
          <w:rStyle w:val="CharSectno"/>
        </w:rPr>
        <w:lastRenderedPageBreak/>
        <w:t>94D</w:t>
      </w:r>
      <w:r>
        <w:t>.</w:t>
      </w:r>
      <w:r>
        <w:tab/>
        <w:t>Response by Commissioner of Police</w:t>
      </w:r>
      <w:bookmarkEnd w:id="257"/>
    </w:p>
    <w:p>
      <w:pPr>
        <w:pStyle w:val="Subsection"/>
      </w:pPr>
      <w:r>
        <w:tab/>
        <w:t>(1)</w:t>
      </w:r>
      <w:r>
        <w:tab/>
        <w:t xml:space="preserve">Except as otherwise directed by the Commission, the Commissioner of Police must respond to the notice of appeal within 28 days after the service of the notice of appeal by completing and filing in the office of the Registrar 3 copies of — </w:t>
      </w:r>
    </w:p>
    <w:p>
      <w:pPr>
        <w:pStyle w:val="Indenta"/>
      </w:pPr>
      <w:r>
        <w:tab/>
        <w:t>(a)</w:t>
      </w:r>
      <w:r>
        <w:tab/>
        <w:t>a response stating the Commissioner of Police’s reasons for deciding that the appellant should be retired on medical grounds; and</w:t>
      </w:r>
    </w:p>
    <w:p>
      <w:pPr>
        <w:pStyle w:val="Indenta"/>
      </w:pPr>
      <w:r>
        <w:tab/>
        <w:t>(b)</w:t>
      </w:r>
      <w:r>
        <w:tab/>
        <w:t>a list of all documents, as defined in regulation 20(1), that the Commissioner of Police considered before making the decision; and</w:t>
      </w:r>
    </w:p>
    <w:p>
      <w:pPr>
        <w:pStyle w:val="Indenta"/>
      </w:pPr>
      <w:r>
        <w:tab/>
        <w:t>(c)</w:t>
      </w:r>
      <w:r>
        <w:tab/>
        <w:t xml:space="preserve">a summary of facts or issues of law relied upon by the Commissioner of Police, including any relevant matters set out in the </w:t>
      </w:r>
      <w:r>
        <w:rPr>
          <w:i/>
        </w:rPr>
        <w:t>Police Act 1892</w:t>
      </w:r>
      <w:r>
        <w:t xml:space="preserve"> section 33ZJ(4); and</w:t>
      </w:r>
    </w:p>
    <w:p>
      <w:pPr>
        <w:pStyle w:val="Indenta"/>
      </w:pPr>
      <w:r>
        <w:tab/>
        <w:t>(d)</w:t>
      </w:r>
      <w:r>
        <w:tab/>
        <w:t>a reply containing any matters the Commissioner of Police wishes to raise in relation to the appellant’s case.</w:t>
      </w:r>
    </w:p>
    <w:p>
      <w:pPr>
        <w:pStyle w:val="Subsection"/>
      </w:pPr>
      <w:r>
        <w:tab/>
        <w:t>(2)</w:t>
      </w:r>
      <w:r>
        <w:tab/>
        <w:t>The response, the list of documents, the summary of facts and the reply must be in an approved form.</w:t>
      </w:r>
    </w:p>
    <w:p>
      <w:pPr>
        <w:pStyle w:val="Subsection"/>
      </w:pPr>
      <w:r>
        <w:tab/>
        <w:t>(3)</w:t>
      </w:r>
      <w:r>
        <w:tab/>
        <w:t>The Registrar must serve a copy of the response, the list of documents, the summary of facts and the reply on the appellant.</w:t>
      </w:r>
    </w:p>
    <w:p>
      <w:pPr>
        <w:pStyle w:val="Footnotesection"/>
      </w:pPr>
      <w:r>
        <w:tab/>
        <w:t>[Regulation 94D inserted: Gazette 29 Nov 2019 p. 4145.]</w:t>
      </w:r>
    </w:p>
    <w:p>
      <w:pPr>
        <w:pStyle w:val="Heading5"/>
      </w:pPr>
      <w:bookmarkStart w:id="258" w:name="_Toc201657255"/>
      <w:r>
        <w:rPr>
          <w:rStyle w:val="CharSectno"/>
        </w:rPr>
        <w:t>94E</w:t>
      </w:r>
      <w:r>
        <w:t>.</w:t>
      </w:r>
      <w:r>
        <w:tab/>
        <w:t>Documents relied on to be filed and served</w:t>
      </w:r>
      <w:bookmarkEnd w:id="258"/>
    </w:p>
    <w:p>
      <w:pPr>
        <w:pStyle w:val="Subsection"/>
      </w:pPr>
      <w:r>
        <w:tab/>
        <w:t>(1)</w:t>
      </w:r>
      <w:r>
        <w:tab/>
        <w:t xml:space="preserve">Except as otherwise directed by the Commission, within 28 days after the service on the appellant of the documents referred to in regulation 94D — </w:t>
      </w:r>
    </w:p>
    <w:p>
      <w:pPr>
        <w:pStyle w:val="Indenta"/>
      </w:pPr>
      <w:r>
        <w:tab/>
        <w:t>(a)</w:t>
      </w:r>
      <w:r>
        <w:tab/>
        <w:t>both the Commissioner of Police and the appellant must file in the office of the Registrar 3 copies of every document relied upon by that party in its case; and</w:t>
      </w:r>
    </w:p>
    <w:p>
      <w:pPr>
        <w:pStyle w:val="Indenta"/>
      </w:pPr>
      <w:r>
        <w:tab/>
        <w:t>(b)</w:t>
      </w:r>
      <w:r>
        <w:tab/>
        <w:t>the Registrar must serve a copy of those documents on the other party.</w:t>
      </w:r>
    </w:p>
    <w:p>
      <w:pPr>
        <w:pStyle w:val="Subsection"/>
      </w:pPr>
      <w:r>
        <w:lastRenderedPageBreak/>
        <w:tab/>
        <w:t>(2)</w:t>
      </w:r>
      <w:r>
        <w:tab/>
        <w:t>If, under an agreement between the Commissioner of Police and the appellant, one party files a document on behalf of both parties, the requirements of subregulation (1) in relation to that document are taken to have been satisfied.</w:t>
      </w:r>
    </w:p>
    <w:p>
      <w:pPr>
        <w:pStyle w:val="Footnotesection"/>
      </w:pPr>
      <w:r>
        <w:tab/>
        <w:t>[Regulation 94E inserted: Gazette 29 Nov 2019 p. 4145-6.]</w:t>
      </w:r>
    </w:p>
    <w:p>
      <w:pPr>
        <w:pStyle w:val="Heading5"/>
      </w:pPr>
      <w:bookmarkStart w:id="259" w:name="_Toc201657256"/>
      <w:r>
        <w:rPr>
          <w:rStyle w:val="CharSectno"/>
        </w:rPr>
        <w:t>94F</w:t>
      </w:r>
      <w:r>
        <w:t>.</w:t>
      </w:r>
      <w:r>
        <w:tab/>
        <w:t xml:space="preserve">Notice of reformulated reasons under </w:t>
      </w:r>
      <w:r>
        <w:rPr>
          <w:i/>
        </w:rPr>
        <w:t>Police Act 1892</w:t>
      </w:r>
      <w:r>
        <w:rPr>
          <w:b w:val="0"/>
          <w:i/>
        </w:rPr>
        <w:t xml:space="preserve"> </w:t>
      </w:r>
      <w:r>
        <w:t>s. 33ZK(11)</w:t>
      </w:r>
      <w:bookmarkEnd w:id="259"/>
    </w:p>
    <w:p>
      <w:pPr>
        <w:pStyle w:val="Subsection"/>
      </w:pPr>
      <w:r>
        <w:tab/>
        <w:t>(1)</w:t>
      </w:r>
      <w:r>
        <w:tab/>
        <w:t xml:space="preserve">The notice of the reformulated reasons required under the </w:t>
      </w:r>
      <w:r>
        <w:rPr>
          <w:i/>
        </w:rPr>
        <w:t>Police Act 1892</w:t>
      </w:r>
      <w:r>
        <w:t xml:space="preserve"> section 33ZK(11)(a) to be given to the Commission by the Commissioner of Police is to be given by completing and filing in the office of the Registrar 3 copies of — </w:t>
      </w:r>
    </w:p>
    <w:p>
      <w:pPr>
        <w:pStyle w:val="Indenta"/>
      </w:pPr>
      <w:r>
        <w:tab/>
        <w:t>(a)</w:t>
      </w:r>
      <w:r>
        <w:tab/>
        <w:t>a statement of the Commissioner of Police’s reformulated reasons; and</w:t>
      </w:r>
    </w:p>
    <w:p>
      <w:pPr>
        <w:pStyle w:val="Indenta"/>
      </w:pPr>
      <w:r>
        <w:tab/>
        <w:t>(b)</w:t>
      </w:r>
      <w:r>
        <w:tab/>
        <w:t xml:space="preserve">a summary of facts or issues of law relied upon by the Commissioner of Police in reformulating the reasons, including any relevant matters set out in the </w:t>
      </w:r>
      <w:r>
        <w:rPr>
          <w:i/>
        </w:rPr>
        <w:t>Police Act 1892</w:t>
      </w:r>
      <w:r>
        <w:t xml:space="preserve"> section 33ZJ(4); and</w:t>
      </w:r>
    </w:p>
    <w:p>
      <w:pPr>
        <w:pStyle w:val="Indenta"/>
      </w:pPr>
      <w:r>
        <w:tab/>
        <w:t>(c)</w:t>
      </w:r>
      <w:r>
        <w:tab/>
        <w:t>a reply containing any matters the Commissioner of Police wishes to raise in relation to the appellant’s case.</w:t>
      </w:r>
    </w:p>
    <w:p>
      <w:pPr>
        <w:pStyle w:val="Subsection"/>
      </w:pPr>
      <w:r>
        <w:tab/>
        <w:t>(2)</w:t>
      </w:r>
      <w:r>
        <w:tab/>
        <w:t>The statement, the summary of facts and the reply must be in an approved form.</w:t>
      </w:r>
    </w:p>
    <w:p>
      <w:pPr>
        <w:pStyle w:val="Subsection"/>
      </w:pPr>
      <w:r>
        <w:tab/>
        <w:t>(3)</w:t>
      </w:r>
      <w:r>
        <w:tab/>
        <w:t>The Registrar must serve a copy of the statement, the summary of facts and the reply on the appellant.</w:t>
      </w:r>
    </w:p>
    <w:p>
      <w:pPr>
        <w:pStyle w:val="Subsection"/>
      </w:pPr>
      <w:r>
        <w:tab/>
        <w:t>(4)</w:t>
      </w:r>
      <w:r>
        <w:tab/>
        <w:t>If the notice is not given at least 7 days before the resumption of the appeal, the Commission may adjourn the hearing of the appeal to a further date to allow the Commission or the appellant sufficient time to consider the contents of the notice.</w:t>
      </w:r>
    </w:p>
    <w:p>
      <w:pPr>
        <w:pStyle w:val="Footnotesection"/>
      </w:pPr>
      <w:r>
        <w:tab/>
        <w:t>[Regulation 94F inserted: Gazette 29 Nov 2019 p. 4146-7.]</w:t>
      </w:r>
    </w:p>
    <w:p>
      <w:pPr>
        <w:pStyle w:val="Heading5"/>
      </w:pPr>
      <w:bookmarkStart w:id="260" w:name="_Toc201657257"/>
      <w:r>
        <w:rPr>
          <w:rStyle w:val="CharSectno"/>
        </w:rPr>
        <w:lastRenderedPageBreak/>
        <w:t>94G</w:t>
      </w:r>
      <w:r>
        <w:t>.</w:t>
      </w:r>
      <w:r>
        <w:tab/>
        <w:t>Withdrawal or discontinuance of appeal against retirement on medical grounds</w:t>
      </w:r>
      <w:bookmarkEnd w:id="260"/>
    </w:p>
    <w:p>
      <w:pPr>
        <w:pStyle w:val="Subsection"/>
      </w:pPr>
      <w:r>
        <w:tab/>
        <w:t>(1)</w:t>
      </w:r>
      <w:r>
        <w:tab/>
        <w:t>An appellant may withdraw or wholly discontinue an appeal against retirement on medical grounds, or withdraw any part of the appeal, by completing and filing in the office of the Registrar 3 copies of a notice of withdrawal or discontinuance in the approved form.</w:t>
      </w:r>
    </w:p>
    <w:p>
      <w:pPr>
        <w:pStyle w:val="Subsection"/>
      </w:pPr>
      <w:r>
        <w:tab/>
        <w:t>(2)</w:t>
      </w:r>
      <w:r>
        <w:tab/>
        <w:t>The Registrar must serve a copy of the notice on the Commissioner of Police.</w:t>
      </w:r>
    </w:p>
    <w:p>
      <w:pPr>
        <w:pStyle w:val="Footnotesection"/>
      </w:pPr>
      <w:r>
        <w:tab/>
        <w:t>[Regulation 94G inserted: Gazette 29 Nov 2019 p. 4147.]</w:t>
      </w:r>
    </w:p>
    <w:p>
      <w:pPr>
        <w:pStyle w:val="Heading2"/>
      </w:pPr>
      <w:bookmarkStart w:id="261" w:name="_Toc201649067"/>
      <w:bookmarkStart w:id="262" w:name="_Toc201649261"/>
      <w:bookmarkStart w:id="263" w:name="_Toc201650121"/>
      <w:bookmarkStart w:id="264" w:name="_Toc201650449"/>
      <w:bookmarkStart w:id="265" w:name="_Toc201657258"/>
      <w:r>
        <w:rPr>
          <w:rStyle w:val="CharPartNo"/>
        </w:rPr>
        <w:lastRenderedPageBreak/>
        <w:t>Part 9D</w:t>
      </w:r>
      <w:r>
        <w:t> — </w:t>
      </w:r>
      <w:r>
        <w:rPr>
          <w:rStyle w:val="CharPartText"/>
        </w:rPr>
        <w:t xml:space="preserve">Disputes under the </w:t>
      </w:r>
      <w:r>
        <w:rPr>
          <w:rStyle w:val="CharPartText"/>
          <w:i/>
        </w:rPr>
        <w:t>Police Act 1892</w:t>
      </w:r>
      <w:r>
        <w:rPr>
          <w:rStyle w:val="CharPartText"/>
        </w:rPr>
        <w:t xml:space="preserve"> Part 2D Division 3</w:t>
      </w:r>
      <w:bookmarkEnd w:id="261"/>
      <w:bookmarkEnd w:id="262"/>
      <w:bookmarkEnd w:id="263"/>
      <w:bookmarkEnd w:id="264"/>
      <w:bookmarkEnd w:id="265"/>
    </w:p>
    <w:p>
      <w:pPr>
        <w:pStyle w:val="Footnoteheading"/>
      </w:pPr>
      <w:r>
        <w:tab/>
        <w:t>[Heading inserted: SL 2022/6 r. 4.]</w:t>
      </w:r>
    </w:p>
    <w:p>
      <w:pPr>
        <w:pStyle w:val="Heading5"/>
      </w:pPr>
      <w:bookmarkStart w:id="266" w:name="_Toc201657259"/>
      <w:r>
        <w:rPr>
          <w:rStyle w:val="CharSectno"/>
        </w:rPr>
        <w:t>94H</w:t>
      </w:r>
      <w:r>
        <w:t>.</w:t>
      </w:r>
      <w:r>
        <w:tab/>
        <w:t>Term used: Tribunal</w:t>
      </w:r>
      <w:bookmarkEnd w:id="266"/>
    </w:p>
    <w:p>
      <w:pPr>
        <w:pStyle w:val="Subsection"/>
      </w:pPr>
      <w:r>
        <w:tab/>
      </w:r>
      <w:r>
        <w:tab/>
        <w:t xml:space="preserve">In this Part — </w:t>
      </w:r>
    </w:p>
    <w:p>
      <w:pPr>
        <w:pStyle w:val="Defstart"/>
      </w:pPr>
      <w:r>
        <w:tab/>
      </w:r>
      <w:r>
        <w:rPr>
          <w:rStyle w:val="CharDefText"/>
        </w:rPr>
        <w:t>Tribunal</w:t>
      </w:r>
      <w:r>
        <w:t xml:space="preserve"> has the meaning given in the </w:t>
      </w:r>
      <w:r>
        <w:rPr>
          <w:i/>
        </w:rPr>
        <w:t xml:space="preserve">Police Act 1892 </w:t>
      </w:r>
      <w:r>
        <w:t>section 33ZZA(2) in relation to the Police Compensation Tribunal.</w:t>
      </w:r>
    </w:p>
    <w:p>
      <w:pPr>
        <w:pStyle w:val="Footnotesection"/>
      </w:pPr>
      <w:r>
        <w:tab/>
        <w:t>[Regulation 94H inserted: SL 2022/6 r. 4.]</w:t>
      </w:r>
    </w:p>
    <w:p>
      <w:pPr>
        <w:pStyle w:val="Heading5"/>
      </w:pPr>
      <w:bookmarkStart w:id="267" w:name="_Toc201657260"/>
      <w:r>
        <w:rPr>
          <w:rStyle w:val="CharSectno"/>
        </w:rPr>
        <w:t>94I</w:t>
      </w:r>
      <w:r>
        <w:t>.</w:t>
      </w:r>
      <w:r>
        <w:tab/>
        <w:t>Application of Part</w:t>
      </w:r>
      <w:bookmarkEnd w:id="267"/>
    </w:p>
    <w:p>
      <w:pPr>
        <w:pStyle w:val="Subsection"/>
      </w:pPr>
      <w:r>
        <w:tab/>
      </w:r>
      <w:r>
        <w:tab/>
        <w:t xml:space="preserve">This Part applies to a dispute lodged with the Tribunal under the </w:t>
      </w:r>
      <w:r>
        <w:rPr>
          <w:i/>
        </w:rPr>
        <w:t xml:space="preserve">Police Act 1892 </w:t>
      </w:r>
      <w:r>
        <w:t>section 33ZZB.</w:t>
      </w:r>
    </w:p>
    <w:p>
      <w:pPr>
        <w:pStyle w:val="Footnotesection"/>
      </w:pPr>
      <w:r>
        <w:tab/>
        <w:t>[Regulation 94I inserted: SL 2022/6 r. 4.]</w:t>
      </w:r>
    </w:p>
    <w:p>
      <w:pPr>
        <w:pStyle w:val="Heading5"/>
      </w:pPr>
      <w:bookmarkStart w:id="268" w:name="_Toc201657261"/>
      <w:r>
        <w:rPr>
          <w:rStyle w:val="CharSectno"/>
        </w:rPr>
        <w:t>94J</w:t>
      </w:r>
      <w:r>
        <w:t>.</w:t>
      </w:r>
      <w:r>
        <w:tab/>
        <w:t>Lodgment of dispute by medically retired member</w:t>
      </w:r>
      <w:bookmarkEnd w:id="268"/>
    </w:p>
    <w:p>
      <w:pPr>
        <w:pStyle w:val="Subsection"/>
      </w:pPr>
      <w:r>
        <w:tab/>
      </w:r>
      <w:r>
        <w:tab/>
        <w:t xml:space="preserve">The lodgment of a dispute by a medically retired member under the </w:t>
      </w:r>
      <w:r>
        <w:rPr>
          <w:i/>
        </w:rPr>
        <w:t xml:space="preserve">Police Act 1892 </w:t>
      </w:r>
      <w:r>
        <w:t>section 33ZZB(1), (3) or (4) must be by notice of dispute in the approved form.</w:t>
      </w:r>
    </w:p>
    <w:p>
      <w:pPr>
        <w:pStyle w:val="Footnotesection"/>
      </w:pPr>
      <w:r>
        <w:tab/>
        <w:t>[Regulation 94J inserted: SL 2022/6 r. 4.]</w:t>
      </w:r>
    </w:p>
    <w:p>
      <w:pPr>
        <w:pStyle w:val="Heading5"/>
      </w:pPr>
      <w:bookmarkStart w:id="269" w:name="_Toc201657262"/>
      <w:r>
        <w:rPr>
          <w:rStyle w:val="CharSectno"/>
        </w:rPr>
        <w:t>94K</w:t>
      </w:r>
      <w:r>
        <w:t>.</w:t>
      </w:r>
      <w:r>
        <w:tab/>
        <w:t>Lodgment of dispute on behalf of medically retired member</w:t>
      </w:r>
      <w:bookmarkEnd w:id="269"/>
    </w:p>
    <w:p>
      <w:pPr>
        <w:pStyle w:val="Subsection"/>
      </w:pPr>
      <w:r>
        <w:tab/>
        <w:t>(1)</w:t>
      </w:r>
      <w:r>
        <w:tab/>
        <w:t xml:space="preserve">The lodgment of a dispute on behalf of a medically retired member under the </w:t>
      </w:r>
      <w:r>
        <w:rPr>
          <w:i/>
        </w:rPr>
        <w:t xml:space="preserve">Police Act 1892 </w:t>
      </w:r>
      <w:r>
        <w:t>section 33ZZB(7) must be by notice of dispute in the approved form.</w:t>
      </w:r>
    </w:p>
    <w:p>
      <w:pPr>
        <w:pStyle w:val="Subsection"/>
      </w:pPr>
      <w:r>
        <w:tab/>
        <w:t>(2)</w:t>
      </w:r>
      <w:r>
        <w:tab/>
        <w:t xml:space="preserve">For the purposes of the </w:t>
      </w:r>
      <w:r>
        <w:rPr>
          <w:i/>
        </w:rPr>
        <w:t xml:space="preserve">Police Act 1892 </w:t>
      </w:r>
      <w:r>
        <w:t xml:space="preserve">section 33ZZB(7)(b) and (c), a person lodging a dispute on behalf of a medically retired member must be a person who meets the requirements of subregulation (3) and is — </w:t>
      </w:r>
    </w:p>
    <w:p>
      <w:pPr>
        <w:pStyle w:val="Indenta"/>
      </w:pPr>
      <w:r>
        <w:tab/>
        <w:t>(a)</w:t>
      </w:r>
      <w:r>
        <w:tab/>
        <w:t>the spouse, or de facto partner, of the medically retired member; or</w:t>
      </w:r>
    </w:p>
    <w:p>
      <w:pPr>
        <w:pStyle w:val="Indenta"/>
      </w:pPr>
      <w:r>
        <w:lastRenderedPageBreak/>
        <w:tab/>
        <w:t>(b)</w:t>
      </w:r>
      <w:r>
        <w:tab/>
        <w:t>closely associated with the medically retired member; or</w:t>
      </w:r>
    </w:p>
    <w:p>
      <w:pPr>
        <w:pStyle w:val="Indenta"/>
      </w:pPr>
      <w:r>
        <w:tab/>
        <w:t>(c)</w:t>
      </w:r>
      <w:r>
        <w:tab/>
        <w:t>a next friend of the medically retired member for the purpose of the dispute; or</w:t>
      </w:r>
    </w:p>
    <w:p>
      <w:pPr>
        <w:pStyle w:val="Indenta"/>
      </w:pPr>
      <w:r>
        <w:tab/>
        <w:t>(d)</w:t>
      </w:r>
      <w:r>
        <w:tab/>
        <w:t>a legal practitioner.</w:t>
      </w:r>
    </w:p>
    <w:p>
      <w:pPr>
        <w:pStyle w:val="Subsection"/>
      </w:pPr>
      <w:r>
        <w:tab/>
        <w:t>(3)</w:t>
      </w:r>
      <w:r>
        <w:tab/>
        <w:t xml:space="preserve">A person cannot lodge a dispute on behalf of a medically retired member unless the person is an adult who — </w:t>
      </w:r>
    </w:p>
    <w:p>
      <w:pPr>
        <w:pStyle w:val="Indenta"/>
      </w:pPr>
      <w:r>
        <w:tab/>
        <w:t>(a)</w:t>
      </w:r>
      <w:r>
        <w:tab/>
        <w:t>has no interest in the proceedings that is adverse to the interest of the medically retired member; and</w:t>
      </w:r>
    </w:p>
    <w:p>
      <w:pPr>
        <w:pStyle w:val="Indenta"/>
      </w:pPr>
      <w:r>
        <w:tab/>
        <w:t>(b)</w:t>
      </w:r>
      <w:r>
        <w:tab/>
        <w:t>can fairly and competently conduct the proceedings for the medically retired member.</w:t>
      </w:r>
    </w:p>
    <w:p>
      <w:pPr>
        <w:pStyle w:val="Subsection"/>
      </w:pPr>
      <w:r>
        <w:tab/>
        <w:t>(4)</w:t>
      </w:r>
      <w:r>
        <w:tab/>
        <w:t xml:space="preserve">For the purposes of subregulation (2)(b), a person is closely associated with the medically retired member if, and only if, the person — </w:t>
      </w:r>
    </w:p>
    <w:p>
      <w:pPr>
        <w:pStyle w:val="Indenta"/>
      </w:pPr>
      <w:r>
        <w:tab/>
        <w:t>(a)</w:t>
      </w:r>
      <w:r>
        <w:tab/>
        <w:t>regularly provides, or arranges for the provision of, domestic services and support to the medically retired member; or</w:t>
      </w:r>
    </w:p>
    <w:p>
      <w:pPr>
        <w:pStyle w:val="Indenta"/>
      </w:pPr>
      <w:r>
        <w:tab/>
        <w:t>(b)</w:t>
      </w:r>
      <w:r>
        <w:tab/>
        <w:t>maintains a close personal relationship with the medically retired member.</w:t>
      </w:r>
    </w:p>
    <w:p>
      <w:pPr>
        <w:pStyle w:val="Subsection"/>
      </w:pPr>
      <w:r>
        <w:tab/>
        <w:t>(5)</w:t>
      </w:r>
      <w:r>
        <w:tab/>
        <w:t>It is immaterial for the purposes of subregulation (4) whether or not the person is related in any way to the medically retired member.</w:t>
      </w:r>
    </w:p>
    <w:p>
      <w:pPr>
        <w:pStyle w:val="Footnotesection"/>
      </w:pPr>
      <w:r>
        <w:tab/>
        <w:t>[Regulation 94K inserted: SL 2022/6 r. 4.]</w:t>
      </w:r>
    </w:p>
    <w:p>
      <w:pPr>
        <w:pStyle w:val="Heading5"/>
      </w:pPr>
      <w:bookmarkStart w:id="270" w:name="_Toc201657263"/>
      <w:r>
        <w:rPr>
          <w:rStyle w:val="CharSectno"/>
        </w:rPr>
        <w:t>94L</w:t>
      </w:r>
      <w:r>
        <w:t>.</w:t>
      </w:r>
      <w:r>
        <w:tab/>
        <w:t>Application of certain regulations</w:t>
      </w:r>
      <w:bookmarkEnd w:id="270"/>
    </w:p>
    <w:p>
      <w:pPr>
        <w:pStyle w:val="Subsection"/>
      </w:pPr>
      <w:r>
        <w:tab/>
        <w:t>(1)</w:t>
      </w:r>
      <w:r>
        <w:tab/>
        <w:t xml:space="preserve">The provisions of these regulations that are set out in the Table apply to the lodgment of disputes with, and the hearing and determination of disputes by, the Tribunal as if — </w:t>
      </w:r>
    </w:p>
    <w:p>
      <w:pPr>
        <w:pStyle w:val="Indenta"/>
      </w:pPr>
      <w:r>
        <w:tab/>
        <w:t>(a)</w:t>
      </w:r>
      <w:r>
        <w:tab/>
        <w:t>references in the provisions to the Commission were references to the Tribunal; and</w:t>
      </w:r>
    </w:p>
    <w:p>
      <w:pPr>
        <w:pStyle w:val="Indenta"/>
        <w:keepNext/>
      </w:pPr>
      <w:r>
        <w:lastRenderedPageBreak/>
        <w:tab/>
        <w:t>(b)</w:t>
      </w:r>
      <w:r>
        <w:tab/>
        <w:t>references in the provisions to a notice of application were references to a notice of dispute.</w:t>
      </w:r>
    </w:p>
    <w:p>
      <w:pPr>
        <w:pStyle w:val="THeadingNAm"/>
      </w:pPr>
      <w:r>
        <w:t>Table</w:t>
      </w:r>
    </w:p>
    <w:tbl>
      <w:tblPr>
        <w:tblStyle w:val="TableGrid"/>
        <w:tblW w:w="0" w:type="auto"/>
        <w:tblInd w:w="1413" w:type="dxa"/>
        <w:tblLayout w:type="fixed"/>
        <w:tblLook w:val="04A0" w:firstRow="1" w:lastRow="0" w:firstColumn="1" w:lastColumn="0" w:noHBand="0" w:noVBand="1"/>
      </w:tblPr>
      <w:tblGrid>
        <w:gridCol w:w="2693"/>
        <w:gridCol w:w="2693"/>
      </w:tblGrid>
      <w:tr>
        <w:tc>
          <w:tcPr>
            <w:tcW w:w="2693" w:type="dxa"/>
            <w:noWrap/>
          </w:tcPr>
          <w:p>
            <w:pPr>
              <w:pStyle w:val="TableNAm"/>
            </w:pPr>
            <w:r>
              <w:t>Part 2 except r. 8(1), (3) and (4)</w:t>
            </w:r>
          </w:p>
        </w:tc>
        <w:tc>
          <w:tcPr>
            <w:tcW w:w="2693" w:type="dxa"/>
            <w:noWrap/>
          </w:tcPr>
          <w:p>
            <w:pPr>
              <w:pStyle w:val="TableNAm"/>
              <w:rPr>
                <w:rStyle w:val="DraftersNotes"/>
              </w:rPr>
            </w:pPr>
            <w:r>
              <w:t>Part 3 except r. 13(3)(a) and Division 4</w:t>
            </w:r>
          </w:p>
        </w:tc>
      </w:tr>
      <w:tr>
        <w:tc>
          <w:tcPr>
            <w:tcW w:w="2693" w:type="dxa"/>
            <w:noWrap/>
          </w:tcPr>
          <w:p>
            <w:pPr>
              <w:pStyle w:val="TableNAm"/>
            </w:pPr>
            <w:r>
              <w:t>Part 4</w:t>
            </w:r>
          </w:p>
        </w:tc>
        <w:tc>
          <w:tcPr>
            <w:tcW w:w="2693" w:type="dxa"/>
            <w:noWrap/>
          </w:tcPr>
          <w:p>
            <w:pPr>
              <w:pStyle w:val="TableNAm"/>
              <w:rPr>
                <w:b/>
              </w:rPr>
            </w:pPr>
            <w:r>
              <w:t>Part 11 Division 2</w:t>
            </w:r>
          </w:p>
        </w:tc>
      </w:tr>
    </w:tbl>
    <w:p>
      <w:pPr>
        <w:pStyle w:val="Subsection"/>
      </w:pPr>
      <w:r>
        <w:tab/>
        <w:t>(2)</w:t>
      </w:r>
      <w:r>
        <w:tab/>
        <w:t xml:space="preserve">Subregulation (1) applies — </w:t>
      </w:r>
    </w:p>
    <w:p>
      <w:pPr>
        <w:pStyle w:val="Indenta"/>
      </w:pPr>
      <w:r>
        <w:tab/>
        <w:t>(a)</w:t>
      </w:r>
      <w:r>
        <w:tab/>
        <w:t>except as otherwise provided by this Part; and</w:t>
      </w:r>
    </w:p>
    <w:p>
      <w:pPr>
        <w:pStyle w:val="Indenta"/>
      </w:pPr>
      <w:r>
        <w:tab/>
        <w:t>(b)</w:t>
      </w:r>
      <w:r>
        <w:tab/>
        <w:t>in a particular case subject to the direction of the Tribunal.</w:t>
      </w:r>
    </w:p>
    <w:p>
      <w:pPr>
        <w:pStyle w:val="Footnotesection"/>
      </w:pPr>
      <w:r>
        <w:tab/>
        <w:t>[Regulation 94L inserted: SL 2022/6 r. 4.]</w:t>
      </w:r>
    </w:p>
    <w:p>
      <w:pPr>
        <w:pStyle w:val="Heading5"/>
      </w:pPr>
      <w:bookmarkStart w:id="271" w:name="_Toc201657264"/>
      <w:r>
        <w:rPr>
          <w:rStyle w:val="CharSectno"/>
        </w:rPr>
        <w:t>94M</w:t>
      </w:r>
      <w:r>
        <w:t>.</w:t>
      </w:r>
      <w:r>
        <w:tab/>
        <w:t>Procedures specific to Tribunal proceedings</w:t>
      </w:r>
      <w:bookmarkEnd w:id="271"/>
    </w:p>
    <w:p>
      <w:pPr>
        <w:pStyle w:val="Subsection"/>
      </w:pPr>
      <w:r>
        <w:tab/>
        <w:t>(1)</w:t>
      </w:r>
      <w:r>
        <w:tab/>
        <w:t xml:space="preserve">A notice of dispute must be signed by — </w:t>
      </w:r>
    </w:p>
    <w:p>
      <w:pPr>
        <w:pStyle w:val="Indenta"/>
      </w:pPr>
      <w:r>
        <w:tab/>
        <w:t>(a)</w:t>
      </w:r>
      <w:r>
        <w:tab/>
        <w:t xml:space="preserve">the medically retired member who lodges the dispute with the Tribunal under the </w:t>
      </w:r>
      <w:r>
        <w:rPr>
          <w:i/>
        </w:rPr>
        <w:t>Police Act 1892</w:t>
      </w:r>
      <w:r>
        <w:t xml:space="preserve"> section 33ZZB(1), (3) or (4); or</w:t>
      </w:r>
    </w:p>
    <w:p>
      <w:pPr>
        <w:pStyle w:val="Indenta"/>
      </w:pPr>
      <w:r>
        <w:tab/>
        <w:t>(b)</w:t>
      </w:r>
      <w:r>
        <w:tab/>
        <w:t xml:space="preserve">the person who lodges the dispute on behalf of a medically retired member under the </w:t>
      </w:r>
      <w:r>
        <w:rPr>
          <w:i/>
        </w:rPr>
        <w:t xml:space="preserve">Police Act 1892 </w:t>
      </w:r>
      <w:r>
        <w:t>section 33ZZB(7).</w:t>
      </w:r>
    </w:p>
    <w:p>
      <w:pPr>
        <w:pStyle w:val="Subsection"/>
      </w:pPr>
      <w:r>
        <w:tab/>
        <w:t>(2)</w:t>
      </w:r>
      <w:r>
        <w:tab/>
        <w:t>Unless in a particular case the Chief Commissioner otherwise directs, the Registrar must present a notice of dispute to the Chief Commissioner for allocation of the matter as soon as practicable after the notice is filed.</w:t>
      </w:r>
    </w:p>
    <w:p>
      <w:pPr>
        <w:pStyle w:val="Subsection"/>
      </w:pPr>
      <w:r>
        <w:tab/>
        <w:t>(3)</w:t>
      </w:r>
      <w:r>
        <w:tab/>
        <w:t>The Registrar must endorse on the notice of dispute the time within which a response under regulation 14 must be filed.</w:t>
      </w:r>
    </w:p>
    <w:p>
      <w:pPr>
        <w:pStyle w:val="Subsection"/>
      </w:pPr>
      <w:r>
        <w:tab/>
        <w:t>(4)</w:t>
      </w:r>
      <w:r>
        <w:tab/>
        <w:t xml:space="preserve">The time required for filing a response is — </w:t>
      </w:r>
    </w:p>
    <w:p>
      <w:pPr>
        <w:pStyle w:val="Indenta"/>
      </w:pPr>
      <w:r>
        <w:tab/>
        <w:t>(a)</w:t>
      </w:r>
      <w:r>
        <w:tab/>
        <w:t>21 days from the date of being served with the notice of dispute; or</w:t>
      </w:r>
    </w:p>
    <w:p>
      <w:pPr>
        <w:pStyle w:val="Indenta"/>
      </w:pPr>
      <w:r>
        <w:lastRenderedPageBreak/>
        <w:tab/>
        <w:t>(b)</w:t>
      </w:r>
      <w:r>
        <w:tab/>
        <w:t>if an application to the Tribunal for a shortened time for response is granted — the time determined by the Tribunal.</w:t>
      </w:r>
    </w:p>
    <w:p>
      <w:pPr>
        <w:pStyle w:val="Subsection"/>
      </w:pPr>
      <w:r>
        <w:tab/>
        <w:t>(5)</w:t>
      </w:r>
      <w:r>
        <w:tab/>
        <w:t xml:space="preserve">A summons to attend conciliation proceedings under the </w:t>
      </w:r>
      <w:r>
        <w:rPr>
          <w:i/>
        </w:rPr>
        <w:t>Police Act 1892</w:t>
      </w:r>
      <w:r>
        <w:t xml:space="preserve"> section 33ZZF may be given by the Tribunal orally, in writing, by telephone or by email.</w:t>
      </w:r>
    </w:p>
    <w:p>
      <w:pPr>
        <w:pStyle w:val="Subsection"/>
      </w:pPr>
      <w:r>
        <w:tab/>
        <w:t>(6)</w:t>
      </w:r>
      <w:r>
        <w:tab/>
        <w:t xml:space="preserve">If the Tribunal gives a direction, or makes an order, under the </w:t>
      </w:r>
      <w:r>
        <w:rPr>
          <w:i/>
        </w:rPr>
        <w:t>Police Act 1892</w:t>
      </w:r>
      <w:r>
        <w:t xml:space="preserve"> section 33ZZF(4) in writing or reduces it to writing (a </w:t>
      </w:r>
      <w:r>
        <w:rPr>
          <w:rStyle w:val="CharDefText"/>
        </w:rPr>
        <w:t>conciliation document</w:t>
      </w:r>
      <w:r>
        <w:t xml:space="preserve">), the Tribunal may give directions (a </w:t>
      </w:r>
      <w:r>
        <w:rPr>
          <w:rStyle w:val="CharDefText"/>
        </w:rPr>
        <w:t>service direction</w:t>
      </w:r>
      <w:r>
        <w:t>) as to service of the conciliation document.</w:t>
      </w:r>
    </w:p>
    <w:p>
      <w:pPr>
        <w:pStyle w:val="Subsection"/>
      </w:pPr>
      <w:r>
        <w:tab/>
        <w:t>(7)</w:t>
      </w:r>
      <w:r>
        <w:tab/>
        <w:t xml:space="preserve">The conciliation document must be — </w:t>
      </w:r>
    </w:p>
    <w:p>
      <w:pPr>
        <w:pStyle w:val="Indenta"/>
      </w:pPr>
      <w:r>
        <w:tab/>
        <w:t>(a)</w:t>
      </w:r>
      <w:r>
        <w:tab/>
        <w:t>sealed; and</w:t>
      </w:r>
    </w:p>
    <w:p>
      <w:pPr>
        <w:pStyle w:val="Indenta"/>
      </w:pPr>
      <w:r>
        <w:tab/>
        <w:t>(b)</w:t>
      </w:r>
      <w:r>
        <w:tab/>
        <w:t xml:space="preserve">served — </w:t>
      </w:r>
    </w:p>
    <w:p>
      <w:pPr>
        <w:pStyle w:val="Indenti"/>
      </w:pPr>
      <w:r>
        <w:tab/>
        <w:t>(i)</w:t>
      </w:r>
      <w:r>
        <w:tab/>
        <w:t>if a service direction is made — in accordance with the service direction; or</w:t>
      </w:r>
    </w:p>
    <w:p>
      <w:pPr>
        <w:pStyle w:val="Indenti"/>
      </w:pPr>
      <w:r>
        <w:tab/>
        <w:t>(ii)</w:t>
      </w:r>
      <w:r>
        <w:tab/>
        <w:t>otherwise — by the Registrar on the parties.</w:t>
      </w:r>
    </w:p>
    <w:p>
      <w:pPr>
        <w:pStyle w:val="Footnotesection"/>
      </w:pPr>
      <w:r>
        <w:tab/>
        <w:t>[Regulation 94M inserted: SL 2022/6 r. 4; amended: SL 2022/19 r. 5.]</w:t>
      </w:r>
    </w:p>
    <w:p>
      <w:pPr>
        <w:pStyle w:val="Ednotesection"/>
      </w:pPr>
      <w:r>
        <w:t>[</w:t>
      </w:r>
      <w:r>
        <w:rPr>
          <w:b/>
        </w:rPr>
        <w:t>94N.</w:t>
      </w:r>
      <w:r>
        <w:tab/>
        <w:t>Deleted: SL 2022/75 r. 27.]</w:t>
      </w:r>
    </w:p>
    <w:p>
      <w:pPr>
        <w:pStyle w:val="Heading2"/>
      </w:pPr>
      <w:bookmarkStart w:id="272" w:name="_Toc201649074"/>
      <w:bookmarkStart w:id="273" w:name="_Toc201649268"/>
      <w:bookmarkStart w:id="274" w:name="_Toc201650128"/>
      <w:bookmarkStart w:id="275" w:name="_Toc201650456"/>
      <w:bookmarkStart w:id="276" w:name="_Toc201657265"/>
      <w:r>
        <w:rPr>
          <w:rStyle w:val="CharPartNo"/>
        </w:rPr>
        <w:lastRenderedPageBreak/>
        <w:t>Part 10</w:t>
      </w:r>
      <w:r>
        <w:t> — </w:t>
      </w:r>
      <w:r>
        <w:rPr>
          <w:rStyle w:val="CharPartText"/>
        </w:rPr>
        <w:t>Work Health and Safety Tribunal</w:t>
      </w:r>
      <w:bookmarkEnd w:id="272"/>
      <w:bookmarkEnd w:id="273"/>
      <w:bookmarkEnd w:id="274"/>
      <w:bookmarkEnd w:id="275"/>
      <w:bookmarkEnd w:id="276"/>
    </w:p>
    <w:p>
      <w:pPr>
        <w:pStyle w:val="Footnoteheading"/>
      </w:pPr>
      <w:r>
        <w:tab/>
        <w:t>[Heading inserted: SL 2022/19 r. 6.]</w:t>
      </w:r>
    </w:p>
    <w:p>
      <w:pPr>
        <w:pStyle w:val="Heading5"/>
      </w:pPr>
      <w:bookmarkStart w:id="277" w:name="_Toc201657266"/>
      <w:r>
        <w:rPr>
          <w:rStyle w:val="CharSectno"/>
        </w:rPr>
        <w:t>95</w:t>
      </w:r>
      <w:r>
        <w:t>.</w:t>
      </w:r>
      <w:r>
        <w:tab/>
        <w:t>Term used: Tribunal</w:t>
      </w:r>
      <w:bookmarkEnd w:id="277"/>
    </w:p>
    <w:p>
      <w:pPr>
        <w:pStyle w:val="Subsection"/>
      </w:pPr>
      <w:r>
        <w:tab/>
      </w:r>
      <w:r>
        <w:tab/>
        <w:t>In this Part —</w:t>
      </w:r>
    </w:p>
    <w:p>
      <w:pPr>
        <w:pStyle w:val="Defstart"/>
      </w:pPr>
      <w:r>
        <w:tab/>
      </w:r>
      <w:r>
        <w:rPr>
          <w:rStyle w:val="CharDefText"/>
        </w:rPr>
        <w:t>Tribunal</w:t>
      </w:r>
      <w:r>
        <w:t xml:space="preserve"> means the Work Health and Safety Tribunal established by the </w:t>
      </w:r>
      <w:r>
        <w:rPr>
          <w:i/>
        </w:rPr>
        <w:t>Work Health and Safety Act 2020</w:t>
      </w:r>
      <w:r>
        <w:t xml:space="preserve"> Schedule 1 clause 27(1).</w:t>
      </w:r>
    </w:p>
    <w:p>
      <w:pPr>
        <w:pStyle w:val="Footnotesection"/>
      </w:pPr>
      <w:r>
        <w:tab/>
        <w:t>[Regulation 95 inserted: SL 2022/19 r. 7.]</w:t>
      </w:r>
    </w:p>
    <w:p>
      <w:pPr>
        <w:pStyle w:val="Heading5"/>
      </w:pPr>
      <w:bookmarkStart w:id="278" w:name="_Toc201657267"/>
      <w:r>
        <w:rPr>
          <w:rStyle w:val="CharSectno"/>
        </w:rPr>
        <w:t>95A</w:t>
      </w:r>
      <w:r>
        <w:t>.</w:t>
      </w:r>
      <w:r>
        <w:tab/>
        <w:t>Application of Part</w:t>
      </w:r>
      <w:bookmarkEnd w:id="278"/>
    </w:p>
    <w:p>
      <w:pPr>
        <w:pStyle w:val="Subsection"/>
      </w:pPr>
      <w:r>
        <w:tab/>
      </w:r>
      <w:r>
        <w:tab/>
        <w:t xml:space="preserve">This Part applies to an application made to the Tribunal under the </w:t>
      </w:r>
      <w:r>
        <w:rPr>
          <w:i/>
        </w:rPr>
        <w:t>Work Health and Safety Act 2020</w:t>
      </w:r>
      <w:r>
        <w:t>.</w:t>
      </w:r>
    </w:p>
    <w:p>
      <w:pPr>
        <w:pStyle w:val="Footnotesection"/>
      </w:pPr>
      <w:r>
        <w:tab/>
        <w:t>[Regulation 95A inserted: SL 2022/19 r. 7.]</w:t>
      </w:r>
    </w:p>
    <w:p>
      <w:pPr>
        <w:pStyle w:val="Heading5"/>
      </w:pPr>
      <w:bookmarkStart w:id="279" w:name="_Toc201657268"/>
      <w:r>
        <w:rPr>
          <w:rStyle w:val="CharSectno"/>
        </w:rPr>
        <w:t>96</w:t>
      </w:r>
      <w:r>
        <w:t>.</w:t>
      </w:r>
      <w:r>
        <w:tab/>
        <w:t>Applications to Tribunal</w:t>
      </w:r>
      <w:bookmarkEnd w:id="279"/>
    </w:p>
    <w:p>
      <w:pPr>
        <w:pStyle w:val="Subsection"/>
      </w:pPr>
      <w:r>
        <w:tab/>
      </w:r>
      <w:r>
        <w:tab/>
        <w:t>An application must be in the approved form.</w:t>
      </w:r>
    </w:p>
    <w:p>
      <w:pPr>
        <w:pStyle w:val="Footnotesection"/>
      </w:pPr>
      <w:r>
        <w:tab/>
        <w:t>[Regulation 96 inserted: SL 2022/19 r. 7.]</w:t>
      </w:r>
    </w:p>
    <w:p>
      <w:pPr>
        <w:pStyle w:val="Heading5"/>
      </w:pPr>
      <w:bookmarkStart w:id="280" w:name="_Toc201657269"/>
      <w:r>
        <w:rPr>
          <w:rStyle w:val="CharSectno"/>
        </w:rPr>
        <w:t>97</w:t>
      </w:r>
      <w:r>
        <w:t>.</w:t>
      </w:r>
      <w:r>
        <w:tab/>
        <w:t>Application of certain regulations</w:t>
      </w:r>
      <w:bookmarkEnd w:id="280"/>
    </w:p>
    <w:p>
      <w:pPr>
        <w:pStyle w:val="Subsection"/>
        <w:keepNext/>
      </w:pPr>
      <w:r>
        <w:tab/>
        <w:t>(1)</w:t>
      </w:r>
      <w:r>
        <w:tab/>
        <w:t>The provisions of these regulations that are set out in the Table to this subregulation apply to the making, hearing and determination of applications as if the references in the provisions to the Commission were references to the Tribunal.</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Part 2 except r. 8(1), (3) and (4)</w:t>
            </w:r>
          </w:p>
        </w:tc>
        <w:tc>
          <w:tcPr>
            <w:tcW w:w="3034" w:type="dxa"/>
            <w:noWrap/>
          </w:tcPr>
          <w:p>
            <w:pPr>
              <w:pStyle w:val="TableNAm"/>
            </w:pPr>
            <w:r>
              <w:t>Part 3 except r. 13(3)(a) and Division 4</w:t>
            </w:r>
          </w:p>
        </w:tc>
      </w:tr>
      <w:tr>
        <w:tc>
          <w:tcPr>
            <w:tcW w:w="3033" w:type="dxa"/>
            <w:noWrap/>
          </w:tcPr>
          <w:p>
            <w:pPr>
              <w:pStyle w:val="TableNAm"/>
            </w:pPr>
            <w:r>
              <w:t>Part 4</w:t>
            </w:r>
          </w:p>
        </w:tc>
        <w:tc>
          <w:tcPr>
            <w:tcW w:w="3034" w:type="dxa"/>
            <w:noWrap/>
          </w:tcPr>
          <w:p>
            <w:pPr>
              <w:pStyle w:val="TableNAm"/>
            </w:pPr>
            <w:r>
              <w:t>Part 11 Division 2</w:t>
            </w:r>
          </w:p>
        </w:tc>
      </w:tr>
    </w:tbl>
    <w:p>
      <w:pPr>
        <w:pStyle w:val="Subsection"/>
        <w:keepNext/>
      </w:pPr>
      <w:r>
        <w:lastRenderedPageBreak/>
        <w:tab/>
        <w:t>(2)</w:t>
      </w:r>
      <w:r>
        <w:tab/>
        <w:t xml:space="preserve">Subregulation (1) applies — </w:t>
      </w:r>
    </w:p>
    <w:p>
      <w:pPr>
        <w:pStyle w:val="Indenta"/>
        <w:keepNext/>
      </w:pPr>
      <w:r>
        <w:tab/>
        <w:t>(a)</w:t>
      </w:r>
      <w:r>
        <w:tab/>
        <w:t>except as otherwise provided by this Part; and</w:t>
      </w:r>
    </w:p>
    <w:p>
      <w:pPr>
        <w:pStyle w:val="Indenta"/>
        <w:keepNext/>
      </w:pPr>
      <w:r>
        <w:tab/>
        <w:t>(b)</w:t>
      </w:r>
      <w:r>
        <w:tab/>
        <w:t>in a particular case subject to the direction of the Tribunal.</w:t>
      </w:r>
    </w:p>
    <w:p>
      <w:pPr>
        <w:pStyle w:val="Footnotesection"/>
      </w:pPr>
      <w:r>
        <w:tab/>
        <w:t>[Regulation 97 amended: Gazette 16 Mar 2012 p. 1252; 5 Mar 2019 p. 610; SL 2022/6 r. 5; SL 2022/19 r. 8.]</w:t>
      </w:r>
    </w:p>
    <w:p>
      <w:pPr>
        <w:pStyle w:val="Heading5"/>
      </w:pPr>
      <w:bookmarkStart w:id="281" w:name="_Toc201657270"/>
      <w:r>
        <w:rPr>
          <w:rStyle w:val="CharSectno"/>
        </w:rPr>
        <w:t>98</w:t>
      </w:r>
      <w:r>
        <w:t>.</w:t>
      </w:r>
      <w:r>
        <w:tab/>
        <w:t>Procedures specific to Tribunal proceedings</w:t>
      </w:r>
      <w:bookmarkEnd w:id="281"/>
    </w:p>
    <w:p>
      <w:pPr>
        <w:pStyle w:val="Subsection"/>
      </w:pPr>
      <w:r>
        <w:tab/>
        <w:t>(1)</w:t>
      </w:r>
      <w:r>
        <w:tab/>
        <w:t>An application must be signed by the applicant or, where applicable, the applicant’s solicitor or agent and, where necessary, sealed by the applicant.</w:t>
      </w:r>
    </w:p>
    <w:p>
      <w:pPr>
        <w:pStyle w:val="Subsection"/>
      </w:pPr>
      <w:r>
        <w:tab/>
        <w:t>(2)</w:t>
      </w:r>
      <w:r>
        <w:tab/>
        <w:t>Unless in a particular case the Chief Commissioner otherwise directs, the Registrar must present an application to the Chief Commissioner for allocation of the matter as soon as practicable after the application is filed.</w:t>
      </w:r>
    </w:p>
    <w:p>
      <w:pPr>
        <w:pStyle w:val="Subsection"/>
      </w:pPr>
      <w:r>
        <w:tab/>
        <w:t>(3)</w:t>
      </w:r>
      <w:r>
        <w:tab/>
        <w:t>After allocation of a matter the Tribunal must give to the Registrar directions, by way of endorsement on the reverse of, or by attachment to, the application, as to service of copies of the application.</w:t>
      </w:r>
    </w:p>
    <w:p>
      <w:pPr>
        <w:pStyle w:val="Ednotesubsection"/>
      </w:pPr>
      <w:r>
        <w:tab/>
        <w:t>[(4), (5)</w:t>
      </w:r>
      <w:r>
        <w:tab/>
        <w:t>deleted]</w:t>
      </w:r>
    </w:p>
    <w:p>
      <w:pPr>
        <w:pStyle w:val="Subsection"/>
      </w:pPr>
      <w:r>
        <w:tab/>
        <w:t>(6)</w:t>
      </w:r>
      <w:r>
        <w:tab/>
        <w:t xml:space="preserve">If the Tribunal gives or makes a direction, order or declaration under the </w:t>
      </w:r>
      <w:r>
        <w:rPr>
          <w:i/>
        </w:rPr>
        <w:t>Work Health and Safety Act 2020</w:t>
      </w:r>
      <w:r>
        <w:t xml:space="preserve"> Schedule 1 clause 30(3) in writing or reduces it to writing (a </w:t>
      </w:r>
      <w:r>
        <w:rPr>
          <w:rStyle w:val="CharDefText"/>
        </w:rPr>
        <w:t>conciliation document</w:t>
      </w:r>
      <w:r>
        <w:t xml:space="preserve">), the Tribunal may give a direction (a </w:t>
      </w:r>
      <w:r>
        <w:rPr>
          <w:rStyle w:val="CharDefText"/>
        </w:rPr>
        <w:t>service direction</w:t>
      </w:r>
      <w:r>
        <w:t>) as to service of the conciliation document.</w:t>
      </w:r>
    </w:p>
    <w:p>
      <w:pPr>
        <w:pStyle w:val="Subsection"/>
        <w:keepNext/>
      </w:pPr>
      <w:r>
        <w:tab/>
        <w:t>(7)</w:t>
      </w:r>
      <w:r>
        <w:tab/>
        <w:t xml:space="preserve">The conciliation document must be — </w:t>
      </w:r>
    </w:p>
    <w:p>
      <w:pPr>
        <w:pStyle w:val="Indenta"/>
      </w:pPr>
      <w:r>
        <w:tab/>
        <w:t>(a)</w:t>
      </w:r>
      <w:r>
        <w:tab/>
        <w:t>sealed; and</w:t>
      </w:r>
    </w:p>
    <w:p>
      <w:pPr>
        <w:pStyle w:val="Indenta"/>
        <w:keepNext/>
      </w:pPr>
      <w:r>
        <w:tab/>
        <w:t>(b)</w:t>
      </w:r>
      <w:r>
        <w:tab/>
        <w:t xml:space="preserve">served — </w:t>
      </w:r>
    </w:p>
    <w:p>
      <w:pPr>
        <w:pStyle w:val="Indenti"/>
      </w:pPr>
      <w:r>
        <w:tab/>
        <w:t>(i)</w:t>
      </w:r>
      <w:r>
        <w:tab/>
        <w:t>if a service direction is made — in accordance with the service direction; or</w:t>
      </w:r>
    </w:p>
    <w:p>
      <w:pPr>
        <w:pStyle w:val="Indenti"/>
        <w:keepNext/>
      </w:pPr>
      <w:r>
        <w:lastRenderedPageBreak/>
        <w:tab/>
        <w:t>(ii)</w:t>
      </w:r>
      <w:r>
        <w:tab/>
        <w:t>otherwise — by the Registrar on the parties.</w:t>
      </w:r>
    </w:p>
    <w:p>
      <w:pPr>
        <w:pStyle w:val="Footnotesection"/>
      </w:pPr>
      <w:r>
        <w:tab/>
        <w:t>[Regulation 98 amended: Gazette 5 Mar 2019 p. 610; SL 2022/19 r. 9.]</w:t>
      </w:r>
    </w:p>
    <w:p>
      <w:pPr>
        <w:pStyle w:val="Ednotesection"/>
      </w:pPr>
      <w:r>
        <w:t>[</w:t>
      </w:r>
      <w:r>
        <w:rPr>
          <w:b/>
        </w:rPr>
        <w:t>99.</w:t>
      </w:r>
      <w:r>
        <w:tab/>
        <w:t>Deleted: SL 2022/75 r. 28.]</w:t>
      </w:r>
    </w:p>
    <w:p>
      <w:pPr>
        <w:pStyle w:val="Heading2"/>
      </w:pPr>
      <w:bookmarkStart w:id="282" w:name="_Toc201649080"/>
      <w:bookmarkStart w:id="283" w:name="_Toc201649274"/>
      <w:bookmarkStart w:id="284" w:name="_Toc201650134"/>
      <w:bookmarkStart w:id="285" w:name="_Toc201650462"/>
      <w:bookmarkStart w:id="286" w:name="_Toc201657271"/>
      <w:r>
        <w:rPr>
          <w:rStyle w:val="CharPartNo"/>
        </w:rPr>
        <w:lastRenderedPageBreak/>
        <w:t>Part 10A</w:t>
      </w:r>
      <w:r>
        <w:rPr>
          <w:rStyle w:val="CharDivNo"/>
        </w:rPr>
        <w:t> </w:t>
      </w:r>
      <w:r>
        <w:t>—</w:t>
      </w:r>
      <w:r>
        <w:rPr>
          <w:rStyle w:val="CharDivText"/>
        </w:rPr>
        <w:t> </w:t>
      </w:r>
      <w:r>
        <w:rPr>
          <w:rStyle w:val="CharPartText"/>
        </w:rPr>
        <w:t>Road Freight Transport Industry Tribunal</w:t>
      </w:r>
      <w:bookmarkEnd w:id="282"/>
      <w:bookmarkEnd w:id="283"/>
      <w:bookmarkEnd w:id="284"/>
      <w:bookmarkEnd w:id="285"/>
      <w:bookmarkEnd w:id="286"/>
    </w:p>
    <w:p>
      <w:pPr>
        <w:pStyle w:val="Footnoteheading"/>
      </w:pPr>
      <w:r>
        <w:tab/>
        <w:t>[Heading inserted: Gazette 10 Jun 2008 p. 2492.]</w:t>
      </w:r>
    </w:p>
    <w:p>
      <w:pPr>
        <w:pStyle w:val="Heading5"/>
        <w:spacing w:before="240"/>
      </w:pPr>
      <w:bookmarkStart w:id="287" w:name="_Toc201657272"/>
      <w:r>
        <w:rPr>
          <w:rStyle w:val="CharSectno"/>
        </w:rPr>
        <w:t>99A</w:t>
      </w:r>
      <w:r>
        <w:t>.</w:t>
      </w:r>
      <w:r>
        <w:tab/>
        <w:t>Terms used</w:t>
      </w:r>
      <w:bookmarkEnd w:id="287"/>
    </w:p>
    <w:p>
      <w:pPr>
        <w:pStyle w:val="Subsection"/>
      </w:pPr>
      <w:r>
        <w:tab/>
      </w:r>
      <w:r>
        <w:tab/>
        <w:t xml:space="preserve">In this Part — </w:t>
      </w:r>
    </w:p>
    <w:p>
      <w:pPr>
        <w:pStyle w:val="Defstart"/>
      </w:pPr>
      <w:r>
        <w:rPr>
          <w:b/>
        </w:rPr>
        <w:tab/>
      </w:r>
      <w:r>
        <w:rPr>
          <w:rStyle w:val="CharDefText"/>
        </w:rPr>
        <w:t>applicant</w:t>
      </w:r>
      <w:r>
        <w:t xml:space="preserve"> means a person who refers a dispute or matter to the Tribunal under the </w:t>
      </w:r>
      <w:r>
        <w:rPr>
          <w:i/>
          <w:iCs/>
        </w:rPr>
        <w:t>Owner</w:t>
      </w:r>
      <w:r>
        <w:rPr>
          <w:i/>
          <w:iCs/>
        </w:rPr>
        <w:noBreakHyphen/>
        <w:t>Drivers (Contracts and Disputes) Act 2007</w:t>
      </w:r>
      <w:r>
        <w:t xml:space="preserve"> section 40;</w:t>
      </w:r>
    </w:p>
    <w:p>
      <w:pPr>
        <w:pStyle w:val="Defstart"/>
      </w:pPr>
      <w:r>
        <w:rPr>
          <w:b/>
        </w:rPr>
        <w:tab/>
      </w:r>
      <w:r>
        <w:rPr>
          <w:rStyle w:val="CharDefText"/>
        </w:rPr>
        <w:t>Tribunal</w:t>
      </w:r>
      <w:r>
        <w:t xml:space="preserve"> has the meaning given to that term in the </w:t>
      </w:r>
      <w:r>
        <w:rPr>
          <w:i/>
          <w:iCs/>
        </w:rPr>
        <w:t>Owner</w:t>
      </w:r>
      <w:r>
        <w:rPr>
          <w:i/>
          <w:iCs/>
        </w:rPr>
        <w:noBreakHyphen/>
        <w:t>Drivers (Contracts and Disputes) Act 2007</w:t>
      </w:r>
      <w:r>
        <w:t xml:space="preserve"> section 38(2).</w:t>
      </w:r>
    </w:p>
    <w:p>
      <w:pPr>
        <w:pStyle w:val="Footnotesection"/>
      </w:pPr>
      <w:r>
        <w:tab/>
        <w:t>[Regulation 99A inserted: Gazette 10 Jun 2008 p. 2492.]</w:t>
      </w:r>
    </w:p>
    <w:p>
      <w:pPr>
        <w:pStyle w:val="Heading5"/>
        <w:spacing w:before="240"/>
      </w:pPr>
      <w:bookmarkStart w:id="288" w:name="_Toc201657273"/>
      <w:r>
        <w:rPr>
          <w:rStyle w:val="CharSectno"/>
        </w:rPr>
        <w:t>99B</w:t>
      </w:r>
      <w:r>
        <w:t>.</w:t>
      </w:r>
      <w:r>
        <w:tab/>
        <w:t>Referrals to Tribunal</w:t>
      </w:r>
      <w:bookmarkEnd w:id="288"/>
    </w:p>
    <w:p>
      <w:pPr>
        <w:pStyle w:val="Subsection"/>
      </w:pPr>
      <w:r>
        <w:tab/>
      </w:r>
      <w:r>
        <w:tab/>
        <w:t xml:space="preserve">The referral of a dispute or matter to the Tribunal under the </w:t>
      </w:r>
      <w:r>
        <w:rPr>
          <w:i/>
          <w:iCs/>
        </w:rPr>
        <w:t>Owner</w:t>
      </w:r>
      <w:r>
        <w:rPr>
          <w:i/>
          <w:iCs/>
        </w:rPr>
        <w:noBreakHyphen/>
        <w:t xml:space="preserve">Drivers (Contracts and Disputes) Act 2007 </w:t>
      </w:r>
      <w:r>
        <w:t>must be in the approved form.</w:t>
      </w:r>
    </w:p>
    <w:p>
      <w:pPr>
        <w:pStyle w:val="Footnotesection"/>
      </w:pPr>
      <w:r>
        <w:tab/>
        <w:t>[Regulation 99B inserted: Gazette 10 Jun 2008 p. 2492; amended: Gazette 5 Mar 2019 p. 622</w:t>
      </w:r>
      <w:r>
        <w:noBreakHyphen/>
        <w:t>5; SL 2022/19 r. 10.]</w:t>
      </w:r>
    </w:p>
    <w:p>
      <w:pPr>
        <w:pStyle w:val="Heading5"/>
        <w:spacing w:before="240"/>
      </w:pPr>
      <w:bookmarkStart w:id="289" w:name="_Toc201657274"/>
      <w:r>
        <w:rPr>
          <w:rStyle w:val="CharSectno"/>
        </w:rPr>
        <w:t>99C</w:t>
      </w:r>
      <w:r>
        <w:t>.</w:t>
      </w:r>
      <w:r>
        <w:tab/>
        <w:t>Application of certain regulations</w:t>
      </w:r>
      <w:bookmarkEnd w:id="289"/>
    </w:p>
    <w:p>
      <w:pPr>
        <w:pStyle w:val="Subsection"/>
      </w:pPr>
      <w:r>
        <w:tab/>
        <w:t>(1)</w:t>
      </w:r>
      <w:r>
        <w:tab/>
        <w:t>The provisions of these regulations that are set out in the Table to this subregulation apply to the referral of disputes or matters to, or the hearing or determination of disputes or matters by, the Tribunal as if the references in the provisions to the Commission were references to the Tribunal.</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rPr>
        <w:tc>
          <w:tcPr>
            <w:tcW w:w="3033" w:type="dxa"/>
            <w:noWrap/>
          </w:tcPr>
          <w:p>
            <w:pPr>
              <w:pStyle w:val="TableNAm"/>
            </w:pPr>
            <w:r>
              <w:t>Part 2 except r. 8(1), (3) and (4)</w:t>
            </w:r>
          </w:p>
        </w:tc>
        <w:tc>
          <w:tcPr>
            <w:tcW w:w="3034" w:type="dxa"/>
            <w:noWrap/>
          </w:tcPr>
          <w:p>
            <w:pPr>
              <w:pStyle w:val="TableNAm"/>
            </w:pPr>
            <w:r>
              <w:t>Part 3 except r. 13(3)(a) and Division 4</w:t>
            </w:r>
          </w:p>
        </w:tc>
      </w:tr>
      <w:tr>
        <w:trPr>
          <w:cantSplit/>
        </w:trPr>
        <w:tc>
          <w:tcPr>
            <w:tcW w:w="3033" w:type="dxa"/>
            <w:noWrap/>
          </w:tcPr>
          <w:p>
            <w:pPr>
              <w:pStyle w:val="TableNAm"/>
            </w:pPr>
            <w:r>
              <w:lastRenderedPageBreak/>
              <w:t>Part 4</w:t>
            </w:r>
          </w:p>
        </w:tc>
        <w:tc>
          <w:tcPr>
            <w:tcW w:w="3034" w:type="dxa"/>
            <w:noWrap/>
          </w:tcPr>
          <w:p>
            <w:pPr>
              <w:pStyle w:val="TableNAm"/>
            </w:pPr>
            <w:r>
              <w:t>Part 11 Division 2</w:t>
            </w:r>
          </w:p>
        </w:tc>
      </w:tr>
    </w:tbl>
    <w:p>
      <w:pPr>
        <w:pStyle w:val="Subsection"/>
        <w:keepNext/>
        <w:keepLines/>
      </w:pPr>
      <w:r>
        <w:tab/>
        <w:t>(2)</w:t>
      </w:r>
      <w:r>
        <w:tab/>
        <w:t xml:space="preserve">Subregulation (1) applies — </w:t>
      </w:r>
    </w:p>
    <w:p>
      <w:pPr>
        <w:pStyle w:val="Indenta"/>
        <w:keepLines/>
      </w:pPr>
      <w:r>
        <w:tab/>
        <w:t>(a)</w:t>
      </w:r>
      <w:r>
        <w:tab/>
        <w:t>except as otherwise provided by this Part; and</w:t>
      </w:r>
    </w:p>
    <w:p>
      <w:pPr>
        <w:pStyle w:val="Indenta"/>
        <w:keepNext/>
      </w:pPr>
      <w:r>
        <w:tab/>
        <w:t>(b)</w:t>
      </w:r>
      <w:r>
        <w:tab/>
        <w:t>in a particular case subject to the direction of the Tribunal.</w:t>
      </w:r>
    </w:p>
    <w:p>
      <w:pPr>
        <w:pStyle w:val="Footnotesection"/>
        <w:rPr>
          <w:rStyle w:val="DraftersNotes"/>
        </w:rPr>
      </w:pPr>
      <w:r>
        <w:tab/>
        <w:t>[Regulation 99C inserted: Gazette 16 Mar 2012 p. 1252</w:t>
      </w:r>
      <w:r>
        <w:noBreakHyphen/>
        <w:t>3; amended: Gazette 5 Mar 2019 p. 611; SL 2022/6 r. 6; SL 2022/19 r. 11.]</w:t>
      </w:r>
    </w:p>
    <w:p>
      <w:pPr>
        <w:pStyle w:val="Heading5"/>
      </w:pPr>
      <w:bookmarkStart w:id="290" w:name="_Toc201657275"/>
      <w:r>
        <w:rPr>
          <w:rStyle w:val="CharSectno"/>
        </w:rPr>
        <w:t>99D</w:t>
      </w:r>
      <w:r>
        <w:t>.</w:t>
      </w:r>
      <w:r>
        <w:tab/>
        <w:t>Procedures specific to Tribunal proceedings</w:t>
      </w:r>
      <w:bookmarkEnd w:id="290"/>
    </w:p>
    <w:p>
      <w:pPr>
        <w:pStyle w:val="Subsection"/>
      </w:pPr>
      <w:r>
        <w:tab/>
        <w:t>(1)</w:t>
      </w:r>
      <w:r>
        <w:tab/>
        <w:t>A referral must be signed by the applicant or, where applicable, the applicant’s solicitor or agent and, where necessary, sealed by the applicant.</w:t>
      </w:r>
    </w:p>
    <w:p>
      <w:pPr>
        <w:pStyle w:val="Subsection"/>
      </w:pPr>
      <w:r>
        <w:tab/>
        <w:t>(2)</w:t>
      </w:r>
      <w:r>
        <w:tab/>
        <w:t>Unless in a particular case the Chief Commissioner otherwise directs, the Registrar must present a referral to the Chief Commissioner for allocation of the matter as soon as practicable after the referral is filed.</w:t>
      </w:r>
    </w:p>
    <w:p>
      <w:pPr>
        <w:pStyle w:val="Subsection"/>
      </w:pPr>
      <w:r>
        <w:tab/>
        <w:t>(3)</w:t>
      </w:r>
      <w:r>
        <w:tab/>
        <w:t>The Registrar must endorse on the referral the time within which a response under regulation 14 must be filed.</w:t>
      </w:r>
    </w:p>
    <w:p>
      <w:pPr>
        <w:pStyle w:val="Subsection"/>
        <w:keepNext/>
      </w:pPr>
      <w:r>
        <w:tab/>
        <w:t>(4)</w:t>
      </w:r>
      <w:r>
        <w:tab/>
        <w:t xml:space="preserve">The time within which a response must be filed is — </w:t>
      </w:r>
    </w:p>
    <w:p>
      <w:pPr>
        <w:pStyle w:val="Indenta"/>
      </w:pPr>
      <w:r>
        <w:tab/>
        <w:t>(a)</w:t>
      </w:r>
      <w:r>
        <w:tab/>
        <w:t>21 days after the respondent is served with the referral; or</w:t>
      </w:r>
    </w:p>
    <w:p>
      <w:pPr>
        <w:pStyle w:val="Indenta"/>
      </w:pPr>
      <w:r>
        <w:tab/>
        <w:t>(b)</w:t>
      </w:r>
      <w:r>
        <w:tab/>
        <w:t>if an application to the Tribunal for a shortened time for response is granted — the time determined by the Tribunal.</w:t>
      </w:r>
    </w:p>
    <w:p>
      <w:pPr>
        <w:pStyle w:val="Ednotesubsection"/>
      </w:pPr>
      <w:r>
        <w:tab/>
        <w:t>[(5)</w:t>
      </w:r>
      <w:r>
        <w:noBreakHyphen/>
        <w:t>(7)</w:t>
      </w:r>
      <w:r>
        <w:tab/>
        <w:t>deleted]</w:t>
      </w:r>
    </w:p>
    <w:p>
      <w:pPr>
        <w:pStyle w:val="Subsection"/>
      </w:pPr>
      <w:r>
        <w:tab/>
        <w:t>(8)</w:t>
      </w:r>
      <w:r>
        <w:tab/>
        <w:t xml:space="preserve">The Tribunal may orally, in writing, by telephone or email issue a summons to attend conciliation proceedings under the </w:t>
      </w:r>
      <w:r>
        <w:rPr>
          <w:i/>
          <w:iCs/>
        </w:rPr>
        <w:t>Owner</w:t>
      </w:r>
      <w:r>
        <w:rPr>
          <w:i/>
          <w:iCs/>
        </w:rPr>
        <w:noBreakHyphen/>
        <w:t>Drivers (Contracts and Disputes) Act 2007</w:t>
      </w:r>
      <w:r>
        <w:t xml:space="preserve"> section 45.</w:t>
      </w:r>
    </w:p>
    <w:p>
      <w:pPr>
        <w:pStyle w:val="Subsection"/>
      </w:pPr>
      <w:r>
        <w:lastRenderedPageBreak/>
        <w:tab/>
        <w:t>(9)</w:t>
      </w:r>
      <w:r>
        <w:tab/>
        <w:t xml:space="preserve">If a copy of the referral has been sent by email to the respondent by an officer of the Commission at the direction of the Tribunal, the Tribunal may, before the response is filed, arrange a conference under the </w:t>
      </w:r>
      <w:r>
        <w:rPr>
          <w:i/>
        </w:rPr>
        <w:t>Owner-Drivers (Contracts and Disputes) Act 2007</w:t>
      </w:r>
      <w:r>
        <w:t xml:space="preserve"> section 44(2)(b).</w:t>
      </w:r>
    </w:p>
    <w:p>
      <w:pPr>
        <w:pStyle w:val="Subsection"/>
      </w:pPr>
      <w:r>
        <w:tab/>
        <w:t>(10)</w:t>
      </w:r>
      <w:r>
        <w:tab/>
        <w:t xml:space="preserve">If the Tribunal gives or makes a direction, order or declaration under the </w:t>
      </w:r>
      <w:r>
        <w:rPr>
          <w:i/>
        </w:rPr>
        <w:t>Owner</w:t>
      </w:r>
      <w:r>
        <w:rPr>
          <w:i/>
        </w:rPr>
        <w:noBreakHyphen/>
        <w:t>Drivers (Contracts and Disputes) Act 2007</w:t>
      </w:r>
      <w:r>
        <w:t xml:space="preserve"> section 44(3) in writing or reduces it to writing (a </w:t>
      </w:r>
      <w:r>
        <w:rPr>
          <w:rStyle w:val="CharDefText"/>
        </w:rPr>
        <w:t>conciliation document</w:t>
      </w:r>
      <w:r>
        <w:t xml:space="preserve">), the Tribunal may give a direction (a </w:t>
      </w:r>
      <w:r>
        <w:rPr>
          <w:rStyle w:val="CharDefText"/>
        </w:rPr>
        <w:t>service direction</w:t>
      </w:r>
      <w:r>
        <w:t>) as to service of the conciliation document.</w:t>
      </w:r>
    </w:p>
    <w:p>
      <w:pPr>
        <w:pStyle w:val="Subsection"/>
        <w:keepNext/>
      </w:pPr>
      <w:r>
        <w:tab/>
        <w:t>(11)</w:t>
      </w:r>
      <w:r>
        <w:tab/>
        <w:t xml:space="preserve">The conciliation document must be — </w:t>
      </w:r>
    </w:p>
    <w:p>
      <w:pPr>
        <w:pStyle w:val="Indenta"/>
      </w:pPr>
      <w:r>
        <w:tab/>
        <w:t>(a)</w:t>
      </w:r>
      <w:r>
        <w:tab/>
        <w:t>sealed; and</w:t>
      </w:r>
    </w:p>
    <w:p>
      <w:pPr>
        <w:pStyle w:val="Indenta"/>
        <w:keepNext/>
      </w:pPr>
      <w:r>
        <w:tab/>
        <w:t>(b)</w:t>
      </w:r>
      <w:r>
        <w:tab/>
        <w:t xml:space="preserve">served — </w:t>
      </w:r>
    </w:p>
    <w:p>
      <w:pPr>
        <w:pStyle w:val="Indenti"/>
      </w:pPr>
      <w:r>
        <w:tab/>
        <w:t>(i)</w:t>
      </w:r>
      <w:r>
        <w:tab/>
        <w:t>if a service direction is made — in accordance with the service direction; or</w:t>
      </w:r>
    </w:p>
    <w:p>
      <w:pPr>
        <w:pStyle w:val="Indenti"/>
        <w:keepNext/>
      </w:pPr>
      <w:r>
        <w:tab/>
        <w:t>(ii)</w:t>
      </w:r>
      <w:r>
        <w:tab/>
        <w:t>otherwise — by the Registrar on the parties.</w:t>
      </w:r>
    </w:p>
    <w:p>
      <w:pPr>
        <w:pStyle w:val="Footnotesection"/>
      </w:pPr>
      <w:r>
        <w:tab/>
        <w:t>[Regulation 99D inserted: Gazette 10 Jun 2008 p. 2492-3; amended: Gazette 4 Jul 2014 p. 2390; 5 Mar 2019 p. 611, 619</w:t>
      </w:r>
      <w:r>
        <w:noBreakHyphen/>
        <w:t>20 and 622</w:t>
      </w:r>
      <w:r>
        <w:noBreakHyphen/>
        <w:t>5; SL 2022/6 r. 7; SL 2022/19 r. 12.]</w:t>
      </w:r>
    </w:p>
    <w:p>
      <w:pPr>
        <w:pStyle w:val="Ednotesection"/>
      </w:pPr>
      <w:r>
        <w:t>[</w:t>
      </w:r>
      <w:r>
        <w:rPr>
          <w:b/>
        </w:rPr>
        <w:t>99E.</w:t>
      </w:r>
      <w:r>
        <w:tab/>
        <w:t>Deleted: SL 2022/75 r. 29.]</w:t>
      </w:r>
    </w:p>
    <w:p>
      <w:pPr>
        <w:pStyle w:val="Heading2"/>
      </w:pPr>
      <w:bookmarkStart w:id="291" w:name="_Toc201649085"/>
      <w:bookmarkStart w:id="292" w:name="_Toc201649279"/>
      <w:bookmarkStart w:id="293" w:name="_Toc201650139"/>
      <w:bookmarkStart w:id="294" w:name="_Toc201650467"/>
      <w:bookmarkStart w:id="295" w:name="_Toc201657276"/>
      <w:r>
        <w:rPr>
          <w:rStyle w:val="CharPartNo"/>
        </w:rPr>
        <w:lastRenderedPageBreak/>
        <w:t>Part 11</w:t>
      </w:r>
      <w:r>
        <w:t> — </w:t>
      </w:r>
      <w:r>
        <w:rPr>
          <w:rStyle w:val="CharPartText"/>
        </w:rPr>
        <w:t>Appeals generally</w:t>
      </w:r>
      <w:bookmarkEnd w:id="291"/>
      <w:bookmarkEnd w:id="292"/>
      <w:bookmarkEnd w:id="293"/>
      <w:bookmarkEnd w:id="294"/>
      <w:bookmarkEnd w:id="295"/>
    </w:p>
    <w:p>
      <w:pPr>
        <w:pStyle w:val="Heading3"/>
      </w:pPr>
      <w:bookmarkStart w:id="296" w:name="_Toc201649086"/>
      <w:bookmarkStart w:id="297" w:name="_Toc201649280"/>
      <w:bookmarkStart w:id="298" w:name="_Toc201650140"/>
      <w:bookmarkStart w:id="299" w:name="_Toc201650468"/>
      <w:bookmarkStart w:id="300" w:name="_Toc201657277"/>
      <w:r>
        <w:rPr>
          <w:rStyle w:val="CharDivNo"/>
        </w:rPr>
        <w:t>Division 1</w:t>
      </w:r>
      <w:r>
        <w:t> — </w:t>
      </w:r>
      <w:r>
        <w:rPr>
          <w:rStyle w:val="CharDivText"/>
        </w:rPr>
        <w:t>Appeals to Commission</w:t>
      </w:r>
      <w:bookmarkEnd w:id="296"/>
      <w:bookmarkEnd w:id="297"/>
      <w:bookmarkEnd w:id="298"/>
      <w:bookmarkEnd w:id="299"/>
      <w:bookmarkEnd w:id="300"/>
    </w:p>
    <w:p>
      <w:pPr>
        <w:pStyle w:val="Heading5"/>
        <w:spacing w:before="240"/>
      </w:pPr>
      <w:bookmarkStart w:id="301" w:name="_Toc201657278"/>
      <w:r>
        <w:rPr>
          <w:rStyle w:val="CharSectno"/>
        </w:rPr>
        <w:t>100</w:t>
      </w:r>
      <w:r>
        <w:t>.</w:t>
      </w:r>
      <w:r>
        <w:tab/>
        <w:t>Appeals under section 97VM</w:t>
      </w:r>
      <w:bookmarkEnd w:id="301"/>
    </w:p>
    <w:p>
      <w:pPr>
        <w:pStyle w:val="Subsection"/>
      </w:pPr>
      <w:r>
        <w:tab/>
        <w:t>(1)</w:t>
      </w:r>
      <w:r>
        <w:tab/>
        <w:t xml:space="preserve">An appeal to the Commission under section 97VM </w:t>
      </w:r>
      <w:r>
        <w:rPr>
          <w:snapToGrid w:val="0"/>
        </w:rPr>
        <w:t xml:space="preserve">of the Act </w:t>
      </w:r>
      <w:r>
        <w:t xml:space="preserve">against a refusal by the Registrar to register the EEA </w:t>
      </w:r>
      <w:r>
        <w:rPr>
          <w:snapToGrid w:val="0"/>
        </w:rPr>
        <w:t>may</w:t>
      </w:r>
      <w:r>
        <w:t xml:space="preserve"> be commenced by filing a notice of appeal in the approved form.</w:t>
      </w:r>
    </w:p>
    <w:p>
      <w:pPr>
        <w:pStyle w:val="Subsection"/>
      </w:pPr>
      <w:r>
        <w:tab/>
        <w:t>(2)</w:t>
      </w:r>
      <w:r>
        <w:tab/>
        <w:t xml:space="preserve">The appellant </w:t>
      </w:r>
      <w:r>
        <w:rPr>
          <w:snapToGrid w:val="0"/>
        </w:rPr>
        <w:t>must</w:t>
      </w:r>
      <w:r>
        <w:t xml:space="preserve"> serve a copy of the appeal on each other party to the EEA the subject of the appeal.</w:t>
      </w:r>
    </w:p>
    <w:p>
      <w:pPr>
        <w:pStyle w:val="Footnotesection"/>
      </w:pPr>
      <w:r>
        <w:tab/>
        <w:t>[Regulation 100 amended: Gazette 5 Mar 2019 p. 622</w:t>
      </w:r>
      <w:r>
        <w:noBreakHyphen/>
        <w:t>5.]</w:t>
      </w:r>
    </w:p>
    <w:p>
      <w:pPr>
        <w:pStyle w:val="Heading5"/>
        <w:spacing w:before="240"/>
        <w:rPr>
          <w:snapToGrid w:val="0"/>
        </w:rPr>
      </w:pPr>
      <w:bookmarkStart w:id="302" w:name="_Toc201657279"/>
      <w:r>
        <w:rPr>
          <w:rStyle w:val="CharSectno"/>
        </w:rPr>
        <w:t>101</w:t>
      </w:r>
      <w:r>
        <w:t>.</w:t>
      </w:r>
      <w:r>
        <w:tab/>
        <w:t xml:space="preserve">Appeal under </w:t>
      </w:r>
      <w:r>
        <w:rPr>
          <w:i/>
        </w:rPr>
        <w:t>Vocational Education and Training Act 1996</w:t>
      </w:r>
      <w:bookmarkEnd w:id="302"/>
    </w:p>
    <w:p>
      <w:pPr>
        <w:pStyle w:val="Subsection"/>
        <w:spacing w:before="180"/>
      </w:pPr>
      <w:r>
        <w:tab/>
        <w:t>(1)</w:t>
      </w:r>
      <w:r>
        <w:tab/>
        <w:t xml:space="preserve">An appeal to the Commission made under the </w:t>
      </w:r>
      <w:r>
        <w:rPr>
          <w:i/>
          <w:iCs/>
        </w:rPr>
        <w:t>Vocational Education and Training Act 1996</w:t>
      </w:r>
      <w:r>
        <w:t xml:space="preserve"> section 60F(8) or 60G(4) or under regulations made under section 60(f)(ii) of that Act may be commenced by lodging in the office of the Registrar a notice of appeal in the approved form.</w:t>
      </w:r>
    </w:p>
    <w:p>
      <w:pPr>
        <w:pStyle w:val="Subsection"/>
        <w:spacing w:before="180"/>
      </w:pPr>
      <w:r>
        <w:tab/>
        <w:t>(2)</w:t>
      </w:r>
      <w:r>
        <w:tab/>
        <w:t>The notice of appeal must be lodged within 14 days from the date of the decision against which the appeal is brought or such longer period as the Commission may allow.</w:t>
      </w:r>
    </w:p>
    <w:p>
      <w:pPr>
        <w:pStyle w:val="Subsection"/>
        <w:spacing w:before="180"/>
      </w:pPr>
      <w:r>
        <w:tab/>
        <w:t>(3A)</w:t>
      </w:r>
      <w:r>
        <w:tab/>
        <w:t xml:space="preserve">The Registrar is to — </w:t>
      </w:r>
    </w:p>
    <w:p>
      <w:pPr>
        <w:pStyle w:val="Indenta"/>
      </w:pPr>
      <w:r>
        <w:tab/>
        <w:t>(a)</w:t>
      </w:r>
      <w:r>
        <w:tab/>
        <w:t>serve a copy of the notice of appeal on each of the parties, other than the appellant; and</w:t>
      </w:r>
    </w:p>
    <w:p>
      <w:pPr>
        <w:pStyle w:val="Indenta"/>
      </w:pPr>
      <w:r>
        <w:tab/>
        <w:t>(b)</w:t>
      </w:r>
      <w:r>
        <w:tab/>
        <w:t>forward the notice of appeal to the Chief Commissioner for allocation.</w:t>
      </w:r>
    </w:p>
    <w:p>
      <w:pPr>
        <w:pStyle w:val="Subsection"/>
        <w:spacing w:before="180"/>
      </w:pPr>
      <w:r>
        <w:tab/>
        <w:t>(3B)</w:t>
      </w:r>
      <w:r>
        <w:tab/>
        <w:t>The appeal is not to be listed for hearing until subregulation (3A) has been complied with.</w:t>
      </w:r>
    </w:p>
    <w:p>
      <w:pPr>
        <w:pStyle w:val="Subsection"/>
        <w:spacing w:before="180"/>
      </w:pPr>
      <w:r>
        <w:tab/>
        <w:t>(3C)</w:t>
      </w:r>
      <w:r>
        <w:tab/>
        <w:t>An appeal against a decision does not stay the operation of the decision unless the Commission orders otherwise.</w:t>
      </w:r>
    </w:p>
    <w:p>
      <w:pPr>
        <w:pStyle w:val="Subsection"/>
        <w:keepNext/>
        <w:keepLines/>
        <w:spacing w:before="180"/>
        <w:rPr>
          <w:snapToGrid w:val="0"/>
        </w:rPr>
      </w:pPr>
      <w:r>
        <w:rPr>
          <w:snapToGrid w:val="0"/>
        </w:rPr>
        <w:lastRenderedPageBreak/>
        <w:tab/>
        <w:t>(3)</w:t>
      </w:r>
      <w:r>
        <w:rPr>
          <w:snapToGrid w:val="0"/>
        </w:rPr>
        <w:tab/>
        <w:t>The Commission is to give notice to the parties to the appeal of the time and date fixed for the hearing of the appeal.</w:t>
      </w:r>
    </w:p>
    <w:p>
      <w:pPr>
        <w:pStyle w:val="Subsection"/>
        <w:rPr>
          <w:snapToGrid w:val="0"/>
        </w:rPr>
      </w:pPr>
      <w:r>
        <w:rPr>
          <w:snapToGrid w:val="0"/>
        </w:rPr>
        <w:tab/>
        <w:t>(4)</w:t>
      </w:r>
      <w:r>
        <w:rPr>
          <w:snapToGrid w:val="0"/>
        </w:rPr>
        <w:tab/>
        <w:t>Except with the agreement of all parties,</w:t>
      </w:r>
      <w:r>
        <w:t xml:space="preserve"> the</w:t>
      </w:r>
      <w:r>
        <w:rPr>
          <w:snapToGrid w:val="0"/>
        </w:rPr>
        <w:t xml:space="preserve"> notice is not to be given less than 7 days before the day fixed for the hearing.</w:t>
      </w:r>
    </w:p>
    <w:p>
      <w:pPr>
        <w:pStyle w:val="Subsection"/>
      </w:pPr>
      <w:r>
        <w:tab/>
        <w:t>(5)</w:t>
      </w:r>
      <w:r>
        <w:tab/>
        <w:t>On determination of the appeal the Registrar is to notify the parties to the appeal of the Commission’s decision.</w:t>
      </w:r>
    </w:p>
    <w:p>
      <w:pPr>
        <w:pStyle w:val="Footnotesection"/>
      </w:pPr>
      <w:r>
        <w:tab/>
        <w:t>[Regulation 101 amended: Gazette 16 Jun 2009 p. 2189</w:t>
      </w:r>
      <w:r>
        <w:noBreakHyphen/>
        <w:t>90; 5 Mar 2019 p. 612 and 622</w:t>
      </w:r>
      <w:r>
        <w:noBreakHyphen/>
        <w:t>5.]</w:t>
      </w:r>
    </w:p>
    <w:p>
      <w:pPr>
        <w:pStyle w:val="Heading5"/>
      </w:pPr>
      <w:bookmarkStart w:id="303" w:name="_Toc201657280"/>
      <w:r>
        <w:rPr>
          <w:rStyle w:val="CharSectno"/>
        </w:rPr>
        <w:t>102A</w:t>
      </w:r>
      <w:r>
        <w:t>.</w:t>
      </w:r>
      <w:r>
        <w:tab/>
        <w:t>Review of decisions of Construction Industry Long Service Leave Payments Board</w:t>
      </w:r>
      <w:bookmarkEnd w:id="303"/>
    </w:p>
    <w:p>
      <w:pPr>
        <w:pStyle w:val="Subsection"/>
      </w:pPr>
      <w:r>
        <w:tab/>
        <w:t>(1)</w:t>
      </w:r>
      <w:r>
        <w:tab/>
        <w:t xml:space="preserve">In this regulation — </w:t>
      </w:r>
    </w:p>
    <w:p>
      <w:pPr>
        <w:pStyle w:val="Defstart"/>
      </w:pPr>
      <w:r>
        <w:tab/>
      </w:r>
      <w:r>
        <w:rPr>
          <w:rStyle w:val="CharDefText"/>
        </w:rPr>
        <w:t>Board</w:t>
      </w:r>
      <w:r>
        <w:t xml:space="preserve"> has the meaning given in the </w:t>
      </w:r>
      <w:r>
        <w:rPr>
          <w:i/>
        </w:rPr>
        <w:t>Construction Industry Portable Paid Long Service Leave Act 1985</w:t>
      </w:r>
      <w:r>
        <w:t xml:space="preserve"> section 3(1);</w:t>
      </w:r>
    </w:p>
    <w:p>
      <w:pPr>
        <w:pStyle w:val="Defstart"/>
      </w:pPr>
      <w:r>
        <w:tab/>
      </w:r>
      <w:r>
        <w:rPr>
          <w:rStyle w:val="CharDefText"/>
        </w:rPr>
        <w:t>reviewable decision</w:t>
      </w:r>
      <w:r>
        <w:t xml:space="preserve"> has the meaning given in the </w:t>
      </w:r>
      <w:r>
        <w:rPr>
          <w:i/>
        </w:rPr>
        <w:t>Construction Industry Portable Paid Long Service Leave Act 1985</w:t>
      </w:r>
      <w:r>
        <w:t xml:space="preserve"> section 50(1).</w:t>
      </w:r>
    </w:p>
    <w:p>
      <w:pPr>
        <w:pStyle w:val="Subsection"/>
      </w:pPr>
      <w:r>
        <w:tab/>
        <w:t>(2)</w:t>
      </w:r>
      <w:r>
        <w:tab/>
        <w:t xml:space="preserve">A reviewable decision may be referred for review to the Commission under the </w:t>
      </w:r>
      <w:r>
        <w:rPr>
          <w:i/>
        </w:rPr>
        <w:t>Construction Industry Portable Paid Long Service Leave Act 1985</w:t>
      </w:r>
      <w:r>
        <w:t xml:space="preserve"> section 50 by lodging, within 21 days from the date of that decision, a notice of referral in the approved form.</w:t>
      </w:r>
    </w:p>
    <w:p>
      <w:pPr>
        <w:pStyle w:val="Subsection"/>
      </w:pPr>
      <w:r>
        <w:tab/>
        <w:t>(3)</w:t>
      </w:r>
      <w:r>
        <w:tab/>
        <w:t xml:space="preserve">After a notice of referral is lodged under subregulation (2), the Registrar must serve a copy of the notice on — </w:t>
      </w:r>
    </w:p>
    <w:p>
      <w:pPr>
        <w:pStyle w:val="Indenta"/>
      </w:pPr>
      <w:r>
        <w:tab/>
        <w:t>(a)</w:t>
      </w:r>
      <w:r>
        <w:tab/>
        <w:t>the chief executive officer of the Board; and</w:t>
      </w:r>
    </w:p>
    <w:p>
      <w:pPr>
        <w:pStyle w:val="Indenta"/>
      </w:pPr>
      <w:r>
        <w:tab/>
        <w:t>(b)</w:t>
      </w:r>
      <w:r>
        <w:tab/>
        <w:t>each other person who was a party to the proceedings before the Board.</w:t>
      </w:r>
    </w:p>
    <w:p>
      <w:pPr>
        <w:pStyle w:val="Subsection"/>
      </w:pPr>
      <w:r>
        <w:tab/>
        <w:t>(4)</w:t>
      </w:r>
      <w:r>
        <w:tab/>
        <w:t>Unless in a particular case the Chief Commissioner otherwise directs, the Registrar is to present a notice of referral to the Chief Commissioner for allocation of the matter as soon as practicable after the notice is lodged.</w:t>
      </w:r>
    </w:p>
    <w:p>
      <w:pPr>
        <w:pStyle w:val="Subsection"/>
      </w:pPr>
      <w:r>
        <w:lastRenderedPageBreak/>
        <w:tab/>
        <w:t>(5)</w:t>
      </w:r>
      <w:r>
        <w:tab/>
        <w:t>Subject to subregulation (6), the filing of a notice of referral lodged under subregulation (2) stays the operation of the reviewable decision concerned pending the determination of the review of that decision.</w:t>
      </w:r>
    </w:p>
    <w:p>
      <w:pPr>
        <w:pStyle w:val="Subsection"/>
      </w:pPr>
      <w:r>
        <w:tab/>
        <w:t>(6)</w:t>
      </w:r>
      <w:r>
        <w:tab/>
        <w:t>On application by any person referred to in subregulation (3)(b), the Commission may, subject to such conditions as it may determine, direct that a reviewable decision that is referred for review continues to operate according to its tenor pending the determination of the review.</w:t>
      </w:r>
    </w:p>
    <w:p>
      <w:pPr>
        <w:pStyle w:val="Subsection"/>
      </w:pPr>
      <w:r>
        <w:tab/>
        <w:t>(7)</w:t>
      </w:r>
      <w:r>
        <w:tab/>
        <w:t xml:space="preserve">After an application is lodged under subregulation (6), the Registrar must serve a copy of the application on — </w:t>
      </w:r>
    </w:p>
    <w:p>
      <w:pPr>
        <w:pStyle w:val="Indenta"/>
      </w:pPr>
      <w:r>
        <w:tab/>
        <w:t>(a)</w:t>
      </w:r>
      <w:r>
        <w:tab/>
        <w:t>the chief executive officer of the Board; and</w:t>
      </w:r>
    </w:p>
    <w:p>
      <w:pPr>
        <w:pStyle w:val="Indenta"/>
      </w:pPr>
      <w:r>
        <w:tab/>
        <w:t>(b)</w:t>
      </w:r>
      <w:r>
        <w:tab/>
        <w:t>each other person who was a party to the proceedings before the Board.</w:t>
      </w:r>
    </w:p>
    <w:p>
      <w:pPr>
        <w:pStyle w:val="Footnotesection"/>
      </w:pPr>
      <w:r>
        <w:tab/>
        <w:t>[Regulation 102A inserted: Gazette 16 Mar 2012 p. 1253</w:t>
      </w:r>
      <w:r>
        <w:noBreakHyphen/>
        <w:t>4; amended: Gazette 5 Mar 2019 p. 613 and 622</w:t>
      </w:r>
      <w:r>
        <w:noBreakHyphen/>
        <w:t>5.]</w:t>
      </w:r>
    </w:p>
    <w:p>
      <w:pPr>
        <w:pStyle w:val="Heading3"/>
      </w:pPr>
      <w:bookmarkStart w:id="304" w:name="_Toc201649090"/>
      <w:bookmarkStart w:id="305" w:name="_Toc201649284"/>
      <w:bookmarkStart w:id="306" w:name="_Toc201650144"/>
      <w:bookmarkStart w:id="307" w:name="_Toc201650472"/>
      <w:bookmarkStart w:id="308" w:name="_Toc201657281"/>
      <w:r>
        <w:rPr>
          <w:rStyle w:val="CharDivNo"/>
        </w:rPr>
        <w:t>Division 2</w:t>
      </w:r>
      <w:r>
        <w:t> — </w:t>
      </w:r>
      <w:r>
        <w:rPr>
          <w:rStyle w:val="CharDivText"/>
        </w:rPr>
        <w:t>Appeals to Full Bench</w:t>
      </w:r>
      <w:bookmarkEnd w:id="304"/>
      <w:bookmarkEnd w:id="305"/>
      <w:bookmarkEnd w:id="306"/>
      <w:bookmarkEnd w:id="307"/>
      <w:bookmarkEnd w:id="308"/>
    </w:p>
    <w:p>
      <w:pPr>
        <w:pStyle w:val="Heading5"/>
        <w:rPr>
          <w:snapToGrid w:val="0"/>
        </w:rPr>
      </w:pPr>
      <w:bookmarkStart w:id="309" w:name="_Toc201657282"/>
      <w:r>
        <w:rPr>
          <w:rStyle w:val="CharSectno"/>
        </w:rPr>
        <w:t>102</w:t>
      </w:r>
      <w:r>
        <w:t>.</w:t>
      </w:r>
      <w:r>
        <w:tab/>
      </w:r>
      <w:r>
        <w:rPr>
          <w:snapToGrid w:val="0"/>
        </w:rPr>
        <w:t>Appeals to Full Bench</w:t>
      </w:r>
      <w:bookmarkEnd w:id="309"/>
    </w:p>
    <w:p>
      <w:pPr>
        <w:pStyle w:val="Subsection"/>
        <w:rPr>
          <w:snapToGrid w:val="0"/>
        </w:rPr>
      </w:pPr>
      <w:r>
        <w:rPr>
          <w:snapToGrid w:val="0"/>
        </w:rPr>
        <w:tab/>
        <w:t>(1)</w:t>
      </w:r>
      <w:r>
        <w:rPr>
          <w:snapToGrid w:val="0"/>
        </w:rPr>
        <w:tab/>
        <w:t xml:space="preserve">An appeal to the Full Bench from a decision of the Commission may be commenced by filing a notice of appeal in the </w:t>
      </w:r>
      <w:r>
        <w:t>approved form.</w:t>
      </w:r>
    </w:p>
    <w:p>
      <w:pPr>
        <w:pStyle w:val="Subsection"/>
        <w:rPr>
          <w:snapToGrid w:val="0"/>
        </w:rPr>
      </w:pPr>
      <w:r>
        <w:rPr>
          <w:snapToGrid w:val="0"/>
        </w:rPr>
        <w:tab/>
        <w:t>(2)</w:t>
      </w:r>
      <w:r>
        <w:rPr>
          <w:snapToGrid w:val="0"/>
        </w:rPr>
        <w:tab/>
        <w:t>The notice of appeal must clearly and concisely set out the grounds of appeal and what alternative decision the appellant seeks.</w:t>
      </w:r>
    </w:p>
    <w:p>
      <w:pPr>
        <w:pStyle w:val="Subsection"/>
        <w:rPr>
          <w:snapToGrid w:val="0"/>
        </w:rPr>
      </w:pPr>
      <w:r>
        <w:rPr>
          <w:snapToGrid w:val="0"/>
        </w:rPr>
        <w:tab/>
        <w:t>(3)</w:t>
      </w:r>
      <w:r>
        <w:rPr>
          <w:snapToGrid w:val="0"/>
        </w:rPr>
        <w:tab/>
        <w:t>Without affecting the operation of subregulation (2), it is not sufficient to allege that a decision or part of it is against the evidence or the weight of evidence or that it is wrong in law.  The notice must specify the particulars relied on to demonstrate that it is against the evidence and the weight of evidence and the specific reasons why it is alleged to be wrong in law.</w:t>
      </w:r>
    </w:p>
    <w:p>
      <w:pPr>
        <w:pStyle w:val="Subsection"/>
        <w:rPr>
          <w:snapToGrid w:val="0"/>
        </w:rPr>
      </w:pPr>
      <w:r>
        <w:rPr>
          <w:snapToGrid w:val="0"/>
        </w:rPr>
        <w:lastRenderedPageBreak/>
        <w:tab/>
        <w:t>(4)</w:t>
      </w:r>
      <w:r>
        <w:rPr>
          <w:snapToGrid w:val="0"/>
        </w:rPr>
        <w:tab/>
        <w:t>In the case of an appeal from a decision that is a finding, the statement setting out the grounds of appeal must, in addition, briefly state the reasons why it is considered that the matter is of such importance that in the public interest an appeal should lie.</w:t>
      </w:r>
    </w:p>
    <w:p>
      <w:pPr>
        <w:pStyle w:val="Subsection"/>
      </w:pPr>
      <w:r>
        <w:tab/>
        <w:t>(5)</w:t>
      </w:r>
      <w:r>
        <w:tab/>
        <w:t>After the notice of appeal is filed, the Registrar must serve a copy of the notice on each person who was a party to the proceedings before the Commission or on the agent or solicitor who represented that party.</w:t>
      </w:r>
    </w:p>
    <w:p>
      <w:pPr>
        <w:pStyle w:val="Subsection"/>
        <w:rPr>
          <w:snapToGrid w:val="0"/>
        </w:rPr>
      </w:pPr>
      <w:r>
        <w:rPr>
          <w:snapToGrid w:val="0"/>
        </w:rPr>
        <w:tab/>
        <w:t>(6)</w:t>
      </w:r>
      <w:r>
        <w:rPr>
          <w:snapToGrid w:val="0"/>
        </w:rPr>
        <w:tab/>
        <w:t xml:space="preserve">On application made by any person who has a sufficient interest the </w:t>
      </w:r>
      <w:r>
        <w:t>presiding commissioner</w:t>
      </w:r>
      <w:r>
        <w:rPr>
          <w:snapToGrid w:val="0"/>
        </w:rPr>
        <w:t xml:space="preserve"> may, subject to such conditions as the </w:t>
      </w:r>
      <w:r>
        <w:t>presiding commissioner</w:t>
      </w:r>
      <w:r>
        <w:rPr>
          <w:snapToGrid w:val="0"/>
        </w:rPr>
        <w:t xml:space="preserve"> determines, order that the operation of the decision appealed against be stayed wholly or in part pending the hearing and determination of the appeal.</w:t>
      </w:r>
    </w:p>
    <w:p>
      <w:pPr>
        <w:pStyle w:val="Subsection"/>
      </w:pPr>
      <w:r>
        <w:tab/>
        <w:t>(7)</w:t>
      </w:r>
      <w:r>
        <w:tab/>
        <w:t>An application made under subregulation (6) must —</w:t>
      </w:r>
    </w:p>
    <w:p>
      <w:pPr>
        <w:pStyle w:val="Indenta"/>
      </w:pPr>
      <w:r>
        <w:tab/>
        <w:t>(a)</w:t>
      </w:r>
      <w:r>
        <w:tab/>
        <w:t xml:space="preserve">be in the form of a notice of application in the approved form; and </w:t>
      </w:r>
    </w:p>
    <w:p>
      <w:pPr>
        <w:pStyle w:val="Indenta"/>
      </w:pPr>
      <w:r>
        <w:tab/>
        <w:t>(b)</w:t>
      </w:r>
      <w:r>
        <w:tab/>
        <w:t>be supported by a statutory declaration setting out the facts relied on to support the application.</w:t>
      </w:r>
    </w:p>
    <w:p>
      <w:pPr>
        <w:pStyle w:val="Subsection"/>
        <w:rPr>
          <w:snapToGrid w:val="0"/>
        </w:rPr>
      </w:pPr>
      <w:r>
        <w:rPr>
          <w:snapToGrid w:val="0"/>
        </w:rPr>
        <w:tab/>
        <w:t>(8)</w:t>
      </w:r>
      <w:r>
        <w:rPr>
          <w:snapToGrid w:val="0"/>
        </w:rPr>
        <w:tab/>
        <w:t xml:space="preserve">Before returning the stamped copies of the application for an order staying the operation of a decision the </w:t>
      </w:r>
      <w:r>
        <w:t>presiding commissioner</w:t>
      </w:r>
      <w:r>
        <w:rPr>
          <w:snapToGrid w:val="0"/>
        </w:rPr>
        <w:t xml:space="preserve"> is to endorse the same with the date of hearing and any necessary directions.</w:t>
      </w:r>
    </w:p>
    <w:p>
      <w:pPr>
        <w:pStyle w:val="Subsection"/>
      </w:pPr>
      <w:r>
        <w:tab/>
        <w:t>(9)</w:t>
      </w:r>
      <w:r>
        <w:tab/>
        <w:t>After an application is made under subregulation (6), the Registrar must serve a copy of the application on each person referred to in subregulation (5).</w:t>
      </w:r>
    </w:p>
    <w:p>
      <w:pPr>
        <w:pStyle w:val="Subsection"/>
      </w:pPr>
      <w:r>
        <w:tab/>
        <w:t>(10)</w:t>
      </w:r>
      <w:r>
        <w:tab/>
        <w:t xml:space="preserve">Within 14 days of filing a notice of appeal, the appellant must — </w:t>
      </w:r>
    </w:p>
    <w:p>
      <w:pPr>
        <w:pStyle w:val="Indenta"/>
      </w:pPr>
      <w:r>
        <w:tab/>
        <w:t>(a)</w:t>
      </w:r>
      <w:r>
        <w:tab/>
        <w:t>lodge 3 copies of an appeal book prepared and bound in an approved form; and</w:t>
      </w:r>
    </w:p>
    <w:p>
      <w:pPr>
        <w:pStyle w:val="Indenta"/>
      </w:pPr>
      <w:r>
        <w:tab/>
        <w:t>(b)</w:t>
      </w:r>
      <w:r>
        <w:tab/>
        <w:t>serve a copy of the appeal book on each person referred to in subregulation (5).</w:t>
      </w:r>
    </w:p>
    <w:p>
      <w:pPr>
        <w:pStyle w:val="Subsection"/>
      </w:pPr>
      <w:r>
        <w:lastRenderedPageBreak/>
        <w:tab/>
        <w:t>(10A)</w:t>
      </w:r>
      <w:r>
        <w:tab/>
        <w:t>If a decision of the Commission that is the subject of an appeal was made in respect of proceedings that were formally joined and matters that were heard and determined together, the appellant may lodge and serve under subregulation (10) the required copies of 1 appeal book that contains the documents required under subregulation (11A) for all of those matters.</w:t>
      </w:r>
    </w:p>
    <w:p>
      <w:pPr>
        <w:pStyle w:val="Subsection"/>
        <w:keepNext/>
      </w:pPr>
      <w:r>
        <w:tab/>
        <w:t>(11A)</w:t>
      </w:r>
      <w:r>
        <w:tab/>
        <w:t xml:space="preserve">Unless in a particular case the presiding commissioner directs otherwise, each appeal book must contain the following — </w:t>
      </w:r>
    </w:p>
    <w:p>
      <w:pPr>
        <w:pStyle w:val="Indenta"/>
      </w:pPr>
      <w:r>
        <w:tab/>
        <w:t>(a)</w:t>
      </w:r>
      <w:r>
        <w:tab/>
        <w:t>a copy of the notice of appeal;</w:t>
      </w:r>
    </w:p>
    <w:p>
      <w:pPr>
        <w:pStyle w:val="Indenta"/>
      </w:pPr>
      <w:r>
        <w:tab/>
        <w:t>(b)</w:t>
      </w:r>
      <w:r>
        <w:tab/>
        <w:t>a copy of the application or reference instituting the proceedings before the Commission;</w:t>
      </w:r>
    </w:p>
    <w:p>
      <w:pPr>
        <w:pStyle w:val="Indenta"/>
      </w:pPr>
      <w:r>
        <w:tab/>
        <w:t>(c)</w:t>
      </w:r>
      <w:r>
        <w:tab/>
        <w:t>a copy of any response or counter</w:t>
      </w:r>
      <w:r>
        <w:noBreakHyphen/>
        <w:t>proposal filed in the proceedings;</w:t>
      </w:r>
    </w:p>
    <w:p>
      <w:pPr>
        <w:pStyle w:val="Indenta"/>
      </w:pPr>
      <w:r>
        <w:tab/>
        <w:t>(d)</w:t>
      </w:r>
      <w:r>
        <w:tab/>
        <w:t>where applicable, a copy of that part or those parts of the settled issues containing the matters relevant to the appeal that were before the Commission;</w:t>
      </w:r>
    </w:p>
    <w:p>
      <w:pPr>
        <w:pStyle w:val="Indenta"/>
      </w:pPr>
      <w:r>
        <w:tab/>
        <w:t>(e)</w:t>
      </w:r>
      <w:r>
        <w:tab/>
        <w:t>any written submissions, or outline of submissions, provided to the Commission;</w:t>
      </w:r>
    </w:p>
    <w:p>
      <w:pPr>
        <w:pStyle w:val="Indenta"/>
      </w:pPr>
      <w:r>
        <w:tab/>
        <w:t>(f)</w:t>
      </w:r>
      <w:r>
        <w:tab/>
        <w:t>a copy of the decision that is the subject of the appeal and the Commission’s reasons for that decision;</w:t>
      </w:r>
    </w:p>
    <w:p>
      <w:pPr>
        <w:pStyle w:val="Indenta"/>
      </w:pPr>
      <w:r>
        <w:tab/>
        <w:t>(g)</w:t>
      </w:r>
      <w:r>
        <w:tab/>
        <w:t>a list of the page numbers of the transcript of the proceedings at which reference is made to the subject matter of the appeal;</w:t>
      </w:r>
    </w:p>
    <w:p>
      <w:pPr>
        <w:pStyle w:val="Indenta"/>
      </w:pPr>
      <w:r>
        <w:tab/>
        <w:t>(h)</w:t>
      </w:r>
      <w:r>
        <w:tab/>
        <w:t>a copy of all relevant exhibits tendered during the proceedings;</w:t>
      </w:r>
    </w:p>
    <w:p>
      <w:pPr>
        <w:pStyle w:val="Indenta"/>
      </w:pPr>
      <w:r>
        <w:tab/>
        <w:t>(i)</w:t>
      </w:r>
      <w:r>
        <w:tab/>
        <w:t>a copy of any other document which will be required by the Full Bench to determine the appeal, including any further particulars of the claim or response filed in the proceedings.</w:t>
      </w:r>
    </w:p>
    <w:p>
      <w:pPr>
        <w:pStyle w:val="Subsection"/>
        <w:rPr>
          <w:snapToGrid w:val="0"/>
        </w:rPr>
      </w:pPr>
      <w:r>
        <w:rPr>
          <w:snapToGrid w:val="0"/>
        </w:rPr>
        <w:tab/>
        <w:t>(11)</w:t>
      </w:r>
      <w:r>
        <w:rPr>
          <w:snapToGrid w:val="0"/>
        </w:rPr>
        <w:tab/>
        <w:t>The Registrar is not to accept an appeal book unless all documents contained in the appeal book are clearly legible.</w:t>
      </w:r>
    </w:p>
    <w:p>
      <w:pPr>
        <w:pStyle w:val="Subsection"/>
      </w:pPr>
      <w:r>
        <w:lastRenderedPageBreak/>
        <w:tab/>
        <w:t>(12)</w:t>
      </w:r>
      <w:r>
        <w:tab/>
        <w:t>If a person who was a party to the proceedings before the Commission proposes to argue at the hearing of the appeal that the decision of the Commission should be upheld on grounds other than those relied on by the Commission in that decision, the person must, within 14 days after service of a copy of the appeal book, file a notice of contention in the approved form that sets out those other grounds.</w:t>
      </w:r>
    </w:p>
    <w:p>
      <w:pPr>
        <w:pStyle w:val="Subsection"/>
        <w:rPr>
          <w:snapToGrid w:val="0"/>
        </w:rPr>
      </w:pPr>
      <w:r>
        <w:rPr>
          <w:snapToGrid w:val="0"/>
        </w:rPr>
        <w:tab/>
        <w:t>(13)</w:t>
      </w:r>
      <w:r>
        <w:rPr>
          <w:snapToGrid w:val="0"/>
        </w:rPr>
        <w:tab/>
        <w:t xml:space="preserve">The provisions of these regulations relating to appeals to the Full Bench from a decision of the Commission apply, so far as is practicable and with such modifications to forms as are necessary, to and in relation to appeals to the Full Bench from a decision of an </w:t>
      </w:r>
      <w:r>
        <w:t>industrial magistrates court.</w:t>
      </w:r>
    </w:p>
    <w:p>
      <w:pPr>
        <w:pStyle w:val="Footnotesection"/>
        <w:spacing w:before="80"/>
        <w:ind w:left="890" w:hanging="890"/>
      </w:pPr>
      <w:r>
        <w:tab/>
        <w:t>[Regulation 102 amended: Gazette 22 Jan 2008 p. 193; 10 Jul 2009 p. 2740; 19 Dec 2018 p. 4840; 5 Mar 2019 p. 613</w:t>
      </w:r>
      <w:r>
        <w:noBreakHyphen/>
        <w:t>14, 619</w:t>
      </w:r>
      <w:r>
        <w:noBreakHyphen/>
        <w:t>20 and 622</w:t>
      </w:r>
      <w:r>
        <w:noBreakHyphen/>
        <w:t>5.]</w:t>
      </w:r>
    </w:p>
    <w:p>
      <w:pPr>
        <w:pStyle w:val="Heading5"/>
        <w:rPr>
          <w:snapToGrid w:val="0"/>
        </w:rPr>
      </w:pPr>
      <w:bookmarkStart w:id="310" w:name="_Toc201657283"/>
      <w:r>
        <w:rPr>
          <w:rStyle w:val="CharSectno"/>
        </w:rPr>
        <w:t>103</w:t>
      </w:r>
      <w:r>
        <w:t>.</w:t>
      </w:r>
      <w:r>
        <w:tab/>
      </w:r>
      <w:r>
        <w:rPr>
          <w:snapToGrid w:val="0"/>
        </w:rPr>
        <w:t>Procedure for listing matters before Full Bench</w:t>
      </w:r>
      <w:bookmarkEnd w:id="310"/>
    </w:p>
    <w:p>
      <w:pPr>
        <w:pStyle w:val="Subsection"/>
        <w:rPr>
          <w:snapToGrid w:val="0"/>
        </w:rPr>
      </w:pPr>
      <w:r>
        <w:rPr>
          <w:snapToGrid w:val="0"/>
        </w:rPr>
        <w:tab/>
        <w:t>(1)</w:t>
      </w:r>
      <w:r>
        <w:rPr>
          <w:snapToGrid w:val="0"/>
        </w:rPr>
        <w:tab/>
        <w:t>This regulation applies to the procedure for listing of matters before the Full Bench in proceedings under section 49 of the Act.</w:t>
      </w:r>
    </w:p>
    <w:p>
      <w:pPr>
        <w:pStyle w:val="Subsection"/>
        <w:rPr>
          <w:snapToGrid w:val="0"/>
        </w:rPr>
      </w:pPr>
      <w:r>
        <w:rPr>
          <w:snapToGrid w:val="0"/>
        </w:rPr>
        <w:tab/>
        <w:t>(2)</w:t>
      </w:r>
      <w:r>
        <w:rPr>
          <w:snapToGrid w:val="0"/>
        </w:rPr>
        <w:tab/>
        <w:t xml:space="preserve">The Registrar, </w:t>
      </w:r>
      <w:r>
        <w:t>after serving</w:t>
      </w:r>
      <w:r>
        <w:rPr>
          <w:snapToGrid w:val="0"/>
        </w:rPr>
        <w:t xml:space="preserve"> the notice of appeal on the parties required to be served, and after satisfying himself or herself and certifying that </w:t>
      </w:r>
      <w:r>
        <w:t xml:space="preserve">regulation 102(10)(b), (11A) and (11) </w:t>
      </w:r>
      <w:r>
        <w:rPr>
          <w:snapToGrid w:val="0"/>
        </w:rPr>
        <w:t xml:space="preserve">have been complied with, is to transmit the file and all relevant documents as required by the </w:t>
      </w:r>
      <w:r>
        <w:t>Chief Commissioner to the Chief Commissioner.</w:t>
      </w:r>
    </w:p>
    <w:p>
      <w:pPr>
        <w:pStyle w:val="Ednotesubsection"/>
      </w:pPr>
      <w:r>
        <w:tab/>
        <w:t>[(3), (4)</w:t>
      </w:r>
      <w:r>
        <w:tab/>
        <w:t>deleted]</w:t>
      </w:r>
    </w:p>
    <w:p>
      <w:pPr>
        <w:pStyle w:val="Subsection"/>
        <w:rPr>
          <w:snapToGrid w:val="0"/>
        </w:rPr>
      </w:pPr>
      <w:r>
        <w:rPr>
          <w:snapToGrid w:val="0"/>
        </w:rPr>
        <w:tab/>
        <w:t>(5)</w:t>
      </w:r>
      <w:r>
        <w:rPr>
          <w:snapToGrid w:val="0"/>
        </w:rPr>
        <w:tab/>
        <w:t xml:space="preserve">Despite subregulation (2), the Registrar may forward the file and documents to the </w:t>
      </w:r>
      <w:r>
        <w:t>Chief Commissioner</w:t>
      </w:r>
      <w:r>
        <w:rPr>
          <w:snapToGrid w:val="0"/>
        </w:rPr>
        <w:t xml:space="preserve"> for listing where any time limit imposed by the Act or regulation 102 has not been complied with, and an application to extend time for such compliance has been filed and served.</w:t>
      </w:r>
    </w:p>
    <w:p>
      <w:pPr>
        <w:pStyle w:val="Subsection"/>
      </w:pPr>
      <w:r>
        <w:lastRenderedPageBreak/>
        <w:tab/>
        <w:t>(6)</w:t>
      </w:r>
      <w:r>
        <w:tab/>
        <w:t>The Chief Commissioner is to assign commissioners to the Full Bench, and the presiding commissioner is to list the appeal for hearing.</w:t>
      </w:r>
    </w:p>
    <w:p>
      <w:pPr>
        <w:pStyle w:val="Ednotesubsection"/>
      </w:pPr>
      <w:r>
        <w:tab/>
        <w:t>[(7)</w:t>
      </w:r>
      <w:r>
        <w:tab/>
        <w:t>deleted]</w:t>
      </w:r>
    </w:p>
    <w:p>
      <w:pPr>
        <w:pStyle w:val="Subsection"/>
        <w:rPr>
          <w:snapToGrid w:val="0"/>
        </w:rPr>
      </w:pPr>
      <w:r>
        <w:rPr>
          <w:snapToGrid w:val="0"/>
        </w:rPr>
        <w:tab/>
        <w:t>(8)</w:t>
      </w:r>
      <w:r>
        <w:rPr>
          <w:snapToGrid w:val="0"/>
        </w:rPr>
        <w:tab/>
        <w:t xml:space="preserve">The </w:t>
      </w:r>
      <w:r>
        <w:t>presiding commissioner</w:t>
      </w:r>
      <w:r>
        <w:rPr>
          <w:snapToGrid w:val="0"/>
        </w:rPr>
        <w:t xml:space="preserve"> is to cause the parties to be notified of the date of hearing in the </w:t>
      </w:r>
      <w:r>
        <w:t>approved form.</w:t>
      </w:r>
    </w:p>
    <w:p>
      <w:pPr>
        <w:pStyle w:val="Subsection"/>
        <w:rPr>
          <w:snapToGrid w:val="0"/>
        </w:rPr>
      </w:pPr>
      <w:r>
        <w:rPr>
          <w:snapToGrid w:val="0"/>
        </w:rPr>
        <w:tab/>
        <w:t>(9)</w:t>
      </w:r>
      <w:r>
        <w:rPr>
          <w:snapToGrid w:val="0"/>
        </w:rPr>
        <w:tab/>
        <w:t xml:space="preserve">After any such appeal is listed for hearing, a party may upon an application to the Full Bench in the </w:t>
      </w:r>
      <w:r>
        <w:t>approved form</w:t>
      </w:r>
      <w:r>
        <w:rPr>
          <w:snapToGrid w:val="0"/>
        </w:rPr>
        <w:t xml:space="preserve"> and these regulations apply to expedite the hearing of the appeal.</w:t>
      </w:r>
    </w:p>
    <w:p>
      <w:pPr>
        <w:pStyle w:val="Footnotesection"/>
      </w:pPr>
      <w:r>
        <w:tab/>
        <w:t>[Regulation 103 amended: Gazette 28 Apr 2006 p. 1652; 10 Jul 2009 p. 2741; 19 Dec 2018 p. 4840</w:t>
      </w:r>
      <w:r>
        <w:noBreakHyphen/>
        <w:t>1; 5 Mar 2019 p. 615 and 622</w:t>
      </w:r>
      <w:r>
        <w:noBreakHyphen/>
        <w:t>5.]</w:t>
      </w:r>
    </w:p>
    <w:p>
      <w:pPr>
        <w:pStyle w:val="Heading5"/>
      </w:pPr>
      <w:bookmarkStart w:id="311" w:name="_Toc201657284"/>
      <w:r>
        <w:rPr>
          <w:rStyle w:val="CharSectno"/>
        </w:rPr>
        <w:t>103A</w:t>
      </w:r>
      <w:r>
        <w:t>.</w:t>
      </w:r>
      <w:r>
        <w:tab/>
        <w:t>Discontinuance of appeal to Full Bench</w:t>
      </w:r>
      <w:bookmarkEnd w:id="311"/>
    </w:p>
    <w:p>
      <w:pPr>
        <w:pStyle w:val="Subsection"/>
      </w:pPr>
      <w:r>
        <w:tab/>
        <w:t>(1)</w:t>
      </w:r>
      <w:r>
        <w:tab/>
        <w:t>An appeal to the Full Bench cannot be discontinued other than under an order of the Full Bench.</w:t>
      </w:r>
    </w:p>
    <w:p>
      <w:pPr>
        <w:pStyle w:val="Subsection"/>
      </w:pPr>
      <w:r>
        <w:tab/>
        <w:t>(2)</w:t>
      </w:r>
      <w:r>
        <w:tab/>
        <w:t>The appellant in an appeal from a decision of the Commission may at any time apply to the Full Bench for an order discontinuing the appeal by lodging an application in the approved form.</w:t>
      </w:r>
    </w:p>
    <w:p>
      <w:pPr>
        <w:pStyle w:val="Subsection"/>
      </w:pPr>
      <w:r>
        <w:tab/>
        <w:t>(3)</w:t>
      </w:r>
      <w:r>
        <w:tab/>
        <w:t>The Registrar must serve a copy of the application on each person who was a party to the proceedings before the Commission, or on the agent or solicitor who represented that party.</w:t>
      </w:r>
    </w:p>
    <w:p>
      <w:pPr>
        <w:pStyle w:val="Subsection"/>
      </w:pPr>
      <w:r>
        <w:tab/>
        <w:t>(4)</w:t>
      </w:r>
      <w:r>
        <w:tab/>
        <w:t xml:space="preserve">On an application for an order to discontinue an appeal the Full Bench, after giving the parties served with the application an opportunity to be heard or make submissions — </w:t>
      </w:r>
    </w:p>
    <w:p>
      <w:pPr>
        <w:pStyle w:val="Indenta"/>
      </w:pPr>
      <w:r>
        <w:tab/>
        <w:t>(a)</w:t>
      </w:r>
      <w:r>
        <w:tab/>
        <w:t>may grant or refuse the application; and</w:t>
      </w:r>
    </w:p>
    <w:p>
      <w:pPr>
        <w:pStyle w:val="Indenta"/>
      </w:pPr>
      <w:r>
        <w:tab/>
        <w:t>(b)</w:t>
      </w:r>
      <w:r>
        <w:tab/>
        <w:t>may in addition make any other order that is just.</w:t>
      </w:r>
    </w:p>
    <w:p>
      <w:pPr>
        <w:pStyle w:val="Footnotesection"/>
      </w:pPr>
      <w:r>
        <w:tab/>
        <w:t>[Regulation 103A inserted: Gazette 22 Jan 2008 p. 193-4; amended: Gazette 5 Mar 2019 p. 615.]</w:t>
      </w:r>
    </w:p>
    <w:p>
      <w:pPr>
        <w:pStyle w:val="Ednotesection"/>
      </w:pPr>
      <w:r>
        <w:lastRenderedPageBreak/>
        <w:t>[</w:t>
      </w:r>
      <w:r>
        <w:rPr>
          <w:b/>
        </w:rPr>
        <w:t>104.</w:t>
      </w:r>
      <w:r>
        <w:tab/>
        <w:t>Deleted: Gazette 19 Dec 2018 p. 4841.]</w:t>
      </w:r>
    </w:p>
    <w:p>
      <w:pPr>
        <w:pStyle w:val="Heading2"/>
      </w:pPr>
      <w:bookmarkStart w:id="312" w:name="_Toc201649094"/>
      <w:bookmarkStart w:id="313" w:name="_Toc201649288"/>
      <w:bookmarkStart w:id="314" w:name="_Toc201650148"/>
      <w:bookmarkStart w:id="315" w:name="_Toc201650476"/>
      <w:bookmarkStart w:id="316" w:name="_Toc201657285"/>
      <w:r>
        <w:rPr>
          <w:rStyle w:val="CharPartNo"/>
        </w:rPr>
        <w:lastRenderedPageBreak/>
        <w:t>Part 12</w:t>
      </w:r>
      <w:r>
        <w:rPr>
          <w:rStyle w:val="CharDivNo"/>
        </w:rPr>
        <w:t> </w:t>
      </w:r>
      <w:r>
        <w:t>—</w:t>
      </w:r>
      <w:r>
        <w:rPr>
          <w:rStyle w:val="CharDivText"/>
        </w:rPr>
        <w:t> </w:t>
      </w:r>
      <w:r>
        <w:rPr>
          <w:rStyle w:val="CharPartText"/>
        </w:rPr>
        <w:t>Miscellaneous</w:t>
      </w:r>
      <w:bookmarkEnd w:id="312"/>
      <w:bookmarkEnd w:id="313"/>
      <w:bookmarkEnd w:id="314"/>
      <w:bookmarkEnd w:id="315"/>
      <w:bookmarkEnd w:id="316"/>
    </w:p>
    <w:p>
      <w:pPr>
        <w:pStyle w:val="Footnoteheading"/>
      </w:pPr>
      <w:r>
        <w:tab/>
        <w:t>[Heading inserted: SL 2025/21 r. 19.]</w:t>
      </w:r>
    </w:p>
    <w:p>
      <w:pPr>
        <w:pStyle w:val="Heading5"/>
      </w:pPr>
      <w:bookmarkStart w:id="317" w:name="_Toc201657286"/>
      <w:r>
        <w:rPr>
          <w:rStyle w:val="CharSectno"/>
        </w:rPr>
        <w:t>105</w:t>
      </w:r>
      <w:r>
        <w:t>.</w:t>
      </w:r>
      <w:r>
        <w:tab/>
        <w:t>Notice of certain orders</w:t>
      </w:r>
      <w:bookmarkEnd w:id="317"/>
    </w:p>
    <w:p>
      <w:pPr>
        <w:pStyle w:val="Subsection"/>
      </w:pPr>
      <w:r>
        <w:tab/>
        <w:t>(1)</w:t>
      </w:r>
      <w:r>
        <w:tab/>
        <w:t xml:space="preserve">This regulation applies if the Commission in Court Session makes a General Order under section 50 of the Act that, under section 23(2)(b) of the Act, applies in substitution for, or in addition to, any decision specified in the order. </w:t>
      </w:r>
    </w:p>
    <w:p>
      <w:pPr>
        <w:pStyle w:val="Subsection"/>
      </w:pPr>
      <w:r>
        <w:tab/>
        <w:t>(2)</w:t>
      </w:r>
      <w:r>
        <w:tab/>
        <w:t xml:space="preserve">The Registrar must, as soon as practicable after the making of the order, give notice of the order in the </w:t>
      </w:r>
      <w:r>
        <w:rPr>
          <w:i/>
          <w:iCs/>
        </w:rPr>
        <w:t>Industrial Gazette</w:t>
      </w:r>
      <w:r>
        <w:t xml:space="preserve"> and, in 2 consecutive weeks, in a newspaper having circulation throughout the State.</w:t>
      </w:r>
    </w:p>
    <w:p>
      <w:pPr>
        <w:pStyle w:val="Footnotesection"/>
      </w:pPr>
      <w:r>
        <w:tab/>
        <w:t>[Regulation 105 inserted: SL 2025/21 r. 19.]</w:t>
      </w:r>
    </w:p>
    <w:p>
      <w:pPr>
        <w:pStyle w:val="Heading2"/>
      </w:pPr>
      <w:bookmarkStart w:id="318" w:name="_Toc201649096"/>
      <w:bookmarkStart w:id="319" w:name="_Toc201649290"/>
      <w:bookmarkStart w:id="320" w:name="_Toc201650150"/>
      <w:bookmarkStart w:id="321" w:name="_Toc201650478"/>
      <w:bookmarkStart w:id="322" w:name="_Toc201657287"/>
      <w:r>
        <w:rPr>
          <w:rStyle w:val="CharPartNo"/>
        </w:rPr>
        <w:lastRenderedPageBreak/>
        <w:t>Part 13</w:t>
      </w:r>
      <w:r>
        <w:t> — </w:t>
      </w:r>
      <w:r>
        <w:rPr>
          <w:rStyle w:val="CharPartText"/>
        </w:rPr>
        <w:t xml:space="preserve">Transitional provisions for </w:t>
      </w:r>
      <w:r>
        <w:rPr>
          <w:rStyle w:val="CharPartText"/>
          <w:i/>
          <w:iCs/>
        </w:rPr>
        <w:t>Industrial Relations Legislation Amendment Act 2024</w:t>
      </w:r>
      <w:bookmarkEnd w:id="318"/>
      <w:bookmarkEnd w:id="319"/>
      <w:bookmarkEnd w:id="320"/>
      <w:bookmarkEnd w:id="321"/>
      <w:bookmarkEnd w:id="322"/>
    </w:p>
    <w:p>
      <w:pPr>
        <w:pStyle w:val="Footnoteheading"/>
      </w:pPr>
      <w:r>
        <w:tab/>
        <w:t>[Heading inserted: SL 2025/21 r. 19.]</w:t>
      </w:r>
    </w:p>
    <w:p>
      <w:pPr>
        <w:pStyle w:val="Heading5"/>
      </w:pPr>
      <w:bookmarkStart w:id="323" w:name="_Toc201657288"/>
      <w:r>
        <w:rPr>
          <w:rStyle w:val="CharSectno"/>
        </w:rPr>
        <w:t>106</w:t>
      </w:r>
      <w:r>
        <w:t>.</w:t>
      </w:r>
      <w:r>
        <w:tab/>
        <w:t>Bullying and sexual harassment at work before 31 January 2025</w:t>
      </w:r>
      <w:bookmarkEnd w:id="323"/>
    </w:p>
    <w:p>
      <w:pPr>
        <w:pStyle w:val="Subsection"/>
      </w:pPr>
      <w:r>
        <w:tab/>
        <w:t>(1)</w:t>
      </w:r>
      <w:r>
        <w:tab/>
        <w:t xml:space="preserve">This regulation applies if — </w:t>
      </w:r>
    </w:p>
    <w:p>
      <w:pPr>
        <w:pStyle w:val="Indenta"/>
      </w:pPr>
      <w:r>
        <w:tab/>
        <w:t>(a)</w:t>
      </w:r>
      <w:r>
        <w:tab/>
        <w:t>on or after 31 January 2025, a person makes a stop bullying or sexual harassment application under section 123(3)(a) of the Act; or</w:t>
      </w:r>
    </w:p>
    <w:p>
      <w:pPr>
        <w:pStyle w:val="Indenta"/>
      </w:pPr>
      <w:r>
        <w:tab/>
        <w:t>(b)</w:t>
      </w:r>
      <w:r>
        <w:tab/>
        <w:t xml:space="preserve">before 31 January 2025, a person makes a stop bullying or sexual harassment application and — </w:t>
      </w:r>
    </w:p>
    <w:p>
      <w:pPr>
        <w:pStyle w:val="Indenti"/>
      </w:pPr>
      <w:r>
        <w:tab/>
        <w:t>(i)</w:t>
      </w:r>
      <w:r>
        <w:tab/>
        <w:t>the Commission had not finally dealt with the application; and</w:t>
      </w:r>
    </w:p>
    <w:p>
      <w:pPr>
        <w:pStyle w:val="Indenti"/>
      </w:pPr>
      <w:r>
        <w:tab/>
        <w:t>(ii)</w:t>
      </w:r>
      <w:r>
        <w:tab/>
        <w:t xml:space="preserve">the application is not withdrawn. </w:t>
      </w:r>
    </w:p>
    <w:p>
      <w:pPr>
        <w:pStyle w:val="Subsection"/>
      </w:pPr>
      <w:r>
        <w:tab/>
        <w:t>(2)</w:t>
      </w:r>
      <w:r>
        <w:tab/>
        <w:t>Regulations 62, 62A and 62B do not apply in relation to the application.</w:t>
      </w:r>
    </w:p>
    <w:p>
      <w:pPr>
        <w:pStyle w:val="Subsection"/>
      </w:pPr>
      <w:r>
        <w:tab/>
        <w:t>(3)</w:t>
      </w:r>
      <w:r>
        <w:tab/>
        <w:t>Regulation 62, as in force on 30 January 2025, applies in relation to the application.</w:t>
      </w:r>
    </w:p>
    <w:p>
      <w:pPr>
        <w:pStyle w:val="Footnotesection"/>
      </w:pPr>
      <w:r>
        <w:tab/>
        <w:t>[Regulation 106 inserted: SL 2025/21 r. 19.]</w:t>
      </w:r>
    </w:p>
    <w:p>
      <w:pPr>
        <w:pStyle w:val="Heading5"/>
      </w:pPr>
      <w:bookmarkStart w:id="324" w:name="_Toc201657289"/>
      <w:r>
        <w:rPr>
          <w:rStyle w:val="CharSectno"/>
        </w:rPr>
        <w:t>107</w:t>
      </w:r>
      <w:r>
        <w:t>.</w:t>
      </w:r>
      <w:r>
        <w:tab/>
        <w:t>Office of public service arbitrator abolished</w:t>
      </w:r>
      <w:bookmarkEnd w:id="324"/>
    </w:p>
    <w:p>
      <w:pPr>
        <w:pStyle w:val="Subsection"/>
      </w:pPr>
      <w:r>
        <w:tab/>
        <w:t>(1)</w:t>
      </w:r>
      <w:r>
        <w:tab/>
        <w:t>This regulation applies if an industrial matter is referred to an Arbitrator and section 124 of the Act applies in relation to the referral.</w:t>
      </w:r>
    </w:p>
    <w:p>
      <w:pPr>
        <w:pStyle w:val="Subsection"/>
      </w:pPr>
      <w:r>
        <w:tab/>
        <w:t>(2)</w:t>
      </w:r>
      <w:r>
        <w:tab/>
        <w:t>Regulations 105, 106 and 108, as in force on 30 January 2025, apply in relation to the referral despite the repeal of those regulations.</w:t>
      </w:r>
    </w:p>
    <w:p>
      <w:pPr>
        <w:pStyle w:val="Footnotesection"/>
      </w:pPr>
      <w:r>
        <w:tab/>
        <w:t>[Regulation 107 inserted: SL 2025/21 r. 19.]</w:t>
      </w:r>
    </w:p>
    <w:p>
      <w:pPr>
        <w:pStyle w:val="Heading5"/>
      </w:pPr>
      <w:bookmarkStart w:id="325" w:name="_Toc201657290"/>
      <w:r>
        <w:rPr>
          <w:rStyle w:val="CharSectno"/>
        </w:rPr>
        <w:lastRenderedPageBreak/>
        <w:t>108</w:t>
      </w:r>
      <w:r>
        <w:t>.</w:t>
      </w:r>
      <w:r>
        <w:tab/>
        <w:t>Public Service Appeal Board abolished</w:t>
      </w:r>
      <w:bookmarkEnd w:id="325"/>
    </w:p>
    <w:p>
      <w:pPr>
        <w:pStyle w:val="Subsection"/>
      </w:pPr>
      <w:r>
        <w:tab/>
        <w:t>(1)</w:t>
      </w:r>
      <w:r>
        <w:tab/>
        <w:t>This regulation applies if an appeal is instituted under repealed section 80I of the Act and section 125 of the Act applies in relation to the appeal.</w:t>
      </w:r>
    </w:p>
    <w:p>
      <w:pPr>
        <w:pStyle w:val="Subsection"/>
      </w:pPr>
      <w:r>
        <w:tab/>
        <w:t>(2)</w:t>
      </w:r>
      <w:r>
        <w:tab/>
        <w:t>Regulations 105, 107 and 120, as in force on 30 January 2025, apply in relation to the appeal despite the repeal of those regulations.</w:t>
      </w:r>
    </w:p>
    <w:p>
      <w:pPr>
        <w:pStyle w:val="Footnotesection"/>
      </w:pPr>
      <w:r>
        <w:tab/>
        <w:t>[Regulation 108 inserted: SL 2025/21 r. 19.]</w:t>
      </w:r>
    </w:p>
    <w:p>
      <w:pPr>
        <w:pStyle w:val="Ednotesection"/>
      </w:pPr>
      <w:r>
        <w:t>[</w:t>
      </w:r>
      <w:r>
        <w:rPr>
          <w:b/>
          <w:bCs/>
        </w:rPr>
        <w:t>109</w:t>
      </w:r>
      <w:r>
        <w:rPr>
          <w:b/>
          <w:bCs/>
        </w:rPr>
        <w:noBreakHyphen/>
        <w:t>116.</w:t>
      </w:r>
      <w:r>
        <w:tab/>
        <w:t>Deleted: SL 2025/21 r. 19.]</w:t>
      </w:r>
    </w:p>
    <w:p>
      <w:pPr>
        <w:pStyle w:val="Ednotepart"/>
      </w:pPr>
      <w:r>
        <w:t>[Part 14 (r. 117</w:t>
      </w:r>
      <w:r>
        <w:noBreakHyphen/>
        <w:t>121) deleted: SL 2025/21 r. 19.]</w:t>
      </w:r>
    </w:p>
    <w:p>
      <w:pPr>
        <w:pStyle w:val="yEdnoteschedule"/>
      </w:pPr>
      <w:r>
        <w:t>[Schedule 1 deleted: SL 2022/75 r. 30.]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rPr>
          <w:i w:val="0"/>
        </w:rPr>
        <w:sectPr>
          <w:headerReference w:type="even" r:id="rId24"/>
          <w:headerReference w:type="default" r:id="rId25"/>
          <w:headerReference w:type="first" r:id="rId26"/>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26" w:name="_Toc201649100"/>
      <w:bookmarkStart w:id="327" w:name="_Toc201649294"/>
      <w:bookmarkStart w:id="328" w:name="_Toc201650154"/>
      <w:bookmarkStart w:id="329" w:name="_Toc201650482"/>
      <w:bookmarkStart w:id="330" w:name="_Toc201657291"/>
      <w:r>
        <w:lastRenderedPageBreak/>
        <w:t>Notes</w:t>
      </w:r>
      <w:bookmarkEnd w:id="326"/>
      <w:bookmarkEnd w:id="327"/>
      <w:bookmarkEnd w:id="328"/>
      <w:bookmarkEnd w:id="329"/>
      <w:bookmarkEnd w:id="330"/>
    </w:p>
    <w:p>
      <w:pPr>
        <w:pStyle w:val="nStatement"/>
      </w:pPr>
      <w:r>
        <w:t xml:space="preserve">This is a compilation of the </w:t>
      </w:r>
      <w:r>
        <w:rPr>
          <w:i/>
          <w:noProof/>
        </w:rPr>
        <w:t>Industrial Relations Commission Regulations 2005</w:t>
      </w:r>
      <w:r>
        <w:t xml:space="preserve"> and includes amendments made by other written laws. For provisions that have come into operation, and for information about any reprints, see the compilation table. </w:t>
      </w:r>
    </w:p>
    <w:p>
      <w:pPr>
        <w:pStyle w:val="nHeading3"/>
      </w:pPr>
      <w:bookmarkStart w:id="331" w:name="_Toc201657292"/>
      <w:r>
        <w:t>Compilation table</w:t>
      </w:r>
      <w:bookmarkEnd w:id="3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Industrial Relations Commission Regulations 2005</w:t>
            </w:r>
          </w:p>
        </w:tc>
        <w:tc>
          <w:tcPr>
            <w:tcW w:w="1276" w:type="dxa"/>
            <w:tcBorders>
              <w:top w:val="single" w:sz="8" w:space="0" w:color="auto"/>
            </w:tcBorders>
          </w:tcPr>
          <w:p>
            <w:pPr>
              <w:pStyle w:val="nTable"/>
              <w:spacing w:after="40"/>
            </w:pPr>
            <w:r>
              <w:t>12 Aug 2005 p. 3685-812</w:t>
            </w:r>
          </w:p>
        </w:tc>
        <w:tc>
          <w:tcPr>
            <w:tcW w:w="2693" w:type="dxa"/>
            <w:tcBorders>
              <w:top w:val="single" w:sz="8" w:space="0" w:color="auto"/>
            </w:tcBorders>
          </w:tcPr>
          <w:p>
            <w:pPr>
              <w:pStyle w:val="nTable"/>
              <w:spacing w:after="40"/>
            </w:pPr>
            <w:r>
              <w:t>1 Sep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Industrial Relations Commission Amendment Regulations 2006</w:t>
            </w:r>
          </w:p>
        </w:tc>
        <w:tc>
          <w:tcPr>
            <w:tcW w:w="1276" w:type="dxa"/>
          </w:tcPr>
          <w:p>
            <w:pPr>
              <w:pStyle w:val="nTable"/>
              <w:spacing w:after="40"/>
            </w:pPr>
            <w:r>
              <w:t>28 Apr 2006 p. 1650</w:t>
            </w:r>
            <w:r>
              <w:noBreakHyphen/>
              <w:t>6</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Industrial Relations Commission Amendment Regulations 2007</w:t>
            </w:r>
          </w:p>
        </w:tc>
        <w:tc>
          <w:tcPr>
            <w:tcW w:w="1276" w:type="dxa"/>
          </w:tcPr>
          <w:p>
            <w:pPr>
              <w:pStyle w:val="nTable"/>
              <w:spacing w:after="40"/>
            </w:pPr>
            <w:r>
              <w:t>27 Mar 2007 p. 1405-6</w:t>
            </w:r>
          </w:p>
        </w:tc>
        <w:tc>
          <w:tcPr>
            <w:tcW w:w="2693" w:type="dxa"/>
          </w:tcPr>
          <w:p>
            <w:pPr>
              <w:pStyle w:val="nTable"/>
              <w:spacing w:after="40"/>
            </w:pPr>
            <w:r>
              <w:t xml:space="preserve">28 Mar 2007 (see r. 2 and </w:t>
            </w:r>
            <w:r>
              <w:rPr>
                <w:i/>
                <w:iCs/>
              </w:rPr>
              <w:t xml:space="preserve">Gazette </w:t>
            </w:r>
            <w:r>
              <w:t>27 Mar 2007 p. 1405)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Industrial Relations Commission Amendment Regulations 2008</w:t>
            </w:r>
          </w:p>
        </w:tc>
        <w:tc>
          <w:tcPr>
            <w:tcW w:w="1276" w:type="dxa"/>
          </w:tcPr>
          <w:p>
            <w:pPr>
              <w:pStyle w:val="nTable"/>
              <w:spacing w:after="40"/>
            </w:pPr>
            <w:r>
              <w:t>22 Jan 2008 p. 192-4</w:t>
            </w:r>
          </w:p>
        </w:tc>
        <w:tc>
          <w:tcPr>
            <w:tcW w:w="2693" w:type="dxa"/>
          </w:tcPr>
          <w:p>
            <w:pPr>
              <w:pStyle w:val="nTable"/>
              <w:spacing w:after="40"/>
            </w:pPr>
            <w:r>
              <w:t>r. 1 and 2: 22 Jan 2008 (see r. 2(a));</w:t>
            </w:r>
            <w:r>
              <w:br/>
              <w:t>Regulations other than r. 1 and 2: 23 Jan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Industrial Relations Commission Amendment Regulations (No. 3) 2008</w:t>
            </w:r>
            <w:r>
              <w:rPr>
                <w:iCs/>
              </w:rPr>
              <w:t xml:space="preserve"> </w:t>
            </w:r>
          </w:p>
        </w:tc>
        <w:tc>
          <w:tcPr>
            <w:tcW w:w="1276" w:type="dxa"/>
          </w:tcPr>
          <w:p>
            <w:pPr>
              <w:pStyle w:val="nTable"/>
              <w:spacing w:after="40"/>
            </w:pPr>
            <w:r>
              <w:t>6 May 2008 p. 1757</w:t>
            </w:r>
          </w:p>
        </w:tc>
        <w:tc>
          <w:tcPr>
            <w:tcW w:w="2693" w:type="dxa"/>
          </w:tcPr>
          <w:p>
            <w:pPr>
              <w:pStyle w:val="nTable"/>
              <w:spacing w:after="40"/>
            </w:pPr>
            <w:r>
              <w:t xml:space="preserve">15 May 2010 (see r. 2 and </w:t>
            </w:r>
            <w:r>
              <w:rPr>
                <w:i/>
                <w:iCs/>
              </w:rPr>
              <w:t xml:space="preserve">Gazette </w:t>
            </w:r>
            <w:r>
              <w:rPr>
                <w:iCs/>
              </w:rPr>
              <w:t>14 May 2010 p. 2015</w:t>
            </w:r>
            <w:r>
              <w:t>)</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1: The </w:t>
            </w:r>
            <w:r>
              <w:rPr>
                <w:b/>
                <w:bCs/>
                <w:i/>
              </w:rPr>
              <w:t>Industrial Relations Commission Regulations 2005</w:t>
            </w:r>
            <w:r>
              <w:rPr>
                <w:b/>
                <w:bCs/>
              </w:rPr>
              <w:t xml:space="preserve"> as at 16 May 2008</w:t>
            </w:r>
            <w:r>
              <w:t xml:space="preserve"> (includes amendments listed above except those in the</w:t>
            </w:r>
            <w:r>
              <w:rPr>
                <w:i/>
              </w:rPr>
              <w:t xml:space="preserve"> Industrial Relations Commission Amendment Regulations (No. 3) 2008</w:t>
            </w:r>
            <w:r>
              <w:t>)</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Industrial Relations Commission Amendment Regulations (No. 2) 2008</w:t>
            </w:r>
          </w:p>
        </w:tc>
        <w:tc>
          <w:tcPr>
            <w:tcW w:w="1276" w:type="dxa"/>
          </w:tcPr>
          <w:p>
            <w:pPr>
              <w:pStyle w:val="nTable"/>
              <w:spacing w:after="40"/>
            </w:pPr>
            <w:r>
              <w:t>10 Jun 2008 p. 2491-4</w:t>
            </w:r>
          </w:p>
        </w:tc>
        <w:tc>
          <w:tcPr>
            <w:tcW w:w="2693" w:type="dxa"/>
          </w:tcPr>
          <w:p>
            <w:pPr>
              <w:pStyle w:val="nTable"/>
              <w:spacing w:after="40"/>
            </w:pPr>
            <w:r>
              <w:rPr>
                <w:snapToGrid w:val="0"/>
              </w:rPr>
              <w:t>r. 1 and 2: 10 Jun 2008 (see r. 2(a));</w:t>
            </w:r>
            <w:r>
              <w:rPr>
                <w:snapToGrid w:val="0"/>
              </w:rPr>
              <w:br/>
              <w:t>Regulations other than r. 1 and 2: 1 Aug 2008 </w:t>
            </w:r>
            <w:r>
              <w:rPr>
                <w:snapToGrid w:val="0"/>
                <w:vertAlign w:val="superscript"/>
              </w:rPr>
              <w:t>1</w:t>
            </w:r>
            <w:r>
              <w:rPr>
                <w:snapToGrid w:val="0"/>
              </w:rPr>
              <w:t xml:space="preserve"> (see r. 2(b) </w:t>
            </w:r>
            <w:r>
              <w:rPr>
                <w:color w:val="000000"/>
              </w:rPr>
              <w:t>and Act</w:t>
            </w:r>
            <w:r>
              <w:rPr>
                <w:i/>
                <w:iCs/>
                <w:color w:val="000000"/>
              </w:rPr>
              <w:t> </w:t>
            </w:r>
            <w:r>
              <w:rPr>
                <w:color w:val="000000"/>
              </w:rPr>
              <w:t>No. 7 of 2007 s. 58</w:t>
            </w:r>
            <w:r>
              <w:rPr>
                <w:snapToGrid w:val="0"/>
              </w:rPr>
              <w:t>)</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Industrial Relations Commission Amendment Regulations (No. 4) 2008</w:t>
            </w:r>
            <w:r>
              <w:rPr>
                <w:iCs/>
              </w:rPr>
              <w:t xml:space="preserve"> </w:t>
            </w:r>
          </w:p>
        </w:tc>
        <w:tc>
          <w:tcPr>
            <w:tcW w:w="1276" w:type="dxa"/>
          </w:tcPr>
          <w:p>
            <w:pPr>
              <w:pStyle w:val="nTable"/>
              <w:spacing w:after="40"/>
            </w:pPr>
            <w:r>
              <w:t>29 Jul 2008 p. 3420</w:t>
            </w:r>
          </w:p>
        </w:tc>
        <w:tc>
          <w:tcPr>
            <w:tcW w:w="2693" w:type="dxa"/>
          </w:tcPr>
          <w:p>
            <w:pPr>
              <w:pStyle w:val="nTable"/>
              <w:spacing w:after="40"/>
              <w:rPr>
                <w:snapToGrid w:val="0"/>
              </w:rPr>
            </w:pPr>
            <w:r>
              <w:t>r. 1 and 2: 29 Jul 2008 (see r. 2(a));</w:t>
            </w:r>
            <w:r>
              <w:br/>
            </w:r>
            <w:r>
              <w:rPr>
                <w:snapToGrid w:val="0"/>
              </w:rPr>
              <w:t xml:space="preserve">Regulations other than r. 1 and 2: </w:t>
            </w:r>
            <w:r>
              <w:t xml:space="preserve">15 May 2010 (see r. 2(b) and </w:t>
            </w:r>
            <w:r>
              <w:rPr>
                <w:i/>
                <w:iCs/>
              </w:rPr>
              <w:t>Gazette</w:t>
            </w:r>
            <w:r>
              <w:t xml:space="preserve"> 14 May 2010 p. 2015)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Industrial Relations Commission Amendment Regulations (No. 5) 2008</w:t>
            </w:r>
          </w:p>
        </w:tc>
        <w:tc>
          <w:tcPr>
            <w:tcW w:w="1276" w:type="dxa"/>
          </w:tcPr>
          <w:p>
            <w:pPr>
              <w:pStyle w:val="nTable"/>
              <w:spacing w:after="40"/>
            </w:pPr>
            <w:r>
              <w:t>31 Oct 2008 p. 4767-8</w:t>
            </w:r>
          </w:p>
        </w:tc>
        <w:tc>
          <w:tcPr>
            <w:tcW w:w="2693" w:type="dxa"/>
          </w:tcPr>
          <w:p>
            <w:pPr>
              <w:pStyle w:val="nTable"/>
              <w:spacing w:after="40"/>
              <w:rPr>
                <w:snapToGrid w:val="0"/>
              </w:rPr>
            </w:pPr>
            <w:r>
              <w:rPr>
                <w:snapToGrid w:val="0"/>
              </w:rPr>
              <w:t>r. 1 and 2: 31 </w:t>
            </w:r>
            <w:r>
              <w:rPr>
                <w:iCs/>
                <w:snapToGrid w:val="0"/>
              </w:rPr>
              <w:t>Oct</w:t>
            </w:r>
            <w:r>
              <w:rPr>
                <w:snapToGrid w:val="0"/>
              </w:rPr>
              <w:t> 2008 (see r. 2(a));</w:t>
            </w:r>
            <w:r>
              <w:rPr>
                <w:snapToGrid w:val="0"/>
              </w:rPr>
              <w:br/>
              <w:t>Regulations other than r. 1 and 2: 1 Nov 2008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lastRenderedPageBreak/>
              <w:t>Industrial Relations Commission Amendment Regulations (No. 2) 2009</w:t>
            </w:r>
          </w:p>
        </w:tc>
        <w:tc>
          <w:tcPr>
            <w:tcW w:w="1276" w:type="dxa"/>
          </w:tcPr>
          <w:p>
            <w:pPr>
              <w:pStyle w:val="nTable"/>
              <w:keepNext/>
              <w:spacing w:after="40"/>
            </w:pPr>
            <w:r>
              <w:t>16 Jun 2009 p. 2189</w:t>
            </w:r>
            <w:r>
              <w:noBreakHyphen/>
              <w:t>91</w:t>
            </w:r>
          </w:p>
        </w:tc>
        <w:tc>
          <w:tcPr>
            <w:tcW w:w="2693" w:type="dxa"/>
          </w:tcPr>
          <w:p>
            <w:pPr>
              <w:pStyle w:val="nTable"/>
              <w:keepNext/>
              <w:spacing w:after="40"/>
              <w:rPr>
                <w:snapToGrid w:val="0"/>
              </w:rPr>
            </w:pPr>
            <w:r>
              <w:rPr>
                <w:snapToGrid w:val="0"/>
              </w:rPr>
              <w:t>r. 1 and 2: 16 Jun 2009 (see r. 2(a));</w:t>
            </w:r>
            <w:r>
              <w:rPr>
                <w:snapToGrid w:val="0"/>
              </w:rPr>
              <w:br/>
              <w:t>Regulations other than r. 1 and 2: 17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Industrial Relations Commission Amendment Regulations 2009</w:t>
            </w:r>
          </w:p>
        </w:tc>
        <w:tc>
          <w:tcPr>
            <w:tcW w:w="1276" w:type="dxa"/>
          </w:tcPr>
          <w:p>
            <w:pPr>
              <w:pStyle w:val="nTable"/>
              <w:spacing w:after="40"/>
            </w:pPr>
            <w:r>
              <w:t>10 Jul 2009 p. 2739</w:t>
            </w:r>
            <w:r>
              <w:noBreakHyphen/>
              <w:t>44</w:t>
            </w:r>
          </w:p>
        </w:tc>
        <w:tc>
          <w:tcPr>
            <w:tcW w:w="2693" w:type="dxa"/>
          </w:tcPr>
          <w:p>
            <w:pPr>
              <w:pStyle w:val="nTable"/>
              <w:spacing w:after="40"/>
              <w:rPr>
                <w:snapToGrid w:val="0"/>
              </w:rPr>
            </w:pPr>
            <w:r>
              <w:rPr>
                <w:snapToGrid w:val="0"/>
              </w:rPr>
              <w:t>r. 1 and 2: 10 Jul 2009 (see r. 2(a));</w:t>
            </w:r>
            <w:r>
              <w:rPr>
                <w:snapToGrid w:val="0"/>
              </w:rPr>
              <w:br/>
              <w:t>Regulations other than r. 1 and 2: 11 Jul 2009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2: The </w:t>
            </w:r>
            <w:r>
              <w:rPr>
                <w:b/>
                <w:bCs/>
                <w:i/>
              </w:rPr>
              <w:t>Industrial Relations Commission Regulations 2005</w:t>
            </w:r>
            <w:r>
              <w:rPr>
                <w:b/>
                <w:bCs/>
              </w:rPr>
              <w:t xml:space="preserve"> as at 2 Oct 2009</w:t>
            </w:r>
            <w:r>
              <w:t xml:space="preserve"> (includes amendments listed above except those in the</w:t>
            </w:r>
            <w:r>
              <w:rPr>
                <w:i/>
              </w:rPr>
              <w:t xml:space="preserve"> Industrial Relations Commission Amendment Regulations (No. 3) 2008 </w:t>
            </w:r>
            <w:r>
              <w:rPr>
                <w:iCs/>
              </w:rPr>
              <w:t>and the</w:t>
            </w:r>
            <w:r>
              <w:rPr>
                <w:i/>
              </w:rPr>
              <w:t xml:space="preserve"> Industrial Relations Commission Amendment Regulations (No. 4) 2008 </w:t>
            </w:r>
            <w:r>
              <w:t>other than r. 1 and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Industrial Relations Commission Amendment Regulations (No. 3) 2009</w:t>
            </w:r>
          </w:p>
        </w:tc>
        <w:tc>
          <w:tcPr>
            <w:tcW w:w="1276" w:type="dxa"/>
          </w:tcPr>
          <w:p>
            <w:pPr>
              <w:pStyle w:val="nTable"/>
              <w:spacing w:after="40"/>
            </w:pPr>
            <w:r>
              <w:t>22 Dec 2009 p. 5270-2</w:t>
            </w:r>
          </w:p>
        </w:tc>
        <w:tc>
          <w:tcPr>
            <w:tcW w:w="2693" w:type="dxa"/>
          </w:tcPr>
          <w:p>
            <w:pPr>
              <w:pStyle w:val="nTable"/>
              <w:spacing w:after="40"/>
              <w:rPr>
                <w:snapToGrid w:val="0"/>
              </w:rPr>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Industrial Relations Commission Amendment Regulations 2010</w:t>
            </w:r>
          </w:p>
        </w:tc>
        <w:tc>
          <w:tcPr>
            <w:tcW w:w="1276" w:type="dxa"/>
          </w:tcPr>
          <w:p>
            <w:pPr>
              <w:pStyle w:val="nTable"/>
              <w:spacing w:after="40"/>
            </w:pPr>
            <w:r>
              <w:t>9 Jul 2010 p. 3239-40</w:t>
            </w:r>
          </w:p>
        </w:tc>
        <w:tc>
          <w:tcPr>
            <w:tcW w:w="2693" w:type="dxa"/>
          </w:tcPr>
          <w:p>
            <w:pPr>
              <w:pStyle w:val="nTable"/>
              <w:spacing w:after="40"/>
              <w:rPr>
                <w:snapToGrid w:val="0"/>
              </w:rPr>
            </w:pPr>
            <w:r>
              <w:rPr>
                <w:snapToGrid w:val="0"/>
              </w:rPr>
              <w:t>r. 1 and 2: 9 Jul 2010 (see r. 2(a));</w:t>
            </w:r>
            <w:r>
              <w:rPr>
                <w:snapToGrid w:val="0"/>
              </w:rPr>
              <w:br/>
              <w:t xml:space="preserve">Regulations other than r. 1 and 2: 14 Jul 2010 (see r. 2(b) and </w:t>
            </w:r>
            <w:r>
              <w:rPr>
                <w:i/>
                <w:iCs/>
                <w:snapToGrid w:val="0"/>
              </w:rPr>
              <w:t>Gazette</w:t>
            </w:r>
            <w:r>
              <w:rPr>
                <w:snapToGrid w:val="0"/>
              </w:rPr>
              <w:t xml:space="preserve"> 13 Jul 2010 p. 3291)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Industrial Relations Commission Amendment Regulations (No. 2) 2010</w:t>
            </w:r>
          </w:p>
        </w:tc>
        <w:tc>
          <w:tcPr>
            <w:tcW w:w="1276" w:type="dxa"/>
          </w:tcPr>
          <w:p>
            <w:pPr>
              <w:pStyle w:val="nTable"/>
              <w:spacing w:after="40"/>
            </w:pPr>
            <w:r>
              <w:t>12 Oct 2010 p. 5153-5</w:t>
            </w:r>
          </w:p>
        </w:tc>
        <w:tc>
          <w:tcPr>
            <w:tcW w:w="2693" w:type="dxa"/>
          </w:tcPr>
          <w:p>
            <w:pPr>
              <w:pStyle w:val="nTable"/>
              <w:spacing w:after="40"/>
              <w:rPr>
                <w:snapToGrid w:val="0"/>
              </w:rPr>
            </w:pPr>
            <w:r>
              <w:rPr>
                <w:snapToGrid w:val="0"/>
              </w:rPr>
              <w:t>r. 1 and 2: 12 Oct 2010 (see r. 2(a));</w:t>
            </w:r>
            <w:r>
              <w:rPr>
                <w:snapToGrid w:val="0"/>
              </w:rPr>
              <w:br/>
              <w:t>Regulations other than r. 1 and 2: 13 Oct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Industrial Relations Commission Amendment Regulations 2012</w:t>
            </w:r>
          </w:p>
        </w:tc>
        <w:tc>
          <w:tcPr>
            <w:tcW w:w="1276" w:type="dxa"/>
          </w:tcPr>
          <w:p>
            <w:pPr>
              <w:pStyle w:val="nTable"/>
              <w:spacing w:after="40"/>
            </w:pPr>
            <w:r>
              <w:t>16 Mar 2012 p. 1252</w:t>
            </w:r>
            <w:r>
              <w:noBreakHyphen/>
              <w:t>5</w:t>
            </w:r>
          </w:p>
        </w:tc>
        <w:tc>
          <w:tcPr>
            <w:tcW w:w="2693" w:type="dxa"/>
          </w:tcPr>
          <w:p>
            <w:pPr>
              <w:pStyle w:val="nTable"/>
              <w:spacing w:after="40"/>
              <w:rPr>
                <w:snapToGrid w:val="0"/>
              </w:rPr>
            </w:pPr>
            <w:r>
              <w:rPr>
                <w:snapToGrid w:val="0"/>
              </w:rPr>
              <w:t>r. 1 and 2: 16 Mar 2012 (see r. 2(a));</w:t>
            </w:r>
            <w:r>
              <w:rPr>
                <w:snapToGrid w:val="0"/>
              </w:rPr>
              <w:br/>
              <w:t>Regulations other than r. 1, 2, 6 and 7: 17 Mar 2012 (see r. 2(c));</w:t>
            </w:r>
            <w:r>
              <w:rPr>
                <w:snapToGrid w:val="0"/>
              </w:rPr>
              <w:br/>
              <w:t xml:space="preserve">r. 6 and 7: 1 Apr 2012 (see r.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Industrial Relations Commission Amendment Regulations 2014</w:t>
            </w:r>
          </w:p>
        </w:tc>
        <w:tc>
          <w:tcPr>
            <w:tcW w:w="1276" w:type="dxa"/>
            <w:shd w:val="clear" w:color="auto" w:fill="auto"/>
          </w:tcPr>
          <w:p>
            <w:pPr>
              <w:pStyle w:val="nTable"/>
              <w:spacing w:after="40"/>
            </w:pPr>
            <w:r>
              <w:t>4 Jul 2014 p. 2389-417</w:t>
            </w:r>
          </w:p>
        </w:tc>
        <w:tc>
          <w:tcPr>
            <w:tcW w:w="2693" w:type="dxa"/>
            <w:shd w:val="clear" w:color="auto" w:fill="auto"/>
          </w:tcPr>
          <w:p>
            <w:pPr>
              <w:pStyle w:val="nTable"/>
              <w:spacing w:after="40"/>
              <w:rPr>
                <w:snapToGrid w:val="0"/>
              </w:rPr>
            </w:pPr>
            <w:r>
              <w:rPr>
                <w:snapToGrid w:val="0"/>
              </w:rPr>
              <w:t>r. 1 and 2: 4 Jul 2014 (see r. 2(a));</w:t>
            </w:r>
            <w:r>
              <w:rPr>
                <w:snapToGrid w:val="0"/>
              </w:rPr>
              <w:br/>
              <w:t>Regulations other than r. 1 and 2: 5 Jul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Industrial Relations Commission Regulations 2005</w:t>
            </w:r>
            <w:r>
              <w:rPr>
                <w:b/>
                <w:bCs/>
              </w:rPr>
              <w:t xml:space="preserve"> as at 12 Sep 2014</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Industrial Relations Commission Amendment Regulations (No. 2) 2015</w:t>
            </w:r>
          </w:p>
        </w:tc>
        <w:tc>
          <w:tcPr>
            <w:tcW w:w="1276" w:type="dxa"/>
            <w:shd w:val="clear" w:color="auto" w:fill="auto"/>
          </w:tcPr>
          <w:p>
            <w:pPr>
              <w:pStyle w:val="nTable"/>
              <w:spacing w:after="40"/>
            </w:pPr>
            <w:r>
              <w:t>9 Jan 2015 p. 211</w:t>
            </w:r>
            <w:r>
              <w:noBreakHyphen/>
              <w:t>12</w:t>
            </w:r>
          </w:p>
        </w:tc>
        <w:tc>
          <w:tcPr>
            <w:tcW w:w="2693" w:type="dxa"/>
            <w:shd w:val="clear" w:color="auto" w:fill="auto"/>
          </w:tcPr>
          <w:p>
            <w:pPr>
              <w:pStyle w:val="nTable"/>
              <w:spacing w:after="40"/>
              <w:rPr>
                <w:snapToGrid w:val="0"/>
              </w:rPr>
            </w:pPr>
            <w:r>
              <w:rPr>
                <w:snapToGrid w:val="0"/>
              </w:rPr>
              <w:t>r. 1 and 2: 9 Jan 2015 (see r. 2(a));</w:t>
            </w:r>
            <w:r>
              <w:rPr>
                <w:snapToGrid w:val="0"/>
              </w:rPr>
              <w:br/>
            </w:r>
            <w:r>
              <w:rPr>
                <w:snapToGrid w:val="0"/>
              </w:rPr>
              <w:lastRenderedPageBreak/>
              <w:t>Regulations other than r. 1 and 2: 10 Jan 2015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lastRenderedPageBreak/>
              <w:t>Industrial Relations Commission Amendment Regulations 2015</w:t>
            </w:r>
          </w:p>
        </w:tc>
        <w:tc>
          <w:tcPr>
            <w:tcW w:w="1276" w:type="dxa"/>
            <w:shd w:val="clear" w:color="auto" w:fill="auto"/>
          </w:tcPr>
          <w:p>
            <w:pPr>
              <w:pStyle w:val="nTable"/>
              <w:spacing w:after="40"/>
            </w:pPr>
            <w:r>
              <w:t>15 May 2015 p. 1721</w:t>
            </w:r>
            <w:r>
              <w:noBreakHyphen/>
              <w:t>5</w:t>
            </w:r>
          </w:p>
        </w:tc>
        <w:tc>
          <w:tcPr>
            <w:tcW w:w="2693" w:type="dxa"/>
            <w:shd w:val="clear" w:color="auto" w:fill="auto"/>
          </w:tcPr>
          <w:p>
            <w:pPr>
              <w:pStyle w:val="nTable"/>
              <w:spacing w:after="40"/>
              <w:rPr>
                <w:snapToGrid w:val="0"/>
              </w:rPr>
            </w:pPr>
            <w:r>
              <w:rPr>
                <w:snapToGrid w:val="0"/>
              </w:rPr>
              <w:t>r. 1 and 2: 15 May 2015 (see r. 2(a));</w:t>
            </w:r>
            <w:r>
              <w:rPr>
                <w:snapToGrid w:val="0"/>
              </w:rPr>
              <w:br/>
              <w:t>Regulations other than r. 1 and 2: 16 May 2015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Industrial Relations Commission Amendment Regulations (No. 3) 2015</w:t>
            </w:r>
          </w:p>
        </w:tc>
        <w:tc>
          <w:tcPr>
            <w:tcW w:w="1276" w:type="dxa"/>
            <w:shd w:val="clear" w:color="auto" w:fill="auto"/>
          </w:tcPr>
          <w:p>
            <w:pPr>
              <w:pStyle w:val="nTable"/>
              <w:keepNext/>
              <w:spacing w:after="40"/>
            </w:pPr>
            <w:r>
              <w:t>21 Aug 2015 p. 3336</w:t>
            </w:r>
            <w:r>
              <w:noBreakHyphen/>
              <w:t>46</w:t>
            </w:r>
          </w:p>
        </w:tc>
        <w:tc>
          <w:tcPr>
            <w:tcW w:w="2693" w:type="dxa"/>
            <w:shd w:val="clear" w:color="auto" w:fill="auto"/>
          </w:tcPr>
          <w:p>
            <w:pPr>
              <w:pStyle w:val="nTable"/>
              <w:keepNext/>
              <w:spacing w:after="40"/>
              <w:rPr>
                <w:snapToGrid w:val="0"/>
              </w:rPr>
            </w:pPr>
            <w:r>
              <w:rPr>
                <w:snapToGrid w:val="0"/>
              </w:rPr>
              <w:t>r. 1 and 2: 21 Aug 2015 (see r. 2(a));</w:t>
            </w:r>
            <w:r>
              <w:rPr>
                <w:snapToGrid w:val="0"/>
              </w:rPr>
              <w:br/>
              <w:t xml:space="preserve">Regulations other than r. 1 and 2: 24 Aug 2015 (see r. 2(b) and </w:t>
            </w:r>
            <w:r>
              <w:rPr>
                <w:i/>
                <w:snapToGrid w:val="0"/>
              </w:rPr>
              <w:t>Gazette</w:t>
            </w:r>
            <w:r>
              <w:rPr>
                <w:snapToGrid w:val="0"/>
              </w:rPr>
              <w:t xml:space="preserve"> 21 Aug 2015 p. 3310)</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Industrial Relations Commission Amendment Regulations 2018</w:t>
            </w:r>
          </w:p>
        </w:tc>
        <w:tc>
          <w:tcPr>
            <w:tcW w:w="1276" w:type="dxa"/>
            <w:shd w:val="clear" w:color="auto" w:fill="auto"/>
          </w:tcPr>
          <w:p>
            <w:pPr>
              <w:pStyle w:val="nTable"/>
              <w:spacing w:after="40"/>
            </w:pPr>
            <w:r>
              <w:t>12 Jan 2018 p. 116</w:t>
            </w:r>
            <w:r>
              <w:noBreakHyphen/>
              <w:t>17</w:t>
            </w:r>
          </w:p>
        </w:tc>
        <w:tc>
          <w:tcPr>
            <w:tcW w:w="2693" w:type="dxa"/>
            <w:shd w:val="clear" w:color="auto" w:fill="auto"/>
          </w:tcPr>
          <w:p>
            <w:pPr>
              <w:pStyle w:val="nTable"/>
              <w:spacing w:after="40"/>
              <w:rPr>
                <w:snapToGrid w:val="0"/>
              </w:rPr>
            </w:pPr>
            <w:r>
              <w:rPr>
                <w:snapToGrid w:val="0"/>
              </w:rPr>
              <w:t>r. 1 and 2: 12 Jan 2018 (see r. 2(a));</w:t>
            </w:r>
            <w:r>
              <w:rPr>
                <w:snapToGrid w:val="0"/>
              </w:rPr>
              <w:br/>
              <w:t>Regulations other than r. 1 and 2: 13 Jan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Industrial Relations Commission Amendment Regulations (No. 3) 2018</w:t>
            </w:r>
          </w:p>
        </w:tc>
        <w:tc>
          <w:tcPr>
            <w:tcW w:w="1276" w:type="dxa"/>
            <w:shd w:val="clear" w:color="auto" w:fill="auto"/>
          </w:tcPr>
          <w:p>
            <w:pPr>
              <w:pStyle w:val="nTable"/>
              <w:spacing w:after="40"/>
            </w:pPr>
            <w:r>
              <w:t>19 Dec 2018 p. 4837</w:t>
            </w:r>
            <w:r>
              <w:noBreakHyphen/>
              <w:t>41</w:t>
            </w:r>
          </w:p>
        </w:tc>
        <w:tc>
          <w:tcPr>
            <w:tcW w:w="2693" w:type="dxa"/>
            <w:shd w:val="clear" w:color="auto" w:fill="auto"/>
          </w:tcPr>
          <w:p>
            <w:pPr>
              <w:pStyle w:val="nTable"/>
              <w:spacing w:after="40"/>
              <w:rPr>
                <w:snapToGrid w:val="0"/>
              </w:rPr>
            </w:pPr>
            <w:r>
              <w:rPr>
                <w:snapToGrid w:val="0"/>
              </w:rPr>
              <w:t>r. 1 and 2: 19 Dec 2018 (see r. 2(a));</w:t>
            </w:r>
            <w:r>
              <w:rPr>
                <w:snapToGrid w:val="0"/>
              </w:rPr>
              <w:br/>
              <w:t xml:space="preserve">Regulations other than r. 1 and 2: 19 Dec 2018 (see r. 2(b) and </w:t>
            </w:r>
            <w:r>
              <w:rPr>
                <w:i/>
                <w:snapToGrid w:val="0"/>
              </w:rPr>
              <w:t xml:space="preserve">Gazette </w:t>
            </w:r>
            <w:r>
              <w:rPr>
                <w:snapToGrid w:val="0"/>
              </w:rPr>
              <w:t>18 Dec 2018 p. 4835)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Industrial Relations Commission Amendment Regulations 2019</w:t>
            </w:r>
          </w:p>
        </w:tc>
        <w:tc>
          <w:tcPr>
            <w:tcW w:w="1276" w:type="dxa"/>
            <w:shd w:val="clear" w:color="auto" w:fill="auto"/>
          </w:tcPr>
          <w:p>
            <w:pPr>
              <w:pStyle w:val="nTable"/>
              <w:spacing w:after="40"/>
            </w:pPr>
            <w:r>
              <w:t>5 Mar 2019 p. 585</w:t>
            </w:r>
            <w:r>
              <w:noBreakHyphen/>
              <w:t>641</w:t>
            </w:r>
          </w:p>
        </w:tc>
        <w:tc>
          <w:tcPr>
            <w:tcW w:w="2693" w:type="dxa"/>
            <w:shd w:val="clear" w:color="auto" w:fill="auto"/>
          </w:tcPr>
          <w:p>
            <w:pPr>
              <w:pStyle w:val="nTable"/>
              <w:spacing w:after="40"/>
              <w:rPr>
                <w:snapToGrid w:val="0"/>
              </w:rPr>
            </w:pPr>
            <w:r>
              <w:rPr>
                <w:snapToGrid w:val="0"/>
              </w:rPr>
              <w:t>r. 1 and 2: 5 Mar 2019 (see r. 2(a));</w:t>
            </w:r>
            <w:r>
              <w:rPr>
                <w:snapToGrid w:val="0"/>
              </w:rPr>
              <w:br/>
              <w:t>Regulations other than r. 1 and 2: 6 Mar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snapToGrid w:val="0"/>
              </w:rPr>
              <w:t xml:space="preserve">Reprint 4: The </w:t>
            </w:r>
            <w:r>
              <w:rPr>
                <w:b/>
                <w:i/>
                <w:noProof/>
                <w:snapToGrid w:val="0"/>
              </w:rPr>
              <w:t>Industrial Relations Commission Regulations 2005</w:t>
            </w:r>
            <w:r>
              <w:rPr>
                <w:b/>
                <w:snapToGrid w:val="0"/>
              </w:rPr>
              <w:t xml:space="preserve"> as at 19 Jul 2019</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Industrial Relations Commission Amendment Regulations (No. 2) 2019</w:t>
            </w:r>
          </w:p>
        </w:tc>
        <w:tc>
          <w:tcPr>
            <w:tcW w:w="1276" w:type="dxa"/>
            <w:tcBorders>
              <w:top w:val="nil"/>
              <w:bottom w:val="nil"/>
            </w:tcBorders>
            <w:shd w:val="clear" w:color="auto" w:fill="auto"/>
          </w:tcPr>
          <w:p>
            <w:pPr>
              <w:pStyle w:val="nTable"/>
              <w:spacing w:after="40"/>
            </w:pPr>
            <w:r>
              <w:t>29 Nov 2019 p. 4143-7</w:t>
            </w:r>
          </w:p>
        </w:tc>
        <w:tc>
          <w:tcPr>
            <w:tcW w:w="2693" w:type="dxa"/>
            <w:tcBorders>
              <w:top w:val="nil"/>
              <w:bottom w:val="nil"/>
            </w:tcBorders>
            <w:shd w:val="clear" w:color="auto" w:fill="auto"/>
          </w:tcPr>
          <w:p>
            <w:pPr>
              <w:pStyle w:val="nTable"/>
              <w:spacing w:after="40"/>
              <w:rPr>
                <w:snapToGrid w:val="0"/>
              </w:rPr>
            </w:pPr>
            <w:r>
              <w:rPr>
                <w:snapToGrid w:val="0"/>
              </w:rPr>
              <w:t>r. 1 and 2: 29 Nov 2019 (see r. 2(a));</w:t>
            </w:r>
            <w:r>
              <w:rPr>
                <w:snapToGrid w:val="0"/>
              </w:rPr>
              <w:br/>
              <w:t xml:space="preserve">Regulations other than r. 1 and 2: 30 Nov 2019 (see r. 2(b) and </w:t>
            </w:r>
            <w:r>
              <w:rPr>
                <w:i/>
                <w:snapToGrid w:val="0"/>
              </w:rPr>
              <w:t xml:space="preserve">Gazette </w:t>
            </w:r>
            <w:r>
              <w:rPr>
                <w:snapToGrid w:val="0"/>
              </w:rPr>
              <w:t>29 Nov 2019</w:t>
            </w:r>
            <w:r>
              <w:rPr>
                <w:i/>
                <w:snapToGrid w:val="0"/>
              </w:rPr>
              <w:t xml:space="preserve"> </w:t>
            </w:r>
            <w:r>
              <w:rPr>
                <w:snapToGrid w:val="0"/>
              </w:rPr>
              <w:t>p. 4133)</w:t>
            </w:r>
          </w:p>
        </w:tc>
      </w:tr>
      <w:tr>
        <w:tc>
          <w:tcPr>
            <w:tcW w:w="3118" w:type="dxa"/>
            <w:tcBorders>
              <w:top w:val="nil"/>
              <w:bottom w:val="nil"/>
            </w:tcBorders>
            <w:shd w:val="clear" w:color="auto" w:fill="auto"/>
          </w:tcPr>
          <w:p>
            <w:pPr>
              <w:pStyle w:val="nTable"/>
              <w:spacing w:after="40"/>
              <w:rPr>
                <w:i/>
              </w:rPr>
            </w:pPr>
            <w:r>
              <w:rPr>
                <w:i/>
              </w:rPr>
              <w:t>Industrial Relations Commission Amendment Regulations (No. 2) 2022</w:t>
            </w:r>
          </w:p>
        </w:tc>
        <w:tc>
          <w:tcPr>
            <w:tcW w:w="1276" w:type="dxa"/>
            <w:tcBorders>
              <w:top w:val="nil"/>
              <w:bottom w:val="nil"/>
            </w:tcBorders>
            <w:shd w:val="clear" w:color="auto" w:fill="auto"/>
          </w:tcPr>
          <w:p>
            <w:pPr>
              <w:pStyle w:val="nTable"/>
              <w:spacing w:after="40"/>
            </w:pPr>
            <w:r>
              <w:t>SL 2022/6 21 Jan 2022</w:t>
            </w:r>
          </w:p>
        </w:tc>
        <w:tc>
          <w:tcPr>
            <w:tcW w:w="2693" w:type="dxa"/>
            <w:tcBorders>
              <w:top w:val="nil"/>
              <w:bottom w:val="nil"/>
            </w:tcBorders>
            <w:shd w:val="clear" w:color="auto" w:fill="auto"/>
          </w:tcPr>
          <w:p>
            <w:pPr>
              <w:pStyle w:val="nTable"/>
              <w:spacing w:after="40"/>
              <w:rPr>
                <w:snapToGrid w:val="0"/>
              </w:rPr>
            </w:pPr>
            <w:r>
              <w:rPr>
                <w:snapToGrid w:val="0"/>
              </w:rPr>
              <w:t>r. 1 and 2: 21 Jan 2022 (see r. 2(a));</w:t>
            </w:r>
            <w:r>
              <w:rPr>
                <w:snapToGrid w:val="0"/>
              </w:rPr>
              <w:br/>
              <w:t>Regulations other than r. 1 and 2: 22 Jan 2022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noProof/>
              </w:rPr>
              <w:t>Industrial Relations Commission Amendment Regulations 2022</w:t>
            </w:r>
          </w:p>
        </w:tc>
        <w:tc>
          <w:tcPr>
            <w:tcW w:w="1276" w:type="dxa"/>
            <w:shd w:val="clear" w:color="auto" w:fill="auto"/>
          </w:tcPr>
          <w:p>
            <w:pPr>
              <w:pStyle w:val="nTable"/>
              <w:spacing w:after="40"/>
            </w:pPr>
            <w:r>
              <w:t>SL 2022/19</w:t>
            </w:r>
            <w:r>
              <w:br/>
              <w:t>11 Mar 2022</w:t>
            </w:r>
          </w:p>
        </w:tc>
        <w:tc>
          <w:tcPr>
            <w:tcW w:w="2693" w:type="dxa"/>
            <w:shd w:val="clear" w:color="auto" w:fill="auto"/>
          </w:tcPr>
          <w:p>
            <w:pPr>
              <w:pStyle w:val="nTable"/>
              <w:spacing w:after="40"/>
              <w:rPr>
                <w:snapToGrid w:val="0"/>
              </w:rPr>
            </w:pPr>
            <w:r>
              <w:rPr>
                <w:snapToGrid w:val="0"/>
              </w:rPr>
              <w:t>r. 1 and 2: 11 Mar 2022 (see r. 2(a));</w:t>
            </w:r>
            <w:r>
              <w:rPr>
                <w:snapToGrid w:val="0"/>
              </w:rPr>
              <w:br/>
              <w:t>Regulations other than r. 1 and 2: 31 Mar 2022 (see r. 2(b) and SL 2022/18 cl. 2)</w:t>
            </w:r>
          </w:p>
        </w:tc>
      </w:tr>
      <w:tr>
        <w:tc>
          <w:tcPr>
            <w:tcW w:w="3118" w:type="dxa"/>
            <w:tcBorders>
              <w:top w:val="nil"/>
              <w:bottom w:val="nil"/>
            </w:tcBorders>
            <w:shd w:val="clear" w:color="auto" w:fill="auto"/>
          </w:tcPr>
          <w:p>
            <w:pPr>
              <w:pStyle w:val="nTable"/>
              <w:spacing w:after="40"/>
              <w:rPr>
                <w:i/>
                <w:noProof/>
              </w:rPr>
            </w:pPr>
            <w:r>
              <w:rPr>
                <w:i/>
              </w:rPr>
              <w:lastRenderedPageBreak/>
              <w:t>Industrial Relations Commission Amendment Regulations (No. 3) 2022</w:t>
            </w:r>
          </w:p>
        </w:tc>
        <w:tc>
          <w:tcPr>
            <w:tcW w:w="1276" w:type="dxa"/>
            <w:tcBorders>
              <w:top w:val="nil"/>
              <w:bottom w:val="nil"/>
            </w:tcBorders>
            <w:shd w:val="clear" w:color="auto" w:fill="auto"/>
          </w:tcPr>
          <w:p>
            <w:pPr>
              <w:pStyle w:val="nTable"/>
              <w:spacing w:after="40"/>
            </w:pPr>
            <w:r>
              <w:t>SL 2022/75 17 Jun 2022</w:t>
            </w:r>
          </w:p>
        </w:tc>
        <w:tc>
          <w:tcPr>
            <w:tcW w:w="2693" w:type="dxa"/>
            <w:tcBorders>
              <w:top w:val="nil"/>
              <w:bottom w:val="nil"/>
            </w:tcBorders>
            <w:shd w:val="clear" w:color="auto" w:fill="auto"/>
          </w:tcPr>
          <w:p>
            <w:pPr>
              <w:pStyle w:val="nTable"/>
              <w:spacing w:after="40"/>
              <w:rPr>
                <w:snapToGrid w:val="0"/>
              </w:rPr>
            </w:pPr>
            <w:r>
              <w:rPr>
                <w:snapToGrid w:val="0"/>
              </w:rPr>
              <w:t>r. 1 and 2: 17 Jun 2022 (see r. 2(a));</w:t>
            </w:r>
            <w:r>
              <w:rPr>
                <w:snapToGrid w:val="0"/>
              </w:rPr>
              <w:br/>
              <w:t>Regulations other than r. 1 and 2: 20 Jun 2022 (see r. 2(b))</w:t>
            </w:r>
          </w:p>
        </w:tc>
      </w:tr>
      <w:tr>
        <w:tc>
          <w:tcPr>
            <w:tcW w:w="3118" w:type="dxa"/>
            <w:shd w:val="clear" w:color="auto" w:fill="auto"/>
          </w:tcPr>
          <w:p>
            <w:pPr>
              <w:pStyle w:val="nTable"/>
              <w:spacing w:after="40"/>
              <w:rPr>
                <w:iCs/>
              </w:rPr>
            </w:pPr>
            <w:r>
              <w:rPr>
                <w:i/>
              </w:rPr>
              <w:t>Industrial Relations Commission Amendment Regulations 2025</w:t>
            </w:r>
          </w:p>
        </w:tc>
        <w:tc>
          <w:tcPr>
            <w:tcW w:w="1276" w:type="dxa"/>
            <w:shd w:val="clear" w:color="auto" w:fill="auto"/>
          </w:tcPr>
          <w:p>
            <w:pPr>
              <w:pStyle w:val="nTable"/>
              <w:spacing w:after="40"/>
            </w:pPr>
            <w:r>
              <w:t>SL 2025/21 29 Jan 2025</w:t>
            </w:r>
          </w:p>
        </w:tc>
        <w:tc>
          <w:tcPr>
            <w:tcW w:w="2693" w:type="dxa"/>
            <w:shd w:val="clear" w:color="auto" w:fill="auto"/>
          </w:tcPr>
          <w:p>
            <w:pPr>
              <w:pStyle w:val="nTable"/>
              <w:spacing w:after="40"/>
              <w:rPr>
                <w:snapToGrid w:val="0"/>
              </w:rPr>
            </w:pPr>
            <w:r>
              <w:rPr>
                <w:snapToGrid w:val="0"/>
              </w:rPr>
              <w:t>r. 1 and 2: 29 Jan 2025 (see r. 2(a));</w:t>
            </w:r>
            <w:r>
              <w:rPr>
                <w:snapToGrid w:val="0"/>
              </w:rPr>
              <w:br/>
              <w:t>Regulations other than r. 1 and 2: 31 Jan 2025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i/>
              </w:rPr>
            </w:pPr>
            <w:r>
              <w:rPr>
                <w:i/>
              </w:rPr>
              <w:t>Industrial Relations Commission Amendment Regulations (No. 3) 2025</w:t>
            </w:r>
          </w:p>
        </w:tc>
        <w:tc>
          <w:tcPr>
            <w:tcW w:w="1276" w:type="dxa"/>
            <w:tcBorders>
              <w:bottom w:val="single" w:sz="4" w:space="0" w:color="auto"/>
            </w:tcBorders>
            <w:shd w:val="clear" w:color="auto" w:fill="auto"/>
          </w:tcPr>
          <w:p>
            <w:pPr>
              <w:pStyle w:val="nTable"/>
              <w:spacing w:after="40"/>
            </w:pPr>
            <w:r>
              <w:t>SL 2025/94 13 Jun 2025</w:t>
            </w:r>
          </w:p>
        </w:tc>
        <w:tc>
          <w:tcPr>
            <w:tcW w:w="2693" w:type="dxa"/>
            <w:tcBorders>
              <w:bottom w:val="single" w:sz="4" w:space="0" w:color="auto"/>
            </w:tcBorders>
            <w:shd w:val="clear" w:color="auto" w:fill="auto"/>
          </w:tcPr>
          <w:p>
            <w:pPr>
              <w:pStyle w:val="nTable"/>
              <w:spacing w:after="40"/>
              <w:rPr>
                <w:snapToGrid w:val="0"/>
              </w:rPr>
            </w:pPr>
            <w:r>
              <w:rPr>
                <w:snapToGrid w:val="0"/>
              </w:rPr>
              <w:t>r. 1 and 2: 13 Jun 2025 (see r. 2(a));</w:t>
            </w:r>
            <w:r>
              <w:rPr>
                <w:snapToGrid w:val="0"/>
              </w:rPr>
              <w:br/>
              <w:t>Regulations other than r. 1 and 2: 1 Jul 2025 (see r. 2(b) and SL 2025/97 cl. 2)</w:t>
            </w:r>
          </w:p>
        </w:tc>
      </w:tr>
    </w:tbl>
    <w:p>
      <w:pPr>
        <w:pStyle w:val="nHeading3"/>
      </w:pPr>
      <w:bookmarkStart w:id="332" w:name="_Toc201657293"/>
      <w:r>
        <w:t>Other notes</w:t>
      </w:r>
      <w:bookmarkEnd w:id="332"/>
    </w:p>
    <w:p>
      <w:pPr>
        <w:pStyle w:val="nNote"/>
        <w:spacing w:before="160"/>
        <w:rPr>
          <w:snapToGrid w:val="0"/>
        </w:rPr>
      </w:pPr>
      <w:r>
        <w:rPr>
          <w:snapToGrid w:val="0"/>
          <w:vertAlign w:val="superscript"/>
        </w:rPr>
        <w:t>1</w:t>
      </w:r>
      <w:r>
        <w:rPr>
          <w:snapToGrid w:val="0"/>
          <w:vertAlign w:val="superscript"/>
        </w:rPr>
        <w:tab/>
      </w:r>
      <w:r>
        <w:t xml:space="preserve">Although the commencement date of 1 Jul 2008 was specified in the </w:t>
      </w:r>
      <w:r>
        <w:rPr>
          <w:i/>
          <w:iCs/>
        </w:rPr>
        <w:t>Industrial Relations Commission Amendment Regulations (No. 2) 2008</w:t>
      </w:r>
      <w:r>
        <w:t xml:space="preserve">, because of the </w:t>
      </w:r>
      <w:r>
        <w:rPr>
          <w:i/>
          <w:iCs/>
        </w:rPr>
        <w:t xml:space="preserve">Interpretation Act 1984 </w:t>
      </w:r>
      <w:r>
        <w:t xml:space="preserve">s. 25(3) those regulations came into operation on 1 Aug 2008 when the </w:t>
      </w:r>
      <w:r>
        <w:rPr>
          <w:i/>
          <w:iCs/>
        </w:rPr>
        <w:t>Owner-Drivers (Contracts and Disputes) Act 2007</w:t>
      </w:r>
      <w:r>
        <w:t xml:space="preserve"> Sch. 3 cl. 1 came into operation.</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4" w:name="_Toc201649104"/>
      <w:bookmarkStart w:id="335" w:name="_Toc201649298"/>
      <w:bookmarkStart w:id="336" w:name="_Toc201650157"/>
      <w:bookmarkStart w:id="337" w:name="_Toc201650485"/>
      <w:bookmarkStart w:id="338" w:name="_Toc201657294"/>
      <w:r>
        <w:rPr>
          <w:sz w:val="28"/>
        </w:rPr>
        <w:lastRenderedPageBreak/>
        <w:t>Defined terms</w:t>
      </w:r>
      <w:bookmarkEnd w:id="334"/>
      <w:bookmarkEnd w:id="335"/>
      <w:bookmarkEnd w:id="336"/>
      <w:bookmarkEnd w:id="337"/>
      <w:bookmarkEnd w:id="3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accompanying photograph</w:t>
      </w:r>
      <w:r>
        <w:tab/>
        <w:t>77E(2)</w:t>
      </w:r>
    </w:p>
    <w:p>
      <w:pPr>
        <w:pStyle w:val="DefinedTerms"/>
      </w:pPr>
      <w:r>
        <w:t>aggrieved person</w:t>
      </w:r>
      <w:r>
        <w:tab/>
        <w:t>62B(1)</w:t>
      </w:r>
    </w:p>
    <w:p>
      <w:pPr>
        <w:pStyle w:val="DefinedTerms"/>
      </w:pPr>
      <w:r>
        <w:t>appeal against removal action</w:t>
      </w:r>
      <w:r>
        <w:tab/>
        <w:t>89A, 89H, 89</w:t>
      </w:r>
    </w:p>
    <w:p>
      <w:pPr>
        <w:pStyle w:val="DefinedTerms"/>
      </w:pPr>
      <w:r>
        <w:t>appeal against retirement on medical grounds</w:t>
      </w:r>
      <w:r>
        <w:tab/>
        <w:t>94A</w:t>
      </w:r>
    </w:p>
    <w:p>
      <w:pPr>
        <w:pStyle w:val="DefinedTerms"/>
      </w:pPr>
      <w:r>
        <w:t>appellant</w:t>
      </w:r>
      <w:r>
        <w:tab/>
        <w:t>89A, 89H, 89, 94A</w:t>
      </w:r>
    </w:p>
    <w:p>
      <w:pPr>
        <w:pStyle w:val="DefinedTerms"/>
      </w:pPr>
      <w:r>
        <w:t>applicant</w:t>
      </w:r>
      <w:r>
        <w:tab/>
        <w:t>62E(1), 99A</w:t>
      </w:r>
    </w:p>
    <w:p>
      <w:pPr>
        <w:pStyle w:val="DefinedTerms"/>
      </w:pPr>
      <w:r>
        <w:t>Board</w:t>
      </w:r>
      <w:r>
        <w:tab/>
        <w:t>102A(1)</w:t>
      </w:r>
    </w:p>
    <w:p>
      <w:pPr>
        <w:pStyle w:val="DefinedTerms"/>
      </w:pPr>
      <w:r>
        <w:t>chief executive officer</w:t>
      </w:r>
      <w:r>
        <w:tab/>
        <w:t>89A, 89H</w:t>
      </w:r>
    </w:p>
    <w:p>
      <w:pPr>
        <w:pStyle w:val="DefinedTerms"/>
      </w:pPr>
      <w:r>
        <w:t>Commission</w:t>
      </w:r>
      <w:r>
        <w:tab/>
        <w:t>3</w:t>
      </w:r>
    </w:p>
    <w:p>
      <w:pPr>
        <w:pStyle w:val="DefinedTerms"/>
      </w:pPr>
      <w:r>
        <w:t>Commissioner of Police</w:t>
      </w:r>
      <w:r>
        <w:tab/>
        <w:t>89, 94A</w:t>
      </w:r>
    </w:p>
    <w:p>
      <w:pPr>
        <w:pStyle w:val="DefinedTerms"/>
      </w:pPr>
      <w:r>
        <w:t>conciliation document</w:t>
      </w:r>
      <w:r>
        <w:tab/>
        <w:t>29(1), 94M(6), 97(6), 99D(10)</w:t>
      </w:r>
    </w:p>
    <w:p>
      <w:pPr>
        <w:pStyle w:val="DefinedTerms"/>
      </w:pPr>
      <w:r>
        <w:t>custodial officer</w:t>
      </w:r>
      <w:r>
        <w:tab/>
        <w:t>89H</w:t>
      </w:r>
    </w:p>
    <w:p>
      <w:pPr>
        <w:pStyle w:val="DefinedTerms"/>
      </w:pPr>
      <w:r>
        <w:t>decision</w:t>
      </w:r>
      <w:r>
        <w:tab/>
        <w:t>65(3)</w:t>
      </w:r>
    </w:p>
    <w:p>
      <w:pPr>
        <w:pStyle w:val="DefinedTerms"/>
      </w:pPr>
      <w:r>
        <w:t>discovery</w:t>
      </w:r>
      <w:r>
        <w:tab/>
        <w:t>20(1)</w:t>
      </w:r>
    </w:p>
    <w:p>
      <w:pPr>
        <w:pStyle w:val="DefinedTerms"/>
      </w:pPr>
      <w:r>
        <w:t>document</w:t>
      </w:r>
      <w:r>
        <w:tab/>
        <w:t>20(1)</w:t>
      </w:r>
    </w:p>
    <w:p>
      <w:pPr>
        <w:pStyle w:val="DefinedTerms"/>
      </w:pPr>
      <w:r>
        <w:t>electronic document</w:t>
      </w:r>
      <w:r>
        <w:tab/>
        <w:t>3</w:t>
      </w:r>
    </w:p>
    <w:p>
      <w:pPr>
        <w:pStyle w:val="DefinedTerms"/>
      </w:pPr>
      <w:r>
        <w:t>expert’s report</w:t>
      </w:r>
      <w:r>
        <w:tab/>
        <w:t>45(1)</w:t>
      </w:r>
    </w:p>
    <w:p>
      <w:pPr>
        <w:pStyle w:val="DefinedTerms"/>
      </w:pPr>
      <w:r>
        <w:t>flexible working arrangement request</w:t>
      </w:r>
      <w:r>
        <w:tab/>
        <w:t>62F(1)</w:t>
      </w:r>
    </w:p>
    <w:p>
      <w:pPr>
        <w:pStyle w:val="DefinedTerms"/>
      </w:pPr>
      <w:r>
        <w:t>inspection</w:t>
      </w:r>
      <w:r>
        <w:tab/>
        <w:t>20(1)</w:t>
      </w:r>
    </w:p>
    <w:p>
      <w:pPr>
        <w:pStyle w:val="DefinedTerms"/>
      </w:pPr>
      <w:r>
        <w:t>interested person</w:t>
      </w:r>
      <w:r>
        <w:tab/>
        <w:t>86(1)</w:t>
      </w:r>
    </w:p>
    <w:p>
      <w:pPr>
        <w:pStyle w:val="DefinedTerms"/>
      </w:pPr>
      <w:r>
        <w:t>lodged electronically</w:t>
      </w:r>
      <w:r>
        <w:tab/>
        <w:t>3</w:t>
      </w:r>
    </w:p>
    <w:p>
      <w:pPr>
        <w:pStyle w:val="DefinedTerms"/>
      </w:pPr>
      <w:r>
        <w:t>new rules</w:t>
      </w:r>
      <w:r>
        <w:tab/>
        <w:t>77B(1)</w:t>
      </w:r>
    </w:p>
    <w:p>
      <w:pPr>
        <w:pStyle w:val="DefinedTerms"/>
      </w:pPr>
      <w:r>
        <w:t>notice to admit</w:t>
      </w:r>
      <w:r>
        <w:tab/>
        <w:t>23(1)</w:t>
      </w:r>
    </w:p>
    <w:p>
      <w:pPr>
        <w:pStyle w:val="DefinedTerms"/>
      </w:pPr>
      <w:r>
        <w:t>person to be joined</w:t>
      </w:r>
      <w:r>
        <w:tab/>
        <w:t>18(1)</w:t>
      </w:r>
    </w:p>
    <w:p>
      <w:pPr>
        <w:pStyle w:val="DefinedTerms"/>
      </w:pPr>
      <w:r>
        <w:t>police officer</w:t>
      </w:r>
      <w:r>
        <w:tab/>
        <w:t>89, 94A</w:t>
      </w:r>
    </w:p>
    <w:p>
      <w:pPr>
        <w:pStyle w:val="DefinedTerms"/>
      </w:pPr>
      <w:r>
        <w:t>previous rules</w:t>
      </w:r>
      <w:r>
        <w:tab/>
        <w:t>77B(1)</w:t>
      </w:r>
    </w:p>
    <w:p>
      <w:pPr>
        <w:pStyle w:val="DefinedTerms"/>
      </w:pPr>
      <w:r>
        <w:t>prison officer</w:t>
      </w:r>
      <w:r>
        <w:tab/>
        <w:t>89A</w:t>
      </w:r>
    </w:p>
    <w:p>
      <w:pPr>
        <w:pStyle w:val="DefinedTerms"/>
      </w:pPr>
      <w:r>
        <w:t>Registrar</w:t>
      </w:r>
      <w:r>
        <w:tab/>
        <w:t>3</w:t>
      </w:r>
    </w:p>
    <w:p>
      <w:pPr>
        <w:pStyle w:val="DefinedTerms"/>
      </w:pPr>
      <w:r>
        <w:t>removal action</w:t>
      </w:r>
      <w:r>
        <w:tab/>
        <w:t>89A, 89H, 89</w:t>
      </w:r>
    </w:p>
    <w:p>
      <w:pPr>
        <w:pStyle w:val="DefinedTerms"/>
      </w:pPr>
      <w:r>
        <w:t>reviewable decision</w:t>
      </w:r>
      <w:r>
        <w:tab/>
        <w:t>102A(1)</w:t>
      </w:r>
    </w:p>
    <w:p>
      <w:pPr>
        <w:pStyle w:val="DefinedTerms"/>
      </w:pPr>
      <w:r>
        <w:t>section 72A application</w:t>
      </w:r>
      <w:r>
        <w:tab/>
        <w:t>73(1)</w:t>
      </w:r>
    </w:p>
    <w:p>
      <w:pPr>
        <w:pStyle w:val="DefinedTerms"/>
      </w:pPr>
      <w:r>
        <w:t>section 94 decision</w:t>
      </w:r>
      <w:r>
        <w:tab/>
        <w:t>60AA(1)</w:t>
      </w:r>
    </w:p>
    <w:p>
      <w:pPr>
        <w:pStyle w:val="DefinedTerms"/>
      </w:pPr>
      <w:r>
        <w:t>section 95A decision</w:t>
      </w:r>
      <w:r>
        <w:tab/>
        <w:t>60AA(1)</w:t>
      </w:r>
    </w:p>
    <w:p>
      <w:pPr>
        <w:pStyle w:val="DefinedTerms"/>
      </w:pPr>
      <w:r>
        <w:t>service direction</w:t>
      </w:r>
      <w:r>
        <w:tab/>
        <w:t>29(1), 94M(6), 98(6), 99D(10)</w:t>
      </w:r>
    </w:p>
    <w:p>
      <w:pPr>
        <w:pStyle w:val="DefinedTerms"/>
      </w:pPr>
      <w:r>
        <w:t>substantive proceedings</w:t>
      </w:r>
      <w:r>
        <w:tab/>
        <w:t>18(1)</w:t>
      </w:r>
    </w:p>
    <w:p>
      <w:pPr>
        <w:pStyle w:val="DefinedTerms"/>
      </w:pPr>
      <w:r>
        <w:t>Tribunal</w:t>
      </w:r>
      <w:r>
        <w:tab/>
        <w:t>94H, 95, 99A</w:t>
      </w:r>
    </w:p>
    <w:p>
      <w:pPr>
        <w:pStyle w:val="DefinedTerms"/>
        <w:keepNext/>
      </w:pPr>
      <w:r>
        <w:lastRenderedPageBreak/>
        <w:t>warrant</w:t>
      </w:r>
      <w:r>
        <w:tab/>
        <w:t>63(1)</w:t>
      </w:r>
    </w:p>
    <w:p>
      <w:pPr>
        <w:pStyle w:val="DefinedTerms"/>
        <w:keepNext/>
      </w:pPr>
      <w:r>
        <w:t>writing</w:t>
      </w:r>
      <w:r>
        <w:tab/>
        <w:t>3</w:t>
      </w:r>
    </w:p>
    <w:p>
      <w:r>
        <w:br/>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F05E3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E52D322" w14:textId="70B826D8" w:rsidR="00C42ADD" w:rsidRDefault="0044742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5105A">
                        <w:rPr>
                          <w:sz w:val="16"/>
                        </w:rPr>
                        <w:t>2025</w:t>
                      </w:r>
                      <w:r>
                        <w:rPr>
                          <w:sz w:val="16"/>
                        </w:rPr>
                        <w:fldChar w:fldCharType="end"/>
                      </w:r>
                      <w:r>
                        <w:rPr>
                          <w:sz w:val="16"/>
                        </w:rPr>
                        <w:t>.</w:t>
                      </w:r>
                    </w:p>
                    <w:p w14:paraId="4A7AB4FD" w14:textId="77777777" w:rsidR="00C42ADD" w:rsidRDefault="0044742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07E2EA4" w14:textId="625835E9" w:rsidR="00C42ADD" w:rsidRDefault="0044742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5105A">
                        <w:rPr>
                          <w:sz w:val="16"/>
                        </w:rPr>
                        <w:t>2025</w:t>
                      </w:r>
                      <w:r>
                        <w:rPr>
                          <w:sz w:val="16"/>
                        </w:rPr>
                        <w:fldChar w:fldCharType="end"/>
                      </w:r>
                      <w:r>
                        <w:rPr>
                          <w:sz w:val="16"/>
                        </w:rPr>
                        <w:t>.</w:t>
                      </w:r>
                    </w:p>
                    <w:p w14:paraId="63D03686" w14:textId="77777777" w:rsidR="00C42ADD" w:rsidRDefault="0044742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Commission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Relations Commission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Commission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Commission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3" w:name="Compilation"/>
    <w:bookmarkEnd w:id="3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Commission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Commission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9" w:name="DefinedTerms"/>
    <w:bookmarkEnd w:id="33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0" w:name="Coversheet"/>
    <w:bookmarkEnd w:id="3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1728E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88F06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8342B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B92DB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6CCC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8348AB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249E2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EB427B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18C3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D2AA7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3F36751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091430"/>
    <w:docVar w:name="WAFER_20140130093812" w:val="RemoveTocBookmarks,RemoveUnusedBookmarks,RemoveLanguageTags,UsedStyles,ResetPageSize,UpdateArrangement"/>
    <w:docVar w:name="WAFER_20140130093812_GUID" w:val="255c6959-9a63-4bcd-a8a7-eb40d342331c"/>
    <w:docVar w:name="WAFER_20140130093830" w:val="RemoveTocBookmarks,RunningHeaders"/>
    <w:docVar w:name="WAFER_20140130093830_GUID" w:val="f13fef86-7d59-4034-a06b-b69ee996d690"/>
    <w:docVar w:name="WAFER_20140704130927" w:val="RemoveTocBookmarks,RemoveUnusedBookmarks,RemoveLanguageTags,UsedStyles,ResetPageSize"/>
    <w:docVar w:name="WAFER_20140704130927_GUID" w:val="0e8d263d-25b4-4faf-95c3-b71f1bed9161"/>
    <w:docVar w:name="WAFER_20140813112752" w:val="ResetPageSize"/>
    <w:docVar w:name="WAFER_20140813112752_GUID" w:val="4e4fbc1b-320b-4e93-b000-7b8fb67c8464"/>
    <w:docVar w:name="WAFER_20140828110549" w:val="RemoveTocBookmarks,RemoveUnusedBookmarks,RemoveLanguageTags,UsedStyles,ResetPageSize,RemoveBadVanishTags,RemoveDocumentProtection,RemoveTrackChanges"/>
    <w:docVar w:name="WAFER_20140828110549_GUID" w:val="3de1789a-d33b-4f18-84cc-f0690deeda2d"/>
    <w:docVar w:name="WAFER_20150108142101" w:val="RemoveTocBookmarks,RemoveUnusedBookmarks,RemoveLanguageTags,UsedStyles,ResetPageSize,UpdateArrangement"/>
    <w:docVar w:name="WAFER_20150108142101_GUID" w:val="e17bd9d7-ff50-42a0-b653-1ccce7fc5c3e"/>
    <w:docVar w:name="WAFER_20150514135109" w:val="ResetPageSize,UpdateArrangement,UpdateNTable"/>
    <w:docVar w:name="WAFER_20150514135109_GUID" w:val="43b61719-074e-4fa5-af28-0b2456162b07"/>
    <w:docVar w:name="WAFER_20151106090139" w:val="UpdateStyles,UsedStyles"/>
    <w:docVar w:name="WAFER_20151106090139_GUID" w:val="293ce43d-0227-429c-ac33-81232440ca71"/>
    <w:docVar w:name="WAFER_20190305121844" w:val="RemoveTocBookmarks,RemoveUnusedBookmarks,RemoveLanguageTags,UpdateStyles,UsedStyles,ResetPageSize"/>
    <w:docVar w:name="WAFER_20190305121844_GUID" w:val="3398b2f7-f309-4fab-9ea3-5a47f86fc3ea"/>
    <w:docVar w:name="WAFER_20190405102939" w:val="RemoveTocBookmarks,RemoveUnusedBookmarks,RemoveLanguageTags,ResetPageSize,RunningHeaders,UpdateStyles,UsedStyles"/>
    <w:docVar w:name="WAFER_20190405102939_GUID" w:val="c2b91591-a335-40f6-b8f2-6d7c20e33c96"/>
    <w:docVar w:name="WAFER_20191128115346" w:val="RemoveTocBookmarks,RemoveUnusedBookmarks,RemoveLanguageTags,ResetPageSize,RunningHeaders,UpdateStyles,UsedStyles"/>
    <w:docVar w:name="WAFER_20191128115346_GUID" w:val="27d24838-c8cc-4f25-87c1-4a0c527b1ec5"/>
    <w:docVar w:name="WAFER_202201171346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7134625_GUID" w:val="e93217fc-8c0b-4c62-9f63-676086e33ce7"/>
    <w:docVar w:name="WAFER_20220304103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03458_GUID" w:val="7470e7b9-7645-4ee7-b004-9d5509ffb45d"/>
    <w:docVar w:name="WAFER_202203181327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2738_GUID" w:val="5183a512-3a60-4e46-98d3-0004523ce9f8"/>
    <w:docVar w:name="WAFER_202206141049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04936_GUID" w:val="8ffa442b-c974-4b89-84f5-53931120e709"/>
    <w:docVar w:name="WAFER_202501281320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128132047_GUID" w:val="13b3b056-25b4-4450-bdf3-f91b4f0a91a3"/>
    <w:docVar w:name="WAFER_20250612110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2110715_GUID" w:val="7415d7cb-c9d5-434e-bfc5-b516f4e53d25"/>
    <w:docVar w:name="WAFER_202506240914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091430_GUID" w:val="bf357829-5024-42e6-ad8b-03767ffc32c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8FE5DDCA-F91F-4455-87BD-1CE3FDBB4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eastAsia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062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hyperlink" Target="http://www.wairc.wa.gov.au" TargetMode="Externa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wairc.wa.gov.au" TargetMode="Externa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CFDD0-3F86-4300-B238-5D34CD195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32679</Words>
  <Characters>158172</Characters>
  <Application>Microsoft Office Word</Application>
  <DocSecurity>0</DocSecurity>
  <Lines>4162</Lines>
  <Paragraphs>2193</Paragraphs>
  <ScaleCrop>false</ScaleCrop>
  <HeadingPairs>
    <vt:vector size="2" baseType="variant">
      <vt:variant>
        <vt:lpstr>Title</vt:lpstr>
      </vt:variant>
      <vt:variant>
        <vt:i4>1</vt:i4>
      </vt:variant>
    </vt:vector>
  </HeadingPairs>
  <TitlesOfParts>
    <vt:vector size="1" baseType="lpstr">
      <vt:lpstr>Industrial Relations Commission Regulations 2005</vt:lpstr>
    </vt:vector>
  </TitlesOfParts>
  <Manager/>
  <Company/>
  <LinksUpToDate>false</LinksUpToDate>
  <CharactersWithSpaces>188658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Commission Regulations 2005 - 04-i0-00</dc:title>
  <dc:subject/>
  <dc:creator/>
  <cp:keywords/>
  <dc:description/>
  <cp:lastModifiedBy>Master Repository Process</cp:lastModifiedBy>
  <cp:revision>4</cp:revision>
  <cp:lastPrinted>2019-07-10T03:32:00Z</cp:lastPrinted>
  <dcterms:created xsi:type="dcterms:W3CDTF">2025-06-27T02:08:00Z</dcterms:created>
  <dcterms:modified xsi:type="dcterms:W3CDTF">2025-06-27T02:08:00Z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Aug 2005 p 3685-812</vt:lpwstr>
  </property>
  <property fmtid="{D5CDD505-2E9C-101B-9397-08002B2CF9AE}" pid="3" name="DocumentType">
    <vt:lpwstr>Reg</vt:lpwstr>
  </property>
  <property fmtid="{D5CDD505-2E9C-101B-9397-08002B2CF9AE}" pid="4" name="OwlsUID">
    <vt:i4>9839</vt:i4>
  </property>
  <property fmtid="{D5CDD505-2E9C-101B-9397-08002B2CF9AE}" pid="5" name="ReprintedAsAt">
    <vt:filetime>2019-07-18T16:00:00Z</vt:filetime>
  </property>
  <property fmtid="{D5CDD505-2E9C-101B-9397-08002B2CF9AE}" pid="6" name="ReprintNo">
    <vt:lpwstr>4</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y fmtid="{D5CDD505-2E9C-101B-9397-08002B2CF9AE}" pid="10" name="AsAtDate">
    <vt:lpwstr>01 Jul 2025</vt:lpwstr>
  </property>
  <property fmtid="{D5CDD505-2E9C-101B-9397-08002B2CF9AE}" pid="11" name="Suffix">
    <vt:lpwstr>04-i0-00</vt:lpwstr>
  </property>
  <property fmtid="{D5CDD505-2E9C-101B-9397-08002B2CF9AE}" pid="12" name="Official">
    <vt:lpwstr/>
  </property>
</Properties>
</file>